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0" w:type="auto"/>
        <w:tblLook w:val="04A0" w:firstRow="1" w:lastRow="0" w:firstColumn="1" w:lastColumn="0" w:noHBand="0" w:noVBand="1"/>
      </w:tblPr>
      <w:tblGrid>
        <w:gridCol w:w="9061"/>
      </w:tblGrid>
      <w:tr w:rsidR="00387ABD" w:rsidRPr="001E1A7D" w14:paraId="30724A4D" w14:textId="77777777" w:rsidTr="00764EBF">
        <w:trPr>
          <w:ins w:id="0" w:author="만든 이"/>
        </w:trPr>
        <w:tc>
          <w:tcPr>
            <w:tcW w:w="9064" w:type="dxa"/>
            <w:tcBorders>
              <w:top w:val="single" w:sz="4" w:space="0" w:color="auto"/>
              <w:left w:val="single" w:sz="4" w:space="0" w:color="auto"/>
              <w:bottom w:val="single" w:sz="4" w:space="0" w:color="auto"/>
              <w:right w:val="single" w:sz="4" w:space="0" w:color="auto"/>
            </w:tcBorders>
          </w:tcPr>
          <w:p w14:paraId="1A5E8B63" w14:textId="3853EB84" w:rsidR="00387ABD" w:rsidRDefault="00387ABD" w:rsidP="00764EBF">
            <w:pPr>
              <w:rPr>
                <w:ins w:id="1" w:author="만든 이"/>
              </w:rPr>
            </w:pPr>
            <w:ins w:id="2" w:author="만든 이">
              <w:r>
                <w:t xml:space="preserve">Bei diesem Dokument handelt es sich um die genehmigte Produktinformation für </w:t>
              </w:r>
              <w:r>
                <w:rPr>
                  <w:rFonts w:eastAsia="맑은 고딕" w:hint="eastAsia"/>
                  <w:lang w:eastAsia="ko-KR"/>
                </w:rPr>
                <w:t>Avtozma</w:t>
              </w:r>
              <w:r>
                <w:t xml:space="preserve">, wobei die Änderungen seit dem vorherigen Verfahren, die sich auf die Produktinformation </w:t>
              </w:r>
              <w:r>
                <w:rPr>
                  <w:rFonts w:eastAsia="맑은 고딕" w:hint="eastAsia"/>
                  <w:lang w:eastAsia="ko-KR"/>
                </w:rPr>
                <w:t>(</w:t>
              </w:r>
              <w:r w:rsidRPr="007833F1">
                <w:rPr>
                  <w:rFonts w:eastAsia="맑은 고딕"/>
                  <w:szCs w:val="28"/>
                  <w:lang w:val="en-GB" w:eastAsia="ko-KR"/>
                </w:rPr>
                <w:t>EMA/VR/0000287521</w:t>
              </w:r>
              <w:r w:rsidRPr="00B436C7">
                <w:rPr>
                  <w:rFonts w:eastAsia="맑은 고딕"/>
                  <w:szCs w:val="28"/>
                  <w:lang w:eastAsia="ko-KR"/>
                </w:rPr>
                <w:t xml:space="preserve">) </w:t>
              </w:r>
              <w:r>
                <w:t xml:space="preserve">auswirken, </w:t>
              </w:r>
              <w:r w:rsidRPr="003F1AD9">
                <w:t>un</w:t>
              </w:r>
              <w:r>
                <w:t>terstrichen sind.</w:t>
              </w:r>
            </w:ins>
          </w:p>
          <w:p w14:paraId="38160A04" w14:textId="77777777" w:rsidR="00387ABD" w:rsidRPr="00B436C7" w:rsidRDefault="00387ABD" w:rsidP="00764EBF">
            <w:pPr>
              <w:suppressAutoHyphens/>
              <w:ind w:leftChars="82" w:left="180"/>
              <w:rPr>
                <w:ins w:id="3" w:author="만든 이"/>
                <w:rFonts w:eastAsia="맑은 고딕"/>
                <w:szCs w:val="28"/>
                <w:lang w:eastAsia="ko-KR"/>
              </w:rPr>
            </w:pPr>
          </w:p>
          <w:p w14:paraId="408B0602" w14:textId="77777777" w:rsidR="00387ABD" w:rsidRPr="00B436C7" w:rsidRDefault="00387ABD" w:rsidP="00764EBF">
            <w:pPr>
              <w:rPr>
                <w:ins w:id="4" w:author="만든 이"/>
                <w:noProof/>
              </w:rPr>
            </w:pPr>
            <w:ins w:id="5" w:author="만든 이">
              <w:r>
                <w:t xml:space="preserve">Weitere Informationen finden Sie auf der Website der Europäischen Arzneimittel-Agentur: </w:t>
              </w:r>
              <w:r w:rsidRPr="00916A8D">
                <w:t>https://www.ema.europa.eu/en/medicines/human/EPAR/avtozma</w:t>
              </w:r>
            </w:ins>
          </w:p>
        </w:tc>
      </w:tr>
    </w:tbl>
    <w:p w14:paraId="59C51040" w14:textId="77777777" w:rsidR="00093A5E" w:rsidRPr="00387ABD" w:rsidRDefault="00093A5E" w:rsidP="004255F8">
      <w:pPr>
        <w:pStyle w:val="a3"/>
        <w:widowControl/>
      </w:pPr>
    </w:p>
    <w:p w14:paraId="780D53D1" w14:textId="77777777" w:rsidR="00093A5E" w:rsidRPr="006A64EE" w:rsidRDefault="00093A5E" w:rsidP="004255F8">
      <w:pPr>
        <w:pStyle w:val="a3"/>
        <w:widowControl/>
      </w:pPr>
    </w:p>
    <w:p w14:paraId="325580B2" w14:textId="77777777" w:rsidR="00093A5E" w:rsidRPr="006A64EE" w:rsidRDefault="00093A5E" w:rsidP="004255F8">
      <w:pPr>
        <w:pStyle w:val="a3"/>
        <w:widowControl/>
      </w:pPr>
    </w:p>
    <w:p w14:paraId="15370B9A" w14:textId="77777777" w:rsidR="00093A5E" w:rsidRPr="006A64EE" w:rsidRDefault="00093A5E" w:rsidP="004255F8">
      <w:pPr>
        <w:pStyle w:val="a3"/>
        <w:widowControl/>
      </w:pPr>
    </w:p>
    <w:p w14:paraId="7BC4CBBD" w14:textId="77777777" w:rsidR="00093A5E" w:rsidRPr="006A64EE" w:rsidRDefault="00093A5E" w:rsidP="004255F8">
      <w:pPr>
        <w:pStyle w:val="a3"/>
        <w:widowControl/>
      </w:pPr>
    </w:p>
    <w:p w14:paraId="47C905B9" w14:textId="77777777" w:rsidR="00093A5E" w:rsidRPr="006A64EE" w:rsidRDefault="00093A5E" w:rsidP="004255F8">
      <w:pPr>
        <w:pStyle w:val="a3"/>
        <w:widowControl/>
      </w:pPr>
    </w:p>
    <w:p w14:paraId="05ED71FD" w14:textId="77777777" w:rsidR="00093A5E" w:rsidRPr="006A64EE" w:rsidRDefault="00093A5E" w:rsidP="004255F8">
      <w:pPr>
        <w:pStyle w:val="a3"/>
        <w:widowControl/>
      </w:pPr>
    </w:p>
    <w:p w14:paraId="013A99FB" w14:textId="77777777" w:rsidR="00093A5E" w:rsidRPr="006A64EE" w:rsidRDefault="00093A5E" w:rsidP="004255F8">
      <w:pPr>
        <w:pStyle w:val="a3"/>
        <w:widowControl/>
      </w:pPr>
    </w:p>
    <w:p w14:paraId="4031E5F6" w14:textId="77777777" w:rsidR="00093A5E" w:rsidRPr="006A64EE" w:rsidRDefault="00093A5E" w:rsidP="004255F8">
      <w:pPr>
        <w:pStyle w:val="a3"/>
        <w:widowControl/>
      </w:pPr>
    </w:p>
    <w:p w14:paraId="554FD58D" w14:textId="77777777" w:rsidR="00093A5E" w:rsidRPr="006A64EE" w:rsidRDefault="00093A5E" w:rsidP="004255F8">
      <w:pPr>
        <w:pStyle w:val="a3"/>
        <w:widowControl/>
      </w:pPr>
    </w:p>
    <w:p w14:paraId="72C05697" w14:textId="77777777" w:rsidR="00093A5E" w:rsidRPr="006A64EE" w:rsidRDefault="00093A5E" w:rsidP="004255F8">
      <w:pPr>
        <w:pStyle w:val="a3"/>
        <w:widowControl/>
      </w:pPr>
    </w:p>
    <w:p w14:paraId="57C6CCED" w14:textId="77777777" w:rsidR="00093A5E" w:rsidRPr="006A64EE" w:rsidRDefault="00093A5E" w:rsidP="004255F8">
      <w:pPr>
        <w:pStyle w:val="a3"/>
        <w:widowControl/>
      </w:pPr>
    </w:p>
    <w:p w14:paraId="00B0737F" w14:textId="77777777" w:rsidR="00093A5E" w:rsidRPr="006A64EE" w:rsidRDefault="00093A5E" w:rsidP="004255F8">
      <w:pPr>
        <w:pStyle w:val="a3"/>
        <w:widowControl/>
      </w:pPr>
    </w:p>
    <w:p w14:paraId="0C4B88FC" w14:textId="77777777" w:rsidR="00093A5E" w:rsidRPr="006A64EE" w:rsidRDefault="00093A5E" w:rsidP="004255F8">
      <w:pPr>
        <w:pStyle w:val="a3"/>
        <w:widowControl/>
      </w:pPr>
    </w:p>
    <w:p w14:paraId="48D2E7B7" w14:textId="77777777" w:rsidR="00093A5E" w:rsidRPr="006A64EE" w:rsidRDefault="00093A5E" w:rsidP="004255F8">
      <w:pPr>
        <w:pStyle w:val="a3"/>
        <w:widowControl/>
      </w:pPr>
    </w:p>
    <w:p w14:paraId="5E10375A" w14:textId="77777777" w:rsidR="00093A5E" w:rsidRPr="006A64EE" w:rsidRDefault="00093A5E" w:rsidP="004255F8">
      <w:pPr>
        <w:pStyle w:val="a3"/>
        <w:widowControl/>
      </w:pPr>
    </w:p>
    <w:p w14:paraId="2F284E04" w14:textId="77777777" w:rsidR="00093A5E" w:rsidRPr="006A64EE" w:rsidRDefault="00093A5E" w:rsidP="004255F8">
      <w:pPr>
        <w:pStyle w:val="a3"/>
        <w:widowControl/>
      </w:pPr>
    </w:p>
    <w:p w14:paraId="3845AC85" w14:textId="77777777" w:rsidR="00093A5E" w:rsidRPr="006A64EE" w:rsidRDefault="00093A5E" w:rsidP="004255F8">
      <w:pPr>
        <w:pStyle w:val="a3"/>
        <w:widowControl/>
      </w:pPr>
    </w:p>
    <w:p w14:paraId="63F84594" w14:textId="77777777" w:rsidR="00093A5E" w:rsidRPr="006A64EE" w:rsidRDefault="00093A5E" w:rsidP="004255F8">
      <w:pPr>
        <w:pStyle w:val="a3"/>
        <w:widowControl/>
      </w:pPr>
    </w:p>
    <w:p w14:paraId="469221BF" w14:textId="77777777" w:rsidR="00093A5E" w:rsidRPr="006A64EE" w:rsidRDefault="00093A5E" w:rsidP="004255F8">
      <w:pPr>
        <w:pStyle w:val="a3"/>
        <w:widowControl/>
      </w:pPr>
    </w:p>
    <w:p w14:paraId="6F257433" w14:textId="77777777" w:rsidR="00093A5E" w:rsidRPr="006A64EE" w:rsidRDefault="00093A5E" w:rsidP="004255F8">
      <w:pPr>
        <w:pStyle w:val="a3"/>
        <w:widowControl/>
      </w:pPr>
    </w:p>
    <w:p w14:paraId="0AE7C43D" w14:textId="77777777" w:rsidR="00093A5E" w:rsidRPr="006A64EE" w:rsidRDefault="00093A5E" w:rsidP="004255F8">
      <w:pPr>
        <w:pStyle w:val="a3"/>
        <w:widowControl/>
      </w:pPr>
    </w:p>
    <w:p w14:paraId="78600770" w14:textId="77777777" w:rsidR="00093A5E" w:rsidRPr="006A64EE" w:rsidRDefault="00093A5E" w:rsidP="004255F8">
      <w:pPr>
        <w:pStyle w:val="a3"/>
        <w:widowControl/>
      </w:pPr>
    </w:p>
    <w:p w14:paraId="000ADD22" w14:textId="32D64F06" w:rsidR="00093A5E" w:rsidRPr="006A64EE" w:rsidRDefault="009C2544" w:rsidP="004255F8">
      <w:pPr>
        <w:widowControl/>
        <w:jc w:val="center"/>
        <w:rPr>
          <w:b/>
        </w:rPr>
      </w:pPr>
      <w:r w:rsidRPr="006A64EE">
        <w:rPr>
          <w:b/>
        </w:rPr>
        <w:t>ANHANG</w:t>
      </w:r>
      <w:r w:rsidR="005B376F">
        <w:rPr>
          <w:b/>
        </w:rPr>
        <w:t> </w:t>
      </w:r>
      <w:r w:rsidRPr="006A64EE">
        <w:rPr>
          <w:b/>
        </w:rPr>
        <w:t>I</w:t>
      </w:r>
    </w:p>
    <w:p w14:paraId="3BD2022C" w14:textId="77777777" w:rsidR="00093A5E" w:rsidRPr="006A64EE" w:rsidRDefault="00093A5E" w:rsidP="004255F8">
      <w:pPr>
        <w:pStyle w:val="a3"/>
        <w:widowControl/>
        <w:rPr>
          <w:b/>
        </w:rPr>
      </w:pPr>
    </w:p>
    <w:p w14:paraId="52D67A30" w14:textId="77777777" w:rsidR="00093A5E" w:rsidRPr="006A64EE" w:rsidRDefault="009C2544" w:rsidP="00D0274D">
      <w:pPr>
        <w:pStyle w:val="1"/>
        <w:jc w:val="center"/>
        <w:rPr>
          <w:b w:val="0"/>
        </w:rPr>
      </w:pPr>
      <w:bookmarkStart w:id="6" w:name="ZUSAMMENFASSUNG_DER_MERKMALE_DES_ARZNEIM"/>
      <w:bookmarkEnd w:id="6"/>
      <w:r w:rsidRPr="006A64EE">
        <w:t>ZUSAMMENFASSUNG DER MERKMALE DES ARZNEIMITTELS</w:t>
      </w:r>
    </w:p>
    <w:p w14:paraId="55568000" w14:textId="62A260A9" w:rsidR="00093A5E" w:rsidRDefault="00D835D4" w:rsidP="004255F8">
      <w:pPr>
        <w:widowControl/>
      </w:pPr>
      <w:r w:rsidRPr="006A64EE">
        <w:br w:type="page"/>
      </w:r>
      <w:r w:rsidR="00A16FF2">
        <w:rPr>
          <w:noProof/>
          <w:lang w:val="en-US" w:eastAsia="ko-KR"/>
        </w:rPr>
        <w:lastRenderedPageBreak/>
        <w:drawing>
          <wp:inline distT="0" distB="0" distL="0" distR="0" wp14:anchorId="07C24115" wp14:editId="2DB587FD">
            <wp:extent cx="201930" cy="170180"/>
            <wp:effectExtent l="0" t="0" r="0" b="0"/>
            <wp:docPr id="2" name="그림 10"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D75764" w:rsidRPr="00C119D8">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w:t>
      </w:r>
      <w:r w:rsidR="008B3B58">
        <w:t> </w:t>
      </w:r>
      <w:r w:rsidR="00D75764" w:rsidRPr="00C119D8">
        <w:t>4.8</w:t>
      </w:r>
      <w:r w:rsidR="00D75764">
        <w:t>.</w:t>
      </w:r>
    </w:p>
    <w:p w14:paraId="35721AC7" w14:textId="77777777" w:rsidR="00D75764" w:rsidRDefault="00D75764" w:rsidP="004255F8">
      <w:pPr>
        <w:widowControl/>
      </w:pPr>
    </w:p>
    <w:p w14:paraId="67A58ACC" w14:textId="77777777" w:rsidR="00D75764" w:rsidRPr="00B320E1" w:rsidRDefault="00D75764" w:rsidP="004255F8">
      <w:pPr>
        <w:widowControl/>
      </w:pPr>
    </w:p>
    <w:p w14:paraId="34028415" w14:textId="77777777" w:rsidR="00093A5E" w:rsidRPr="006A64EE" w:rsidRDefault="0059713A" w:rsidP="004255F8">
      <w:pPr>
        <w:pStyle w:val="1"/>
      </w:pPr>
      <w:r w:rsidRPr="006A64EE">
        <w:t>1.</w:t>
      </w:r>
      <w:r w:rsidRPr="006A64EE">
        <w:tab/>
        <w:t>BEZEICHNUNG DES ARZNEIMITTELS</w:t>
      </w:r>
    </w:p>
    <w:p w14:paraId="5F91DC3D" w14:textId="77777777" w:rsidR="00093A5E" w:rsidRPr="006A64EE" w:rsidRDefault="00093A5E" w:rsidP="004255F8">
      <w:pPr>
        <w:pStyle w:val="a3"/>
        <w:widowControl/>
      </w:pPr>
    </w:p>
    <w:p w14:paraId="157013FD" w14:textId="0A63182D" w:rsidR="00093A5E" w:rsidRPr="006A64EE" w:rsidRDefault="00D75764" w:rsidP="004255F8">
      <w:pPr>
        <w:pStyle w:val="a3"/>
        <w:widowControl/>
      </w:pPr>
      <w:r w:rsidRPr="001879E9">
        <w:t>Avtozma</w:t>
      </w:r>
      <w:r w:rsidR="009C2544" w:rsidRPr="006A64EE">
        <w:t xml:space="preserve"> 20</w:t>
      </w:r>
      <w:r w:rsidR="008B3B58">
        <w:t> </w:t>
      </w:r>
      <w:r w:rsidR="009C2544" w:rsidRPr="006A64EE">
        <w:t>mg/ml Konzentrat zur Herstellung einer Infusionslösung</w:t>
      </w:r>
    </w:p>
    <w:p w14:paraId="07BB9E2A" w14:textId="77777777" w:rsidR="00093A5E" w:rsidRPr="006A64EE" w:rsidRDefault="00093A5E" w:rsidP="004255F8">
      <w:pPr>
        <w:pStyle w:val="a3"/>
        <w:widowControl/>
      </w:pPr>
    </w:p>
    <w:p w14:paraId="43AF6F26" w14:textId="77777777" w:rsidR="00093A5E" w:rsidRPr="006A64EE" w:rsidRDefault="00093A5E" w:rsidP="004255F8">
      <w:pPr>
        <w:pStyle w:val="a3"/>
        <w:widowControl/>
      </w:pPr>
    </w:p>
    <w:p w14:paraId="2C68EF49" w14:textId="77777777" w:rsidR="00093A5E" w:rsidRPr="006A64EE" w:rsidRDefault="0059713A" w:rsidP="004255F8">
      <w:pPr>
        <w:pStyle w:val="1"/>
      </w:pPr>
      <w:r w:rsidRPr="006A64EE">
        <w:t>2.</w:t>
      </w:r>
      <w:r w:rsidRPr="006A64EE">
        <w:tab/>
        <w:t>QUALITATIVE UND QUANTITATIVE ZUSAMMENSETZUNG</w:t>
      </w:r>
    </w:p>
    <w:p w14:paraId="50B09F75" w14:textId="77777777" w:rsidR="00093A5E" w:rsidRPr="006A64EE" w:rsidRDefault="00093A5E" w:rsidP="004255F8">
      <w:pPr>
        <w:pStyle w:val="a3"/>
        <w:widowControl/>
      </w:pPr>
    </w:p>
    <w:p w14:paraId="58049B0C" w14:textId="16A33597" w:rsidR="00093A5E" w:rsidRPr="008B3B58" w:rsidRDefault="009C2544" w:rsidP="004255F8">
      <w:pPr>
        <w:pStyle w:val="a3"/>
        <w:widowControl/>
      </w:pPr>
      <w:r w:rsidRPr="006A64EE">
        <w:t>Jeder ml des Konzentrats enthält 20</w:t>
      </w:r>
      <w:r w:rsidR="008B3B58">
        <w:t> </w:t>
      </w:r>
      <w:r w:rsidRPr="006A64EE">
        <w:t>mg Tocilizumab</w:t>
      </w:r>
      <w:r w:rsidRPr="006A64EE">
        <w:rPr>
          <w:vertAlign w:val="superscript"/>
        </w:rPr>
        <w:t>*</w:t>
      </w:r>
      <w:r w:rsidR="008B3B58">
        <w:t>.</w:t>
      </w:r>
    </w:p>
    <w:p w14:paraId="43BCF413" w14:textId="77777777" w:rsidR="00093A5E" w:rsidRPr="006A64EE" w:rsidRDefault="00093A5E" w:rsidP="004255F8">
      <w:pPr>
        <w:pStyle w:val="a3"/>
        <w:widowControl/>
      </w:pPr>
    </w:p>
    <w:p w14:paraId="22C4BA00" w14:textId="3DE16DE4" w:rsidR="001211F2" w:rsidRDefault="009C2544" w:rsidP="004255F8">
      <w:pPr>
        <w:pStyle w:val="a3"/>
        <w:widowControl/>
      </w:pPr>
      <w:r w:rsidRPr="006A64EE">
        <w:t>Jede Durchstechflasche enthält 80</w:t>
      </w:r>
      <w:r w:rsidR="008B3B58">
        <w:t> </w:t>
      </w:r>
      <w:r w:rsidRPr="006A64EE">
        <w:t>mg Tocilizumab</w:t>
      </w:r>
      <w:r w:rsidRPr="006A64EE">
        <w:rPr>
          <w:vertAlign w:val="superscript"/>
        </w:rPr>
        <w:t>*</w:t>
      </w:r>
      <w:r w:rsidRPr="006A64EE">
        <w:t xml:space="preserve"> in 4</w:t>
      </w:r>
      <w:r w:rsidR="008B3B58">
        <w:t> </w:t>
      </w:r>
      <w:r w:rsidRPr="006A64EE">
        <w:t>ml (20</w:t>
      </w:r>
      <w:r w:rsidR="008B3B58">
        <w:t> </w:t>
      </w:r>
      <w:r w:rsidRPr="006A64EE">
        <w:t>mg/ml).</w:t>
      </w:r>
    </w:p>
    <w:p w14:paraId="10035753" w14:textId="5E460862" w:rsidR="001211F2" w:rsidRDefault="009C2544" w:rsidP="004255F8">
      <w:pPr>
        <w:pStyle w:val="a3"/>
        <w:widowControl/>
      </w:pPr>
      <w:r w:rsidRPr="006A64EE">
        <w:t>Jede Durchstechflasche enthält 200</w:t>
      </w:r>
      <w:r w:rsidR="008B3B58">
        <w:t> </w:t>
      </w:r>
      <w:r w:rsidRPr="006A64EE">
        <w:t>mg Tocilizumab</w:t>
      </w:r>
      <w:r w:rsidRPr="006A64EE">
        <w:rPr>
          <w:vertAlign w:val="superscript"/>
        </w:rPr>
        <w:t>*</w:t>
      </w:r>
      <w:r w:rsidRPr="006A64EE">
        <w:t xml:space="preserve"> in 10</w:t>
      </w:r>
      <w:r w:rsidR="008B3B58">
        <w:t> </w:t>
      </w:r>
      <w:r w:rsidRPr="006A64EE">
        <w:t>ml (20</w:t>
      </w:r>
      <w:r w:rsidR="008B3B58">
        <w:t> </w:t>
      </w:r>
      <w:r w:rsidRPr="006A64EE">
        <w:t>mg/ml).</w:t>
      </w:r>
    </w:p>
    <w:p w14:paraId="00248490" w14:textId="492576A8" w:rsidR="00093A5E" w:rsidRPr="006A64EE" w:rsidRDefault="009C2544" w:rsidP="004255F8">
      <w:pPr>
        <w:pStyle w:val="a3"/>
        <w:widowControl/>
      </w:pPr>
      <w:r w:rsidRPr="006A64EE">
        <w:t>Jede Durchstechflasche enthält 400</w:t>
      </w:r>
      <w:r w:rsidR="008B3B58">
        <w:t> </w:t>
      </w:r>
      <w:r w:rsidRPr="006A64EE">
        <w:t>mg Tocilizumab</w:t>
      </w:r>
      <w:r w:rsidRPr="006A64EE">
        <w:rPr>
          <w:vertAlign w:val="superscript"/>
        </w:rPr>
        <w:t>*</w:t>
      </w:r>
      <w:r w:rsidRPr="006A64EE">
        <w:t xml:space="preserve"> in 20</w:t>
      </w:r>
      <w:r w:rsidR="008B3B58">
        <w:t> </w:t>
      </w:r>
      <w:r w:rsidRPr="006A64EE">
        <w:t>ml (20</w:t>
      </w:r>
      <w:r w:rsidR="008B3B58">
        <w:t> </w:t>
      </w:r>
      <w:r w:rsidRPr="006A64EE">
        <w:t>mg/ml).</w:t>
      </w:r>
    </w:p>
    <w:p w14:paraId="13FE2A8F" w14:textId="77777777" w:rsidR="00093A5E" w:rsidRPr="006A64EE" w:rsidRDefault="00093A5E" w:rsidP="004255F8">
      <w:pPr>
        <w:pStyle w:val="a3"/>
        <w:widowControl/>
      </w:pPr>
    </w:p>
    <w:p w14:paraId="35088BFE" w14:textId="77777777" w:rsidR="00093A5E" w:rsidRPr="006A64EE" w:rsidRDefault="009C2544" w:rsidP="004255F8">
      <w:pPr>
        <w:pStyle w:val="a3"/>
        <w:widowControl/>
      </w:pPr>
      <w:r w:rsidRPr="006A64EE">
        <w:rPr>
          <w:vertAlign w:val="superscript"/>
        </w:rPr>
        <w:t>*</w:t>
      </w:r>
      <w:r w:rsidRPr="006A64EE">
        <w:t>humanisierter monoklonaler IgG1-Antikörper gegen den humanen Interleukin-6-(IL-6)Rezeptor, produziert mit rekombinanter DNA-Technologie in Ovarialzellen des chinesischen Hamsters.</w:t>
      </w:r>
    </w:p>
    <w:p w14:paraId="6E7D7411" w14:textId="77777777" w:rsidR="00093A5E" w:rsidRDefault="00093A5E" w:rsidP="004255F8">
      <w:pPr>
        <w:pStyle w:val="a3"/>
        <w:widowControl/>
      </w:pPr>
    </w:p>
    <w:p w14:paraId="5A99F69E" w14:textId="77777777" w:rsidR="00355E7F" w:rsidRPr="00B320E1" w:rsidRDefault="00355E7F" w:rsidP="00355E7F">
      <w:pPr>
        <w:keepNext/>
        <w:widowControl/>
        <w:rPr>
          <w:u w:val="single"/>
        </w:rPr>
      </w:pPr>
      <w:r w:rsidRPr="00B320E1">
        <w:rPr>
          <w:u w:val="single"/>
        </w:rPr>
        <w:t>Sonstige Bestandteile mit bekannter Wirkung</w:t>
      </w:r>
    </w:p>
    <w:p w14:paraId="5F96FABE" w14:textId="77777777" w:rsidR="00355E7F" w:rsidRPr="00A61732" w:rsidRDefault="00355E7F" w:rsidP="00355E7F">
      <w:pPr>
        <w:keepNext/>
        <w:widowControl/>
        <w:rPr>
          <w:i/>
          <w:iCs/>
        </w:rPr>
      </w:pPr>
      <w:r>
        <w:rPr>
          <w:i/>
        </w:rPr>
        <w:t>Polysorbat</w:t>
      </w:r>
    </w:p>
    <w:p w14:paraId="3E1E21B7" w14:textId="3FD9D49F" w:rsidR="00355E7F" w:rsidRPr="009B2DB1" w:rsidRDefault="00355E7F" w:rsidP="00355E7F">
      <w:pPr>
        <w:keepNext/>
        <w:widowControl/>
      </w:pPr>
      <w:r>
        <w:t xml:space="preserve">Jede </w:t>
      </w:r>
      <w:r w:rsidR="00AD5A0C">
        <w:t>80 mg-</w:t>
      </w:r>
      <w:r>
        <w:t>Durchstechflasche enthält 2,0 </w:t>
      </w:r>
      <w:r w:rsidRPr="00B320E1">
        <w:t>mg Polysorbat</w:t>
      </w:r>
      <w:r w:rsidR="00AD5A0C">
        <w:t> 80</w:t>
      </w:r>
      <w:r w:rsidRPr="009B2DB1">
        <w:t>.</w:t>
      </w:r>
    </w:p>
    <w:p w14:paraId="25004964" w14:textId="06D5E7F6" w:rsidR="00355E7F" w:rsidRPr="009B2DB1" w:rsidRDefault="00355E7F" w:rsidP="00355E7F">
      <w:r w:rsidRPr="009B2DB1">
        <w:t xml:space="preserve">Jede </w:t>
      </w:r>
      <w:r w:rsidR="00AD5A0C">
        <w:t>200 mg-</w:t>
      </w:r>
      <w:r w:rsidRPr="009B2DB1">
        <w:t>Durchstechflasche enthält 5,0 </w:t>
      </w:r>
      <w:r w:rsidRPr="00B320E1">
        <w:t>mg Polysorbat</w:t>
      </w:r>
      <w:r w:rsidR="00AD5A0C">
        <w:t> 80</w:t>
      </w:r>
      <w:r w:rsidRPr="009B2DB1">
        <w:t>.</w:t>
      </w:r>
    </w:p>
    <w:p w14:paraId="170C47FD" w14:textId="78655226" w:rsidR="00355E7F" w:rsidRPr="009B2DB1" w:rsidRDefault="00355E7F" w:rsidP="00355E7F">
      <w:r w:rsidRPr="009B2DB1">
        <w:t xml:space="preserve">Jede </w:t>
      </w:r>
      <w:r w:rsidR="00AD5A0C">
        <w:t>400 mg-</w:t>
      </w:r>
      <w:r w:rsidRPr="009B2DB1">
        <w:t>Durchstechflasche enthält 10,0 </w:t>
      </w:r>
      <w:r w:rsidRPr="00B320E1">
        <w:t>mg Polysorbat</w:t>
      </w:r>
      <w:r w:rsidR="00AD5A0C">
        <w:t> 80</w:t>
      </w:r>
      <w:r w:rsidRPr="009B2DB1">
        <w:t>.</w:t>
      </w:r>
    </w:p>
    <w:p w14:paraId="7F3AE361" w14:textId="77777777" w:rsidR="00355E7F" w:rsidRPr="006A64EE" w:rsidRDefault="00355E7F" w:rsidP="004255F8">
      <w:pPr>
        <w:pStyle w:val="a3"/>
        <w:widowControl/>
      </w:pPr>
    </w:p>
    <w:p w14:paraId="265A7144" w14:textId="620D738A" w:rsidR="00093A5E" w:rsidRPr="006A64EE" w:rsidRDefault="009C2544" w:rsidP="004255F8">
      <w:pPr>
        <w:pStyle w:val="a3"/>
        <w:widowControl/>
      </w:pPr>
      <w:r w:rsidRPr="006A64EE">
        <w:t>Vollständige Auflistung der sonstigen Bestandteile, siehe Abschnitt</w:t>
      </w:r>
      <w:r w:rsidR="00A000D0">
        <w:t> </w:t>
      </w:r>
      <w:r w:rsidRPr="006A64EE">
        <w:t>6.1.</w:t>
      </w:r>
    </w:p>
    <w:p w14:paraId="76B81644" w14:textId="77777777" w:rsidR="00093A5E" w:rsidRPr="006A64EE" w:rsidRDefault="00093A5E" w:rsidP="004255F8">
      <w:pPr>
        <w:pStyle w:val="a3"/>
        <w:widowControl/>
      </w:pPr>
    </w:p>
    <w:p w14:paraId="0F3B235F" w14:textId="77777777" w:rsidR="00093A5E" w:rsidRPr="006A64EE" w:rsidRDefault="00093A5E" w:rsidP="004255F8">
      <w:pPr>
        <w:pStyle w:val="a3"/>
        <w:widowControl/>
      </w:pPr>
    </w:p>
    <w:p w14:paraId="2DACD5BD" w14:textId="77777777" w:rsidR="00093A5E" w:rsidRPr="006A64EE" w:rsidRDefault="0059713A" w:rsidP="004255F8">
      <w:pPr>
        <w:pStyle w:val="1"/>
      </w:pPr>
      <w:r w:rsidRPr="006A64EE">
        <w:t>3.</w:t>
      </w:r>
      <w:r w:rsidRPr="006A64EE">
        <w:tab/>
        <w:t>DARREICHUNGSFORM</w:t>
      </w:r>
    </w:p>
    <w:p w14:paraId="5A9090CB" w14:textId="77777777" w:rsidR="00093A5E" w:rsidRPr="006A64EE" w:rsidRDefault="00093A5E" w:rsidP="004255F8">
      <w:pPr>
        <w:pStyle w:val="a3"/>
        <w:widowControl/>
      </w:pPr>
    </w:p>
    <w:p w14:paraId="30655990" w14:textId="162A43E7" w:rsidR="00093A5E" w:rsidRPr="006A64EE" w:rsidRDefault="009C2544" w:rsidP="004255F8">
      <w:pPr>
        <w:pStyle w:val="a3"/>
        <w:widowControl/>
      </w:pPr>
      <w:r w:rsidRPr="006A64EE">
        <w:t xml:space="preserve">Konzentrat zur Herstellung einer Infusionslösung (steriles Konzentrat). Klare bis </w:t>
      </w:r>
      <w:r w:rsidR="00D75764">
        <w:t xml:space="preserve">leicht </w:t>
      </w:r>
      <w:r w:rsidRPr="006A64EE">
        <w:t>opaleszente, farblose bis blassgelbe Lösung.</w:t>
      </w:r>
    </w:p>
    <w:p w14:paraId="3B29C819" w14:textId="77777777" w:rsidR="00093A5E" w:rsidRPr="006A64EE" w:rsidRDefault="00093A5E" w:rsidP="004255F8">
      <w:pPr>
        <w:pStyle w:val="a3"/>
        <w:widowControl/>
      </w:pPr>
    </w:p>
    <w:p w14:paraId="4CEE384E" w14:textId="77777777" w:rsidR="00093A5E" w:rsidRPr="006A64EE" w:rsidRDefault="00093A5E" w:rsidP="004255F8">
      <w:pPr>
        <w:pStyle w:val="a3"/>
        <w:widowControl/>
      </w:pPr>
    </w:p>
    <w:p w14:paraId="254630BF" w14:textId="77777777" w:rsidR="00093A5E" w:rsidRPr="006A64EE" w:rsidRDefault="0059713A" w:rsidP="004255F8">
      <w:pPr>
        <w:pStyle w:val="1"/>
      </w:pPr>
      <w:r w:rsidRPr="006A64EE">
        <w:t>4.</w:t>
      </w:r>
      <w:r w:rsidRPr="006A64EE">
        <w:tab/>
        <w:t>KLINISCHE ANGABEN</w:t>
      </w:r>
    </w:p>
    <w:p w14:paraId="10C8D8E5" w14:textId="77777777" w:rsidR="00093A5E" w:rsidRPr="006A64EE" w:rsidRDefault="00093A5E" w:rsidP="004255F8">
      <w:pPr>
        <w:pStyle w:val="a3"/>
        <w:widowControl/>
        <w:rPr>
          <w:b/>
        </w:rPr>
      </w:pPr>
    </w:p>
    <w:p w14:paraId="14135140" w14:textId="77777777" w:rsidR="00093A5E" w:rsidRPr="006A64EE" w:rsidRDefault="0059713A" w:rsidP="004255F8">
      <w:pPr>
        <w:pStyle w:val="2"/>
      </w:pPr>
      <w:r w:rsidRPr="006A64EE">
        <w:t>4.1</w:t>
      </w:r>
      <w:r w:rsidRPr="006A64EE">
        <w:tab/>
        <w:t>Anwendungsgebiete</w:t>
      </w:r>
    </w:p>
    <w:p w14:paraId="4420CD88" w14:textId="77777777" w:rsidR="00093A5E" w:rsidRPr="006A64EE" w:rsidRDefault="00093A5E" w:rsidP="00D0274D"/>
    <w:p w14:paraId="7C380D1C" w14:textId="30526599" w:rsidR="00391F95" w:rsidRPr="00B436C7" w:rsidRDefault="00391F95" w:rsidP="004255F8">
      <w:pPr>
        <w:pStyle w:val="a3"/>
        <w:widowControl/>
        <w:rPr>
          <w:rFonts w:eastAsia="맑은 고딕"/>
          <w:u w:val="single"/>
          <w:lang w:eastAsia="ko-KR"/>
        </w:rPr>
      </w:pPr>
      <w:r w:rsidRPr="00B436C7">
        <w:rPr>
          <w:rFonts w:eastAsia="맑은 고딕"/>
          <w:u w:val="single"/>
          <w:lang w:eastAsia="ko-KR"/>
        </w:rPr>
        <w:t>Rheumatoide Arthritis (RA)</w:t>
      </w:r>
    </w:p>
    <w:p w14:paraId="0AF97E19" w14:textId="44729E84" w:rsidR="00093A5E" w:rsidRPr="006A64EE" w:rsidRDefault="00D75764" w:rsidP="004255F8">
      <w:pPr>
        <w:pStyle w:val="a3"/>
        <w:widowControl/>
      </w:pPr>
      <w:r w:rsidRPr="001879E9">
        <w:t>Avtozma</w:t>
      </w:r>
      <w:r w:rsidR="009C2544" w:rsidRPr="006A64EE">
        <w:t xml:space="preserve"> ist, in Kombination mit Methotrexat (MTX), indiziert für:</w:t>
      </w:r>
    </w:p>
    <w:p w14:paraId="20674D3D" w14:textId="77777777" w:rsidR="00093A5E" w:rsidRPr="006A64EE" w:rsidRDefault="00093A5E" w:rsidP="004255F8">
      <w:pPr>
        <w:pStyle w:val="a3"/>
        <w:widowControl/>
      </w:pPr>
    </w:p>
    <w:p w14:paraId="5D3CB1F9" w14:textId="77777777" w:rsidR="00093A5E" w:rsidRPr="006A64EE" w:rsidRDefault="009C2544" w:rsidP="00AB4192">
      <w:pPr>
        <w:pStyle w:val="bullet"/>
        <w:numPr>
          <w:ilvl w:val="0"/>
          <w:numId w:val="2"/>
        </w:numPr>
        <w:ind w:left="567" w:hanging="567"/>
      </w:pPr>
      <w:r w:rsidRPr="006A64EE">
        <w:t>die Behandlung der schweren, aktiven und progressiven rheumatoiden Arthritis (RA) bei Erwachsenen, die zuvor nicht mit Methotrexat behandelt worden sind.</w:t>
      </w:r>
    </w:p>
    <w:p w14:paraId="0323364A" w14:textId="4291EAE7" w:rsidR="00093A5E" w:rsidRPr="006A64EE" w:rsidRDefault="009C2544" w:rsidP="00AB4192">
      <w:pPr>
        <w:pStyle w:val="bullet"/>
        <w:numPr>
          <w:ilvl w:val="0"/>
          <w:numId w:val="2"/>
        </w:numPr>
        <w:ind w:left="567" w:hanging="567"/>
      </w:pPr>
      <w:r w:rsidRPr="006A64EE">
        <w:t>die Behandlung erwachsener Patienten mit mäßiger bis schwerer aktiver rheumatoider Arthritis, die unzureichend auf eine vorangegangene Behandlung mit einem oder mehreren krankheitsmodifizierenden Antirheumatika (DMARDs) oder Tumornekrosefaktor (TNF)</w:t>
      </w:r>
      <w:r w:rsidR="00A777B8">
        <w:t>-</w:t>
      </w:r>
      <w:r w:rsidRPr="006A64EE">
        <w:t>Inhibitoren angesprochen oder diese nicht vertragen haben.</w:t>
      </w:r>
    </w:p>
    <w:p w14:paraId="78E677A4" w14:textId="77777777" w:rsidR="00093A5E" w:rsidRPr="006A64EE" w:rsidRDefault="00093A5E" w:rsidP="004255F8">
      <w:pPr>
        <w:widowControl/>
        <w:tabs>
          <w:tab w:val="left" w:pos="1044"/>
        </w:tabs>
      </w:pPr>
    </w:p>
    <w:p w14:paraId="6688E1E1" w14:textId="3916592A" w:rsidR="00093A5E" w:rsidRPr="006A64EE" w:rsidRDefault="00D75764" w:rsidP="004255F8">
      <w:pPr>
        <w:pStyle w:val="a3"/>
        <w:widowControl/>
      </w:pPr>
      <w:r w:rsidRPr="001879E9">
        <w:t>Avtozma</w:t>
      </w:r>
      <w:r w:rsidR="009C2544" w:rsidRPr="006A64EE">
        <w:t xml:space="preserve"> kann bei diesen Patienten als Monotherapie verabreicht werden, falls eine Methotrexat-Unverträglichkeit vorliegt oder eine Fortsetzung der Therapie mit Methotrexat unangemessen erscheint.</w:t>
      </w:r>
    </w:p>
    <w:p w14:paraId="2C4E66EE" w14:textId="77777777" w:rsidR="00093A5E" w:rsidRPr="006A64EE" w:rsidRDefault="00093A5E" w:rsidP="004255F8">
      <w:pPr>
        <w:pStyle w:val="a3"/>
        <w:widowControl/>
      </w:pPr>
    </w:p>
    <w:p w14:paraId="7323F18A" w14:textId="0028E318" w:rsidR="00093A5E" w:rsidRPr="006A64EE" w:rsidRDefault="00D75764" w:rsidP="004255F8">
      <w:pPr>
        <w:pStyle w:val="a3"/>
        <w:widowControl/>
      </w:pPr>
      <w:r w:rsidRPr="001879E9">
        <w:lastRenderedPageBreak/>
        <w:t>Avtozma</w:t>
      </w:r>
      <w:r w:rsidR="009C2544" w:rsidRPr="006A64EE">
        <w:t xml:space="preserve"> vermindert in Kombination mit Methotrexat das Fortschreiten der radiologisch nachweisbaren strukturellen Gelenkschädigungen und verbessert die körperliche Funktionsfähigkeit.</w:t>
      </w:r>
    </w:p>
    <w:p w14:paraId="44F63664" w14:textId="77777777" w:rsidR="00093A5E" w:rsidRPr="006A64EE" w:rsidRDefault="00093A5E" w:rsidP="004255F8">
      <w:pPr>
        <w:pStyle w:val="a3"/>
        <w:widowControl/>
      </w:pPr>
    </w:p>
    <w:p w14:paraId="04980F3C" w14:textId="3B22AEB5" w:rsidR="00391F95" w:rsidRPr="00B436C7" w:rsidRDefault="00391F95" w:rsidP="004255F8">
      <w:pPr>
        <w:pStyle w:val="a3"/>
        <w:widowControl/>
        <w:rPr>
          <w:rFonts w:eastAsia="맑은 고딕"/>
          <w:u w:val="single"/>
          <w:lang w:eastAsia="ko-KR"/>
        </w:rPr>
      </w:pPr>
      <w:r w:rsidRPr="00B436C7">
        <w:rPr>
          <w:rFonts w:eastAsia="맑은 고딕"/>
          <w:u w:val="single"/>
          <w:lang w:eastAsia="ko-KR"/>
        </w:rPr>
        <w:t>Coronavirus-2019-Erkrankung (COVID-19)</w:t>
      </w:r>
    </w:p>
    <w:p w14:paraId="49FD347C" w14:textId="5C74B6DC" w:rsidR="00093A5E" w:rsidRPr="006A64EE" w:rsidRDefault="00D75764" w:rsidP="004255F8">
      <w:pPr>
        <w:pStyle w:val="a3"/>
        <w:widowControl/>
      </w:pPr>
      <w:r w:rsidRPr="001879E9">
        <w:t>Avtozma</w:t>
      </w:r>
      <w:r w:rsidR="009C2544" w:rsidRPr="006A64EE">
        <w:t xml:space="preserve"> ist zur Behandlung einer Coronavirus-2019-Erkrankung (COVID-19) bei Erwachsenen angezeigt, die systemische Corticosteroide erhalten und eine zusätzliche Sauerstofftherapie oder maschinelle Beatmung benötigen.</w:t>
      </w:r>
    </w:p>
    <w:p w14:paraId="11D350CB" w14:textId="77777777" w:rsidR="00093A5E" w:rsidRPr="006A64EE" w:rsidRDefault="00093A5E" w:rsidP="004255F8">
      <w:pPr>
        <w:pStyle w:val="a3"/>
        <w:widowControl/>
      </w:pPr>
    </w:p>
    <w:p w14:paraId="4029A565" w14:textId="3A558C65" w:rsidR="00391F95" w:rsidRPr="00B436C7" w:rsidRDefault="00391F95" w:rsidP="009B76B2">
      <w:pPr>
        <w:pStyle w:val="a3"/>
        <w:widowControl/>
        <w:rPr>
          <w:rFonts w:eastAsia="맑은 고딕"/>
          <w:u w:val="single"/>
          <w:lang w:eastAsia="ko-KR"/>
        </w:rPr>
      </w:pPr>
      <w:r w:rsidRPr="00B436C7">
        <w:rPr>
          <w:rFonts w:eastAsia="맑은 고딕"/>
          <w:u w:val="single"/>
          <w:lang w:eastAsia="ko-KR"/>
        </w:rPr>
        <w:t>Systemische juvenile idiopathische Arthritis (sJIA)</w:t>
      </w:r>
    </w:p>
    <w:p w14:paraId="0B3F7DAC" w14:textId="2967668B" w:rsidR="00093A5E" w:rsidRPr="006A64EE" w:rsidRDefault="00D75764" w:rsidP="009B76B2">
      <w:pPr>
        <w:pStyle w:val="a3"/>
        <w:widowControl/>
      </w:pPr>
      <w:r w:rsidRPr="001879E9">
        <w:t>Avtozma</w:t>
      </w:r>
      <w:r w:rsidR="009C2544" w:rsidRPr="006A64EE">
        <w:t xml:space="preserve"> ist zur Behandlung von Patienten im Alter von 2</w:t>
      </w:r>
      <w:r w:rsidR="00B41844">
        <w:t> </w:t>
      </w:r>
      <w:r w:rsidR="009C2544" w:rsidRPr="006A64EE">
        <w:t>Jahren und älter mit aktiver systemischer juveniler idiopathischer Arthritis (sJIA) angezeigt, die nur unzureichend auf eine vorangegangene</w:t>
      </w:r>
      <w:r w:rsidR="009B76B2" w:rsidRPr="006A64EE">
        <w:t xml:space="preserve"> </w:t>
      </w:r>
      <w:r w:rsidR="009C2544" w:rsidRPr="006A64EE">
        <w:t xml:space="preserve">Behandlung mit nicht steroidalen Antiphlogistika (NSAs) und systemischen Corticosteroiden angesprochen haben. </w:t>
      </w:r>
      <w:r w:rsidRPr="001879E9">
        <w:t>Avtozma</w:t>
      </w:r>
      <w:r w:rsidR="009C2544" w:rsidRPr="006A64EE">
        <w:t xml:space="preserve"> kann (falls eine Methotrexat-Unverträglichkeit vorliegt oder eine Therapie mit Methotrexat unangemessen erscheint) als Monotherapie oder in Kombination mit Methotrexat verabreicht werden.</w:t>
      </w:r>
    </w:p>
    <w:p w14:paraId="1DC4DC4B" w14:textId="77777777" w:rsidR="00093A5E" w:rsidRPr="006A64EE" w:rsidRDefault="00093A5E" w:rsidP="004255F8">
      <w:pPr>
        <w:pStyle w:val="a3"/>
        <w:widowControl/>
      </w:pPr>
    </w:p>
    <w:p w14:paraId="4F94C51C" w14:textId="32D9BA32" w:rsidR="00391F95" w:rsidRPr="00B436C7" w:rsidRDefault="00391F95" w:rsidP="004255F8">
      <w:pPr>
        <w:pStyle w:val="a3"/>
        <w:widowControl/>
        <w:rPr>
          <w:rFonts w:eastAsia="맑은 고딕"/>
          <w:u w:val="single"/>
          <w:lang w:eastAsia="ko-KR"/>
        </w:rPr>
      </w:pPr>
      <w:r w:rsidRPr="00B436C7">
        <w:rPr>
          <w:rFonts w:eastAsia="맑은 고딕"/>
          <w:u w:val="single"/>
          <w:lang w:eastAsia="ko-KR"/>
        </w:rPr>
        <w:t>Polyartikuläre juvenile idiopathische Arthritis (pJIA)</w:t>
      </w:r>
    </w:p>
    <w:p w14:paraId="5E098DC0" w14:textId="7ED5A481" w:rsidR="00093A5E" w:rsidRPr="006A64EE" w:rsidRDefault="00D75764" w:rsidP="004255F8">
      <w:pPr>
        <w:pStyle w:val="a3"/>
        <w:widowControl/>
      </w:pPr>
      <w:r w:rsidRPr="001879E9">
        <w:t>Avtozma</w:t>
      </w:r>
      <w:r w:rsidR="009C2544" w:rsidRPr="006A64EE">
        <w:t xml:space="preserve"> ist in Kombination mit Methotrexat (MTX) zur Behandlung von Patienten im Alter von 2</w:t>
      </w:r>
      <w:r w:rsidR="00B41844">
        <w:t> </w:t>
      </w:r>
      <w:r w:rsidR="009C2544" w:rsidRPr="006A64EE">
        <w:t xml:space="preserve">Jahren und älter mit polyartikulärer juveniler idiopathischer Arthritis (pJIA; Rheumafaktor-positiv oder -negativ und erweiterte Oligoarthritis) angezeigt, die nur unzureichend auf eine vorangegangene Behandlung mit MTX angesprochen haben. </w:t>
      </w:r>
      <w:r w:rsidRPr="001879E9">
        <w:t>Avtozma</w:t>
      </w:r>
      <w:r w:rsidR="009C2544" w:rsidRPr="006A64EE">
        <w:t xml:space="preserve"> kann als Monotherapie verabreicht werden, falls eine Methotrexat-Unverträglichkeit vorliegt oder eine Fortsetzung der Therapie mit Methotrexat unangemessen erscheint.</w:t>
      </w:r>
    </w:p>
    <w:p w14:paraId="2F8FF85C" w14:textId="77777777" w:rsidR="00093A5E" w:rsidRPr="006A64EE" w:rsidRDefault="00093A5E" w:rsidP="004255F8">
      <w:pPr>
        <w:pStyle w:val="a3"/>
        <w:widowControl/>
      </w:pPr>
    </w:p>
    <w:p w14:paraId="59354010" w14:textId="20E84CF4" w:rsidR="00391F95" w:rsidRPr="00B436C7" w:rsidRDefault="00391F95" w:rsidP="004255F8">
      <w:pPr>
        <w:pStyle w:val="a3"/>
        <w:widowControl/>
        <w:rPr>
          <w:rFonts w:eastAsia="맑은 고딕"/>
          <w:u w:val="single"/>
          <w:lang w:eastAsia="ko-KR"/>
        </w:rPr>
      </w:pPr>
      <w:r w:rsidRPr="00B436C7">
        <w:rPr>
          <w:rFonts w:eastAsia="맑은 고딕"/>
          <w:u w:val="single"/>
          <w:lang w:eastAsia="ko-KR"/>
        </w:rPr>
        <w:t xml:space="preserve">Zytokin-Freisetzungssyndrom (CRS, </w:t>
      </w:r>
      <w:r w:rsidRPr="00B436C7">
        <w:rPr>
          <w:rFonts w:eastAsia="맑은 고딕"/>
          <w:i/>
          <w:iCs/>
          <w:u w:val="single"/>
          <w:lang w:eastAsia="ko-KR"/>
        </w:rPr>
        <w:t>Cytokine Release Syndrome</w:t>
      </w:r>
      <w:r w:rsidRPr="00B436C7">
        <w:rPr>
          <w:rFonts w:eastAsia="맑은 고딕"/>
          <w:u w:val="single"/>
          <w:lang w:eastAsia="ko-KR"/>
        </w:rPr>
        <w:t>)</w:t>
      </w:r>
    </w:p>
    <w:p w14:paraId="10F57814" w14:textId="6514EA0A" w:rsidR="00093A5E" w:rsidRPr="006A64EE" w:rsidRDefault="00D75764" w:rsidP="004255F8">
      <w:pPr>
        <w:pStyle w:val="a3"/>
        <w:widowControl/>
      </w:pPr>
      <w:r w:rsidRPr="001879E9">
        <w:t>Avtozma</w:t>
      </w:r>
      <w:r w:rsidR="009C2544" w:rsidRPr="006A64EE">
        <w:t xml:space="preserve"> ist zur Behandlung des chimären Antigenrezeptor (CAR) T-Zell-induzierten schweren oder lebensbedrohlichen Zytokin-Freisetzungs-Syndroms (Cytokine Release Syndrome, CRS) bei Erwachsenen, Kindern ab 2</w:t>
      </w:r>
      <w:r w:rsidR="00B41844">
        <w:t> </w:t>
      </w:r>
      <w:r w:rsidR="009C2544" w:rsidRPr="006A64EE">
        <w:t>Jahren und Jugendlichen angezeigt.</w:t>
      </w:r>
    </w:p>
    <w:p w14:paraId="340C4486" w14:textId="77777777" w:rsidR="00093A5E" w:rsidRPr="006A64EE" w:rsidRDefault="00093A5E" w:rsidP="004255F8">
      <w:pPr>
        <w:pStyle w:val="a3"/>
        <w:widowControl/>
      </w:pPr>
    </w:p>
    <w:p w14:paraId="7F972D20" w14:textId="77777777" w:rsidR="00093A5E" w:rsidRPr="006A64EE" w:rsidRDefault="0059713A" w:rsidP="004255F8">
      <w:pPr>
        <w:pStyle w:val="2"/>
      </w:pPr>
      <w:r w:rsidRPr="006A64EE">
        <w:t>4.2</w:t>
      </w:r>
      <w:r w:rsidRPr="006A64EE">
        <w:tab/>
        <w:t>Dosierung und Art der Anwendung</w:t>
      </w:r>
    </w:p>
    <w:p w14:paraId="65AB207B" w14:textId="77777777" w:rsidR="00093A5E" w:rsidRPr="006A64EE" w:rsidRDefault="00093A5E" w:rsidP="00D0274D"/>
    <w:p w14:paraId="259FDD8B" w14:textId="77777777" w:rsidR="00093A5E" w:rsidRPr="006A64EE" w:rsidRDefault="009C2544" w:rsidP="004255F8">
      <w:pPr>
        <w:pStyle w:val="a3"/>
        <w:widowControl/>
      </w:pPr>
      <w:r w:rsidRPr="006A64EE">
        <w:t>Die Behandlung sollte durch einen in der Diagnose und Behandlung der RA, COVID-19, sJIA, pJIA oder CRS erfahrenen Arzt begonnen werden.</w:t>
      </w:r>
    </w:p>
    <w:p w14:paraId="07727831" w14:textId="77777777" w:rsidR="00D75764" w:rsidRPr="00A61732" w:rsidRDefault="00D75764" w:rsidP="00D75764"/>
    <w:p w14:paraId="4D799408" w14:textId="77777777" w:rsidR="00D75764" w:rsidRPr="00A61732" w:rsidRDefault="00D75764" w:rsidP="00D75764">
      <w:r>
        <w:t xml:space="preserve">Bei Infusionsbeuteln aus Polyvinylchlorid </w:t>
      </w:r>
      <w:r w:rsidRPr="00885A70">
        <w:t>(</w:t>
      </w:r>
      <w:r w:rsidRPr="00B320E1">
        <w:t>PVC</w:t>
      </w:r>
      <w:r w:rsidRPr="00885A70">
        <w:t>)</w:t>
      </w:r>
      <w:r>
        <w:t xml:space="preserve"> wird empfohlen, Infusionsbeutel zu verwenden, die frei von Diethylhexylphthalat (DEHP) sind.</w:t>
      </w:r>
    </w:p>
    <w:p w14:paraId="0102D1E0" w14:textId="77777777" w:rsidR="00093A5E" w:rsidRPr="006A64EE" w:rsidRDefault="00093A5E" w:rsidP="004255F8">
      <w:pPr>
        <w:pStyle w:val="a3"/>
        <w:widowControl/>
      </w:pPr>
    </w:p>
    <w:p w14:paraId="27666C12" w14:textId="6E63612A" w:rsidR="00093A5E" w:rsidRPr="006A64EE" w:rsidRDefault="009C2544" w:rsidP="004255F8">
      <w:pPr>
        <w:pStyle w:val="a3"/>
        <w:widowControl/>
      </w:pPr>
      <w:r w:rsidRPr="006A64EE">
        <w:t xml:space="preserve">Alle Patienten, die mit </w:t>
      </w:r>
      <w:r w:rsidR="00D75764" w:rsidRPr="001879E9">
        <w:t>Avtozma</w:t>
      </w:r>
      <w:r w:rsidRPr="006A64EE">
        <w:t xml:space="preserve"> behandelt werden, sollten den Patientenpass erhalten.</w:t>
      </w:r>
    </w:p>
    <w:p w14:paraId="1F4CA65D" w14:textId="77777777" w:rsidR="00093A5E" w:rsidRPr="006A64EE" w:rsidRDefault="00093A5E" w:rsidP="004255F8">
      <w:pPr>
        <w:pStyle w:val="a3"/>
        <w:widowControl/>
      </w:pPr>
    </w:p>
    <w:p w14:paraId="6D8CB3AC" w14:textId="77777777" w:rsidR="00093A5E" w:rsidRPr="006A64EE" w:rsidRDefault="009C2544" w:rsidP="004255F8">
      <w:pPr>
        <w:pStyle w:val="a3"/>
        <w:widowControl/>
      </w:pPr>
      <w:r w:rsidRPr="006A64EE">
        <w:rPr>
          <w:u w:val="single"/>
        </w:rPr>
        <w:t>Dosierung</w:t>
      </w:r>
    </w:p>
    <w:p w14:paraId="2604FB84" w14:textId="77777777" w:rsidR="00093A5E" w:rsidRPr="006A64EE" w:rsidRDefault="009C2544" w:rsidP="004255F8">
      <w:pPr>
        <w:pStyle w:val="a3"/>
        <w:widowControl/>
        <w:jc w:val="both"/>
        <w:rPr>
          <w:u w:val="single"/>
        </w:rPr>
      </w:pPr>
      <w:r w:rsidRPr="006A64EE">
        <w:rPr>
          <w:u w:val="single"/>
        </w:rPr>
        <w:t>Patienten mit RA</w:t>
      </w:r>
    </w:p>
    <w:p w14:paraId="08DD7FBD" w14:textId="77777777" w:rsidR="009B76B2" w:rsidRPr="006A64EE" w:rsidRDefault="009B76B2" w:rsidP="004255F8">
      <w:pPr>
        <w:pStyle w:val="a3"/>
        <w:widowControl/>
        <w:jc w:val="both"/>
      </w:pPr>
    </w:p>
    <w:p w14:paraId="19467761" w14:textId="759378CC" w:rsidR="00093A5E" w:rsidRPr="006A64EE" w:rsidRDefault="009C2544" w:rsidP="004255F8">
      <w:pPr>
        <w:pStyle w:val="a3"/>
        <w:widowControl/>
      </w:pPr>
      <w:r w:rsidRPr="006A64EE">
        <w:t>Die empfohlene Dosierung beträgt 8</w:t>
      </w:r>
      <w:r w:rsidR="00590F06">
        <w:t> </w:t>
      </w:r>
      <w:r w:rsidRPr="006A64EE">
        <w:t>mg/kg Körpergewicht, einmal alle vier Wochen.</w:t>
      </w:r>
    </w:p>
    <w:p w14:paraId="3F5E81AE" w14:textId="77777777" w:rsidR="00093A5E" w:rsidRPr="006A64EE" w:rsidRDefault="00093A5E" w:rsidP="004255F8">
      <w:pPr>
        <w:pStyle w:val="a3"/>
        <w:widowControl/>
      </w:pPr>
    </w:p>
    <w:p w14:paraId="0480AA05" w14:textId="112F4F2F" w:rsidR="00093A5E" w:rsidRPr="006A64EE" w:rsidRDefault="009C2544" w:rsidP="004255F8">
      <w:pPr>
        <w:pStyle w:val="a3"/>
        <w:widowControl/>
      </w:pPr>
      <w:r w:rsidRPr="006A64EE">
        <w:t>Für Personen mit einem Körpergewicht von mehr als 100</w:t>
      </w:r>
      <w:r w:rsidR="00590F06">
        <w:t> </w:t>
      </w:r>
      <w:r w:rsidRPr="006A64EE">
        <w:t>kg werden Dosierungen über 800</w:t>
      </w:r>
      <w:r w:rsidR="00590F06">
        <w:t> </w:t>
      </w:r>
      <w:r w:rsidRPr="006A64EE">
        <w:t>mg pro Infusion nicht empfohlen (siehe Abschnitt</w:t>
      </w:r>
      <w:r w:rsidR="00590F06">
        <w:t> </w:t>
      </w:r>
      <w:r w:rsidRPr="006A64EE">
        <w:t>5.2).</w:t>
      </w:r>
    </w:p>
    <w:p w14:paraId="57073524" w14:textId="77777777" w:rsidR="00093A5E" w:rsidRPr="006A64EE" w:rsidRDefault="00093A5E" w:rsidP="004255F8">
      <w:pPr>
        <w:pStyle w:val="a3"/>
        <w:widowControl/>
      </w:pPr>
    </w:p>
    <w:p w14:paraId="5A3DEFFA" w14:textId="3A6D51BE" w:rsidR="00093A5E" w:rsidRPr="006A64EE" w:rsidRDefault="009C2544" w:rsidP="004255F8">
      <w:pPr>
        <w:pStyle w:val="a3"/>
        <w:widowControl/>
      </w:pPr>
      <w:r w:rsidRPr="006A64EE">
        <w:t>Dosierungen von mehr als 1,2</w:t>
      </w:r>
      <w:r w:rsidR="00590F06">
        <w:t> </w:t>
      </w:r>
      <w:r w:rsidRPr="006A64EE">
        <w:t>g wurden in klinischen Prüfungen nicht untersucht (siehe Abschnitt</w:t>
      </w:r>
      <w:r w:rsidR="00590F06">
        <w:t> </w:t>
      </w:r>
      <w:r w:rsidRPr="006A64EE">
        <w:t>5.1).</w:t>
      </w:r>
    </w:p>
    <w:p w14:paraId="152C3DAA" w14:textId="77777777" w:rsidR="00093A5E" w:rsidRPr="006A64EE" w:rsidRDefault="00093A5E" w:rsidP="004255F8">
      <w:pPr>
        <w:pStyle w:val="a3"/>
        <w:widowControl/>
      </w:pPr>
    </w:p>
    <w:p w14:paraId="6D58D99F" w14:textId="0EE5B8AC" w:rsidR="00093A5E" w:rsidRPr="006A64EE" w:rsidRDefault="009C2544" w:rsidP="001211F2">
      <w:pPr>
        <w:pStyle w:val="a3"/>
        <w:keepNext/>
        <w:widowControl/>
        <w:jc w:val="both"/>
      </w:pPr>
      <w:r w:rsidRPr="006A64EE">
        <w:rPr>
          <w:u w:val="single"/>
        </w:rPr>
        <w:lastRenderedPageBreak/>
        <w:t>Dosisanpassungen aufgrund von Laborwertveränderungen (siehe Abschnitt</w:t>
      </w:r>
      <w:r w:rsidR="00590F06">
        <w:rPr>
          <w:u w:val="single"/>
        </w:rPr>
        <w:t> </w:t>
      </w:r>
      <w:r w:rsidRPr="006A64EE">
        <w:rPr>
          <w:u w:val="single"/>
        </w:rPr>
        <w:t>4.4).</w:t>
      </w:r>
    </w:p>
    <w:p w14:paraId="04A1AC44" w14:textId="77777777" w:rsidR="00093A5E" w:rsidRPr="006A64EE" w:rsidRDefault="00093A5E" w:rsidP="001211F2">
      <w:pPr>
        <w:pStyle w:val="a3"/>
        <w:keepNext/>
        <w:widowControl/>
      </w:pPr>
    </w:p>
    <w:p w14:paraId="29E6A4DE" w14:textId="77777777" w:rsidR="00093A5E" w:rsidRPr="006A64EE" w:rsidRDefault="0059713A" w:rsidP="001211F2">
      <w:pPr>
        <w:pStyle w:val="bullet"/>
        <w:keepNext/>
      </w:pPr>
      <w:r w:rsidRPr="006A64EE">
        <w:rPr>
          <w:rFonts w:ascii="Symbol" w:hAnsi="Symbol"/>
        </w:rPr>
        <w:t></w:t>
      </w:r>
      <w:r w:rsidRPr="006A64EE">
        <w:rPr>
          <w:rFonts w:ascii="Symbol" w:hAnsi="Symbol"/>
        </w:rPr>
        <w:tab/>
      </w:r>
      <w:r w:rsidRPr="006A64EE">
        <w:t>Leberenzymabweichungen</w:t>
      </w:r>
    </w:p>
    <w:p w14:paraId="19787EB5" w14:textId="495A57C9" w:rsidR="002D5756" w:rsidRPr="006A64EE" w:rsidRDefault="002D5756" w:rsidP="001211F2">
      <w:pPr>
        <w:pStyle w:val="a3"/>
        <w:keepNext/>
        <w:widowControl/>
      </w:pPr>
    </w:p>
    <w:tbl>
      <w:tblPr>
        <w:tblW w:w="88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54"/>
        <w:gridCol w:w="6919"/>
      </w:tblGrid>
      <w:tr w:rsidR="00593482" w:rsidRPr="006A64EE" w14:paraId="34D79889" w14:textId="77777777" w:rsidTr="00087CDA">
        <w:trPr>
          <w:cantSplit/>
        </w:trPr>
        <w:tc>
          <w:tcPr>
            <w:tcW w:w="1954" w:type="dxa"/>
          </w:tcPr>
          <w:p w14:paraId="3EA1A764" w14:textId="77777777" w:rsidR="002D5756" w:rsidRPr="006A64EE" w:rsidRDefault="009C2544" w:rsidP="00B436C7">
            <w:pPr>
              <w:pStyle w:val="TableParagraph"/>
              <w:keepNext/>
              <w:widowControl/>
              <w:suppressAutoHyphens/>
              <w:jc w:val="center"/>
              <w:rPr>
                <w:b/>
              </w:rPr>
            </w:pPr>
            <w:r w:rsidRPr="006A64EE">
              <w:rPr>
                <w:b/>
              </w:rPr>
              <w:t>Laborwert</w:t>
            </w:r>
          </w:p>
        </w:tc>
        <w:tc>
          <w:tcPr>
            <w:tcW w:w="6919" w:type="dxa"/>
          </w:tcPr>
          <w:p w14:paraId="5A9F85A9" w14:textId="77777777" w:rsidR="002D5756" w:rsidRPr="006A64EE" w:rsidRDefault="009C2544" w:rsidP="00B320E1">
            <w:pPr>
              <w:pStyle w:val="TableParagraph"/>
              <w:keepNext/>
              <w:widowControl/>
              <w:suppressAutoHyphens/>
              <w:jc w:val="center"/>
              <w:rPr>
                <w:b/>
              </w:rPr>
            </w:pPr>
            <w:r w:rsidRPr="006A64EE">
              <w:rPr>
                <w:b/>
              </w:rPr>
              <w:t>Vorgehen</w:t>
            </w:r>
          </w:p>
        </w:tc>
      </w:tr>
      <w:tr w:rsidR="00593482" w:rsidRPr="006A64EE" w14:paraId="56907E95" w14:textId="77777777" w:rsidTr="00087CDA">
        <w:trPr>
          <w:cantSplit/>
        </w:trPr>
        <w:tc>
          <w:tcPr>
            <w:tcW w:w="1954" w:type="dxa"/>
          </w:tcPr>
          <w:p w14:paraId="4E038813" w14:textId="77777777" w:rsidR="002D5756" w:rsidRPr="006A64EE" w:rsidRDefault="009C2544" w:rsidP="00B320E1">
            <w:pPr>
              <w:pStyle w:val="TableParagraph"/>
              <w:keepNext/>
              <w:widowControl/>
              <w:suppressAutoHyphens/>
            </w:pPr>
            <w:r w:rsidRPr="006A64EE">
              <w:t>&gt; 1 bis 3 x oberer Normalwert (ULN = Upper Limit of Normal)</w:t>
            </w:r>
          </w:p>
        </w:tc>
        <w:tc>
          <w:tcPr>
            <w:tcW w:w="6919" w:type="dxa"/>
          </w:tcPr>
          <w:p w14:paraId="5C9BF5CA" w14:textId="77777777" w:rsidR="00093A5E" w:rsidRPr="006A64EE" w:rsidRDefault="009C2544" w:rsidP="00B320E1">
            <w:pPr>
              <w:pStyle w:val="TableParagraph"/>
              <w:keepNext/>
              <w:widowControl/>
              <w:suppressAutoHyphens/>
            </w:pPr>
            <w:r w:rsidRPr="006A64EE">
              <w:t>Dosisanpassung des gleichzeitig verabreichten MTX, falls angemessen</w:t>
            </w:r>
          </w:p>
          <w:p w14:paraId="66311CEC" w14:textId="77777777" w:rsidR="00093A5E" w:rsidRPr="006A64EE" w:rsidRDefault="00093A5E" w:rsidP="00B320E1">
            <w:pPr>
              <w:pStyle w:val="TableParagraph"/>
              <w:keepNext/>
              <w:widowControl/>
              <w:suppressAutoHyphens/>
            </w:pPr>
          </w:p>
          <w:p w14:paraId="0A9DBB71" w14:textId="1DEA5F60" w:rsidR="00093A5E" w:rsidRPr="006A64EE" w:rsidRDefault="009C2544" w:rsidP="00B320E1">
            <w:pPr>
              <w:pStyle w:val="TableParagraph"/>
              <w:keepNext/>
              <w:widowControl/>
              <w:suppressAutoHyphens/>
            </w:pPr>
            <w:r w:rsidRPr="006A64EE">
              <w:t xml:space="preserve">Im Falle anhaltender Erhöhungen innerhalb dieser Bandbreite, Dosisreduktion von </w:t>
            </w:r>
            <w:r w:rsidR="00885A70" w:rsidRPr="001879E9">
              <w:t>Avtozma</w:t>
            </w:r>
            <w:r w:rsidRPr="006A64EE">
              <w:t xml:space="preserve"> auf 4</w:t>
            </w:r>
            <w:r w:rsidR="00590F06">
              <w:t> </w:t>
            </w:r>
            <w:r w:rsidRPr="006A64EE">
              <w:t xml:space="preserve">mg/kg oder Unterbrechung von </w:t>
            </w:r>
            <w:r w:rsidR="00885A70" w:rsidRPr="001879E9">
              <w:t>Avtozma</w:t>
            </w:r>
            <w:r w:rsidRPr="006A64EE">
              <w:t>, bis sich die Alaninaminotransferase (ALAT) oder die Aspartataminotransferase (ASAT) normalisiert haben</w:t>
            </w:r>
          </w:p>
          <w:p w14:paraId="602C9BCA" w14:textId="77777777" w:rsidR="00093A5E" w:rsidRPr="006A64EE" w:rsidRDefault="00093A5E" w:rsidP="00B320E1">
            <w:pPr>
              <w:pStyle w:val="TableParagraph"/>
              <w:keepNext/>
              <w:widowControl/>
              <w:suppressAutoHyphens/>
            </w:pPr>
          </w:p>
          <w:p w14:paraId="1413CC47" w14:textId="61178F73" w:rsidR="002D5756" w:rsidRPr="006A64EE" w:rsidRDefault="009C2544" w:rsidP="00B320E1">
            <w:pPr>
              <w:pStyle w:val="TableParagraph"/>
              <w:keepNext/>
              <w:widowControl/>
              <w:suppressAutoHyphens/>
            </w:pPr>
            <w:r w:rsidRPr="006A64EE">
              <w:t>Neubeginn mit 4</w:t>
            </w:r>
            <w:r w:rsidR="00590F06">
              <w:t> </w:t>
            </w:r>
            <w:r w:rsidRPr="006A64EE">
              <w:t>mg/kg oder 8</w:t>
            </w:r>
            <w:r w:rsidR="00590F06">
              <w:t> </w:t>
            </w:r>
            <w:r w:rsidRPr="006A64EE">
              <w:t>mg/kg, wie klinisch angemessen</w:t>
            </w:r>
          </w:p>
        </w:tc>
      </w:tr>
      <w:tr w:rsidR="00593482" w:rsidRPr="006A64EE" w14:paraId="2A1CB5ED" w14:textId="77777777" w:rsidTr="00087CDA">
        <w:trPr>
          <w:cantSplit/>
        </w:trPr>
        <w:tc>
          <w:tcPr>
            <w:tcW w:w="1954" w:type="dxa"/>
          </w:tcPr>
          <w:p w14:paraId="575C748A" w14:textId="5FE719B3" w:rsidR="002D5756" w:rsidRPr="006A64EE" w:rsidRDefault="009C2544" w:rsidP="004255F8">
            <w:pPr>
              <w:pStyle w:val="TableParagraph"/>
              <w:widowControl/>
              <w:suppressAutoHyphens/>
            </w:pPr>
            <w:r w:rsidRPr="006A64EE">
              <w:t>&gt; 3 bis 5 x ULN (bestätigt durch wiederholte Untersuchung, siehe</w:t>
            </w:r>
            <w:r w:rsidR="00F640B9" w:rsidRPr="006A64EE">
              <w:t xml:space="preserve"> </w:t>
            </w:r>
            <w:r w:rsidRPr="006A64EE">
              <w:t>Abschnitt</w:t>
            </w:r>
            <w:r w:rsidR="00590F06">
              <w:t> </w:t>
            </w:r>
            <w:r w:rsidRPr="006A64EE">
              <w:t>4.4)</w:t>
            </w:r>
          </w:p>
        </w:tc>
        <w:tc>
          <w:tcPr>
            <w:tcW w:w="6919" w:type="dxa"/>
          </w:tcPr>
          <w:p w14:paraId="7AAB25E3" w14:textId="67DD0921" w:rsidR="00093A5E" w:rsidRPr="006A64EE" w:rsidRDefault="009C2544" w:rsidP="004255F8">
            <w:pPr>
              <w:pStyle w:val="TableParagraph"/>
              <w:widowControl/>
              <w:suppressAutoHyphens/>
            </w:pPr>
            <w:r w:rsidRPr="006A64EE">
              <w:t xml:space="preserve">Unterbrechung der Anwendung von </w:t>
            </w:r>
            <w:r w:rsidR="00885A70" w:rsidRPr="001879E9">
              <w:t>Avtozma</w:t>
            </w:r>
            <w:r w:rsidRPr="006A64EE">
              <w:t xml:space="preserve"> bis &lt; 3 x ULN und Befolgen der obenstehenden Empfehlungen für Werte &gt; 1 bis 3 x ULN</w:t>
            </w:r>
          </w:p>
          <w:p w14:paraId="12D97705" w14:textId="77777777" w:rsidR="00093A5E" w:rsidRPr="006A64EE" w:rsidRDefault="00093A5E" w:rsidP="004255F8">
            <w:pPr>
              <w:pStyle w:val="TableParagraph"/>
              <w:widowControl/>
              <w:suppressAutoHyphens/>
            </w:pPr>
          </w:p>
          <w:p w14:paraId="56A24422" w14:textId="25B4273C" w:rsidR="002D5756" w:rsidRPr="006A64EE" w:rsidRDefault="009C2544" w:rsidP="004255F8">
            <w:pPr>
              <w:pStyle w:val="TableParagraph"/>
              <w:widowControl/>
              <w:suppressAutoHyphens/>
            </w:pPr>
            <w:r w:rsidRPr="006A64EE">
              <w:t xml:space="preserve">Bei anhaltenden Erhöhungen von &gt; 3 x ULN, Absetzen von </w:t>
            </w:r>
            <w:r w:rsidR="00885A70" w:rsidRPr="001879E9">
              <w:t>Avtozma</w:t>
            </w:r>
          </w:p>
        </w:tc>
      </w:tr>
      <w:tr w:rsidR="002D5756" w:rsidRPr="006A64EE" w14:paraId="058F8D24" w14:textId="77777777" w:rsidTr="00087CDA">
        <w:trPr>
          <w:cantSplit/>
        </w:trPr>
        <w:tc>
          <w:tcPr>
            <w:tcW w:w="1954" w:type="dxa"/>
          </w:tcPr>
          <w:p w14:paraId="2A7C1C51" w14:textId="77777777" w:rsidR="002D5756" w:rsidRPr="006A64EE" w:rsidRDefault="009C2544" w:rsidP="004255F8">
            <w:pPr>
              <w:pStyle w:val="TableParagraph"/>
              <w:widowControl/>
              <w:suppressAutoHyphens/>
            </w:pPr>
            <w:r w:rsidRPr="006A64EE">
              <w:t>&gt; 5 x ULN</w:t>
            </w:r>
          </w:p>
        </w:tc>
        <w:tc>
          <w:tcPr>
            <w:tcW w:w="6919" w:type="dxa"/>
          </w:tcPr>
          <w:p w14:paraId="76571362" w14:textId="0B51E006" w:rsidR="002D5756" w:rsidRPr="006A64EE" w:rsidRDefault="009C2544" w:rsidP="004255F8">
            <w:pPr>
              <w:pStyle w:val="TableParagraph"/>
              <w:widowControl/>
              <w:suppressAutoHyphens/>
            </w:pPr>
            <w:r w:rsidRPr="006A64EE">
              <w:t xml:space="preserve">Absetzen von </w:t>
            </w:r>
            <w:r w:rsidR="00DF7F79" w:rsidRPr="001879E9">
              <w:t>Avtozma</w:t>
            </w:r>
          </w:p>
        </w:tc>
      </w:tr>
    </w:tbl>
    <w:p w14:paraId="3BB7B08A" w14:textId="77777777" w:rsidR="00093A5E" w:rsidRPr="006A64EE" w:rsidRDefault="00093A5E" w:rsidP="004255F8">
      <w:pPr>
        <w:widowControl/>
      </w:pPr>
    </w:p>
    <w:p w14:paraId="41EF2D7B" w14:textId="77777777" w:rsidR="00093A5E" w:rsidRPr="006A64EE" w:rsidRDefault="0059713A" w:rsidP="004255F8">
      <w:pPr>
        <w:pStyle w:val="bullet"/>
      </w:pPr>
      <w:r w:rsidRPr="006A64EE">
        <w:rPr>
          <w:rFonts w:ascii="Symbol" w:hAnsi="Symbol"/>
        </w:rPr>
        <w:t></w:t>
      </w:r>
      <w:r w:rsidRPr="006A64EE">
        <w:rPr>
          <w:rFonts w:ascii="Symbol" w:hAnsi="Symbol"/>
        </w:rPr>
        <w:tab/>
      </w:r>
      <w:r w:rsidR="007D680A" w:rsidRPr="006A64EE">
        <w:t>Niedrige absolute Anzahl neutrophiler Granulozyten (ANC = Absolute Neutrophil Count)</w:t>
      </w:r>
    </w:p>
    <w:p w14:paraId="0FB0A127" w14:textId="77777777" w:rsidR="00093A5E" w:rsidRPr="006A64EE" w:rsidRDefault="00093A5E" w:rsidP="004255F8">
      <w:pPr>
        <w:widowControl/>
        <w:tabs>
          <w:tab w:val="left" w:pos="1040"/>
        </w:tabs>
      </w:pPr>
    </w:p>
    <w:p w14:paraId="085D3BA3" w14:textId="6E2F45FF" w:rsidR="00093A5E" w:rsidRPr="006A64EE" w:rsidRDefault="009C2544" w:rsidP="004255F8">
      <w:pPr>
        <w:pStyle w:val="a3"/>
        <w:widowControl/>
      </w:pPr>
      <w:r w:rsidRPr="006A64EE">
        <w:t xml:space="preserve">Bei Patienten, die noch nicht mit </w:t>
      </w:r>
      <w:r w:rsidR="00F83C1F">
        <w:t xml:space="preserve">Tocilizumab </w:t>
      </w:r>
      <w:r w:rsidRPr="006A64EE">
        <w:t>behandelt wurden und eine absolute Neutrophilenzahl (ANC) von weniger als 2</w:t>
      </w:r>
      <w:r w:rsidR="00590F06">
        <w:t> </w:t>
      </w:r>
      <w:r w:rsidRPr="006A64EE">
        <w:t>x</w:t>
      </w:r>
      <w:r w:rsidR="00590F06">
        <w:t> </w:t>
      </w:r>
      <w:r w:rsidRPr="006A64EE">
        <w:t>10</w:t>
      </w:r>
      <w:r w:rsidRPr="006A64EE">
        <w:rPr>
          <w:vertAlign w:val="superscript"/>
        </w:rPr>
        <w:t>9</w:t>
      </w:r>
      <w:r w:rsidRPr="006A64EE">
        <w:t>/l aufweisen, wird ein Beginn der Behandlung nicht empfohlen.</w:t>
      </w:r>
    </w:p>
    <w:p w14:paraId="308D286D" w14:textId="06230401" w:rsidR="002D5756" w:rsidRPr="006A64EE" w:rsidRDefault="002D5756" w:rsidP="004255F8">
      <w:pPr>
        <w:pStyle w:val="a3"/>
        <w:widowControl/>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70"/>
        <w:gridCol w:w="7092"/>
      </w:tblGrid>
      <w:tr w:rsidR="00593482" w:rsidRPr="006A64EE" w14:paraId="33C62A46" w14:textId="77777777" w:rsidTr="0039515D">
        <w:trPr>
          <w:tblHeader/>
        </w:trPr>
        <w:tc>
          <w:tcPr>
            <w:tcW w:w="1970" w:type="dxa"/>
          </w:tcPr>
          <w:p w14:paraId="6320E240" w14:textId="269D44EB" w:rsidR="00093A5E" w:rsidRPr="00E303AE" w:rsidRDefault="009C2544" w:rsidP="004255F8">
            <w:pPr>
              <w:pStyle w:val="TableParagraph"/>
              <w:widowControl/>
              <w:suppressAutoHyphens/>
              <w:jc w:val="center"/>
              <w:rPr>
                <w:b/>
                <w:bCs/>
              </w:rPr>
            </w:pPr>
            <w:r w:rsidRPr="00E303AE">
              <w:rPr>
                <w:b/>
                <w:bCs/>
              </w:rPr>
              <w:t>Laborwert</w:t>
            </w:r>
          </w:p>
          <w:p w14:paraId="3254A54E" w14:textId="7BC58233" w:rsidR="002D5756" w:rsidRPr="00E303AE" w:rsidRDefault="009C2544" w:rsidP="004255F8">
            <w:pPr>
              <w:pStyle w:val="TableParagraph"/>
              <w:widowControl/>
              <w:suppressAutoHyphens/>
              <w:jc w:val="center"/>
              <w:rPr>
                <w:b/>
                <w:bCs/>
              </w:rPr>
            </w:pPr>
            <w:r w:rsidRPr="00E303AE">
              <w:rPr>
                <w:b/>
                <w:bCs/>
              </w:rPr>
              <w:t>(Zellen x 10</w:t>
            </w:r>
            <w:r w:rsidRPr="00E303AE">
              <w:rPr>
                <w:b/>
                <w:bCs/>
                <w:vertAlign w:val="superscript"/>
              </w:rPr>
              <w:t>9</w:t>
            </w:r>
            <w:r w:rsidRPr="00E303AE">
              <w:rPr>
                <w:b/>
                <w:bCs/>
              </w:rPr>
              <w:t>/l)</w:t>
            </w:r>
          </w:p>
        </w:tc>
        <w:tc>
          <w:tcPr>
            <w:tcW w:w="7092" w:type="dxa"/>
          </w:tcPr>
          <w:p w14:paraId="745674A7" w14:textId="77777777" w:rsidR="002D5756" w:rsidRPr="00E303AE" w:rsidRDefault="009C2544" w:rsidP="004255F8">
            <w:pPr>
              <w:pStyle w:val="TableParagraph"/>
              <w:widowControl/>
              <w:suppressAutoHyphens/>
              <w:jc w:val="center"/>
              <w:rPr>
                <w:b/>
                <w:bCs/>
              </w:rPr>
            </w:pPr>
            <w:r w:rsidRPr="00E303AE">
              <w:rPr>
                <w:b/>
                <w:bCs/>
              </w:rPr>
              <w:t>Vorgehen</w:t>
            </w:r>
          </w:p>
        </w:tc>
      </w:tr>
      <w:tr w:rsidR="00593482" w:rsidRPr="006A64EE" w14:paraId="483B3239" w14:textId="77777777" w:rsidTr="0039515D">
        <w:trPr>
          <w:cantSplit/>
        </w:trPr>
        <w:tc>
          <w:tcPr>
            <w:tcW w:w="1970" w:type="dxa"/>
          </w:tcPr>
          <w:p w14:paraId="54507FCB" w14:textId="77777777" w:rsidR="002D5756" w:rsidRPr="006A64EE" w:rsidRDefault="009C2544" w:rsidP="004255F8">
            <w:pPr>
              <w:pStyle w:val="TableParagraph"/>
              <w:widowControl/>
              <w:suppressAutoHyphens/>
            </w:pPr>
            <w:r w:rsidRPr="006A64EE">
              <w:t>ANC &gt; 1</w:t>
            </w:r>
          </w:p>
        </w:tc>
        <w:tc>
          <w:tcPr>
            <w:tcW w:w="7092" w:type="dxa"/>
          </w:tcPr>
          <w:p w14:paraId="2F4369B6" w14:textId="77777777" w:rsidR="002D5756" w:rsidRPr="006A64EE" w:rsidRDefault="009C2544" w:rsidP="004255F8">
            <w:pPr>
              <w:pStyle w:val="TableParagraph"/>
              <w:widowControl/>
              <w:suppressAutoHyphens/>
            </w:pPr>
            <w:r w:rsidRPr="006A64EE">
              <w:t>Dosis beibehalten</w:t>
            </w:r>
          </w:p>
        </w:tc>
      </w:tr>
      <w:tr w:rsidR="00593482" w:rsidRPr="006A64EE" w14:paraId="22876137" w14:textId="77777777" w:rsidTr="0039515D">
        <w:trPr>
          <w:cantSplit/>
        </w:trPr>
        <w:tc>
          <w:tcPr>
            <w:tcW w:w="1970" w:type="dxa"/>
          </w:tcPr>
          <w:p w14:paraId="22029D02" w14:textId="77777777" w:rsidR="002D5756" w:rsidRPr="006A64EE" w:rsidRDefault="009C2544" w:rsidP="004255F8">
            <w:pPr>
              <w:pStyle w:val="TableParagraph"/>
              <w:widowControl/>
              <w:suppressAutoHyphens/>
            </w:pPr>
            <w:r w:rsidRPr="006A64EE">
              <w:t>ANC 0,5 bis 1</w:t>
            </w:r>
          </w:p>
        </w:tc>
        <w:tc>
          <w:tcPr>
            <w:tcW w:w="7092" w:type="dxa"/>
          </w:tcPr>
          <w:p w14:paraId="028BAD4E" w14:textId="68B4DC5E" w:rsidR="00093A5E" w:rsidRPr="006A64EE" w:rsidRDefault="009C2544" w:rsidP="004255F8">
            <w:pPr>
              <w:pStyle w:val="TableParagraph"/>
              <w:widowControl/>
              <w:suppressAutoHyphens/>
            </w:pPr>
            <w:r w:rsidRPr="006A64EE">
              <w:t xml:space="preserve">Unterbrechung der Anwendung von </w:t>
            </w:r>
            <w:r w:rsidR="00885A70" w:rsidRPr="001879E9">
              <w:t>Avtozma</w:t>
            </w:r>
          </w:p>
          <w:p w14:paraId="43843AB7" w14:textId="77777777" w:rsidR="00093A5E" w:rsidRPr="006A64EE" w:rsidRDefault="00093A5E" w:rsidP="004255F8">
            <w:pPr>
              <w:pStyle w:val="TableParagraph"/>
              <w:widowControl/>
              <w:suppressAutoHyphens/>
            </w:pPr>
          </w:p>
          <w:p w14:paraId="0983DB79" w14:textId="28B016B3" w:rsidR="002D5756" w:rsidRPr="006A64EE" w:rsidRDefault="009C2544" w:rsidP="004255F8">
            <w:pPr>
              <w:pStyle w:val="TableParagraph"/>
              <w:widowControl/>
              <w:suppressAutoHyphens/>
            </w:pPr>
            <w:r w:rsidRPr="006A64EE">
              <w:t>Wenn die ANC auf &gt;</w:t>
            </w:r>
            <w:r w:rsidR="00D7241C">
              <w:t> </w:t>
            </w:r>
            <w:r w:rsidRPr="006A64EE">
              <w:t>1</w:t>
            </w:r>
            <w:r w:rsidR="00D7241C">
              <w:t> </w:t>
            </w:r>
            <w:r w:rsidRPr="006A64EE">
              <w:t>x</w:t>
            </w:r>
            <w:r w:rsidR="00D7241C">
              <w:t> </w:t>
            </w:r>
            <w:r w:rsidRPr="006A64EE">
              <w:t>10</w:t>
            </w:r>
            <w:r w:rsidRPr="006A64EE">
              <w:rPr>
                <w:vertAlign w:val="superscript"/>
              </w:rPr>
              <w:t>9</w:t>
            </w:r>
            <w:r w:rsidRPr="006A64EE">
              <w:t xml:space="preserve">/l ansteigt, Wiederaufnahme der Anwendung von </w:t>
            </w:r>
            <w:r w:rsidR="00885A70" w:rsidRPr="001879E9">
              <w:t>Avtozma</w:t>
            </w:r>
            <w:r w:rsidRPr="006A64EE">
              <w:t xml:space="preserve"> in einer Dosierung von 4</w:t>
            </w:r>
            <w:r w:rsidR="00D7241C">
              <w:t> </w:t>
            </w:r>
            <w:r w:rsidRPr="006A64EE">
              <w:t>mg/kg und Steigerung bis zu</w:t>
            </w:r>
            <w:r w:rsidR="00D7241C">
              <w:t xml:space="preserve"> </w:t>
            </w:r>
            <w:r w:rsidRPr="006A64EE">
              <w:t>8</w:t>
            </w:r>
            <w:r w:rsidR="00D7241C">
              <w:t> </w:t>
            </w:r>
            <w:r w:rsidRPr="006A64EE">
              <w:t>mg/kg, wie klinisch angemessen</w:t>
            </w:r>
          </w:p>
        </w:tc>
      </w:tr>
      <w:tr w:rsidR="002D5756" w:rsidRPr="006A64EE" w14:paraId="36F4710D" w14:textId="77777777" w:rsidTr="0039515D">
        <w:trPr>
          <w:cantSplit/>
        </w:trPr>
        <w:tc>
          <w:tcPr>
            <w:tcW w:w="1970" w:type="dxa"/>
          </w:tcPr>
          <w:p w14:paraId="3EA92D8F" w14:textId="77777777" w:rsidR="002D5756" w:rsidRPr="006A64EE" w:rsidRDefault="009C2544" w:rsidP="004255F8">
            <w:pPr>
              <w:pStyle w:val="TableParagraph"/>
              <w:widowControl/>
              <w:suppressAutoHyphens/>
            </w:pPr>
            <w:r w:rsidRPr="006A64EE">
              <w:t>ANC &lt; 0,5</w:t>
            </w:r>
          </w:p>
        </w:tc>
        <w:tc>
          <w:tcPr>
            <w:tcW w:w="7092" w:type="dxa"/>
          </w:tcPr>
          <w:p w14:paraId="7B4591B9" w14:textId="54F35E4C" w:rsidR="002D5756" w:rsidRPr="006A64EE" w:rsidRDefault="009C2544" w:rsidP="004255F8">
            <w:pPr>
              <w:pStyle w:val="TableParagraph"/>
              <w:widowControl/>
              <w:suppressAutoHyphens/>
            </w:pPr>
            <w:r w:rsidRPr="006A64EE">
              <w:t xml:space="preserve">Absetzen von </w:t>
            </w:r>
            <w:r w:rsidR="00885A70" w:rsidRPr="001879E9">
              <w:t>Avtozma</w:t>
            </w:r>
          </w:p>
        </w:tc>
      </w:tr>
    </w:tbl>
    <w:p w14:paraId="7DCE9E47" w14:textId="77777777" w:rsidR="00093A5E" w:rsidRPr="006A64EE" w:rsidRDefault="00093A5E" w:rsidP="004255F8">
      <w:pPr>
        <w:pStyle w:val="bullet"/>
      </w:pPr>
    </w:p>
    <w:p w14:paraId="2A25DE96"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Niedrige Thrombozytenanzahl</w:t>
      </w:r>
    </w:p>
    <w:p w14:paraId="0BBD16AA" w14:textId="7A9B129C" w:rsidR="002D5756" w:rsidRPr="006A64EE" w:rsidRDefault="002D5756" w:rsidP="004255F8">
      <w:pPr>
        <w:pStyle w:val="a3"/>
        <w:widowControl/>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71"/>
        <w:gridCol w:w="6391"/>
      </w:tblGrid>
      <w:tr w:rsidR="00593482" w:rsidRPr="006A64EE" w14:paraId="2C8BD472" w14:textId="77777777" w:rsidTr="0039515D">
        <w:trPr>
          <w:tblHeader/>
        </w:trPr>
        <w:tc>
          <w:tcPr>
            <w:tcW w:w="2671" w:type="dxa"/>
          </w:tcPr>
          <w:p w14:paraId="6408608D" w14:textId="77777777" w:rsidR="00093A5E" w:rsidRPr="00E303AE" w:rsidRDefault="009C2544" w:rsidP="004255F8">
            <w:pPr>
              <w:pStyle w:val="TableParagraph"/>
              <w:widowControl/>
              <w:suppressAutoHyphens/>
              <w:jc w:val="center"/>
              <w:rPr>
                <w:b/>
                <w:bCs/>
              </w:rPr>
            </w:pPr>
            <w:r w:rsidRPr="00E303AE">
              <w:rPr>
                <w:b/>
                <w:bCs/>
              </w:rPr>
              <w:t>Laborwert</w:t>
            </w:r>
          </w:p>
          <w:p w14:paraId="701B2A55" w14:textId="09D8FA56" w:rsidR="002D5756" w:rsidRPr="00E303AE" w:rsidRDefault="009C2544" w:rsidP="004255F8">
            <w:pPr>
              <w:pStyle w:val="TableParagraph"/>
              <w:widowControl/>
              <w:suppressAutoHyphens/>
              <w:jc w:val="center"/>
              <w:rPr>
                <w:b/>
                <w:bCs/>
              </w:rPr>
            </w:pPr>
            <w:r w:rsidRPr="00E303AE">
              <w:rPr>
                <w:b/>
                <w:bCs/>
              </w:rPr>
              <w:t>(Zellen x 10</w:t>
            </w:r>
            <w:r w:rsidRPr="00E303AE">
              <w:rPr>
                <w:b/>
                <w:bCs/>
                <w:vertAlign w:val="superscript"/>
              </w:rPr>
              <w:t>3</w:t>
            </w:r>
            <w:r w:rsidRPr="00E303AE">
              <w:rPr>
                <w:b/>
                <w:bCs/>
              </w:rPr>
              <w:t>/µl)</w:t>
            </w:r>
          </w:p>
        </w:tc>
        <w:tc>
          <w:tcPr>
            <w:tcW w:w="6391" w:type="dxa"/>
          </w:tcPr>
          <w:p w14:paraId="5D33F005" w14:textId="77777777" w:rsidR="002D5756" w:rsidRPr="00E303AE" w:rsidRDefault="009C2544" w:rsidP="004255F8">
            <w:pPr>
              <w:pStyle w:val="TableParagraph"/>
              <w:widowControl/>
              <w:suppressAutoHyphens/>
              <w:jc w:val="center"/>
              <w:rPr>
                <w:b/>
                <w:bCs/>
              </w:rPr>
            </w:pPr>
            <w:r w:rsidRPr="00E303AE">
              <w:rPr>
                <w:b/>
                <w:bCs/>
              </w:rPr>
              <w:t>Vorgehen</w:t>
            </w:r>
          </w:p>
        </w:tc>
      </w:tr>
      <w:tr w:rsidR="00593482" w:rsidRPr="006A64EE" w14:paraId="400FADFD" w14:textId="77777777" w:rsidTr="0039515D">
        <w:trPr>
          <w:cantSplit/>
        </w:trPr>
        <w:tc>
          <w:tcPr>
            <w:tcW w:w="2671" w:type="dxa"/>
          </w:tcPr>
          <w:p w14:paraId="0B61F115" w14:textId="77777777" w:rsidR="002D5756" w:rsidRPr="006A64EE" w:rsidRDefault="009C2544" w:rsidP="004255F8">
            <w:pPr>
              <w:pStyle w:val="TableParagraph"/>
              <w:widowControl/>
              <w:suppressAutoHyphens/>
            </w:pPr>
            <w:r w:rsidRPr="006A64EE">
              <w:t>50 bis 100</w:t>
            </w:r>
          </w:p>
        </w:tc>
        <w:tc>
          <w:tcPr>
            <w:tcW w:w="6391" w:type="dxa"/>
          </w:tcPr>
          <w:p w14:paraId="5AD88914" w14:textId="5CEAA58D" w:rsidR="002D5756" w:rsidRPr="006A64EE" w:rsidRDefault="009C2544" w:rsidP="004255F8">
            <w:pPr>
              <w:pStyle w:val="TableParagraph"/>
              <w:widowControl/>
              <w:suppressAutoHyphens/>
            </w:pPr>
            <w:r w:rsidRPr="006A64EE">
              <w:t xml:space="preserve">Unterbrechung der Anwendung von </w:t>
            </w:r>
            <w:r w:rsidR="00885A70" w:rsidRPr="001879E9">
              <w:t>Avtozma</w:t>
            </w:r>
            <w:r w:rsidR="00885A70" w:rsidRPr="006A64EE" w:rsidDel="00885A70">
              <w:t xml:space="preserve"> </w:t>
            </w:r>
            <w:r w:rsidRPr="006A64EE">
              <w:t>Wenn die Thrombozytenanzahl auf &gt;</w:t>
            </w:r>
            <w:r w:rsidR="00D7241C">
              <w:t> </w:t>
            </w:r>
            <w:r w:rsidRPr="006A64EE">
              <w:t>100</w:t>
            </w:r>
            <w:r w:rsidR="00D7241C">
              <w:t> </w:t>
            </w:r>
            <w:r w:rsidRPr="006A64EE">
              <w:t>x</w:t>
            </w:r>
            <w:r w:rsidR="00D7241C">
              <w:t> </w:t>
            </w:r>
            <w:r w:rsidRPr="006A64EE">
              <w:t>10</w:t>
            </w:r>
            <w:r w:rsidRPr="006A64EE">
              <w:rPr>
                <w:vertAlign w:val="superscript"/>
              </w:rPr>
              <w:t>3</w:t>
            </w:r>
            <w:r w:rsidRPr="006A64EE">
              <w:t xml:space="preserve">/µl ansteigt, Wiederaufnahme der Anwendung von </w:t>
            </w:r>
            <w:r w:rsidR="00885A70" w:rsidRPr="001879E9">
              <w:t>Avtozma</w:t>
            </w:r>
            <w:r w:rsidRPr="006A64EE">
              <w:t xml:space="preserve"> in einer Dosierung von 4</w:t>
            </w:r>
            <w:r w:rsidR="00D7241C">
              <w:t> </w:t>
            </w:r>
            <w:r w:rsidRPr="006A64EE">
              <w:t>mg/kg und Steigerung bis zu 8</w:t>
            </w:r>
            <w:r w:rsidR="00D7241C">
              <w:t> </w:t>
            </w:r>
            <w:r w:rsidRPr="006A64EE">
              <w:t>mg/kg, wie klinisch angemessen</w:t>
            </w:r>
          </w:p>
        </w:tc>
      </w:tr>
      <w:tr w:rsidR="002D5756" w:rsidRPr="006A64EE" w14:paraId="1973D51E" w14:textId="77777777" w:rsidTr="0039515D">
        <w:trPr>
          <w:cantSplit/>
        </w:trPr>
        <w:tc>
          <w:tcPr>
            <w:tcW w:w="2671" w:type="dxa"/>
          </w:tcPr>
          <w:p w14:paraId="3492A810" w14:textId="77777777" w:rsidR="002D5756" w:rsidRPr="006A64EE" w:rsidRDefault="009C2544" w:rsidP="004255F8">
            <w:pPr>
              <w:pStyle w:val="TableParagraph"/>
              <w:widowControl/>
              <w:suppressAutoHyphens/>
            </w:pPr>
            <w:r w:rsidRPr="006A64EE">
              <w:t>&lt; 50</w:t>
            </w:r>
          </w:p>
        </w:tc>
        <w:tc>
          <w:tcPr>
            <w:tcW w:w="6391" w:type="dxa"/>
          </w:tcPr>
          <w:p w14:paraId="79464FE4" w14:textId="18F13A26" w:rsidR="002D5756" w:rsidRPr="006A64EE" w:rsidRDefault="009C2544" w:rsidP="004255F8">
            <w:pPr>
              <w:pStyle w:val="TableParagraph"/>
              <w:widowControl/>
              <w:suppressAutoHyphens/>
            </w:pPr>
            <w:r w:rsidRPr="006A64EE">
              <w:t xml:space="preserve">Absetzen von </w:t>
            </w:r>
            <w:r w:rsidR="00885A70" w:rsidRPr="001879E9">
              <w:t>Avtozma</w:t>
            </w:r>
          </w:p>
        </w:tc>
      </w:tr>
    </w:tbl>
    <w:p w14:paraId="0DD821B3" w14:textId="77777777" w:rsidR="00093A5E" w:rsidRPr="006A64EE" w:rsidRDefault="00093A5E" w:rsidP="004255F8">
      <w:pPr>
        <w:pStyle w:val="a3"/>
        <w:widowControl/>
        <w:rPr>
          <w:u w:val="single"/>
        </w:rPr>
      </w:pPr>
    </w:p>
    <w:p w14:paraId="657CF160" w14:textId="77777777" w:rsidR="00093A5E" w:rsidRPr="006A64EE" w:rsidRDefault="009C2544" w:rsidP="004255F8">
      <w:pPr>
        <w:pStyle w:val="a3"/>
        <w:widowControl/>
      </w:pPr>
      <w:r w:rsidRPr="006A64EE">
        <w:rPr>
          <w:u w:val="single"/>
        </w:rPr>
        <w:t>Patienten mit COVID-19</w:t>
      </w:r>
    </w:p>
    <w:p w14:paraId="401A082E" w14:textId="1F7020E9" w:rsidR="00093A5E" w:rsidRPr="006A64EE" w:rsidRDefault="009C2544" w:rsidP="004255F8">
      <w:pPr>
        <w:pStyle w:val="a3"/>
        <w:widowControl/>
      </w:pPr>
      <w:r w:rsidRPr="006A64EE">
        <w:t>Die empfohlene Dosierung für die Behandlung von COVID-19 ist eine einzelne 60-minütige intravenöse Infusion von 8</w:t>
      </w:r>
      <w:r w:rsidR="002870CF">
        <w:t> </w:t>
      </w:r>
      <w:r w:rsidRPr="006A64EE">
        <w:t>mg/kg bei Patienten, die systemische Corticosteroide erhalten und eine zusätzliche Sauerstofftherapie oder maschinelle Beatmung benötigen, siehe Abschnitt</w:t>
      </w:r>
      <w:r w:rsidR="00D7241C">
        <w:t> </w:t>
      </w:r>
      <w:r w:rsidRPr="006A64EE">
        <w:t xml:space="preserve">5.1. Wenn sich die klinischen Anzeichen oder Symptome nach der ersten Dosis verschlechtern oder nicht verbessern, kann eine weitere Infusion von </w:t>
      </w:r>
      <w:r w:rsidR="00885A70" w:rsidRPr="001879E9">
        <w:t>Avtozma</w:t>
      </w:r>
      <w:r w:rsidRPr="006A64EE">
        <w:t xml:space="preserve"> 8</w:t>
      </w:r>
      <w:r w:rsidR="00D7241C">
        <w:t> </w:t>
      </w:r>
      <w:r w:rsidRPr="006A64EE">
        <w:t>mg/kg verabreicht werden. Der Abstand zwischen den beiden Infusionen sollte mindestens 8</w:t>
      </w:r>
      <w:r w:rsidR="00D7241C">
        <w:t> </w:t>
      </w:r>
      <w:r w:rsidRPr="006A64EE">
        <w:t>Stunden betragen.</w:t>
      </w:r>
    </w:p>
    <w:p w14:paraId="41B8A6B3" w14:textId="77777777" w:rsidR="00093A5E" w:rsidRPr="006A64EE" w:rsidRDefault="00093A5E" w:rsidP="004255F8">
      <w:pPr>
        <w:pStyle w:val="a3"/>
        <w:widowControl/>
      </w:pPr>
    </w:p>
    <w:p w14:paraId="23853E5D" w14:textId="3ACA4D6A" w:rsidR="00093A5E" w:rsidRPr="006A64EE" w:rsidRDefault="009C2544" w:rsidP="004255F8">
      <w:pPr>
        <w:pStyle w:val="a3"/>
        <w:widowControl/>
      </w:pPr>
      <w:r w:rsidRPr="006A64EE">
        <w:t>Bei Personen mit einem Körpergewicht von mehr als 100</w:t>
      </w:r>
      <w:r w:rsidR="00D7241C">
        <w:t> </w:t>
      </w:r>
      <w:r w:rsidRPr="006A64EE">
        <w:t>kg werden Dosen von mehr als 800</w:t>
      </w:r>
      <w:r w:rsidR="00D7241C">
        <w:t> </w:t>
      </w:r>
      <w:r w:rsidRPr="006A64EE">
        <w:t>mg pro Infusion nicht empfohlen (siehe Abschnitt</w:t>
      </w:r>
      <w:r w:rsidR="00D7241C">
        <w:t> </w:t>
      </w:r>
      <w:r w:rsidRPr="006A64EE">
        <w:t>5.2).</w:t>
      </w:r>
    </w:p>
    <w:p w14:paraId="49B644C2" w14:textId="77777777" w:rsidR="00093A5E" w:rsidRPr="006A64EE" w:rsidRDefault="00093A5E" w:rsidP="004255F8">
      <w:pPr>
        <w:pStyle w:val="a3"/>
        <w:widowControl/>
        <w:rPr>
          <w:u w:val="single"/>
        </w:rPr>
      </w:pPr>
    </w:p>
    <w:p w14:paraId="6140375A" w14:textId="1F7B5124" w:rsidR="00093A5E" w:rsidRPr="00E303AE" w:rsidRDefault="009C2544" w:rsidP="004255F8">
      <w:pPr>
        <w:pStyle w:val="a3"/>
        <w:widowControl/>
        <w:rPr>
          <w:u w:val="single"/>
        </w:rPr>
      </w:pPr>
      <w:r w:rsidRPr="00E303AE">
        <w:rPr>
          <w:u w:val="single"/>
        </w:rPr>
        <w:t xml:space="preserve">Die Verabreichung von </w:t>
      </w:r>
      <w:r w:rsidR="00885A70" w:rsidRPr="00E303AE">
        <w:rPr>
          <w:u w:val="single"/>
        </w:rPr>
        <w:t>Avtozma</w:t>
      </w:r>
      <w:r w:rsidRPr="00E303AE">
        <w:rPr>
          <w:u w:val="single"/>
        </w:rPr>
        <w:t xml:space="preserve"> wird bei Patienten mit COVID-19, die eine der folgenden Laborwertveränderungen aufweisen, nicht empfohlen:</w:t>
      </w:r>
    </w:p>
    <w:p w14:paraId="19AF5A16" w14:textId="7078B18C" w:rsidR="002D5756" w:rsidRPr="006A64EE" w:rsidRDefault="002D5756" w:rsidP="004255F8">
      <w:pPr>
        <w:pStyle w:val="a3"/>
        <w:widowControl/>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911"/>
        <w:gridCol w:w="3021"/>
        <w:gridCol w:w="2891"/>
      </w:tblGrid>
      <w:tr w:rsidR="00593482" w:rsidRPr="006A64EE" w14:paraId="37CBB8A9" w14:textId="77777777" w:rsidTr="004E14B0">
        <w:trPr>
          <w:tblHeader/>
        </w:trPr>
        <w:tc>
          <w:tcPr>
            <w:tcW w:w="2911" w:type="dxa"/>
          </w:tcPr>
          <w:p w14:paraId="771FBF67" w14:textId="77777777" w:rsidR="002D5756" w:rsidRPr="00B436C7" w:rsidRDefault="009C2544" w:rsidP="004255F8">
            <w:pPr>
              <w:pStyle w:val="TableParagraph"/>
              <w:widowControl/>
              <w:suppressAutoHyphens/>
              <w:rPr>
                <w:b/>
                <w:bCs/>
                <w:u w:val="single"/>
              </w:rPr>
            </w:pPr>
            <w:r w:rsidRPr="00B436C7">
              <w:rPr>
                <w:b/>
                <w:bCs/>
                <w:u w:val="single"/>
              </w:rPr>
              <w:t>Art des Labortests</w:t>
            </w:r>
          </w:p>
        </w:tc>
        <w:tc>
          <w:tcPr>
            <w:tcW w:w="3021" w:type="dxa"/>
          </w:tcPr>
          <w:p w14:paraId="17FEC237" w14:textId="77777777" w:rsidR="002D5756" w:rsidRPr="00B436C7" w:rsidRDefault="009C2544" w:rsidP="004255F8">
            <w:pPr>
              <w:pStyle w:val="TableParagraph"/>
              <w:widowControl/>
              <w:suppressAutoHyphens/>
              <w:jc w:val="center"/>
              <w:rPr>
                <w:b/>
                <w:bCs/>
                <w:u w:val="single"/>
              </w:rPr>
            </w:pPr>
            <w:r w:rsidRPr="00B436C7">
              <w:rPr>
                <w:b/>
                <w:bCs/>
                <w:u w:val="single"/>
              </w:rPr>
              <w:t>Laborwert</w:t>
            </w:r>
          </w:p>
        </w:tc>
        <w:tc>
          <w:tcPr>
            <w:tcW w:w="2891" w:type="dxa"/>
          </w:tcPr>
          <w:p w14:paraId="236D6BC2" w14:textId="77777777" w:rsidR="002D5756" w:rsidRPr="00B436C7" w:rsidRDefault="009C2544" w:rsidP="004255F8">
            <w:pPr>
              <w:pStyle w:val="TableParagraph"/>
              <w:widowControl/>
              <w:suppressAutoHyphens/>
              <w:jc w:val="center"/>
              <w:rPr>
                <w:b/>
                <w:bCs/>
                <w:u w:val="single"/>
              </w:rPr>
            </w:pPr>
            <w:r w:rsidRPr="00B436C7">
              <w:rPr>
                <w:b/>
                <w:bCs/>
                <w:u w:val="single"/>
              </w:rPr>
              <w:t>Maßnahme</w:t>
            </w:r>
          </w:p>
        </w:tc>
      </w:tr>
      <w:tr w:rsidR="00593482" w:rsidRPr="006A64EE" w14:paraId="64B167F2" w14:textId="77777777" w:rsidTr="004E14B0">
        <w:trPr>
          <w:cantSplit/>
        </w:trPr>
        <w:tc>
          <w:tcPr>
            <w:tcW w:w="2911" w:type="dxa"/>
          </w:tcPr>
          <w:p w14:paraId="1D77F44D" w14:textId="77777777" w:rsidR="002D5756" w:rsidRPr="006A64EE" w:rsidRDefault="009C2544" w:rsidP="004255F8">
            <w:pPr>
              <w:pStyle w:val="TableParagraph"/>
              <w:widowControl/>
              <w:suppressAutoHyphens/>
            </w:pPr>
            <w:r w:rsidRPr="006A64EE">
              <w:t>Leberenzyme</w:t>
            </w:r>
          </w:p>
        </w:tc>
        <w:tc>
          <w:tcPr>
            <w:tcW w:w="3021" w:type="dxa"/>
          </w:tcPr>
          <w:p w14:paraId="1DE3FDB3" w14:textId="77777777" w:rsidR="002D5756" w:rsidRPr="006A64EE" w:rsidRDefault="009C2544" w:rsidP="004255F8">
            <w:pPr>
              <w:pStyle w:val="TableParagraph"/>
              <w:widowControl/>
              <w:suppressAutoHyphens/>
            </w:pPr>
            <w:r w:rsidRPr="006A64EE">
              <w:t>≥ 10 x ULN</w:t>
            </w:r>
          </w:p>
        </w:tc>
        <w:tc>
          <w:tcPr>
            <w:tcW w:w="2891" w:type="dxa"/>
            <w:vMerge w:val="restart"/>
          </w:tcPr>
          <w:p w14:paraId="4E8879B1" w14:textId="38EFE07F" w:rsidR="002D5756" w:rsidRPr="00E303AE" w:rsidRDefault="009C2544" w:rsidP="004255F8">
            <w:pPr>
              <w:pStyle w:val="TableParagraph"/>
              <w:widowControl/>
              <w:suppressAutoHyphens/>
              <w:rPr>
                <w:u w:val="single"/>
              </w:rPr>
            </w:pPr>
            <w:r w:rsidRPr="00E303AE">
              <w:rPr>
                <w:u w:val="single"/>
              </w:rPr>
              <w:t xml:space="preserve">Die Verabreichung von </w:t>
            </w:r>
            <w:r w:rsidR="00885A70" w:rsidRPr="00E303AE">
              <w:rPr>
                <w:u w:val="single"/>
              </w:rPr>
              <w:t>Avtozma</w:t>
            </w:r>
            <w:r w:rsidRPr="00E303AE">
              <w:rPr>
                <w:u w:val="single"/>
              </w:rPr>
              <w:t xml:space="preserve"> wird nicht empfohlen</w:t>
            </w:r>
            <w:r w:rsidR="00D7241C">
              <w:rPr>
                <w:u w:val="single"/>
              </w:rPr>
              <w:t>.</w:t>
            </w:r>
          </w:p>
        </w:tc>
      </w:tr>
      <w:tr w:rsidR="00593482" w:rsidRPr="006A64EE" w14:paraId="448F76B5" w14:textId="77777777" w:rsidTr="004E14B0">
        <w:trPr>
          <w:cantSplit/>
        </w:trPr>
        <w:tc>
          <w:tcPr>
            <w:tcW w:w="2911" w:type="dxa"/>
          </w:tcPr>
          <w:p w14:paraId="04ED974B" w14:textId="77777777" w:rsidR="002D5756" w:rsidRPr="006A64EE" w:rsidRDefault="009C2544" w:rsidP="004255F8">
            <w:pPr>
              <w:pStyle w:val="TableParagraph"/>
              <w:widowControl/>
              <w:suppressAutoHyphens/>
            </w:pPr>
            <w:r w:rsidRPr="006A64EE">
              <w:t>Absolute Neutrophilenzahl</w:t>
            </w:r>
          </w:p>
        </w:tc>
        <w:tc>
          <w:tcPr>
            <w:tcW w:w="3021" w:type="dxa"/>
          </w:tcPr>
          <w:p w14:paraId="29D1CCB3" w14:textId="77777777" w:rsidR="002D5756" w:rsidRPr="006A64EE" w:rsidRDefault="009C2544" w:rsidP="004255F8">
            <w:pPr>
              <w:pStyle w:val="TableParagraph"/>
              <w:widowControl/>
              <w:suppressAutoHyphens/>
            </w:pPr>
            <w:r w:rsidRPr="006A64EE">
              <w:t>&lt; 1 x 10</w:t>
            </w:r>
            <w:r w:rsidRPr="006A64EE">
              <w:rPr>
                <w:vertAlign w:val="superscript"/>
              </w:rPr>
              <w:t>9</w:t>
            </w:r>
            <w:r w:rsidRPr="006A64EE">
              <w:t>/l</w:t>
            </w:r>
          </w:p>
        </w:tc>
        <w:tc>
          <w:tcPr>
            <w:tcW w:w="2891" w:type="dxa"/>
            <w:vMerge/>
          </w:tcPr>
          <w:p w14:paraId="70A6A832" w14:textId="77777777" w:rsidR="002D5756" w:rsidRPr="006A64EE" w:rsidRDefault="002D5756" w:rsidP="004255F8">
            <w:pPr>
              <w:widowControl/>
              <w:suppressAutoHyphens/>
              <w:rPr>
                <w:szCs w:val="2"/>
              </w:rPr>
            </w:pPr>
          </w:p>
        </w:tc>
      </w:tr>
      <w:tr w:rsidR="002D5756" w:rsidRPr="006A64EE" w14:paraId="40999FBA" w14:textId="77777777" w:rsidTr="004E14B0">
        <w:trPr>
          <w:cantSplit/>
        </w:trPr>
        <w:tc>
          <w:tcPr>
            <w:tcW w:w="2911" w:type="dxa"/>
          </w:tcPr>
          <w:p w14:paraId="4EC9D100" w14:textId="77777777" w:rsidR="002D5756" w:rsidRPr="006A64EE" w:rsidRDefault="009C2544" w:rsidP="004255F8">
            <w:pPr>
              <w:pStyle w:val="TableParagraph"/>
              <w:widowControl/>
              <w:suppressAutoHyphens/>
            </w:pPr>
            <w:r w:rsidRPr="006A64EE">
              <w:t>Thrombozytenzahl</w:t>
            </w:r>
          </w:p>
        </w:tc>
        <w:tc>
          <w:tcPr>
            <w:tcW w:w="3021" w:type="dxa"/>
          </w:tcPr>
          <w:p w14:paraId="2F63BF46" w14:textId="77777777" w:rsidR="002D5756" w:rsidRPr="006A64EE" w:rsidRDefault="009C2544" w:rsidP="004255F8">
            <w:pPr>
              <w:pStyle w:val="TableParagraph"/>
              <w:widowControl/>
              <w:suppressAutoHyphens/>
            </w:pPr>
            <w:r w:rsidRPr="006A64EE">
              <w:t>&lt; 50 x 10</w:t>
            </w:r>
            <w:r w:rsidRPr="006A64EE">
              <w:rPr>
                <w:vertAlign w:val="superscript"/>
              </w:rPr>
              <w:t>3</w:t>
            </w:r>
            <w:r w:rsidRPr="006A64EE">
              <w:t>/μl</w:t>
            </w:r>
          </w:p>
        </w:tc>
        <w:tc>
          <w:tcPr>
            <w:tcW w:w="2891" w:type="dxa"/>
            <w:vMerge/>
          </w:tcPr>
          <w:p w14:paraId="20ADA4D7" w14:textId="77777777" w:rsidR="002D5756" w:rsidRPr="006A64EE" w:rsidRDefault="002D5756" w:rsidP="004255F8">
            <w:pPr>
              <w:widowControl/>
              <w:suppressAutoHyphens/>
              <w:rPr>
                <w:szCs w:val="2"/>
              </w:rPr>
            </w:pPr>
          </w:p>
        </w:tc>
      </w:tr>
    </w:tbl>
    <w:p w14:paraId="77985C52" w14:textId="77777777" w:rsidR="00093A5E" w:rsidRPr="006A64EE" w:rsidRDefault="00093A5E" w:rsidP="004255F8">
      <w:pPr>
        <w:pStyle w:val="a3"/>
        <w:widowControl/>
        <w:rPr>
          <w:u w:val="single"/>
        </w:rPr>
      </w:pPr>
    </w:p>
    <w:p w14:paraId="3A7146D9" w14:textId="77777777" w:rsidR="00093A5E" w:rsidRPr="006A64EE" w:rsidRDefault="009C2544" w:rsidP="004255F8">
      <w:pPr>
        <w:pStyle w:val="a3"/>
        <w:widowControl/>
      </w:pPr>
      <w:r w:rsidRPr="006A64EE">
        <w:rPr>
          <w:u w:val="single"/>
        </w:rPr>
        <w:t>Zytokin-Freisetzungs-Syndrom (CRS) (Erwachsene, Kinder und Jugendliche)</w:t>
      </w:r>
    </w:p>
    <w:p w14:paraId="26B7B838" w14:textId="77777777" w:rsidR="00093A5E" w:rsidRPr="006A64EE" w:rsidRDefault="00093A5E" w:rsidP="004255F8">
      <w:pPr>
        <w:pStyle w:val="a3"/>
        <w:widowControl/>
      </w:pPr>
    </w:p>
    <w:p w14:paraId="657C4FC5" w14:textId="324CE5EC" w:rsidR="00093A5E" w:rsidRPr="006A64EE" w:rsidRDefault="009C2544" w:rsidP="004255F8">
      <w:pPr>
        <w:pStyle w:val="a3"/>
        <w:widowControl/>
      </w:pPr>
      <w:r w:rsidRPr="006A64EE">
        <w:t>Die empfohlene Dosierung zur Behandlung eines CRS bei Patienten mit einem Mindestgewicht von 30</w:t>
      </w:r>
      <w:r w:rsidR="005A5C8E">
        <w:t> </w:t>
      </w:r>
      <w:r w:rsidRPr="006A64EE">
        <w:t>kg beträgt 8</w:t>
      </w:r>
      <w:r w:rsidR="005A5C8E">
        <w:t> </w:t>
      </w:r>
      <w:r w:rsidRPr="006A64EE">
        <w:t>mg/kg und bei Patienten, die weniger als 30</w:t>
      </w:r>
      <w:r w:rsidR="005A5C8E">
        <w:t> </w:t>
      </w:r>
      <w:r w:rsidRPr="006A64EE">
        <w:t>kg wiegen, 12</w:t>
      </w:r>
      <w:r w:rsidR="005A5C8E">
        <w:t> </w:t>
      </w:r>
      <w:r w:rsidRPr="006A64EE">
        <w:t xml:space="preserve">mg/kg, verabreicht als 60-minütige intravenöse Infusion. </w:t>
      </w:r>
      <w:r w:rsidR="0093710E" w:rsidRPr="001879E9">
        <w:t>Avtozma</w:t>
      </w:r>
      <w:r w:rsidRPr="006A64EE">
        <w:t xml:space="preserve"> kann als Monotherapie oder in Kombination mit Corticosteroiden verabreicht werden.</w:t>
      </w:r>
    </w:p>
    <w:p w14:paraId="6D0D139A" w14:textId="77777777" w:rsidR="00093A5E" w:rsidRPr="006A64EE" w:rsidRDefault="00093A5E" w:rsidP="004255F8">
      <w:pPr>
        <w:pStyle w:val="a3"/>
        <w:widowControl/>
      </w:pPr>
    </w:p>
    <w:p w14:paraId="43AD66EE" w14:textId="3FF45B96" w:rsidR="00093A5E" w:rsidRPr="006A64EE" w:rsidRDefault="009C2544" w:rsidP="004255F8">
      <w:pPr>
        <w:pStyle w:val="a3"/>
        <w:widowControl/>
      </w:pPr>
      <w:r w:rsidRPr="006A64EE">
        <w:t xml:space="preserve">Wenn nach der ersten Dosis keine klinische Verbesserung der Anzeichen und Symptome des CRS eintritt, können bis zu 3 weitere Dosen </w:t>
      </w:r>
      <w:r w:rsidR="0093710E" w:rsidRPr="001879E9">
        <w:t>Avtozma</w:t>
      </w:r>
      <w:r w:rsidRPr="006A64EE">
        <w:t xml:space="preserve"> verabreicht werden. Das Intervall zwischen den aufeinanderfolgenden Dosen muss mindestens 8</w:t>
      </w:r>
      <w:r w:rsidR="005A5C8E">
        <w:t> </w:t>
      </w:r>
      <w:r w:rsidRPr="006A64EE">
        <w:t>Stunden betragen. Dosen von mehr als 800</w:t>
      </w:r>
      <w:r w:rsidR="005A5C8E">
        <w:t> </w:t>
      </w:r>
      <w:r w:rsidRPr="006A64EE">
        <w:t>mg pro Infusion werden bei Patienten mit CRS nicht empfohlen.</w:t>
      </w:r>
    </w:p>
    <w:p w14:paraId="6E529A9D" w14:textId="77777777" w:rsidR="00093A5E" w:rsidRPr="006A64EE" w:rsidRDefault="00093A5E" w:rsidP="004255F8">
      <w:pPr>
        <w:pStyle w:val="a3"/>
        <w:widowControl/>
      </w:pPr>
    </w:p>
    <w:p w14:paraId="63A72E44" w14:textId="77777777" w:rsidR="00093A5E" w:rsidRPr="006A64EE" w:rsidRDefault="009C2544" w:rsidP="004255F8">
      <w:pPr>
        <w:pStyle w:val="a3"/>
        <w:widowControl/>
      </w:pPr>
      <w:r w:rsidRPr="006A64EE">
        <w:t>Patienten mit schwerem oder lebensbedrohlichem CRS haben aufgrund der zugrundeliegenden malignen Erkrankung, vorangegangener chemotherapiebedingter Lymphdepletion oder des CRS häufig Zytopenien oder erhöhte ALAT oder ASAT.</w:t>
      </w:r>
    </w:p>
    <w:p w14:paraId="1FA6E58F" w14:textId="77777777" w:rsidR="00093A5E" w:rsidRPr="006A64EE" w:rsidRDefault="00093A5E" w:rsidP="004255F8">
      <w:pPr>
        <w:pStyle w:val="a3"/>
        <w:widowControl/>
      </w:pPr>
    </w:p>
    <w:p w14:paraId="767DAEFF" w14:textId="77777777" w:rsidR="00093A5E" w:rsidRPr="006A64EE" w:rsidRDefault="009C2544" w:rsidP="004255F8">
      <w:pPr>
        <w:pStyle w:val="a3"/>
        <w:widowControl/>
        <w:jc w:val="both"/>
      </w:pPr>
      <w:r w:rsidRPr="006A64EE">
        <w:rPr>
          <w:u w:val="single"/>
        </w:rPr>
        <w:t>Spezielle Patientengruppen</w:t>
      </w:r>
    </w:p>
    <w:p w14:paraId="4EAF5A7B" w14:textId="77777777" w:rsidR="00093A5E" w:rsidRPr="006A64EE" w:rsidRDefault="00093A5E" w:rsidP="004255F8">
      <w:pPr>
        <w:pStyle w:val="a3"/>
        <w:widowControl/>
      </w:pPr>
    </w:p>
    <w:p w14:paraId="7EF72535" w14:textId="77777777" w:rsidR="00093A5E" w:rsidRPr="006A64EE" w:rsidRDefault="009C2544" w:rsidP="004255F8">
      <w:pPr>
        <w:widowControl/>
        <w:rPr>
          <w:i/>
        </w:rPr>
      </w:pPr>
      <w:r w:rsidRPr="006A64EE">
        <w:rPr>
          <w:i/>
        </w:rPr>
        <w:t xml:space="preserve">Kinder und Jugendliche </w:t>
      </w:r>
    </w:p>
    <w:p w14:paraId="6A5B65E7" w14:textId="77777777" w:rsidR="00093A5E" w:rsidRPr="006A64EE" w:rsidRDefault="00093A5E" w:rsidP="004255F8">
      <w:pPr>
        <w:widowControl/>
        <w:rPr>
          <w:i/>
        </w:rPr>
      </w:pPr>
    </w:p>
    <w:p w14:paraId="5E3A2294" w14:textId="77777777" w:rsidR="00093A5E" w:rsidRPr="006A64EE" w:rsidRDefault="009C2544" w:rsidP="004255F8">
      <w:pPr>
        <w:widowControl/>
        <w:rPr>
          <w:i/>
        </w:rPr>
      </w:pPr>
      <w:r w:rsidRPr="006A64EE">
        <w:rPr>
          <w:i/>
        </w:rPr>
        <w:t>Patienten mit sJIA</w:t>
      </w:r>
    </w:p>
    <w:p w14:paraId="774D631A" w14:textId="77777777" w:rsidR="00093A5E" w:rsidRPr="006A64EE" w:rsidRDefault="00093A5E" w:rsidP="004255F8">
      <w:pPr>
        <w:widowControl/>
        <w:rPr>
          <w:i/>
        </w:rPr>
      </w:pPr>
    </w:p>
    <w:p w14:paraId="19CAE48A" w14:textId="4F91A53A" w:rsidR="00093A5E" w:rsidRPr="006A64EE" w:rsidRDefault="009C2544" w:rsidP="004255F8">
      <w:pPr>
        <w:pStyle w:val="a3"/>
        <w:widowControl/>
      </w:pPr>
      <w:r w:rsidRPr="006A64EE">
        <w:t>Die empfohlene Dosierung bei Patienten im Alter von 2</w:t>
      </w:r>
      <w:r w:rsidR="004965A7">
        <w:t> </w:t>
      </w:r>
      <w:r w:rsidRPr="006A64EE">
        <w:t>Jahren und älter mit einem Mindestgewicht von 30 kg beträgt 8</w:t>
      </w:r>
      <w:r w:rsidR="002870CF">
        <w:t> </w:t>
      </w:r>
      <w:r w:rsidRPr="006A64EE">
        <w:t>mg/kg einmal alle 2</w:t>
      </w:r>
      <w:r w:rsidR="004965A7">
        <w:t> </w:t>
      </w:r>
      <w:r w:rsidRPr="006A64EE">
        <w:t>Wochen und bei Patienten, die weniger als 30</w:t>
      </w:r>
      <w:r w:rsidR="004965A7">
        <w:t> </w:t>
      </w:r>
      <w:r w:rsidRPr="006A64EE">
        <w:t>kg wiegen, 12</w:t>
      </w:r>
      <w:r w:rsidR="004965A7">
        <w:t> </w:t>
      </w:r>
      <w:r w:rsidRPr="006A64EE">
        <w:t>mg/kg einmal alle 2</w:t>
      </w:r>
      <w:r w:rsidR="004965A7">
        <w:t> </w:t>
      </w:r>
      <w:r w:rsidRPr="006A64EE">
        <w:t>Wochen. Die Dosierung sollte bei jeder Verabreichung anhand des Körpergewichts des Patienten berechnet werden. Eine Änderung der Dosierung sollte nur bei einer dauerhaften Veränderung des Gewichts des Patienten erfolgen.</w:t>
      </w:r>
    </w:p>
    <w:p w14:paraId="17AE3F80" w14:textId="77777777" w:rsidR="00093A5E" w:rsidRPr="006A64EE" w:rsidRDefault="00093A5E" w:rsidP="004255F8">
      <w:pPr>
        <w:pStyle w:val="a3"/>
        <w:widowControl/>
      </w:pPr>
    </w:p>
    <w:p w14:paraId="72E369EC" w14:textId="217C8C52" w:rsidR="00093A5E" w:rsidRPr="006A64EE" w:rsidRDefault="009C2544" w:rsidP="004255F8">
      <w:pPr>
        <w:pStyle w:val="a3"/>
        <w:widowControl/>
      </w:pPr>
      <w:r w:rsidRPr="006A64EE">
        <w:t xml:space="preserve">Die Sicherheit und Wirksamkeit von intravenös verabreichtem </w:t>
      </w:r>
      <w:r w:rsidR="0093710E" w:rsidRPr="001879E9">
        <w:t>Avtozma</w:t>
      </w:r>
      <w:r w:rsidRPr="006A64EE">
        <w:t xml:space="preserve"> bei Kindern im Alter von unter 2</w:t>
      </w:r>
      <w:r w:rsidR="004965A7">
        <w:t> </w:t>
      </w:r>
      <w:r w:rsidRPr="006A64EE">
        <w:t>Jahren ist nicht erwiesen.</w:t>
      </w:r>
    </w:p>
    <w:p w14:paraId="1963826A" w14:textId="77777777" w:rsidR="00093A5E" w:rsidRPr="006A64EE" w:rsidRDefault="00093A5E" w:rsidP="004255F8">
      <w:pPr>
        <w:pStyle w:val="a3"/>
        <w:widowControl/>
      </w:pPr>
    </w:p>
    <w:p w14:paraId="19C4A614" w14:textId="77777777" w:rsidR="00093A5E" w:rsidRPr="006A64EE" w:rsidRDefault="009C2544" w:rsidP="004255F8">
      <w:pPr>
        <w:pStyle w:val="a3"/>
        <w:widowControl/>
      </w:pPr>
      <w:r w:rsidRPr="006A64EE">
        <w:t>Bei abnormalen Laborwerten wird bei Patienten mit sJIA eine Unterbrechung der Behandlung mit Tocilizumab empfohlen (siehe untenstehende Tabellen). Falls angemessen, sollte die Dosierung von gleichzeitig verabreichtem Methotrexat und/oder anderen Arzneimitteln modifiziert oder die Gabe abgebrochen und die Anwendung von Tocilizumab unterbrochen werden, bis die klinische Situation evaluiert wurde. Da es eine Vielzahl an Begleiterkrankungen gibt, die die Laborwerte bei Patienten mit sJIA beeinflussen können, sollte die Entscheidung, Tocilizumab aufgrund abnormaler Laborwerte abzusetzen, auf der Grundlage einer medizinischen Beurteilung jedes einzelnen Patienten erfolgen.</w:t>
      </w:r>
    </w:p>
    <w:p w14:paraId="282418DF" w14:textId="77777777" w:rsidR="00093A5E" w:rsidRPr="006A64EE" w:rsidRDefault="00093A5E" w:rsidP="004255F8">
      <w:pPr>
        <w:pStyle w:val="a3"/>
        <w:widowControl/>
      </w:pPr>
    </w:p>
    <w:p w14:paraId="66F898D8" w14:textId="77777777" w:rsidR="00093A5E" w:rsidRPr="006A64EE" w:rsidRDefault="0059713A" w:rsidP="001211F2">
      <w:pPr>
        <w:pStyle w:val="bullet"/>
        <w:keepNext/>
      </w:pPr>
      <w:r w:rsidRPr="006A64EE">
        <w:rPr>
          <w:rFonts w:ascii="Symbol" w:hAnsi="Symbol"/>
        </w:rPr>
        <w:lastRenderedPageBreak/>
        <w:t></w:t>
      </w:r>
      <w:r w:rsidRPr="006A64EE">
        <w:rPr>
          <w:rFonts w:ascii="Symbol" w:hAnsi="Symbol"/>
        </w:rPr>
        <w:tab/>
      </w:r>
      <w:r w:rsidRPr="006A64EE">
        <w:t>Leberenzymabweichungen</w:t>
      </w:r>
    </w:p>
    <w:p w14:paraId="4911732E" w14:textId="0BDAE10E" w:rsidR="002D5756" w:rsidRPr="006A64EE" w:rsidRDefault="002D5756" w:rsidP="001211F2">
      <w:pPr>
        <w:pStyle w:val="a3"/>
        <w:keepNext/>
        <w:widowControl/>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843"/>
        <w:gridCol w:w="7004"/>
      </w:tblGrid>
      <w:tr w:rsidR="00593482" w:rsidRPr="006A64EE" w14:paraId="1D5B221F" w14:textId="77777777" w:rsidTr="001151E6">
        <w:trPr>
          <w:cantSplit/>
          <w:tblHeader/>
        </w:trPr>
        <w:tc>
          <w:tcPr>
            <w:tcW w:w="1843" w:type="dxa"/>
          </w:tcPr>
          <w:p w14:paraId="3D7C92E3" w14:textId="77777777" w:rsidR="002D5756" w:rsidRPr="00E303AE" w:rsidRDefault="009C2544" w:rsidP="00B320E1">
            <w:pPr>
              <w:pStyle w:val="TableParagraph"/>
              <w:keepNext/>
              <w:widowControl/>
              <w:suppressAutoHyphens/>
              <w:jc w:val="center"/>
              <w:rPr>
                <w:b/>
                <w:bCs/>
              </w:rPr>
            </w:pPr>
            <w:r w:rsidRPr="00E303AE">
              <w:rPr>
                <w:b/>
                <w:bCs/>
              </w:rPr>
              <w:t>Laborwert</w:t>
            </w:r>
          </w:p>
        </w:tc>
        <w:tc>
          <w:tcPr>
            <w:tcW w:w="7004" w:type="dxa"/>
          </w:tcPr>
          <w:p w14:paraId="6F1BECDF" w14:textId="77777777" w:rsidR="002D5756" w:rsidRPr="00E303AE" w:rsidRDefault="009C2544" w:rsidP="00B320E1">
            <w:pPr>
              <w:pStyle w:val="TableParagraph"/>
              <w:keepNext/>
              <w:widowControl/>
              <w:suppressAutoHyphens/>
              <w:jc w:val="center"/>
              <w:rPr>
                <w:b/>
                <w:bCs/>
              </w:rPr>
            </w:pPr>
            <w:r w:rsidRPr="00E303AE">
              <w:rPr>
                <w:b/>
                <w:bCs/>
              </w:rPr>
              <w:t>Vorgehen</w:t>
            </w:r>
          </w:p>
        </w:tc>
      </w:tr>
      <w:tr w:rsidR="00593482" w:rsidRPr="006A64EE" w14:paraId="2F798EB6" w14:textId="77777777" w:rsidTr="001151E6">
        <w:trPr>
          <w:cantSplit/>
        </w:trPr>
        <w:tc>
          <w:tcPr>
            <w:tcW w:w="1843" w:type="dxa"/>
          </w:tcPr>
          <w:p w14:paraId="4C38C385" w14:textId="77777777" w:rsidR="002D5756" w:rsidRPr="006A64EE" w:rsidRDefault="009C2544" w:rsidP="00B320E1">
            <w:pPr>
              <w:pStyle w:val="TableParagraph"/>
              <w:keepNext/>
              <w:widowControl/>
              <w:suppressAutoHyphens/>
            </w:pPr>
            <w:r w:rsidRPr="006A64EE">
              <w:t>&gt; 1 bis 3 x ULN</w:t>
            </w:r>
          </w:p>
        </w:tc>
        <w:tc>
          <w:tcPr>
            <w:tcW w:w="7004" w:type="dxa"/>
          </w:tcPr>
          <w:p w14:paraId="7F1440A1" w14:textId="77777777" w:rsidR="00093A5E" w:rsidRPr="006A64EE" w:rsidRDefault="009C2544" w:rsidP="00B320E1">
            <w:pPr>
              <w:pStyle w:val="TableParagraph"/>
              <w:keepNext/>
              <w:widowControl/>
              <w:suppressAutoHyphens/>
            </w:pPr>
            <w:r w:rsidRPr="006A64EE">
              <w:t>Dosisanpassung des gleichzeitig verabreichten MTX, falls angemessen</w:t>
            </w:r>
          </w:p>
          <w:p w14:paraId="470054C7" w14:textId="77777777" w:rsidR="00093A5E" w:rsidRPr="006A64EE" w:rsidRDefault="00093A5E" w:rsidP="00B320E1">
            <w:pPr>
              <w:pStyle w:val="TableParagraph"/>
              <w:keepNext/>
              <w:widowControl/>
              <w:suppressAutoHyphens/>
            </w:pPr>
          </w:p>
          <w:p w14:paraId="13EE13C8" w14:textId="72D3E3CF" w:rsidR="002D5756" w:rsidRPr="006A64EE" w:rsidRDefault="009C2544" w:rsidP="00B320E1">
            <w:pPr>
              <w:pStyle w:val="TableParagraph"/>
              <w:keepNext/>
              <w:widowControl/>
              <w:suppressAutoHyphens/>
            </w:pPr>
            <w:r w:rsidRPr="006A64EE">
              <w:t xml:space="preserve">Im Falle anhaltender Erhöhungen innerhalb dieser Bandbreite, Unterbrechung von </w:t>
            </w:r>
            <w:r w:rsidR="0093710E" w:rsidRPr="001879E9">
              <w:t>Avtozma</w:t>
            </w:r>
            <w:r w:rsidRPr="006A64EE">
              <w:t>, bis sich ALAT/ASAT normalisiert haben.</w:t>
            </w:r>
          </w:p>
        </w:tc>
      </w:tr>
      <w:tr w:rsidR="00593482" w:rsidRPr="006A64EE" w14:paraId="6AF678AF" w14:textId="77777777" w:rsidTr="001151E6">
        <w:trPr>
          <w:cantSplit/>
        </w:trPr>
        <w:tc>
          <w:tcPr>
            <w:tcW w:w="1843" w:type="dxa"/>
          </w:tcPr>
          <w:p w14:paraId="6564B8A7" w14:textId="77777777" w:rsidR="002D5756" w:rsidRPr="006A64EE" w:rsidRDefault="009C2544" w:rsidP="00B320E1">
            <w:pPr>
              <w:pStyle w:val="TableParagraph"/>
              <w:keepNext/>
              <w:widowControl/>
              <w:suppressAutoHyphens/>
            </w:pPr>
            <w:r w:rsidRPr="006A64EE">
              <w:t>&gt; 3 x ULN bis 5 x ULN</w:t>
            </w:r>
          </w:p>
        </w:tc>
        <w:tc>
          <w:tcPr>
            <w:tcW w:w="7004" w:type="dxa"/>
          </w:tcPr>
          <w:p w14:paraId="77D6603A" w14:textId="77777777" w:rsidR="00093A5E" w:rsidRPr="006A64EE" w:rsidRDefault="009C2544" w:rsidP="00B320E1">
            <w:pPr>
              <w:pStyle w:val="TableParagraph"/>
              <w:keepNext/>
              <w:widowControl/>
              <w:suppressAutoHyphens/>
            </w:pPr>
            <w:r w:rsidRPr="006A64EE">
              <w:t>Dosisanpassung des gleichzeitig verabreichten MTX, falls angemessen</w:t>
            </w:r>
          </w:p>
          <w:p w14:paraId="763696F7" w14:textId="77777777" w:rsidR="00093A5E" w:rsidRPr="006A64EE" w:rsidRDefault="00093A5E" w:rsidP="00B320E1">
            <w:pPr>
              <w:pStyle w:val="TableParagraph"/>
              <w:keepNext/>
              <w:widowControl/>
              <w:suppressAutoHyphens/>
            </w:pPr>
          </w:p>
          <w:p w14:paraId="58EF2F4D" w14:textId="45D76CBE" w:rsidR="002D5756" w:rsidRPr="006A64EE" w:rsidRDefault="009C2544" w:rsidP="00B320E1">
            <w:pPr>
              <w:pStyle w:val="TableParagraph"/>
              <w:keepNext/>
              <w:widowControl/>
              <w:suppressAutoHyphens/>
            </w:pPr>
            <w:r w:rsidRPr="006A64EE">
              <w:t xml:space="preserve">Unterbrechung der Anwendung von </w:t>
            </w:r>
            <w:r w:rsidR="0093710E" w:rsidRPr="001879E9">
              <w:t>Avtozma</w:t>
            </w:r>
            <w:r w:rsidRPr="006A64EE">
              <w:t xml:space="preserve"> bis &lt; 3 x ULN und Befolgen der oben stehenden Empfehlungen für Werte &gt; 1 bis 3 x ULN</w:t>
            </w:r>
          </w:p>
        </w:tc>
      </w:tr>
      <w:tr w:rsidR="002D5756" w:rsidRPr="006A64EE" w14:paraId="735470A0" w14:textId="77777777" w:rsidTr="001151E6">
        <w:trPr>
          <w:cantSplit/>
        </w:trPr>
        <w:tc>
          <w:tcPr>
            <w:tcW w:w="1843" w:type="dxa"/>
          </w:tcPr>
          <w:p w14:paraId="0C80B801" w14:textId="77777777" w:rsidR="002D5756" w:rsidRPr="006A64EE" w:rsidRDefault="009C2544" w:rsidP="004255F8">
            <w:pPr>
              <w:pStyle w:val="TableParagraph"/>
              <w:widowControl/>
              <w:suppressAutoHyphens/>
            </w:pPr>
            <w:r w:rsidRPr="006A64EE">
              <w:t>&gt; 5 x ULN</w:t>
            </w:r>
          </w:p>
        </w:tc>
        <w:tc>
          <w:tcPr>
            <w:tcW w:w="7004" w:type="dxa"/>
          </w:tcPr>
          <w:p w14:paraId="6E119A78" w14:textId="74738844" w:rsidR="00093A5E" w:rsidRPr="006A64EE" w:rsidRDefault="009C2544" w:rsidP="004255F8">
            <w:pPr>
              <w:pStyle w:val="TableParagraph"/>
              <w:widowControl/>
              <w:suppressAutoHyphens/>
            </w:pPr>
            <w:r w:rsidRPr="006A64EE">
              <w:t xml:space="preserve">Absetzen von </w:t>
            </w:r>
            <w:r w:rsidR="0093710E" w:rsidRPr="001879E9">
              <w:t>Avtozma</w:t>
            </w:r>
          </w:p>
          <w:p w14:paraId="345FDB24" w14:textId="77777777" w:rsidR="00093A5E" w:rsidRPr="006A64EE" w:rsidRDefault="00093A5E" w:rsidP="004255F8">
            <w:pPr>
              <w:pStyle w:val="TableParagraph"/>
              <w:widowControl/>
              <w:suppressAutoHyphens/>
            </w:pPr>
          </w:p>
          <w:p w14:paraId="79B6C299" w14:textId="0F3F9157" w:rsidR="002D5756" w:rsidRPr="006A64EE" w:rsidRDefault="009C2544" w:rsidP="004255F8">
            <w:pPr>
              <w:pStyle w:val="TableParagraph"/>
              <w:widowControl/>
              <w:suppressAutoHyphens/>
            </w:pPr>
            <w:r w:rsidRPr="006A64EE">
              <w:t xml:space="preserve">Die Entscheidung, </w:t>
            </w:r>
            <w:r w:rsidR="0093710E" w:rsidRPr="001879E9">
              <w:t>Avtozma</w:t>
            </w:r>
            <w:r w:rsidRPr="006A64EE">
              <w:t xml:space="preserve"> bei Patienten mit sJIA aufgrund abnormaler Laborwerte abzusetzen, sollte auf der Grundlage einer medizinischen Untersuchung jedes einzelnen Patienten erfolgen.</w:t>
            </w:r>
          </w:p>
        </w:tc>
      </w:tr>
    </w:tbl>
    <w:p w14:paraId="5C66BD22" w14:textId="77777777" w:rsidR="00093A5E" w:rsidRPr="006A64EE" w:rsidRDefault="00093A5E" w:rsidP="004255F8">
      <w:pPr>
        <w:pStyle w:val="bullet"/>
        <w:rPr>
          <w:rFonts w:ascii="Symbol" w:hAnsi="Symbol"/>
        </w:rPr>
      </w:pPr>
    </w:p>
    <w:p w14:paraId="044B11E2"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Niedrige absolute Anzahl neutrophiler Granulozyten (ANC = Absolute Neutrophil Count)</w:t>
      </w:r>
    </w:p>
    <w:p w14:paraId="64281DBB" w14:textId="6C729F02" w:rsidR="002D5756" w:rsidRPr="006A64EE" w:rsidRDefault="002D5756" w:rsidP="004255F8">
      <w:pPr>
        <w:pStyle w:val="a3"/>
        <w:keepNext/>
        <w:widowControl/>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792"/>
        <w:gridCol w:w="7128"/>
      </w:tblGrid>
      <w:tr w:rsidR="00593482" w:rsidRPr="006A64EE" w14:paraId="1B65A4B2" w14:textId="77777777" w:rsidTr="004E14B0">
        <w:trPr>
          <w:cantSplit/>
          <w:tblHeader/>
        </w:trPr>
        <w:tc>
          <w:tcPr>
            <w:tcW w:w="1792" w:type="dxa"/>
          </w:tcPr>
          <w:p w14:paraId="002BF3BB" w14:textId="421FEEFF" w:rsidR="00FB6898" w:rsidRDefault="009C2544" w:rsidP="009B76B2">
            <w:pPr>
              <w:pStyle w:val="TableParagraph"/>
              <w:widowControl/>
              <w:suppressAutoHyphens/>
              <w:jc w:val="center"/>
              <w:rPr>
                <w:b/>
                <w:bCs/>
              </w:rPr>
            </w:pPr>
            <w:r w:rsidRPr="00E303AE">
              <w:rPr>
                <w:b/>
                <w:bCs/>
              </w:rPr>
              <w:t>Laborwert</w:t>
            </w:r>
          </w:p>
          <w:p w14:paraId="72098C36" w14:textId="6193DA56" w:rsidR="002D5756" w:rsidRPr="00E303AE" w:rsidRDefault="009C2544" w:rsidP="009B76B2">
            <w:pPr>
              <w:pStyle w:val="TableParagraph"/>
              <w:widowControl/>
              <w:suppressAutoHyphens/>
              <w:jc w:val="center"/>
              <w:rPr>
                <w:b/>
                <w:bCs/>
              </w:rPr>
            </w:pPr>
            <w:r w:rsidRPr="00E303AE">
              <w:rPr>
                <w:b/>
                <w:bCs/>
              </w:rPr>
              <w:t>(Zellen x 10</w:t>
            </w:r>
            <w:r w:rsidRPr="00E303AE">
              <w:rPr>
                <w:b/>
                <w:bCs/>
                <w:vertAlign w:val="superscript"/>
              </w:rPr>
              <w:t>9</w:t>
            </w:r>
            <w:r w:rsidRPr="00E303AE">
              <w:rPr>
                <w:b/>
                <w:bCs/>
              </w:rPr>
              <w:t>/l)</w:t>
            </w:r>
          </w:p>
        </w:tc>
        <w:tc>
          <w:tcPr>
            <w:tcW w:w="7128" w:type="dxa"/>
          </w:tcPr>
          <w:p w14:paraId="7354E86D" w14:textId="77777777" w:rsidR="002D5756" w:rsidRPr="00E303AE" w:rsidRDefault="009C2544" w:rsidP="009B76B2">
            <w:pPr>
              <w:pStyle w:val="TableParagraph"/>
              <w:widowControl/>
              <w:suppressAutoHyphens/>
              <w:jc w:val="center"/>
              <w:rPr>
                <w:b/>
                <w:bCs/>
              </w:rPr>
            </w:pPr>
            <w:r w:rsidRPr="00E303AE">
              <w:rPr>
                <w:b/>
                <w:bCs/>
              </w:rPr>
              <w:t>Vorgehen</w:t>
            </w:r>
          </w:p>
        </w:tc>
      </w:tr>
      <w:tr w:rsidR="00593482" w:rsidRPr="006A64EE" w14:paraId="0C1BB527" w14:textId="77777777" w:rsidTr="004E14B0">
        <w:trPr>
          <w:cantSplit/>
        </w:trPr>
        <w:tc>
          <w:tcPr>
            <w:tcW w:w="1792" w:type="dxa"/>
          </w:tcPr>
          <w:p w14:paraId="256C0753" w14:textId="77777777" w:rsidR="002D5756" w:rsidRPr="006A64EE" w:rsidRDefault="009C2544" w:rsidP="004255F8">
            <w:pPr>
              <w:pStyle w:val="TableParagraph"/>
              <w:widowControl/>
              <w:suppressAutoHyphens/>
            </w:pPr>
            <w:r w:rsidRPr="006A64EE">
              <w:t>ANC &gt; 1</w:t>
            </w:r>
          </w:p>
        </w:tc>
        <w:tc>
          <w:tcPr>
            <w:tcW w:w="7128" w:type="dxa"/>
          </w:tcPr>
          <w:p w14:paraId="3C61B9A5" w14:textId="77777777" w:rsidR="002D5756" w:rsidRPr="006A64EE" w:rsidRDefault="009C2544" w:rsidP="004255F8">
            <w:pPr>
              <w:pStyle w:val="TableParagraph"/>
              <w:widowControl/>
              <w:suppressAutoHyphens/>
            </w:pPr>
            <w:r w:rsidRPr="006A64EE">
              <w:t>Dosis beibehalten</w:t>
            </w:r>
          </w:p>
        </w:tc>
      </w:tr>
      <w:tr w:rsidR="00593482" w:rsidRPr="006A64EE" w14:paraId="252F474E" w14:textId="77777777" w:rsidTr="004E14B0">
        <w:trPr>
          <w:cantSplit/>
        </w:trPr>
        <w:tc>
          <w:tcPr>
            <w:tcW w:w="1792" w:type="dxa"/>
          </w:tcPr>
          <w:p w14:paraId="1E015437" w14:textId="77777777" w:rsidR="002D5756" w:rsidRPr="006A64EE" w:rsidRDefault="009C2544" w:rsidP="004255F8">
            <w:pPr>
              <w:pStyle w:val="TableParagraph"/>
              <w:widowControl/>
              <w:suppressAutoHyphens/>
            </w:pPr>
            <w:r w:rsidRPr="006A64EE">
              <w:t>ANC 0,5 bis 1</w:t>
            </w:r>
          </w:p>
        </w:tc>
        <w:tc>
          <w:tcPr>
            <w:tcW w:w="7128" w:type="dxa"/>
          </w:tcPr>
          <w:p w14:paraId="5B4265C5" w14:textId="14B77B2B" w:rsidR="00093A5E" w:rsidRPr="006A64EE" w:rsidRDefault="009C2544" w:rsidP="004255F8">
            <w:pPr>
              <w:pStyle w:val="TableParagraph"/>
              <w:widowControl/>
              <w:suppressAutoHyphens/>
            </w:pPr>
            <w:r w:rsidRPr="006A64EE">
              <w:t xml:space="preserve">Unterbrechung der Anwendung von </w:t>
            </w:r>
            <w:r w:rsidR="0093710E" w:rsidRPr="001879E9">
              <w:t>Avtozma</w:t>
            </w:r>
          </w:p>
          <w:p w14:paraId="1D470A6A" w14:textId="77777777" w:rsidR="00093A5E" w:rsidRPr="006A64EE" w:rsidRDefault="00093A5E" w:rsidP="004255F8">
            <w:pPr>
              <w:pStyle w:val="TableParagraph"/>
              <w:widowControl/>
              <w:suppressAutoHyphens/>
            </w:pPr>
          </w:p>
          <w:p w14:paraId="44525262" w14:textId="5DFCDBD0" w:rsidR="002D5756" w:rsidRPr="006A64EE" w:rsidRDefault="009C2544" w:rsidP="004255F8">
            <w:pPr>
              <w:pStyle w:val="TableParagraph"/>
              <w:widowControl/>
              <w:suppressAutoHyphens/>
            </w:pPr>
            <w:r w:rsidRPr="006A64EE">
              <w:t>Wenn die ANC auf &gt; 1 x 10</w:t>
            </w:r>
            <w:r w:rsidRPr="006A64EE">
              <w:rPr>
                <w:vertAlign w:val="superscript"/>
              </w:rPr>
              <w:t>9</w:t>
            </w:r>
            <w:r w:rsidRPr="006A64EE">
              <w:t xml:space="preserve">/l ansteigt, Wiederaufnahme der Anwendung von </w:t>
            </w:r>
            <w:r w:rsidR="0093710E" w:rsidRPr="001879E9">
              <w:t>Avtozma</w:t>
            </w:r>
          </w:p>
        </w:tc>
      </w:tr>
      <w:tr w:rsidR="002D5756" w:rsidRPr="006A64EE" w14:paraId="13619B2D" w14:textId="77777777" w:rsidTr="004E14B0">
        <w:trPr>
          <w:cantSplit/>
        </w:trPr>
        <w:tc>
          <w:tcPr>
            <w:tcW w:w="1792" w:type="dxa"/>
          </w:tcPr>
          <w:p w14:paraId="21CF3CAD" w14:textId="77777777" w:rsidR="002D5756" w:rsidRPr="006A64EE" w:rsidRDefault="009C2544" w:rsidP="004255F8">
            <w:pPr>
              <w:pStyle w:val="TableParagraph"/>
              <w:widowControl/>
              <w:suppressAutoHyphens/>
            </w:pPr>
            <w:r w:rsidRPr="006A64EE">
              <w:t>ANC &lt; 0,5</w:t>
            </w:r>
          </w:p>
        </w:tc>
        <w:tc>
          <w:tcPr>
            <w:tcW w:w="7128" w:type="dxa"/>
          </w:tcPr>
          <w:p w14:paraId="19541F48" w14:textId="4889A76F" w:rsidR="00093A5E" w:rsidRPr="006A64EE" w:rsidRDefault="009C2544" w:rsidP="004255F8">
            <w:pPr>
              <w:pStyle w:val="TableParagraph"/>
              <w:widowControl/>
              <w:suppressAutoHyphens/>
            </w:pPr>
            <w:r w:rsidRPr="006A64EE">
              <w:t xml:space="preserve">Absetzen von </w:t>
            </w:r>
            <w:r w:rsidR="0093710E" w:rsidRPr="001879E9">
              <w:t>Avtozma</w:t>
            </w:r>
          </w:p>
          <w:p w14:paraId="4B40BD69" w14:textId="77777777" w:rsidR="00093A5E" w:rsidRPr="006A64EE" w:rsidRDefault="00093A5E" w:rsidP="004255F8">
            <w:pPr>
              <w:pStyle w:val="TableParagraph"/>
              <w:widowControl/>
              <w:suppressAutoHyphens/>
            </w:pPr>
          </w:p>
          <w:p w14:paraId="052263F7" w14:textId="63E9243D" w:rsidR="002D5756" w:rsidRPr="006A64EE" w:rsidRDefault="009C2544" w:rsidP="004255F8">
            <w:pPr>
              <w:pStyle w:val="TableParagraph"/>
              <w:widowControl/>
              <w:suppressAutoHyphens/>
            </w:pPr>
            <w:r w:rsidRPr="006A64EE">
              <w:t xml:space="preserve">Die Entscheidung, </w:t>
            </w:r>
            <w:r w:rsidR="0093710E" w:rsidRPr="001879E9">
              <w:t>Avtozma</w:t>
            </w:r>
            <w:r w:rsidRPr="006A64EE">
              <w:t xml:space="preserve"> bei Patienten mit sJIA aufgrund abnormaler Laborwerte abzusetzen, sollte auf der Grundlage einer medizinischen Untersuchung jedes einzelnen Patienten erfolgen.</w:t>
            </w:r>
          </w:p>
        </w:tc>
      </w:tr>
    </w:tbl>
    <w:p w14:paraId="0DAF3E16" w14:textId="77777777" w:rsidR="00093A5E" w:rsidRPr="006A64EE" w:rsidRDefault="00093A5E" w:rsidP="004255F8">
      <w:pPr>
        <w:pStyle w:val="a3"/>
        <w:widowControl/>
      </w:pPr>
    </w:p>
    <w:p w14:paraId="34A4160C" w14:textId="77777777" w:rsidR="00093A5E" w:rsidRPr="006A64EE" w:rsidRDefault="0059713A" w:rsidP="004255F8">
      <w:pPr>
        <w:pStyle w:val="a3"/>
        <w:widowControl/>
      </w:pPr>
      <w:r w:rsidRPr="006A64EE">
        <w:rPr>
          <w:rFonts w:ascii="Symbol" w:hAnsi="Symbol"/>
        </w:rPr>
        <w:t></w:t>
      </w:r>
      <w:r w:rsidRPr="006A64EE">
        <w:rPr>
          <w:rFonts w:ascii="Symbol" w:hAnsi="Symbol"/>
        </w:rPr>
        <w:tab/>
      </w:r>
      <w:r w:rsidR="007D680A" w:rsidRPr="006A64EE">
        <w:t>Niedrige Thrombozytenanzahl</w:t>
      </w:r>
    </w:p>
    <w:p w14:paraId="53267722" w14:textId="16ED9CC6" w:rsidR="002D5756" w:rsidRPr="006A64EE" w:rsidRDefault="002D5756" w:rsidP="004255F8">
      <w:pPr>
        <w:pStyle w:val="a3"/>
        <w:widowControl/>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735"/>
        <w:gridCol w:w="7229"/>
      </w:tblGrid>
      <w:tr w:rsidR="00593482" w:rsidRPr="006A64EE" w14:paraId="0CDA7431" w14:textId="77777777" w:rsidTr="004E14B0">
        <w:trPr>
          <w:tblHeader/>
        </w:trPr>
        <w:tc>
          <w:tcPr>
            <w:tcW w:w="1735" w:type="dxa"/>
          </w:tcPr>
          <w:p w14:paraId="271BA398" w14:textId="2AA06D8B" w:rsidR="009C7570" w:rsidRDefault="009C2544" w:rsidP="00B436C7">
            <w:pPr>
              <w:pStyle w:val="TableParagraph"/>
              <w:widowControl/>
              <w:suppressAutoHyphens/>
              <w:jc w:val="center"/>
              <w:rPr>
                <w:b/>
              </w:rPr>
            </w:pPr>
            <w:r w:rsidRPr="006A64EE">
              <w:rPr>
                <w:b/>
              </w:rPr>
              <w:t>Laborwert</w:t>
            </w:r>
          </w:p>
          <w:p w14:paraId="05B52B3F" w14:textId="7D725B0B" w:rsidR="002D5756" w:rsidRPr="006A64EE" w:rsidRDefault="009C2544" w:rsidP="00B436C7">
            <w:pPr>
              <w:pStyle w:val="TableParagraph"/>
              <w:widowControl/>
              <w:suppressAutoHyphens/>
              <w:jc w:val="center"/>
              <w:rPr>
                <w:b/>
              </w:rPr>
            </w:pPr>
            <w:r w:rsidRPr="006A64EE">
              <w:rPr>
                <w:b/>
              </w:rPr>
              <w:t>(Zellen x 10</w:t>
            </w:r>
            <w:r w:rsidRPr="006A64EE">
              <w:rPr>
                <w:b/>
                <w:vertAlign w:val="superscript"/>
              </w:rPr>
              <w:t>3</w:t>
            </w:r>
            <w:r w:rsidRPr="006A64EE">
              <w:rPr>
                <w:b/>
              </w:rPr>
              <w:t>/µl)</w:t>
            </w:r>
          </w:p>
        </w:tc>
        <w:tc>
          <w:tcPr>
            <w:tcW w:w="7229" w:type="dxa"/>
          </w:tcPr>
          <w:p w14:paraId="1248C5D7" w14:textId="77777777" w:rsidR="002D5756" w:rsidRPr="006A64EE" w:rsidRDefault="009C2544" w:rsidP="004255F8">
            <w:pPr>
              <w:pStyle w:val="TableParagraph"/>
              <w:widowControl/>
              <w:suppressAutoHyphens/>
              <w:jc w:val="center"/>
              <w:rPr>
                <w:b/>
              </w:rPr>
            </w:pPr>
            <w:r w:rsidRPr="006A64EE">
              <w:rPr>
                <w:b/>
              </w:rPr>
              <w:t>Vorgehen</w:t>
            </w:r>
          </w:p>
        </w:tc>
      </w:tr>
      <w:tr w:rsidR="00593482" w:rsidRPr="006A64EE" w14:paraId="7595BE03" w14:textId="77777777" w:rsidTr="004E14B0">
        <w:trPr>
          <w:cantSplit/>
        </w:trPr>
        <w:tc>
          <w:tcPr>
            <w:tcW w:w="1735" w:type="dxa"/>
          </w:tcPr>
          <w:p w14:paraId="33A84049" w14:textId="77777777" w:rsidR="002D5756" w:rsidRPr="006A64EE" w:rsidRDefault="009C2544" w:rsidP="004255F8">
            <w:pPr>
              <w:pStyle w:val="TableParagraph"/>
              <w:widowControl/>
              <w:suppressAutoHyphens/>
            </w:pPr>
            <w:r w:rsidRPr="006A64EE">
              <w:t>50 bis 100</w:t>
            </w:r>
          </w:p>
        </w:tc>
        <w:tc>
          <w:tcPr>
            <w:tcW w:w="7229" w:type="dxa"/>
          </w:tcPr>
          <w:p w14:paraId="7CB40600" w14:textId="02202CFA" w:rsidR="00093A5E" w:rsidRPr="006A64EE" w:rsidRDefault="009C2544" w:rsidP="004255F8">
            <w:pPr>
              <w:pStyle w:val="TableParagraph"/>
              <w:widowControl/>
              <w:suppressAutoHyphens/>
            </w:pPr>
            <w:r w:rsidRPr="006A64EE">
              <w:t xml:space="preserve">Dosisanpassung des gleichzeitig verabreichten MTX, falls angemessen Unterbrechung der Anwendung von </w:t>
            </w:r>
            <w:r w:rsidR="0093710E" w:rsidRPr="001879E9">
              <w:t>Avtozma</w:t>
            </w:r>
          </w:p>
          <w:p w14:paraId="2157316D" w14:textId="77777777" w:rsidR="00093A5E" w:rsidRPr="006A64EE" w:rsidRDefault="00093A5E" w:rsidP="004255F8">
            <w:pPr>
              <w:pStyle w:val="TableParagraph"/>
              <w:widowControl/>
              <w:suppressAutoHyphens/>
            </w:pPr>
          </w:p>
          <w:p w14:paraId="0131FBCE" w14:textId="276A2D1E" w:rsidR="002D5756" w:rsidRPr="006A64EE" w:rsidRDefault="009C2544" w:rsidP="004255F8">
            <w:pPr>
              <w:pStyle w:val="TableParagraph"/>
              <w:widowControl/>
              <w:suppressAutoHyphens/>
            </w:pPr>
            <w:r w:rsidRPr="006A64EE">
              <w:t>Wenn die Thrombozytenanzahl auf &gt; 100 x 10</w:t>
            </w:r>
            <w:r w:rsidRPr="006A64EE">
              <w:rPr>
                <w:vertAlign w:val="superscript"/>
              </w:rPr>
              <w:t>3</w:t>
            </w:r>
            <w:r w:rsidRPr="006A64EE">
              <w:t xml:space="preserve">/µl ansteigt, Wiederaufnahme der Anwendung von </w:t>
            </w:r>
            <w:r w:rsidR="0093710E" w:rsidRPr="001879E9">
              <w:t>Avtozma</w:t>
            </w:r>
          </w:p>
        </w:tc>
      </w:tr>
      <w:tr w:rsidR="002D5756" w:rsidRPr="006A64EE" w14:paraId="6514FFEF" w14:textId="77777777" w:rsidTr="004E14B0">
        <w:trPr>
          <w:cantSplit/>
        </w:trPr>
        <w:tc>
          <w:tcPr>
            <w:tcW w:w="1735" w:type="dxa"/>
          </w:tcPr>
          <w:p w14:paraId="0CA7716E" w14:textId="77777777" w:rsidR="002D5756" w:rsidRPr="006A64EE" w:rsidRDefault="009C2544" w:rsidP="004255F8">
            <w:pPr>
              <w:pStyle w:val="TableParagraph"/>
              <w:widowControl/>
              <w:suppressAutoHyphens/>
            </w:pPr>
            <w:r w:rsidRPr="006A64EE">
              <w:t>&lt; 50</w:t>
            </w:r>
          </w:p>
        </w:tc>
        <w:tc>
          <w:tcPr>
            <w:tcW w:w="7229" w:type="dxa"/>
          </w:tcPr>
          <w:p w14:paraId="6309C0BD" w14:textId="2F519784" w:rsidR="00093A5E" w:rsidRPr="006A64EE" w:rsidRDefault="009C2544" w:rsidP="004255F8">
            <w:pPr>
              <w:pStyle w:val="TableParagraph"/>
              <w:widowControl/>
              <w:suppressAutoHyphens/>
            </w:pPr>
            <w:r w:rsidRPr="006A64EE">
              <w:t xml:space="preserve">Absetzen von </w:t>
            </w:r>
            <w:r w:rsidR="0093710E" w:rsidRPr="001879E9">
              <w:t>Avtozma</w:t>
            </w:r>
          </w:p>
          <w:p w14:paraId="08340F1F" w14:textId="77777777" w:rsidR="00093A5E" w:rsidRPr="006A64EE" w:rsidRDefault="00093A5E" w:rsidP="004255F8">
            <w:pPr>
              <w:pStyle w:val="TableParagraph"/>
              <w:widowControl/>
              <w:suppressAutoHyphens/>
            </w:pPr>
          </w:p>
          <w:p w14:paraId="26AD6554" w14:textId="682E7599" w:rsidR="002D5756" w:rsidRPr="006A64EE" w:rsidRDefault="009C2544" w:rsidP="004255F8">
            <w:pPr>
              <w:pStyle w:val="TableParagraph"/>
              <w:widowControl/>
              <w:suppressAutoHyphens/>
            </w:pPr>
            <w:r w:rsidRPr="006A64EE">
              <w:t xml:space="preserve">Die Entscheidung, </w:t>
            </w:r>
            <w:r w:rsidR="0093710E" w:rsidRPr="001879E9">
              <w:t>Avtozma</w:t>
            </w:r>
            <w:r w:rsidRPr="006A64EE">
              <w:t xml:space="preserve"> bei Patienten mit sJIA aufgrund abnormaler Laborwerte abzusetzen, sollte auf der Grundlage einer medizinischen Untersuchung jedes einzelnen Patienten erfolgen.</w:t>
            </w:r>
          </w:p>
        </w:tc>
      </w:tr>
    </w:tbl>
    <w:p w14:paraId="5034C06C" w14:textId="77777777" w:rsidR="00093A5E" w:rsidRPr="006A64EE" w:rsidRDefault="00093A5E" w:rsidP="004255F8">
      <w:pPr>
        <w:pStyle w:val="a3"/>
        <w:widowControl/>
      </w:pPr>
    </w:p>
    <w:p w14:paraId="712D97C7" w14:textId="77777777" w:rsidR="00093A5E" w:rsidRPr="006A64EE" w:rsidRDefault="009C2544" w:rsidP="004255F8">
      <w:pPr>
        <w:pStyle w:val="a3"/>
        <w:widowControl/>
      </w:pPr>
      <w:r w:rsidRPr="006A64EE">
        <w:t>Die klinischen Daten sind nicht ausreichend, um die Auswirkungen einer Reduzierung der Tocilizumab-Dosis bei sJIA-Patienten mit abnormalen Laborwerten zu beurteilen.</w:t>
      </w:r>
    </w:p>
    <w:p w14:paraId="7D248FAC" w14:textId="77777777" w:rsidR="00093A5E" w:rsidRPr="006A64EE" w:rsidRDefault="00093A5E" w:rsidP="004255F8">
      <w:pPr>
        <w:pStyle w:val="a3"/>
        <w:widowControl/>
      </w:pPr>
    </w:p>
    <w:p w14:paraId="2702C80D" w14:textId="5E2071DE" w:rsidR="00093A5E" w:rsidRPr="006A64EE" w:rsidRDefault="009C2544" w:rsidP="004255F8">
      <w:pPr>
        <w:pStyle w:val="a3"/>
        <w:widowControl/>
      </w:pPr>
      <w:r w:rsidRPr="006A64EE">
        <w:t>Verfügbare Daten deuten darauf hin, dass innerhalb von 6</w:t>
      </w:r>
      <w:r w:rsidR="00DD7793">
        <w:t> </w:t>
      </w:r>
      <w:r w:rsidRPr="006A64EE">
        <w:t xml:space="preserve">Wochen nach Beginn der Therapie mit </w:t>
      </w:r>
      <w:r w:rsidR="0093710E">
        <w:t>Tocilizumab</w:t>
      </w:r>
      <w:r w:rsidR="0093710E" w:rsidRPr="006A64EE">
        <w:t xml:space="preserve"> </w:t>
      </w:r>
      <w:r w:rsidRPr="006A64EE">
        <w:t xml:space="preserve">eine klinische Verbesserung beobachtet wird. Eine Weiterbehandlung sollte bei </w:t>
      </w:r>
      <w:r w:rsidRPr="006A64EE">
        <w:lastRenderedPageBreak/>
        <w:t>Patienten, bei denen es innerhalb dieses Zeitraums nicht zu einer Verbesserung kommt, sorgfältig abgewogen werden.</w:t>
      </w:r>
    </w:p>
    <w:p w14:paraId="30C17038" w14:textId="77777777" w:rsidR="00093A5E" w:rsidRPr="006A64EE" w:rsidRDefault="00093A5E" w:rsidP="004255F8">
      <w:pPr>
        <w:pStyle w:val="a3"/>
        <w:widowControl/>
      </w:pPr>
    </w:p>
    <w:p w14:paraId="3C436447" w14:textId="77777777" w:rsidR="00093A5E" w:rsidRPr="006A64EE" w:rsidRDefault="009C2544" w:rsidP="004255F8">
      <w:pPr>
        <w:widowControl/>
        <w:rPr>
          <w:i/>
        </w:rPr>
      </w:pPr>
      <w:r w:rsidRPr="006A64EE">
        <w:rPr>
          <w:i/>
        </w:rPr>
        <w:t>Patienten mit pJIA</w:t>
      </w:r>
    </w:p>
    <w:p w14:paraId="006AD6A8" w14:textId="77777777" w:rsidR="00093A5E" w:rsidRPr="006A64EE" w:rsidRDefault="00093A5E" w:rsidP="004255F8">
      <w:pPr>
        <w:pStyle w:val="a3"/>
        <w:widowControl/>
        <w:rPr>
          <w:i/>
        </w:rPr>
      </w:pPr>
    </w:p>
    <w:p w14:paraId="74C375BE" w14:textId="7FBAD5CE" w:rsidR="00093A5E" w:rsidRPr="006A64EE" w:rsidRDefault="009C2544" w:rsidP="004255F8">
      <w:pPr>
        <w:pStyle w:val="a3"/>
        <w:widowControl/>
      </w:pPr>
      <w:r w:rsidRPr="006A64EE">
        <w:t>Die empfohlene Dosierung bei Patienten im Alter von 2</w:t>
      </w:r>
      <w:r w:rsidR="00DD7793">
        <w:t> </w:t>
      </w:r>
      <w:r w:rsidRPr="006A64EE">
        <w:t>Jahren und älter mit einem Mindestgewicht von 30</w:t>
      </w:r>
      <w:r w:rsidR="00DD7793">
        <w:t> </w:t>
      </w:r>
      <w:r w:rsidRPr="006A64EE">
        <w:t>kg beträgt 8</w:t>
      </w:r>
      <w:r w:rsidR="00DD7793">
        <w:t> </w:t>
      </w:r>
      <w:r w:rsidRPr="006A64EE">
        <w:t>mg/kg einmal alle 4</w:t>
      </w:r>
      <w:r w:rsidR="00DD7793">
        <w:t> </w:t>
      </w:r>
      <w:r w:rsidRPr="006A64EE">
        <w:t>Wochen und bei Patienten, die weniger als 30</w:t>
      </w:r>
      <w:r w:rsidR="00DD7793">
        <w:t> </w:t>
      </w:r>
      <w:r w:rsidRPr="006A64EE">
        <w:t>kg wiegen, 10</w:t>
      </w:r>
      <w:r w:rsidR="00DD7793">
        <w:t> </w:t>
      </w:r>
      <w:r w:rsidRPr="006A64EE">
        <w:t>mg/kg einmal alle 4</w:t>
      </w:r>
      <w:r w:rsidR="00DD7793">
        <w:t> </w:t>
      </w:r>
      <w:r w:rsidRPr="006A64EE">
        <w:t>Wochen. Die Dosierung sollte bei jeder Verabreichung anhand des Körpergewichts des Patienten berechnet werden. Eine Änderung der Dosierung sollte nur bei einer dauerhaften Veränderung des Gewichts des Patienten erfolgen.</w:t>
      </w:r>
    </w:p>
    <w:p w14:paraId="0988ECDB" w14:textId="77777777" w:rsidR="00093A5E" w:rsidRPr="006A64EE" w:rsidRDefault="00093A5E" w:rsidP="004255F8">
      <w:pPr>
        <w:pStyle w:val="a3"/>
        <w:widowControl/>
      </w:pPr>
    </w:p>
    <w:p w14:paraId="624F50BC" w14:textId="3DA94EA6" w:rsidR="00093A5E" w:rsidRPr="006A64EE" w:rsidRDefault="009C2544" w:rsidP="004255F8">
      <w:pPr>
        <w:pStyle w:val="a3"/>
        <w:widowControl/>
      </w:pPr>
      <w:r w:rsidRPr="006A64EE">
        <w:t xml:space="preserve">Die Sicherheit und Wirksamkeit von intravenös verabreichtem </w:t>
      </w:r>
      <w:r w:rsidR="0093710E" w:rsidRPr="001879E9">
        <w:t>Avtozma</w:t>
      </w:r>
      <w:r w:rsidRPr="006A64EE">
        <w:t xml:space="preserve"> bei Kindern im Alter von unter 2</w:t>
      </w:r>
      <w:r w:rsidR="00DD7793">
        <w:t> </w:t>
      </w:r>
      <w:r w:rsidRPr="006A64EE">
        <w:t>Jahren ist nicht erwiesen.</w:t>
      </w:r>
    </w:p>
    <w:p w14:paraId="17D92161" w14:textId="77777777" w:rsidR="00093A5E" w:rsidRPr="006A64EE" w:rsidRDefault="00093A5E" w:rsidP="004255F8">
      <w:pPr>
        <w:pStyle w:val="a3"/>
        <w:widowControl/>
      </w:pPr>
    </w:p>
    <w:p w14:paraId="24FDD0F5" w14:textId="77777777" w:rsidR="00093A5E" w:rsidRPr="006A64EE" w:rsidRDefault="009C2544" w:rsidP="004255F8">
      <w:pPr>
        <w:pStyle w:val="a3"/>
        <w:widowControl/>
      </w:pPr>
      <w:r w:rsidRPr="006A64EE">
        <w:t>Bei abnormalen Laborwerten wird bei Patienten mit pJIA eine Unterbrechung der Behandlung mit Tocilizumab empfohlen (siehe untenstehende Tabellen). Falls angebracht, sollte die Dosierung von gleichzeitig verabreichtem Methotrexat und/oder anderen Arzneimitteln modifiziert oder die Gabe abgebrochen und die Anwendung von Tocilizumab unterbrochen werden, bis die klinische Situation evaluiert wurde. Da es eine Vielzahl an Begleiterkrankungen gibt, die die Laborwerte bei Patienten mit pJIA beeinflussen können, sollte die Entscheidung, Tocilizumab aufgrund abnormaler Laborwerte abzusetzen, auf der Grundlage einer medizinischen Beurteilung des einzelnen Patienten erfolgen.</w:t>
      </w:r>
    </w:p>
    <w:p w14:paraId="384600C6" w14:textId="77777777" w:rsidR="00093A5E" w:rsidRPr="006A64EE" w:rsidRDefault="00093A5E" w:rsidP="004255F8">
      <w:pPr>
        <w:pStyle w:val="bullet"/>
      </w:pPr>
    </w:p>
    <w:p w14:paraId="2692C544"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Leberenzymabweichungen</w:t>
      </w:r>
    </w:p>
    <w:p w14:paraId="4DE4F282" w14:textId="7098877D" w:rsidR="002D5756" w:rsidRPr="006A64EE" w:rsidRDefault="002D5756" w:rsidP="004255F8">
      <w:pPr>
        <w:pStyle w:val="a3"/>
        <w:widowContro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37"/>
        <w:gridCol w:w="7124"/>
      </w:tblGrid>
      <w:tr w:rsidR="00593482" w:rsidRPr="006A64EE" w14:paraId="755A1872" w14:textId="77777777" w:rsidTr="00511A40">
        <w:trPr>
          <w:cantSplit/>
        </w:trPr>
        <w:tc>
          <w:tcPr>
            <w:tcW w:w="1937" w:type="dxa"/>
          </w:tcPr>
          <w:p w14:paraId="63383134" w14:textId="77777777" w:rsidR="002D5756" w:rsidRPr="00E303AE" w:rsidRDefault="009C2544" w:rsidP="009B76B2">
            <w:pPr>
              <w:pStyle w:val="TableParagraph"/>
              <w:widowControl/>
              <w:suppressAutoHyphens/>
              <w:jc w:val="center"/>
              <w:rPr>
                <w:b/>
                <w:bCs/>
              </w:rPr>
            </w:pPr>
            <w:r w:rsidRPr="00E303AE">
              <w:rPr>
                <w:b/>
                <w:bCs/>
              </w:rPr>
              <w:t>Laborwert</w:t>
            </w:r>
          </w:p>
        </w:tc>
        <w:tc>
          <w:tcPr>
            <w:tcW w:w="7126" w:type="dxa"/>
          </w:tcPr>
          <w:p w14:paraId="7DC478C5" w14:textId="77777777" w:rsidR="002D5756" w:rsidRPr="00E303AE" w:rsidRDefault="009C2544" w:rsidP="009B76B2">
            <w:pPr>
              <w:pStyle w:val="TableParagraph"/>
              <w:widowControl/>
              <w:suppressAutoHyphens/>
              <w:jc w:val="center"/>
              <w:rPr>
                <w:b/>
                <w:bCs/>
              </w:rPr>
            </w:pPr>
            <w:r w:rsidRPr="00E303AE">
              <w:rPr>
                <w:b/>
                <w:bCs/>
              </w:rPr>
              <w:t>Vorgehen</w:t>
            </w:r>
          </w:p>
        </w:tc>
      </w:tr>
      <w:tr w:rsidR="00593482" w:rsidRPr="006A64EE" w14:paraId="5BAB8E5F" w14:textId="77777777" w:rsidTr="00511A40">
        <w:trPr>
          <w:cantSplit/>
        </w:trPr>
        <w:tc>
          <w:tcPr>
            <w:tcW w:w="1937" w:type="dxa"/>
          </w:tcPr>
          <w:p w14:paraId="1C68C96C" w14:textId="77777777" w:rsidR="002D5756" w:rsidRPr="006A64EE" w:rsidRDefault="009C2544" w:rsidP="004255F8">
            <w:pPr>
              <w:pStyle w:val="TableParagraph"/>
              <w:widowControl/>
              <w:suppressAutoHyphens/>
            </w:pPr>
            <w:r w:rsidRPr="006A64EE">
              <w:t>&gt; 1 bis 3 x ULN</w:t>
            </w:r>
          </w:p>
        </w:tc>
        <w:tc>
          <w:tcPr>
            <w:tcW w:w="7126" w:type="dxa"/>
          </w:tcPr>
          <w:p w14:paraId="7AE6D4FB" w14:textId="77777777" w:rsidR="00093A5E" w:rsidRPr="006A64EE" w:rsidRDefault="009C2544" w:rsidP="004255F8">
            <w:pPr>
              <w:pStyle w:val="TableParagraph"/>
              <w:widowControl/>
              <w:suppressAutoHyphens/>
            </w:pPr>
            <w:r w:rsidRPr="006A64EE">
              <w:t>Dosisanpassung des gleichzeitig verabreichten MTX, falls angemessen</w:t>
            </w:r>
          </w:p>
          <w:p w14:paraId="04858AE9" w14:textId="77777777" w:rsidR="00093A5E" w:rsidRPr="006A64EE" w:rsidRDefault="00093A5E" w:rsidP="004255F8">
            <w:pPr>
              <w:pStyle w:val="TableParagraph"/>
              <w:widowControl/>
              <w:suppressAutoHyphens/>
            </w:pPr>
          </w:p>
          <w:p w14:paraId="636959EC" w14:textId="53473019" w:rsidR="002D5756" w:rsidRPr="006A64EE" w:rsidRDefault="009C2544" w:rsidP="004255F8">
            <w:pPr>
              <w:pStyle w:val="TableParagraph"/>
              <w:widowControl/>
              <w:suppressAutoHyphens/>
            </w:pPr>
            <w:r w:rsidRPr="006A64EE">
              <w:t xml:space="preserve">Im Falle anhaltender Erhöhungen innerhalb dieser Bandbreite, Unterbrechung von </w:t>
            </w:r>
            <w:r w:rsidR="0093710E" w:rsidRPr="001879E9">
              <w:t>Avtozma</w:t>
            </w:r>
            <w:r w:rsidRPr="006A64EE">
              <w:t>, bis sich ALAT/ASAT normalisiert haben.</w:t>
            </w:r>
          </w:p>
        </w:tc>
      </w:tr>
      <w:tr w:rsidR="00593482" w:rsidRPr="006A64EE" w14:paraId="3FE56891" w14:textId="77777777" w:rsidTr="00511A40">
        <w:trPr>
          <w:cantSplit/>
        </w:trPr>
        <w:tc>
          <w:tcPr>
            <w:tcW w:w="1937" w:type="dxa"/>
          </w:tcPr>
          <w:p w14:paraId="5F81B1F8" w14:textId="77777777" w:rsidR="002D5756" w:rsidRPr="006A64EE" w:rsidRDefault="009C2544" w:rsidP="004255F8">
            <w:pPr>
              <w:pStyle w:val="TableParagraph"/>
              <w:widowControl/>
              <w:suppressAutoHyphens/>
            </w:pPr>
            <w:r w:rsidRPr="006A64EE">
              <w:t>&gt; 3 x ULN bis 5 x ULN</w:t>
            </w:r>
          </w:p>
        </w:tc>
        <w:tc>
          <w:tcPr>
            <w:tcW w:w="7126" w:type="dxa"/>
          </w:tcPr>
          <w:p w14:paraId="28422347" w14:textId="77777777" w:rsidR="00093A5E" w:rsidRPr="006A64EE" w:rsidRDefault="009C2544" w:rsidP="004255F8">
            <w:pPr>
              <w:pStyle w:val="TableParagraph"/>
              <w:widowControl/>
              <w:suppressAutoHyphens/>
            </w:pPr>
            <w:r w:rsidRPr="006A64EE">
              <w:t>Dosisanpassung des gleichzeitig verabreichten MTX, falls angemessen</w:t>
            </w:r>
          </w:p>
          <w:p w14:paraId="0C502799" w14:textId="77777777" w:rsidR="00093A5E" w:rsidRPr="006A64EE" w:rsidRDefault="00093A5E" w:rsidP="004255F8">
            <w:pPr>
              <w:pStyle w:val="TableParagraph"/>
              <w:widowControl/>
              <w:suppressAutoHyphens/>
            </w:pPr>
          </w:p>
          <w:p w14:paraId="36AA5757" w14:textId="6D0D1A01" w:rsidR="002D5756" w:rsidRPr="006A64EE" w:rsidRDefault="009C2544" w:rsidP="004255F8">
            <w:pPr>
              <w:pStyle w:val="TableParagraph"/>
              <w:widowControl/>
              <w:suppressAutoHyphens/>
            </w:pPr>
            <w:r w:rsidRPr="006A64EE">
              <w:t xml:space="preserve">Unterbrechung der Anwendung von </w:t>
            </w:r>
            <w:r w:rsidR="0093710E" w:rsidRPr="001879E9">
              <w:t>Avtozma</w:t>
            </w:r>
            <w:r w:rsidRPr="006A64EE">
              <w:t xml:space="preserve"> bis &lt; 3 x ULN und Befolgen der oben stehenden Empfehlungen für Werte &gt; 1 bis 3 x ULN</w:t>
            </w:r>
          </w:p>
        </w:tc>
      </w:tr>
      <w:tr w:rsidR="002D5756" w:rsidRPr="006A64EE" w14:paraId="485AC005" w14:textId="77777777" w:rsidTr="00511A40">
        <w:trPr>
          <w:cantSplit/>
        </w:trPr>
        <w:tc>
          <w:tcPr>
            <w:tcW w:w="1937" w:type="dxa"/>
          </w:tcPr>
          <w:p w14:paraId="5EE952D9" w14:textId="77777777" w:rsidR="002D5756" w:rsidRPr="006A64EE" w:rsidRDefault="009C2544" w:rsidP="004255F8">
            <w:pPr>
              <w:pStyle w:val="TableParagraph"/>
              <w:widowControl/>
              <w:suppressAutoHyphens/>
            </w:pPr>
            <w:r w:rsidRPr="006A64EE">
              <w:t>&gt; 5 x ULN</w:t>
            </w:r>
          </w:p>
        </w:tc>
        <w:tc>
          <w:tcPr>
            <w:tcW w:w="7126" w:type="dxa"/>
          </w:tcPr>
          <w:p w14:paraId="32AB8118" w14:textId="2AAB79EC" w:rsidR="00093A5E" w:rsidRPr="006A64EE" w:rsidRDefault="009C2544" w:rsidP="004255F8">
            <w:pPr>
              <w:pStyle w:val="TableParagraph"/>
              <w:widowControl/>
              <w:suppressAutoHyphens/>
            </w:pPr>
            <w:r w:rsidRPr="006A64EE">
              <w:t xml:space="preserve">Absetzen von </w:t>
            </w:r>
            <w:r w:rsidR="0093710E" w:rsidRPr="001879E9">
              <w:t>Avtozma</w:t>
            </w:r>
          </w:p>
          <w:p w14:paraId="78844F8E" w14:textId="77777777" w:rsidR="00093A5E" w:rsidRPr="006A64EE" w:rsidRDefault="00093A5E" w:rsidP="004255F8">
            <w:pPr>
              <w:pStyle w:val="TableParagraph"/>
              <w:widowControl/>
              <w:suppressAutoHyphens/>
            </w:pPr>
          </w:p>
          <w:p w14:paraId="2D5C489F" w14:textId="0F711965" w:rsidR="002D5756" w:rsidRPr="006A64EE" w:rsidRDefault="009C2544" w:rsidP="004255F8">
            <w:pPr>
              <w:pStyle w:val="TableParagraph"/>
              <w:widowControl/>
              <w:suppressAutoHyphens/>
            </w:pPr>
            <w:r w:rsidRPr="006A64EE">
              <w:t xml:space="preserve">Die Entscheidung, </w:t>
            </w:r>
            <w:r w:rsidR="0093710E" w:rsidRPr="001879E9">
              <w:t>Avtozma</w:t>
            </w:r>
            <w:r w:rsidRPr="006A64EE">
              <w:t xml:space="preserve"> bei Patienten mit pJIA aufgrund abnormaler Laborwerte abzusetzen, sollte auf Grundlage einer medizinischen Untersuchung des einzelnen Patienten erfolgen.</w:t>
            </w:r>
          </w:p>
        </w:tc>
      </w:tr>
    </w:tbl>
    <w:p w14:paraId="06ECF2A0" w14:textId="77777777" w:rsidR="00093A5E" w:rsidRPr="006A64EE" w:rsidRDefault="00093A5E" w:rsidP="004255F8">
      <w:pPr>
        <w:pStyle w:val="bullet"/>
        <w:rPr>
          <w:rFonts w:ascii="Symbol" w:hAnsi="Symbol"/>
        </w:rPr>
      </w:pPr>
    </w:p>
    <w:p w14:paraId="55CD4122"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Niedrige absolute Anzahl neutrophiler Granulozyten (ANC = Absolute Neutrophil Count)</w:t>
      </w:r>
    </w:p>
    <w:p w14:paraId="0587D448" w14:textId="4B24974D" w:rsidR="002D5756" w:rsidRPr="006A64EE" w:rsidRDefault="002D5756" w:rsidP="004255F8">
      <w:pPr>
        <w:pStyle w:val="a3"/>
        <w:widowContro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44"/>
        <w:gridCol w:w="7117"/>
      </w:tblGrid>
      <w:tr w:rsidR="00593482" w:rsidRPr="006A64EE" w14:paraId="63F18785" w14:textId="77777777" w:rsidTr="00511A40">
        <w:trPr>
          <w:cantSplit/>
        </w:trPr>
        <w:tc>
          <w:tcPr>
            <w:tcW w:w="1944" w:type="dxa"/>
          </w:tcPr>
          <w:p w14:paraId="5A48A1E8" w14:textId="233B183D" w:rsidR="00E429F8" w:rsidRDefault="009C2544" w:rsidP="009B76B2">
            <w:pPr>
              <w:pStyle w:val="TableParagraph"/>
              <w:widowControl/>
              <w:suppressAutoHyphens/>
              <w:jc w:val="center"/>
              <w:rPr>
                <w:b/>
                <w:bCs/>
              </w:rPr>
            </w:pPr>
            <w:r w:rsidRPr="00E303AE">
              <w:rPr>
                <w:b/>
                <w:bCs/>
              </w:rPr>
              <w:t>Laborwert</w:t>
            </w:r>
          </w:p>
          <w:p w14:paraId="46E77D36" w14:textId="11BB5215" w:rsidR="002D5756" w:rsidRPr="00E303AE" w:rsidRDefault="009C2544" w:rsidP="009B76B2">
            <w:pPr>
              <w:pStyle w:val="TableParagraph"/>
              <w:widowControl/>
              <w:suppressAutoHyphens/>
              <w:jc w:val="center"/>
              <w:rPr>
                <w:b/>
                <w:bCs/>
              </w:rPr>
            </w:pPr>
            <w:r w:rsidRPr="00E303AE">
              <w:rPr>
                <w:b/>
                <w:bCs/>
              </w:rPr>
              <w:t>(Zellen x 10</w:t>
            </w:r>
            <w:r w:rsidRPr="00E303AE">
              <w:rPr>
                <w:b/>
                <w:bCs/>
                <w:vertAlign w:val="superscript"/>
              </w:rPr>
              <w:t>9</w:t>
            </w:r>
            <w:r w:rsidRPr="00E303AE">
              <w:rPr>
                <w:b/>
                <w:bCs/>
              </w:rPr>
              <w:t>/l)</w:t>
            </w:r>
          </w:p>
        </w:tc>
        <w:tc>
          <w:tcPr>
            <w:tcW w:w="7118" w:type="dxa"/>
          </w:tcPr>
          <w:p w14:paraId="39BB5D28" w14:textId="77777777" w:rsidR="002D5756" w:rsidRPr="00E303AE" w:rsidRDefault="009C2544" w:rsidP="009B76B2">
            <w:pPr>
              <w:pStyle w:val="TableParagraph"/>
              <w:widowControl/>
              <w:suppressAutoHyphens/>
              <w:jc w:val="center"/>
              <w:rPr>
                <w:b/>
                <w:bCs/>
              </w:rPr>
            </w:pPr>
            <w:r w:rsidRPr="00E303AE">
              <w:rPr>
                <w:b/>
                <w:bCs/>
              </w:rPr>
              <w:t>Vorgehen</w:t>
            </w:r>
          </w:p>
        </w:tc>
      </w:tr>
      <w:tr w:rsidR="00593482" w:rsidRPr="006A64EE" w14:paraId="136C8481" w14:textId="77777777" w:rsidTr="00511A40">
        <w:trPr>
          <w:cantSplit/>
        </w:trPr>
        <w:tc>
          <w:tcPr>
            <w:tcW w:w="1944" w:type="dxa"/>
          </w:tcPr>
          <w:p w14:paraId="43E8D7CD" w14:textId="77777777" w:rsidR="002D5756" w:rsidRPr="006A64EE" w:rsidRDefault="009C2544" w:rsidP="004255F8">
            <w:pPr>
              <w:pStyle w:val="TableParagraph"/>
              <w:widowControl/>
              <w:suppressAutoHyphens/>
            </w:pPr>
            <w:r w:rsidRPr="006A64EE">
              <w:t>ANC &gt; 1</w:t>
            </w:r>
          </w:p>
        </w:tc>
        <w:tc>
          <w:tcPr>
            <w:tcW w:w="7118" w:type="dxa"/>
          </w:tcPr>
          <w:p w14:paraId="56ABAF2F" w14:textId="77777777" w:rsidR="002D5756" w:rsidRPr="006A64EE" w:rsidRDefault="009C2544" w:rsidP="004255F8">
            <w:pPr>
              <w:pStyle w:val="TableParagraph"/>
              <w:widowControl/>
              <w:suppressAutoHyphens/>
            </w:pPr>
            <w:r w:rsidRPr="006A64EE">
              <w:t>Dosis beibehalten</w:t>
            </w:r>
          </w:p>
        </w:tc>
      </w:tr>
      <w:tr w:rsidR="00593482" w:rsidRPr="006A64EE" w14:paraId="5BEEB0BA" w14:textId="77777777" w:rsidTr="00511A40">
        <w:trPr>
          <w:cantSplit/>
        </w:trPr>
        <w:tc>
          <w:tcPr>
            <w:tcW w:w="1944" w:type="dxa"/>
          </w:tcPr>
          <w:p w14:paraId="452407F4" w14:textId="77777777" w:rsidR="002D5756" w:rsidRPr="006A64EE" w:rsidRDefault="009C2544" w:rsidP="004255F8">
            <w:pPr>
              <w:pStyle w:val="TableParagraph"/>
              <w:widowControl/>
              <w:suppressAutoHyphens/>
            </w:pPr>
            <w:r w:rsidRPr="006A64EE">
              <w:t>ANC 0,5 bis 1</w:t>
            </w:r>
          </w:p>
        </w:tc>
        <w:tc>
          <w:tcPr>
            <w:tcW w:w="7118" w:type="dxa"/>
          </w:tcPr>
          <w:p w14:paraId="031140CD" w14:textId="00E7F630" w:rsidR="00093A5E" w:rsidRPr="006A64EE" w:rsidRDefault="009C2544" w:rsidP="004255F8">
            <w:pPr>
              <w:pStyle w:val="TableParagraph"/>
              <w:widowControl/>
              <w:suppressAutoHyphens/>
            </w:pPr>
            <w:r w:rsidRPr="006A64EE">
              <w:t xml:space="preserve">Unterbrechung der Anwendung von </w:t>
            </w:r>
            <w:r w:rsidR="0093710E" w:rsidRPr="001879E9">
              <w:t>Avtozma</w:t>
            </w:r>
          </w:p>
          <w:p w14:paraId="47EFABF3" w14:textId="77777777" w:rsidR="00093A5E" w:rsidRPr="006A64EE" w:rsidRDefault="00093A5E" w:rsidP="004255F8">
            <w:pPr>
              <w:pStyle w:val="TableParagraph"/>
              <w:widowControl/>
              <w:suppressAutoHyphens/>
            </w:pPr>
          </w:p>
          <w:p w14:paraId="6CED053C" w14:textId="5DDC2F48" w:rsidR="002D5756" w:rsidRPr="006A64EE" w:rsidRDefault="009C2544" w:rsidP="004255F8">
            <w:pPr>
              <w:pStyle w:val="TableParagraph"/>
              <w:widowControl/>
              <w:suppressAutoHyphens/>
            </w:pPr>
            <w:r w:rsidRPr="006A64EE">
              <w:t>Wenn die ANC auf &gt; 1 x 10</w:t>
            </w:r>
            <w:r w:rsidRPr="006A64EE">
              <w:rPr>
                <w:vertAlign w:val="superscript"/>
              </w:rPr>
              <w:t>9</w:t>
            </w:r>
            <w:r w:rsidRPr="006A64EE">
              <w:t xml:space="preserve">/l ansteigt, Wiederaufnahme der Anwendung von </w:t>
            </w:r>
            <w:r w:rsidR="0093710E" w:rsidRPr="001879E9">
              <w:t>Avtozma</w:t>
            </w:r>
          </w:p>
        </w:tc>
      </w:tr>
      <w:tr w:rsidR="00593482" w:rsidRPr="006A64EE" w14:paraId="31127C92" w14:textId="77777777" w:rsidTr="00511A40">
        <w:trPr>
          <w:cantSplit/>
        </w:trPr>
        <w:tc>
          <w:tcPr>
            <w:tcW w:w="1944" w:type="dxa"/>
          </w:tcPr>
          <w:p w14:paraId="6EFEB8FE" w14:textId="77777777" w:rsidR="002D5756" w:rsidRPr="006A64EE" w:rsidRDefault="009C2544" w:rsidP="004255F8">
            <w:pPr>
              <w:pStyle w:val="TableParagraph"/>
              <w:widowControl/>
              <w:suppressAutoHyphens/>
            </w:pPr>
            <w:r w:rsidRPr="006A64EE">
              <w:t>ANC &lt; 0,5</w:t>
            </w:r>
          </w:p>
        </w:tc>
        <w:tc>
          <w:tcPr>
            <w:tcW w:w="7118" w:type="dxa"/>
          </w:tcPr>
          <w:p w14:paraId="4C420CAB" w14:textId="630EBE90" w:rsidR="00093A5E" w:rsidRPr="006A64EE" w:rsidRDefault="009C2544" w:rsidP="004255F8">
            <w:pPr>
              <w:pStyle w:val="TableParagraph"/>
              <w:widowControl/>
              <w:suppressAutoHyphens/>
            </w:pPr>
            <w:r w:rsidRPr="006A64EE">
              <w:t xml:space="preserve">Absetzen von </w:t>
            </w:r>
            <w:r w:rsidR="0093710E" w:rsidRPr="001879E9">
              <w:t>Avtozma</w:t>
            </w:r>
          </w:p>
          <w:p w14:paraId="1CECE7A5" w14:textId="77777777" w:rsidR="00093A5E" w:rsidRPr="006A64EE" w:rsidRDefault="00093A5E" w:rsidP="004255F8">
            <w:pPr>
              <w:pStyle w:val="TableParagraph"/>
              <w:widowControl/>
              <w:suppressAutoHyphens/>
            </w:pPr>
          </w:p>
          <w:p w14:paraId="0A671EBA" w14:textId="47B184B6" w:rsidR="002D5756" w:rsidRPr="006A64EE" w:rsidRDefault="009C2544" w:rsidP="004255F8">
            <w:pPr>
              <w:pStyle w:val="TableParagraph"/>
              <w:widowControl/>
              <w:suppressAutoHyphens/>
            </w:pPr>
            <w:r w:rsidRPr="006A64EE">
              <w:t xml:space="preserve">Die Entscheidung, </w:t>
            </w:r>
            <w:r w:rsidR="0093710E" w:rsidRPr="001879E9">
              <w:t>Avtozma</w:t>
            </w:r>
            <w:r w:rsidRPr="006A64EE">
              <w:t xml:space="preserve"> bei Patienten mit pJIA aufgrund abnormaler Laborwerte abzusetzen, sollte auf Grundlage einer medizinischen Untersuchung des einzelnen Patienten erfolgen.</w:t>
            </w:r>
          </w:p>
        </w:tc>
      </w:tr>
    </w:tbl>
    <w:p w14:paraId="0B0C2FE1" w14:textId="77777777" w:rsidR="0093710E" w:rsidRDefault="0093710E" w:rsidP="004255F8">
      <w:pPr>
        <w:pStyle w:val="bullet"/>
        <w:rPr>
          <w:rFonts w:ascii="Symbol" w:hAnsi="Symbol"/>
        </w:rPr>
      </w:pPr>
    </w:p>
    <w:p w14:paraId="7F32C737" w14:textId="2C6A74B6" w:rsidR="00093A5E" w:rsidRPr="006A64EE" w:rsidRDefault="0059713A" w:rsidP="004255F8">
      <w:pPr>
        <w:pStyle w:val="bullet"/>
      </w:pPr>
      <w:r w:rsidRPr="006A64EE">
        <w:rPr>
          <w:rFonts w:ascii="Symbol" w:hAnsi="Symbol"/>
        </w:rPr>
        <w:lastRenderedPageBreak/>
        <w:t></w:t>
      </w:r>
      <w:r w:rsidRPr="006A64EE">
        <w:rPr>
          <w:rFonts w:ascii="Symbol" w:hAnsi="Symbol"/>
        </w:rPr>
        <w:tab/>
      </w:r>
      <w:r w:rsidRPr="006A64EE">
        <w:t>Niedrige Thrombozytenanzahl</w:t>
      </w:r>
    </w:p>
    <w:p w14:paraId="4B94E428" w14:textId="477F7185" w:rsidR="002D5756" w:rsidRPr="006A64EE" w:rsidRDefault="002D5756" w:rsidP="004255F8">
      <w:pPr>
        <w:pStyle w:val="a3"/>
        <w:widowContro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28"/>
        <w:gridCol w:w="7133"/>
      </w:tblGrid>
      <w:tr w:rsidR="00593482" w:rsidRPr="006A64EE" w14:paraId="79491DB7" w14:textId="77777777" w:rsidTr="00511A40">
        <w:trPr>
          <w:cantSplit/>
        </w:trPr>
        <w:tc>
          <w:tcPr>
            <w:tcW w:w="1951" w:type="dxa"/>
          </w:tcPr>
          <w:p w14:paraId="1CD7E7BE" w14:textId="2D1D9F26" w:rsidR="00E31084" w:rsidRDefault="009C2544" w:rsidP="009B76B2">
            <w:pPr>
              <w:pStyle w:val="TableParagraph"/>
              <w:widowControl/>
              <w:suppressAutoHyphens/>
              <w:jc w:val="center"/>
              <w:rPr>
                <w:b/>
                <w:bCs/>
              </w:rPr>
            </w:pPr>
            <w:r w:rsidRPr="00E303AE">
              <w:rPr>
                <w:b/>
                <w:bCs/>
              </w:rPr>
              <w:t>Laborwert</w:t>
            </w:r>
          </w:p>
          <w:p w14:paraId="2A01B25E" w14:textId="2F459E55" w:rsidR="002D5756" w:rsidRPr="00E303AE" w:rsidRDefault="009C2544" w:rsidP="009B76B2">
            <w:pPr>
              <w:pStyle w:val="TableParagraph"/>
              <w:widowControl/>
              <w:suppressAutoHyphens/>
              <w:jc w:val="center"/>
              <w:rPr>
                <w:b/>
                <w:bCs/>
              </w:rPr>
            </w:pPr>
            <w:r w:rsidRPr="00E303AE">
              <w:rPr>
                <w:b/>
                <w:bCs/>
              </w:rPr>
              <w:t>(Zellen x 10</w:t>
            </w:r>
            <w:r w:rsidRPr="00E303AE">
              <w:rPr>
                <w:b/>
                <w:bCs/>
                <w:vertAlign w:val="superscript"/>
              </w:rPr>
              <w:t>3</w:t>
            </w:r>
            <w:r w:rsidRPr="00E303AE">
              <w:rPr>
                <w:b/>
                <w:bCs/>
              </w:rPr>
              <w:t>/µl)</w:t>
            </w:r>
          </w:p>
        </w:tc>
        <w:tc>
          <w:tcPr>
            <w:tcW w:w="7229" w:type="dxa"/>
          </w:tcPr>
          <w:p w14:paraId="1E247FD7" w14:textId="77777777" w:rsidR="002D5756" w:rsidRPr="00E303AE" w:rsidRDefault="009C2544" w:rsidP="009B76B2">
            <w:pPr>
              <w:pStyle w:val="TableParagraph"/>
              <w:widowControl/>
              <w:suppressAutoHyphens/>
              <w:jc w:val="center"/>
              <w:rPr>
                <w:b/>
                <w:bCs/>
              </w:rPr>
            </w:pPr>
            <w:r w:rsidRPr="00E303AE">
              <w:rPr>
                <w:b/>
                <w:bCs/>
              </w:rPr>
              <w:t>Vorgehen</w:t>
            </w:r>
          </w:p>
        </w:tc>
      </w:tr>
      <w:tr w:rsidR="00593482" w:rsidRPr="006A64EE" w14:paraId="59E119E1" w14:textId="77777777" w:rsidTr="00511A40">
        <w:trPr>
          <w:cantSplit/>
        </w:trPr>
        <w:tc>
          <w:tcPr>
            <w:tcW w:w="1951" w:type="dxa"/>
          </w:tcPr>
          <w:p w14:paraId="0505E1AE" w14:textId="77777777" w:rsidR="002D5756" w:rsidRPr="006A64EE" w:rsidRDefault="009C2544" w:rsidP="004255F8">
            <w:pPr>
              <w:pStyle w:val="TableParagraph"/>
              <w:widowControl/>
              <w:suppressAutoHyphens/>
            </w:pPr>
            <w:r w:rsidRPr="006A64EE">
              <w:t>50 bis 100</w:t>
            </w:r>
          </w:p>
        </w:tc>
        <w:tc>
          <w:tcPr>
            <w:tcW w:w="7229" w:type="dxa"/>
          </w:tcPr>
          <w:p w14:paraId="6DCB819D" w14:textId="77777777" w:rsidR="00093A5E" w:rsidRPr="006A64EE" w:rsidRDefault="009C2544" w:rsidP="004255F8">
            <w:pPr>
              <w:pStyle w:val="TableParagraph"/>
              <w:widowControl/>
              <w:suppressAutoHyphens/>
            </w:pPr>
            <w:r w:rsidRPr="006A64EE">
              <w:t xml:space="preserve">Dosisanpassung des gleichzeitig verabreichten MTX, falls angemessen </w:t>
            </w:r>
          </w:p>
          <w:p w14:paraId="33385FAB" w14:textId="77777777" w:rsidR="00093A5E" w:rsidRPr="006A64EE" w:rsidRDefault="00093A5E" w:rsidP="004255F8">
            <w:pPr>
              <w:pStyle w:val="TableParagraph"/>
              <w:widowControl/>
              <w:suppressAutoHyphens/>
            </w:pPr>
          </w:p>
          <w:p w14:paraId="62DDCE2D" w14:textId="003D1143" w:rsidR="00093A5E" w:rsidRPr="006A64EE" w:rsidRDefault="009C2544" w:rsidP="004255F8">
            <w:pPr>
              <w:pStyle w:val="TableParagraph"/>
              <w:widowControl/>
              <w:suppressAutoHyphens/>
            </w:pPr>
            <w:r w:rsidRPr="006A64EE">
              <w:t xml:space="preserve">Unterbrechung der Anwendung von </w:t>
            </w:r>
            <w:r w:rsidR="0093710E" w:rsidRPr="001879E9">
              <w:t>Avtozma</w:t>
            </w:r>
          </w:p>
          <w:p w14:paraId="723B9034" w14:textId="77777777" w:rsidR="00093A5E" w:rsidRPr="006A64EE" w:rsidRDefault="00093A5E" w:rsidP="004255F8">
            <w:pPr>
              <w:pStyle w:val="TableParagraph"/>
              <w:widowControl/>
              <w:suppressAutoHyphens/>
            </w:pPr>
          </w:p>
          <w:p w14:paraId="63053578" w14:textId="41CBF455" w:rsidR="002D5756" w:rsidRPr="006A64EE" w:rsidRDefault="009C2544" w:rsidP="004255F8">
            <w:pPr>
              <w:pStyle w:val="TableParagraph"/>
              <w:widowControl/>
              <w:suppressAutoHyphens/>
            </w:pPr>
            <w:r w:rsidRPr="006A64EE">
              <w:t>Wenn die Thrombozytenanzahl auf &gt; 100 x 10</w:t>
            </w:r>
            <w:r w:rsidRPr="006A64EE">
              <w:rPr>
                <w:vertAlign w:val="superscript"/>
              </w:rPr>
              <w:t>3</w:t>
            </w:r>
            <w:r w:rsidRPr="006A64EE">
              <w:t xml:space="preserve">/µl ansteigt, Wiederaufnahme der Anwendung von </w:t>
            </w:r>
            <w:r w:rsidR="0093710E" w:rsidRPr="001879E9">
              <w:t>Avtozma</w:t>
            </w:r>
          </w:p>
        </w:tc>
      </w:tr>
      <w:tr w:rsidR="002D5756" w:rsidRPr="006A64EE" w14:paraId="2F64FB4B" w14:textId="77777777" w:rsidTr="00511A40">
        <w:trPr>
          <w:cantSplit/>
        </w:trPr>
        <w:tc>
          <w:tcPr>
            <w:tcW w:w="1951" w:type="dxa"/>
          </w:tcPr>
          <w:p w14:paraId="2BAAAC0C" w14:textId="77777777" w:rsidR="002D5756" w:rsidRPr="006A64EE" w:rsidRDefault="009C2544" w:rsidP="004255F8">
            <w:pPr>
              <w:pStyle w:val="TableParagraph"/>
              <w:widowControl/>
              <w:suppressAutoHyphens/>
            </w:pPr>
            <w:r w:rsidRPr="006A64EE">
              <w:t>&lt; 50</w:t>
            </w:r>
          </w:p>
        </w:tc>
        <w:tc>
          <w:tcPr>
            <w:tcW w:w="7229" w:type="dxa"/>
          </w:tcPr>
          <w:p w14:paraId="1D874AED" w14:textId="4869352D" w:rsidR="00093A5E" w:rsidRPr="006A64EE" w:rsidRDefault="009C2544" w:rsidP="004255F8">
            <w:pPr>
              <w:pStyle w:val="TableParagraph"/>
              <w:widowControl/>
              <w:suppressAutoHyphens/>
            </w:pPr>
            <w:r w:rsidRPr="006A64EE">
              <w:t xml:space="preserve">Absetzen von </w:t>
            </w:r>
            <w:r w:rsidR="0093710E" w:rsidRPr="001879E9">
              <w:t>Avtozma</w:t>
            </w:r>
          </w:p>
          <w:p w14:paraId="6A521EAB" w14:textId="77777777" w:rsidR="00093A5E" w:rsidRPr="006A64EE" w:rsidRDefault="00093A5E" w:rsidP="004255F8">
            <w:pPr>
              <w:pStyle w:val="TableParagraph"/>
              <w:widowControl/>
              <w:suppressAutoHyphens/>
            </w:pPr>
          </w:p>
          <w:p w14:paraId="3A4CCD19" w14:textId="0729CE7A" w:rsidR="007D680A" w:rsidRPr="006A64EE" w:rsidRDefault="009C2544" w:rsidP="004255F8">
            <w:pPr>
              <w:pStyle w:val="TableParagraph"/>
              <w:widowControl/>
              <w:suppressAutoHyphens/>
            </w:pPr>
            <w:r w:rsidRPr="006A64EE">
              <w:t xml:space="preserve">Die Entscheidung, </w:t>
            </w:r>
            <w:r w:rsidR="0093710E" w:rsidRPr="001879E9">
              <w:t>Avtozma</w:t>
            </w:r>
            <w:r w:rsidRPr="006A64EE">
              <w:t xml:space="preserve"> bei Patienten mit pJIA aufgrund abnormaler Laborwerte abzusetzen, sollte auf Grundlage einer medizinischen Untersuchung des einzelnen Patienten erfolgen.</w:t>
            </w:r>
          </w:p>
        </w:tc>
      </w:tr>
    </w:tbl>
    <w:p w14:paraId="6B6F6547" w14:textId="77777777" w:rsidR="00093A5E" w:rsidRPr="006A64EE" w:rsidRDefault="00093A5E" w:rsidP="004255F8">
      <w:pPr>
        <w:widowControl/>
      </w:pPr>
    </w:p>
    <w:p w14:paraId="6630E155" w14:textId="77777777" w:rsidR="00093A5E" w:rsidRPr="006A64EE" w:rsidRDefault="007D680A" w:rsidP="004255F8">
      <w:pPr>
        <w:widowControl/>
      </w:pPr>
      <w:r w:rsidRPr="006A64EE">
        <w:t>Eine Reduktion der Tocilizumab-Dosis aufgrund abnormaler Laborwerte wurde bei Patienten mit pJIA nicht untersucht.</w:t>
      </w:r>
    </w:p>
    <w:p w14:paraId="7C4169AB" w14:textId="77777777" w:rsidR="00093A5E" w:rsidRPr="006A64EE" w:rsidRDefault="00093A5E" w:rsidP="004255F8">
      <w:pPr>
        <w:pStyle w:val="a3"/>
        <w:widowControl/>
      </w:pPr>
    </w:p>
    <w:p w14:paraId="64CD5261" w14:textId="69E2CA9A" w:rsidR="00093A5E" w:rsidRPr="006A64EE" w:rsidRDefault="009C2544" w:rsidP="004255F8">
      <w:pPr>
        <w:pStyle w:val="a3"/>
        <w:widowControl/>
      </w:pPr>
      <w:r w:rsidRPr="006A64EE">
        <w:t xml:space="preserve">Verfügbare Daten deuten darauf hin, dass innerhalb von 12 Wochen nach Beginn der Therapie mit </w:t>
      </w:r>
      <w:r w:rsidR="0093710E">
        <w:t xml:space="preserve">Tocilizumab </w:t>
      </w:r>
      <w:r w:rsidRPr="006A64EE">
        <w:t>eine klinische Verbesserung beobachtet wird. Eine Weiterbehandlung sollte bei Patienten, bei denen es innerhalb dieses Zeitraums nicht zu einer Verbesserung kommt, sorgfältig abgewogen werden.</w:t>
      </w:r>
    </w:p>
    <w:p w14:paraId="33DE498D" w14:textId="77777777" w:rsidR="00093A5E" w:rsidRPr="006A64EE" w:rsidRDefault="00093A5E" w:rsidP="004255F8">
      <w:pPr>
        <w:pStyle w:val="a3"/>
        <w:widowControl/>
      </w:pPr>
    </w:p>
    <w:p w14:paraId="4CFEE407" w14:textId="77777777" w:rsidR="00093A5E" w:rsidRPr="006A64EE" w:rsidRDefault="009C2544" w:rsidP="004255F8">
      <w:pPr>
        <w:widowControl/>
        <w:rPr>
          <w:i/>
        </w:rPr>
      </w:pPr>
      <w:r w:rsidRPr="006A64EE">
        <w:rPr>
          <w:i/>
        </w:rPr>
        <w:t>Ältere Patienten</w:t>
      </w:r>
    </w:p>
    <w:p w14:paraId="401CB81E" w14:textId="77777777" w:rsidR="00093A5E" w:rsidRPr="006A64EE" w:rsidRDefault="009C2544" w:rsidP="004255F8">
      <w:pPr>
        <w:pStyle w:val="a3"/>
        <w:widowControl/>
      </w:pPr>
      <w:r w:rsidRPr="006A64EE">
        <w:t>Bei älteren Patienten &gt; 65 Jahre ist keine Dosisanpassung erforderlich.</w:t>
      </w:r>
    </w:p>
    <w:p w14:paraId="28D01ADC" w14:textId="77777777" w:rsidR="00093A5E" w:rsidRPr="006A64EE" w:rsidRDefault="00093A5E" w:rsidP="004255F8">
      <w:pPr>
        <w:pStyle w:val="a3"/>
        <w:widowControl/>
      </w:pPr>
    </w:p>
    <w:p w14:paraId="5AF89232" w14:textId="77777777" w:rsidR="00093A5E" w:rsidRPr="006A64EE" w:rsidRDefault="009C2544" w:rsidP="004255F8">
      <w:pPr>
        <w:widowControl/>
        <w:rPr>
          <w:i/>
        </w:rPr>
      </w:pPr>
      <w:r w:rsidRPr="006A64EE">
        <w:rPr>
          <w:i/>
        </w:rPr>
        <w:t>Patienten mit Nierenfunktionsstörungen</w:t>
      </w:r>
    </w:p>
    <w:p w14:paraId="54927C40" w14:textId="3C835D32" w:rsidR="00093A5E" w:rsidRPr="006A64EE" w:rsidRDefault="009C2544" w:rsidP="004255F8">
      <w:pPr>
        <w:pStyle w:val="a3"/>
        <w:widowControl/>
      </w:pPr>
      <w:r w:rsidRPr="006A64EE">
        <w:t xml:space="preserve">Bei Patienten mit leichter Nierenfunktionsstörung ist keine Dosisanpassung erforderlich. </w:t>
      </w:r>
      <w:r w:rsidR="0093710E" w:rsidRPr="001879E9">
        <w:t>Avtozma</w:t>
      </w:r>
      <w:r w:rsidRPr="006A64EE">
        <w:t xml:space="preserve"> wurde bei Patienten mit mäßiger bis schwerer Nierenfunktionsstörung nicht untersucht (siehe Abschnitt 5.2). Bei diesen Patienten muss die Nierenfunktion engmaschig überwacht werden.</w:t>
      </w:r>
    </w:p>
    <w:p w14:paraId="12B58F4D" w14:textId="77777777" w:rsidR="00093A5E" w:rsidRPr="006A64EE" w:rsidRDefault="00093A5E" w:rsidP="004255F8">
      <w:pPr>
        <w:pStyle w:val="a3"/>
        <w:widowControl/>
      </w:pPr>
    </w:p>
    <w:p w14:paraId="77AD425C" w14:textId="77777777" w:rsidR="00093A5E" w:rsidRPr="006A64EE" w:rsidRDefault="009C2544" w:rsidP="004255F8">
      <w:pPr>
        <w:widowControl/>
        <w:rPr>
          <w:i/>
        </w:rPr>
      </w:pPr>
      <w:r w:rsidRPr="006A64EE">
        <w:rPr>
          <w:i/>
        </w:rPr>
        <w:t>Patienten mit Leberfunktionsstörungen</w:t>
      </w:r>
    </w:p>
    <w:p w14:paraId="0CE01E38" w14:textId="169B2C8B" w:rsidR="00093A5E" w:rsidRPr="006A64EE" w:rsidRDefault="0093710E" w:rsidP="004255F8">
      <w:pPr>
        <w:pStyle w:val="a3"/>
        <w:widowControl/>
      </w:pPr>
      <w:r w:rsidRPr="001879E9">
        <w:t>Avtozma</w:t>
      </w:r>
      <w:r w:rsidR="009C2544" w:rsidRPr="006A64EE">
        <w:t xml:space="preserve"> wurde bei Patienten mit Leberfunktionsstörungen nicht untersucht. Daher kann keine Dosierungsempfehlung gegeben werden.</w:t>
      </w:r>
    </w:p>
    <w:p w14:paraId="0CF40970" w14:textId="77777777" w:rsidR="00093A5E" w:rsidRPr="006A64EE" w:rsidRDefault="00093A5E" w:rsidP="004255F8">
      <w:pPr>
        <w:pStyle w:val="a3"/>
        <w:widowControl/>
      </w:pPr>
    </w:p>
    <w:p w14:paraId="621AFDCF" w14:textId="77777777" w:rsidR="00093A5E" w:rsidRPr="006A64EE" w:rsidRDefault="009C2544" w:rsidP="004255F8">
      <w:pPr>
        <w:pStyle w:val="a3"/>
        <w:widowControl/>
        <w:rPr>
          <w:u w:val="single"/>
        </w:rPr>
      </w:pPr>
      <w:r w:rsidRPr="006A64EE">
        <w:rPr>
          <w:u w:val="single"/>
        </w:rPr>
        <w:t>Art der Anwendung</w:t>
      </w:r>
    </w:p>
    <w:p w14:paraId="4087D021" w14:textId="77777777" w:rsidR="00093A5E" w:rsidRPr="006A64EE" w:rsidRDefault="00093A5E" w:rsidP="004255F8">
      <w:pPr>
        <w:pStyle w:val="a3"/>
        <w:widowControl/>
      </w:pPr>
    </w:p>
    <w:p w14:paraId="364AAAEB" w14:textId="5A08A11E" w:rsidR="00093A5E" w:rsidRPr="006A64EE" w:rsidRDefault="009C2544" w:rsidP="004255F8">
      <w:pPr>
        <w:pStyle w:val="a3"/>
        <w:widowControl/>
      </w:pPr>
      <w:r w:rsidRPr="006A64EE">
        <w:t xml:space="preserve">Nach Verdünnung sollte </w:t>
      </w:r>
      <w:r w:rsidR="0093710E" w:rsidRPr="001879E9">
        <w:t>Avtozma</w:t>
      </w:r>
      <w:r w:rsidRPr="006A64EE">
        <w:t xml:space="preserve"> Patienten mit RA, sJIA, pJIA, CRS oder COVID-19 als intravenöse Infusion über 1 Stunde verabreicht werden.</w:t>
      </w:r>
    </w:p>
    <w:p w14:paraId="698BC9B1" w14:textId="77777777" w:rsidR="00093A5E" w:rsidRPr="006A64EE" w:rsidRDefault="00093A5E" w:rsidP="004255F8">
      <w:pPr>
        <w:pStyle w:val="a3"/>
        <w:widowControl/>
      </w:pPr>
    </w:p>
    <w:p w14:paraId="5DE7B828" w14:textId="19A24A39" w:rsidR="00093A5E" w:rsidRPr="006A64EE" w:rsidRDefault="009C2544" w:rsidP="004255F8">
      <w:pPr>
        <w:widowControl/>
        <w:rPr>
          <w:i/>
        </w:rPr>
      </w:pPr>
      <w:r w:rsidRPr="006A64EE">
        <w:rPr>
          <w:i/>
        </w:rPr>
        <w:t>Patienten mit RA, sJIA, pJIA, CRS oder COVID-19 ≥</w:t>
      </w:r>
      <w:r w:rsidR="00F556A7">
        <w:rPr>
          <w:i/>
        </w:rPr>
        <w:t> </w:t>
      </w:r>
      <w:r w:rsidRPr="006A64EE">
        <w:rPr>
          <w:i/>
        </w:rPr>
        <w:t>30</w:t>
      </w:r>
      <w:r w:rsidR="00F556A7">
        <w:rPr>
          <w:i/>
        </w:rPr>
        <w:t> </w:t>
      </w:r>
      <w:r w:rsidRPr="006A64EE">
        <w:rPr>
          <w:i/>
        </w:rPr>
        <w:t>kg</w:t>
      </w:r>
    </w:p>
    <w:p w14:paraId="556B9FEC" w14:textId="21E0F624" w:rsidR="00093A5E" w:rsidRPr="006A64EE" w:rsidRDefault="0093710E" w:rsidP="004255F8">
      <w:pPr>
        <w:pStyle w:val="a3"/>
        <w:widowControl/>
      </w:pPr>
      <w:r w:rsidRPr="001879E9">
        <w:t>Avtozma</w:t>
      </w:r>
      <w:r w:rsidR="009C2544" w:rsidRPr="006A64EE">
        <w:t xml:space="preserve"> ist unter aseptischen Bedingungen mit steriler, pyrogenfreier 0,9%iger Natriumchlorid-Lösung (9</w:t>
      </w:r>
      <w:r w:rsidR="00F556A7">
        <w:t> </w:t>
      </w:r>
      <w:r w:rsidR="009C2544" w:rsidRPr="006A64EE">
        <w:t xml:space="preserve">mg/ml Natriumchlorid) </w:t>
      </w:r>
      <w:r w:rsidR="003D7846">
        <w:t xml:space="preserve">oder </w:t>
      </w:r>
      <w:r w:rsidR="00902B9F">
        <w:rPr>
          <w:rFonts w:eastAsia="맑은 고딕" w:hint="eastAsia"/>
          <w:lang w:eastAsia="ko-KR"/>
        </w:rPr>
        <w:t>0,45%</w:t>
      </w:r>
      <w:r w:rsidR="00587220" w:rsidRPr="00E739EC">
        <w:rPr>
          <w:rFonts w:eastAsia="맑은 고딕"/>
          <w:lang w:eastAsia="ko-KR"/>
        </w:rPr>
        <w:t>iger</w:t>
      </w:r>
      <w:r w:rsidR="00902B9F">
        <w:rPr>
          <w:rFonts w:eastAsia="맑은 고딕" w:hint="eastAsia"/>
          <w:lang w:eastAsia="ko-KR"/>
        </w:rPr>
        <w:t xml:space="preserve"> Natriumchlorid-L</w:t>
      </w:r>
      <w:r w:rsidR="00902B9F">
        <w:t>ö</w:t>
      </w:r>
      <w:r w:rsidR="00902B9F">
        <w:rPr>
          <w:rFonts w:eastAsia="맑은 고딕" w:hint="eastAsia"/>
          <w:lang w:eastAsia="ko-KR"/>
        </w:rPr>
        <w:t>sung (</w:t>
      </w:r>
      <w:r w:rsidR="000E33CE">
        <w:rPr>
          <w:rFonts w:eastAsia="맑은 고딕" w:hint="eastAsia"/>
          <w:lang w:eastAsia="ko-KR"/>
        </w:rPr>
        <w:t>4</w:t>
      </w:r>
      <w:r w:rsidR="00587220">
        <w:rPr>
          <w:rFonts w:eastAsia="맑은 고딕" w:hint="eastAsia"/>
          <w:lang w:eastAsia="ko-KR"/>
        </w:rPr>
        <w:t>,</w:t>
      </w:r>
      <w:r w:rsidR="000E33CE">
        <w:rPr>
          <w:rFonts w:eastAsia="맑은 고딕" w:hint="eastAsia"/>
          <w:lang w:eastAsia="ko-KR"/>
        </w:rPr>
        <w:t>5</w:t>
      </w:r>
      <w:r w:rsidR="00F556A7">
        <w:rPr>
          <w:rFonts w:eastAsia="맑은 고딕"/>
          <w:lang w:eastAsia="ko-KR"/>
        </w:rPr>
        <w:t> </w:t>
      </w:r>
      <w:r w:rsidR="00902B9F">
        <w:rPr>
          <w:rFonts w:eastAsia="맑은 고딕" w:hint="eastAsia"/>
          <w:lang w:eastAsia="ko-KR"/>
        </w:rPr>
        <w:t xml:space="preserve">mg/ml Natriumchlorid) </w:t>
      </w:r>
      <w:r w:rsidR="009C2544" w:rsidRPr="006A64EE">
        <w:t>auf ein finales Volumen von 100</w:t>
      </w:r>
      <w:r w:rsidR="00F556A7">
        <w:t> </w:t>
      </w:r>
      <w:r w:rsidR="009C2544" w:rsidRPr="006A64EE">
        <w:t>ml zu verdünnen.</w:t>
      </w:r>
    </w:p>
    <w:p w14:paraId="1CE2F4E2" w14:textId="77777777" w:rsidR="00093A5E" w:rsidRPr="006A64EE" w:rsidRDefault="00093A5E" w:rsidP="004255F8">
      <w:pPr>
        <w:pStyle w:val="a3"/>
        <w:widowControl/>
      </w:pPr>
    </w:p>
    <w:p w14:paraId="2CCF619A" w14:textId="4E4F8E28" w:rsidR="00093A5E" w:rsidRPr="006A64EE" w:rsidRDefault="009C2544" w:rsidP="004255F8">
      <w:pPr>
        <w:pStyle w:val="a3"/>
        <w:widowControl/>
      </w:pPr>
      <w:r w:rsidRPr="006A64EE">
        <w:t>Hinweise zur Verdünnung des Arzneimittels vor der Anwendung, siehe Abschnitt</w:t>
      </w:r>
      <w:r w:rsidR="00DE775B">
        <w:t> </w:t>
      </w:r>
      <w:r w:rsidRPr="006A64EE">
        <w:t>6.6.</w:t>
      </w:r>
    </w:p>
    <w:p w14:paraId="2AE02910" w14:textId="77777777" w:rsidR="00093A5E" w:rsidRPr="006A64EE" w:rsidRDefault="00093A5E" w:rsidP="004255F8">
      <w:pPr>
        <w:pStyle w:val="a3"/>
        <w:widowControl/>
      </w:pPr>
    </w:p>
    <w:p w14:paraId="70100634" w14:textId="77777777" w:rsidR="00093A5E" w:rsidRPr="006A64EE" w:rsidRDefault="009C2544" w:rsidP="004255F8">
      <w:pPr>
        <w:widowControl/>
        <w:rPr>
          <w:i/>
        </w:rPr>
      </w:pPr>
      <w:r w:rsidRPr="006A64EE">
        <w:rPr>
          <w:i/>
        </w:rPr>
        <w:t>Patienten mit sJIA, pJIA oder CRS &lt; 30 kg</w:t>
      </w:r>
    </w:p>
    <w:p w14:paraId="4FC08220" w14:textId="705551FE" w:rsidR="00093A5E" w:rsidRPr="006A64EE" w:rsidRDefault="0093710E" w:rsidP="004255F8">
      <w:pPr>
        <w:pStyle w:val="a3"/>
        <w:widowControl/>
      </w:pPr>
      <w:r w:rsidRPr="001879E9">
        <w:t>Avtozma</w:t>
      </w:r>
      <w:r w:rsidR="009C2544" w:rsidRPr="006A64EE">
        <w:t xml:space="preserve"> ist unter aseptischen Bedingungen mit steriler, pyrogenfreier 0,9%iger Natriumchlorid-Lösung (9</w:t>
      </w:r>
      <w:r w:rsidR="002870CF">
        <w:t> </w:t>
      </w:r>
      <w:r w:rsidR="009C2544" w:rsidRPr="006A64EE">
        <w:t xml:space="preserve">mg/ml Natriumchlorid) </w:t>
      </w:r>
      <w:r w:rsidR="00E43423">
        <w:t>oder</w:t>
      </w:r>
      <w:r w:rsidR="00587220">
        <w:rPr>
          <w:rFonts w:eastAsia="맑은 고딕" w:hint="eastAsia"/>
          <w:lang w:eastAsia="ko-KR"/>
        </w:rPr>
        <w:t xml:space="preserve"> </w:t>
      </w:r>
      <w:r w:rsidR="00902B9F">
        <w:rPr>
          <w:rFonts w:eastAsia="맑은 고딕" w:hint="eastAsia"/>
          <w:lang w:eastAsia="ko-KR"/>
        </w:rPr>
        <w:t>0,45%</w:t>
      </w:r>
      <w:r w:rsidR="00660643">
        <w:rPr>
          <w:rFonts w:eastAsia="맑은 고딕" w:hint="eastAsia"/>
          <w:lang w:eastAsia="ko-KR"/>
        </w:rPr>
        <w:t>iger</w:t>
      </w:r>
      <w:r w:rsidR="00902B9F">
        <w:rPr>
          <w:rFonts w:eastAsia="맑은 고딕" w:hint="eastAsia"/>
          <w:lang w:eastAsia="ko-KR"/>
        </w:rPr>
        <w:t xml:space="preserve"> Natriumchlorid-L</w:t>
      </w:r>
      <w:r w:rsidR="00902B9F">
        <w:t>ö</w:t>
      </w:r>
      <w:r w:rsidR="00902B9F">
        <w:rPr>
          <w:rFonts w:eastAsia="맑은 고딕" w:hint="eastAsia"/>
          <w:lang w:eastAsia="ko-KR"/>
        </w:rPr>
        <w:t>sung (</w:t>
      </w:r>
      <w:r w:rsidR="000E33CE">
        <w:rPr>
          <w:rFonts w:eastAsia="맑은 고딕" w:hint="eastAsia"/>
          <w:lang w:eastAsia="ko-KR"/>
        </w:rPr>
        <w:t>4</w:t>
      </w:r>
      <w:r w:rsidR="00587220">
        <w:rPr>
          <w:rFonts w:eastAsia="맑은 고딕" w:hint="eastAsia"/>
          <w:lang w:eastAsia="ko-KR"/>
        </w:rPr>
        <w:t>,</w:t>
      </w:r>
      <w:r w:rsidR="000E33CE">
        <w:rPr>
          <w:rFonts w:eastAsia="맑은 고딕" w:hint="eastAsia"/>
          <w:lang w:eastAsia="ko-KR"/>
        </w:rPr>
        <w:t>5</w:t>
      </w:r>
      <w:r w:rsidR="00DE775B">
        <w:rPr>
          <w:rFonts w:eastAsia="맑은 고딕"/>
          <w:lang w:eastAsia="ko-KR"/>
        </w:rPr>
        <w:t> </w:t>
      </w:r>
      <w:r w:rsidR="00902B9F">
        <w:rPr>
          <w:rFonts w:eastAsia="맑은 고딕" w:hint="eastAsia"/>
          <w:lang w:eastAsia="ko-KR"/>
        </w:rPr>
        <w:t xml:space="preserve">mg/ml Natriumchlorid) </w:t>
      </w:r>
      <w:r w:rsidR="009C2544" w:rsidRPr="006A64EE">
        <w:t>auf ein finales Volumen von 50</w:t>
      </w:r>
      <w:r w:rsidR="00DE775B">
        <w:t> </w:t>
      </w:r>
      <w:r w:rsidR="009C2544" w:rsidRPr="006A64EE">
        <w:t>ml zu verdünnen.</w:t>
      </w:r>
    </w:p>
    <w:p w14:paraId="274CDDE4" w14:textId="77777777" w:rsidR="00093A5E" w:rsidRPr="006A64EE" w:rsidRDefault="00093A5E" w:rsidP="004255F8">
      <w:pPr>
        <w:pStyle w:val="a3"/>
        <w:widowControl/>
      </w:pPr>
    </w:p>
    <w:p w14:paraId="732D2C9A" w14:textId="14376CC5" w:rsidR="00093A5E" w:rsidRPr="006A64EE" w:rsidRDefault="009C2544" w:rsidP="004255F8">
      <w:pPr>
        <w:pStyle w:val="a3"/>
        <w:widowControl/>
      </w:pPr>
      <w:r w:rsidRPr="006A64EE">
        <w:t>Hinweise zur Verdünnung des Arzneimittels vor der Anwendung, siehe Abschnitt</w:t>
      </w:r>
      <w:r w:rsidR="00DE775B">
        <w:t> </w:t>
      </w:r>
      <w:r w:rsidRPr="006A64EE">
        <w:t>6.6.</w:t>
      </w:r>
    </w:p>
    <w:p w14:paraId="2714FCAB" w14:textId="77777777" w:rsidR="00093A5E" w:rsidRPr="006A64EE" w:rsidRDefault="00093A5E" w:rsidP="004255F8">
      <w:pPr>
        <w:pStyle w:val="a3"/>
        <w:widowControl/>
      </w:pPr>
    </w:p>
    <w:p w14:paraId="5D239D02" w14:textId="2D547FD5" w:rsidR="00093A5E" w:rsidRPr="006A64EE" w:rsidRDefault="009C2544" w:rsidP="004255F8">
      <w:pPr>
        <w:pStyle w:val="a3"/>
        <w:widowControl/>
      </w:pPr>
      <w:r w:rsidRPr="006A64EE">
        <w:lastRenderedPageBreak/>
        <w:t xml:space="preserve">Wenn Anzeichen und Symptome einer infusionsbedingten Reaktion auftreten, ist die Infusion zu verlangsamen oder abzubrechen, und </w:t>
      </w:r>
      <w:r w:rsidR="005B39B6">
        <w:t xml:space="preserve">es sind </w:t>
      </w:r>
      <w:r w:rsidRPr="006A64EE">
        <w:t>sofort geeignete Arzneimittel zu verabreichen/ unterstützende Maßnahmen zu ergreifen, siehe Abschnitt</w:t>
      </w:r>
      <w:r w:rsidR="00DE775B">
        <w:t> </w:t>
      </w:r>
      <w:r w:rsidRPr="006A64EE">
        <w:t>4.4.</w:t>
      </w:r>
    </w:p>
    <w:p w14:paraId="3A4B31AA" w14:textId="77777777" w:rsidR="00093A5E" w:rsidRPr="006A64EE" w:rsidRDefault="00093A5E" w:rsidP="004255F8">
      <w:pPr>
        <w:pStyle w:val="a3"/>
        <w:widowControl/>
      </w:pPr>
    </w:p>
    <w:p w14:paraId="7EDD87A8" w14:textId="77777777" w:rsidR="00093A5E" w:rsidRPr="006A64EE" w:rsidRDefault="0059713A" w:rsidP="004255F8">
      <w:pPr>
        <w:pStyle w:val="2"/>
      </w:pPr>
      <w:r w:rsidRPr="006A64EE">
        <w:t>4.3</w:t>
      </w:r>
      <w:r w:rsidRPr="006A64EE">
        <w:tab/>
        <w:t>Gegenanzeigen</w:t>
      </w:r>
    </w:p>
    <w:p w14:paraId="13AA3730" w14:textId="77777777" w:rsidR="00093A5E" w:rsidRPr="006A64EE" w:rsidRDefault="00093A5E" w:rsidP="00D0274D"/>
    <w:p w14:paraId="0AEC1563" w14:textId="77777777" w:rsidR="00093A5E" w:rsidRPr="006A64EE" w:rsidRDefault="009C2544" w:rsidP="004255F8">
      <w:pPr>
        <w:pStyle w:val="a3"/>
        <w:widowControl/>
      </w:pPr>
      <w:r w:rsidRPr="006A64EE">
        <w:t>Überempfindlichkeit gegen den Wirkstoff oder einen der in Abschnitt 6.1 genannten sonstigen Bestandteile.</w:t>
      </w:r>
    </w:p>
    <w:p w14:paraId="1DFD3BD4" w14:textId="77777777" w:rsidR="00093A5E" w:rsidRPr="006A64EE" w:rsidRDefault="00093A5E" w:rsidP="004255F8">
      <w:pPr>
        <w:pStyle w:val="a3"/>
        <w:widowControl/>
      </w:pPr>
    </w:p>
    <w:p w14:paraId="190F433C" w14:textId="77777777" w:rsidR="00093A5E" w:rsidRPr="006A64EE" w:rsidRDefault="009C2544" w:rsidP="004255F8">
      <w:pPr>
        <w:pStyle w:val="a3"/>
        <w:widowControl/>
      </w:pPr>
      <w:r w:rsidRPr="006A64EE">
        <w:t>Aktive, schwere Infektionen, mit Ausnahme von COVID-19 (siehe Abschnitt 4.4).</w:t>
      </w:r>
    </w:p>
    <w:p w14:paraId="799306D9" w14:textId="77777777" w:rsidR="00093A5E" w:rsidRPr="006A64EE" w:rsidRDefault="00093A5E" w:rsidP="004255F8">
      <w:pPr>
        <w:pStyle w:val="a3"/>
        <w:widowControl/>
      </w:pPr>
    </w:p>
    <w:p w14:paraId="3261DDFD" w14:textId="77777777" w:rsidR="00093A5E" w:rsidRPr="006A64EE" w:rsidRDefault="0059713A" w:rsidP="004255F8">
      <w:pPr>
        <w:pStyle w:val="2"/>
      </w:pPr>
      <w:r w:rsidRPr="006A64EE">
        <w:t>4.4</w:t>
      </w:r>
      <w:r w:rsidRPr="006A64EE">
        <w:tab/>
        <w:t>Besondere Warnhinweise und Vorsichtsmaßnahmen für die Anwendung</w:t>
      </w:r>
    </w:p>
    <w:p w14:paraId="6F8E00FC" w14:textId="77777777" w:rsidR="00093A5E" w:rsidRPr="006A64EE" w:rsidRDefault="00093A5E" w:rsidP="00D0274D"/>
    <w:p w14:paraId="6DD75EDD" w14:textId="77777777" w:rsidR="00093A5E" w:rsidRPr="006A64EE" w:rsidRDefault="009C2544" w:rsidP="004255F8">
      <w:pPr>
        <w:widowControl/>
        <w:rPr>
          <w:i/>
        </w:rPr>
      </w:pPr>
      <w:r w:rsidRPr="006A64EE">
        <w:rPr>
          <w:i/>
        </w:rPr>
        <w:t>Rückverfolgbarkeit</w:t>
      </w:r>
    </w:p>
    <w:p w14:paraId="30104C68" w14:textId="1FE3B2FE" w:rsidR="00093A5E" w:rsidRPr="006A64EE" w:rsidRDefault="009C2544" w:rsidP="004255F8">
      <w:pPr>
        <w:pStyle w:val="a3"/>
        <w:widowControl/>
      </w:pPr>
      <w:r w:rsidRPr="006A64EE">
        <w:t>Um die Rückverfolgbarkeit biologischer Arzneimittel zu verbessern, müssen die Bezeichnung des Arzneimittels und die Chargenbezeichnung des angewendeten Arzneimittels in der Patientenakte eindeutig dokumentiert werden.</w:t>
      </w:r>
    </w:p>
    <w:p w14:paraId="7C500AB8" w14:textId="77777777" w:rsidR="00093A5E" w:rsidRPr="006A64EE" w:rsidRDefault="00093A5E" w:rsidP="004255F8">
      <w:pPr>
        <w:widowControl/>
      </w:pPr>
    </w:p>
    <w:p w14:paraId="2496192D" w14:textId="77777777" w:rsidR="00093A5E" w:rsidRPr="006A64EE" w:rsidRDefault="007D680A" w:rsidP="004255F8">
      <w:pPr>
        <w:widowControl/>
      </w:pPr>
      <w:r w:rsidRPr="006A64EE">
        <w:rPr>
          <w:u w:val="single"/>
        </w:rPr>
        <w:t>Patienten mit RA, pJIA oder sJIA</w:t>
      </w:r>
    </w:p>
    <w:p w14:paraId="2D50AB04" w14:textId="77777777" w:rsidR="00093A5E" w:rsidRPr="006A64EE" w:rsidRDefault="00093A5E" w:rsidP="004255F8">
      <w:pPr>
        <w:pStyle w:val="a3"/>
        <w:widowControl/>
      </w:pPr>
    </w:p>
    <w:p w14:paraId="22DEF8BC" w14:textId="77777777" w:rsidR="00093A5E" w:rsidRPr="006A64EE" w:rsidRDefault="009C2544" w:rsidP="004255F8">
      <w:pPr>
        <w:widowControl/>
        <w:rPr>
          <w:i/>
        </w:rPr>
      </w:pPr>
      <w:r w:rsidRPr="006A64EE">
        <w:rPr>
          <w:i/>
        </w:rPr>
        <w:t>Infektionen</w:t>
      </w:r>
    </w:p>
    <w:p w14:paraId="12A79D30" w14:textId="49B17ACA" w:rsidR="00093A5E" w:rsidRPr="006A64EE" w:rsidRDefault="009C2544" w:rsidP="004255F8">
      <w:pPr>
        <w:pStyle w:val="a3"/>
        <w:widowControl/>
      </w:pPr>
      <w:r w:rsidRPr="006A64EE">
        <w:t xml:space="preserve">Bei Patienten, die immunsuppressive Wirkstoffe wie </w:t>
      </w:r>
      <w:r w:rsidR="00D41926">
        <w:t>T</w:t>
      </w:r>
      <w:r w:rsidR="00D41926" w:rsidRPr="001879E9">
        <w:t>ocilizumab</w:t>
      </w:r>
      <w:r w:rsidRPr="006A64EE">
        <w:t xml:space="preserve"> erhalten, wurden schwerwiegende und manchmal tödliche Infektionen berichtet (siehe Abschnitt 4.8, Nebenwirkungen). Eine Behandlung mit </w:t>
      </w:r>
      <w:r w:rsidR="0093710E" w:rsidRPr="001879E9">
        <w:t>Avtozma</w:t>
      </w:r>
      <w:r w:rsidRPr="006A64EE">
        <w:t xml:space="preserve"> darf bei Patienten mit aktiven Infektionen nicht begonnen werden (siehe Abschnitt 4.3). Falls bei einem Patienten eine schwerwiegende Infektion auftritt, muss die Anwendung von </w:t>
      </w:r>
      <w:r w:rsidR="00477FA5">
        <w:t>T</w:t>
      </w:r>
      <w:r w:rsidR="00477FA5" w:rsidRPr="001879E9">
        <w:t>ocilizumab</w:t>
      </w:r>
      <w:r w:rsidRPr="006A64EE">
        <w:t xml:space="preserve"> unterbrochen werden, bis diese Infektion unter Kontrolle gebracht wurde (siehe Abschnitt 4.8). Bei Patienten mit wiederkehrenden oder chronischen Infektionen oder Grunderkrankungen (z. B. Divertikulitis, Diabetes und interstitielle Lungenerkrankung) in der Anamnese, die diese Patienten für Infektionen anfällig machen, sollte der Arzt bei der Erwägung einer Anwendung von </w:t>
      </w:r>
      <w:r w:rsidR="0093710E" w:rsidRPr="001879E9">
        <w:t>Avtozma</w:t>
      </w:r>
      <w:r w:rsidRPr="006A64EE">
        <w:t xml:space="preserve"> Vorsicht walten lassen.</w:t>
      </w:r>
    </w:p>
    <w:p w14:paraId="4345F628" w14:textId="77777777" w:rsidR="00093A5E" w:rsidRPr="006A64EE" w:rsidRDefault="00093A5E" w:rsidP="004255F8">
      <w:pPr>
        <w:pStyle w:val="a3"/>
        <w:widowControl/>
      </w:pPr>
    </w:p>
    <w:p w14:paraId="3E399B93" w14:textId="77777777" w:rsidR="00093A5E" w:rsidRPr="006A64EE" w:rsidRDefault="009C2544" w:rsidP="004255F8">
      <w:pPr>
        <w:pStyle w:val="a3"/>
        <w:widowControl/>
      </w:pPr>
      <w:r w:rsidRPr="006A64EE">
        <w:t>Bei Patienten, die eine Therapie mit Biologika erhalten, wird besondere Aufmerksamkeit in Bezug auf ein frühzeitiges Erkennen schwerwiegender Infektionen empfohlen, da Anzeichen und Symptome einer akuten Entzündung aufgrund der Unterdrückung der Akut-Phase-Reaktion abgeschwächt sein können. Die Wirkung von Tocilizumab auf das C-reaktive Protein (CRP), auf neutrophile Granulozyten und auf Anzeichen und Symptome einer Infektion sollte berücksichtigt werden, wenn ein Patient auf eine mögliche Infektion untersucht wird. Patienten (darunter auch kleine Kinder mit sJIA oder pJIA, die möglicherweise ihre Symptome nicht so gut mitteilen können) und Eltern/Erziehungsberechtigte von Patienten mit sJIA und pJIA müssen darüber informiert werden, dass sie ihren Arzt umgehend kontaktieren müssen, sobald Symptome auftreten, die mit einer Infektion in Verbindung gebracht werden können, um eine rasche Abklärung und angemessene Behandlung sicherzustellen.</w:t>
      </w:r>
    </w:p>
    <w:p w14:paraId="4312278D" w14:textId="77777777" w:rsidR="00093A5E" w:rsidRPr="006A64EE" w:rsidRDefault="00093A5E" w:rsidP="004255F8">
      <w:pPr>
        <w:pStyle w:val="a3"/>
        <w:widowControl/>
      </w:pPr>
    </w:p>
    <w:p w14:paraId="2914383D" w14:textId="77777777" w:rsidR="00093A5E" w:rsidRPr="006A64EE" w:rsidRDefault="009C2544" w:rsidP="004255F8">
      <w:pPr>
        <w:widowControl/>
        <w:rPr>
          <w:i/>
        </w:rPr>
      </w:pPr>
      <w:r w:rsidRPr="006A64EE">
        <w:rPr>
          <w:i/>
        </w:rPr>
        <w:t>Tuberkulose</w:t>
      </w:r>
    </w:p>
    <w:p w14:paraId="29750C83" w14:textId="4A5FA265" w:rsidR="00093A5E" w:rsidRPr="006A64EE" w:rsidRDefault="009C2544" w:rsidP="004255F8">
      <w:pPr>
        <w:pStyle w:val="a3"/>
        <w:widowControl/>
      </w:pPr>
      <w:r w:rsidRPr="006A64EE">
        <w:t xml:space="preserve">Wie auch für andere biologische Therapien der RA, sJIA und pJIA empfohlen wird, müssen Patienten vor Beginn der Behandlung mit </w:t>
      </w:r>
      <w:r w:rsidR="0093710E" w:rsidRPr="001879E9">
        <w:t>Avtozma</w:t>
      </w:r>
      <w:r w:rsidRPr="006A64EE">
        <w:t xml:space="preserve"> auf eine latente Tuberkulose (TB) untersucht werden.</w:t>
      </w:r>
      <w:r w:rsidR="00970C69" w:rsidRPr="006A64EE">
        <w:t xml:space="preserve"> </w:t>
      </w:r>
      <w:r w:rsidRPr="006A64EE">
        <w:t xml:space="preserve">Patienten mit latenter TB-Infektion sollten mit einer antimykobakteriellen Standardtherapie behandelt werden, bevor eine Behandlung mit </w:t>
      </w:r>
      <w:r w:rsidR="0093710E" w:rsidRPr="001879E9">
        <w:t>Avtozma</w:t>
      </w:r>
      <w:r w:rsidRPr="006A64EE">
        <w:t xml:space="preserve"> eingeleitet wird. Verschreibende Ärzte sollten insbesondere bei schwerkranken und immunsupprimierten Patienten daran denken, dass beim Tuberkulin-Hauttest und dem Tuberkulose-Interferon-gamma-Bluttest das Risiko falsch-negativer Ergebnisse besteht.</w:t>
      </w:r>
    </w:p>
    <w:p w14:paraId="0A6DD542" w14:textId="77777777" w:rsidR="00093A5E" w:rsidRPr="006A64EE" w:rsidRDefault="00093A5E" w:rsidP="004255F8">
      <w:pPr>
        <w:pStyle w:val="a3"/>
        <w:widowControl/>
      </w:pPr>
    </w:p>
    <w:p w14:paraId="0136E96A" w14:textId="51E5DDB9" w:rsidR="00093A5E" w:rsidRPr="006A64EE" w:rsidRDefault="009C2544" w:rsidP="004255F8">
      <w:pPr>
        <w:pStyle w:val="a3"/>
        <w:widowControl/>
      </w:pPr>
      <w:r w:rsidRPr="006A64EE">
        <w:t xml:space="preserve">Patienten sollten angewiesen werden medizinischen Rat einzuholen, falls während oder nach einer Behandlung mit </w:t>
      </w:r>
      <w:r w:rsidR="0093710E" w:rsidRPr="001879E9">
        <w:t>Avtozma</w:t>
      </w:r>
      <w:r w:rsidRPr="006A64EE">
        <w:t xml:space="preserve"> Anzeichen/Symptome (z. B. anhaltender Husten, Auszehrung/Gewichtsverlust, leichtes Fieber) auftreten, die auf eine Infektion mit Tuberkulose hindeuten.</w:t>
      </w:r>
    </w:p>
    <w:p w14:paraId="32A54ADF" w14:textId="77777777" w:rsidR="00093A5E" w:rsidRPr="006A64EE" w:rsidRDefault="00093A5E" w:rsidP="004255F8">
      <w:pPr>
        <w:pStyle w:val="a3"/>
        <w:widowControl/>
      </w:pPr>
    </w:p>
    <w:p w14:paraId="566FA50E" w14:textId="77777777" w:rsidR="00093A5E" w:rsidRPr="006A64EE" w:rsidRDefault="009C2544" w:rsidP="00B320E1">
      <w:pPr>
        <w:keepNext/>
        <w:widowControl/>
        <w:rPr>
          <w:i/>
        </w:rPr>
      </w:pPr>
      <w:r w:rsidRPr="006A64EE">
        <w:rPr>
          <w:i/>
        </w:rPr>
        <w:t>Virale Reaktivierung</w:t>
      </w:r>
    </w:p>
    <w:p w14:paraId="0DDFB2D8" w14:textId="77777777" w:rsidR="00093A5E" w:rsidRPr="006A64EE" w:rsidRDefault="009C2544" w:rsidP="004255F8">
      <w:pPr>
        <w:pStyle w:val="a3"/>
        <w:widowControl/>
      </w:pPr>
      <w:r w:rsidRPr="006A64EE">
        <w:t>Unter biologischer Therapie der RA wurde über virale Reaktivierung (z. B. Hepatitis-B-Virus) berichtet. Patienten, die positiv auf Hepatitis getestet wurden, wurden von den klinischen Prüfungen mit Tocilizumab ausgeschlossen.</w:t>
      </w:r>
    </w:p>
    <w:p w14:paraId="59DCAFA8" w14:textId="77777777" w:rsidR="00093A5E" w:rsidRPr="006A64EE" w:rsidRDefault="00093A5E" w:rsidP="004255F8">
      <w:pPr>
        <w:pStyle w:val="a3"/>
        <w:widowControl/>
      </w:pPr>
    </w:p>
    <w:p w14:paraId="2957F1D1" w14:textId="77777777" w:rsidR="00093A5E" w:rsidRPr="006A64EE" w:rsidRDefault="009C2544" w:rsidP="004255F8">
      <w:pPr>
        <w:widowControl/>
        <w:rPr>
          <w:i/>
        </w:rPr>
      </w:pPr>
      <w:r w:rsidRPr="006A64EE">
        <w:rPr>
          <w:i/>
        </w:rPr>
        <w:t>Komplikationen einer Divertikulitis</w:t>
      </w:r>
    </w:p>
    <w:p w14:paraId="355E3BC2" w14:textId="648C1B28" w:rsidR="00093A5E" w:rsidRPr="006A64EE" w:rsidRDefault="009C2544" w:rsidP="004255F8">
      <w:pPr>
        <w:pStyle w:val="a3"/>
        <w:widowControl/>
      </w:pPr>
      <w:r w:rsidRPr="006A64EE">
        <w:t xml:space="preserve">Fälle von Divertikelperforationen als Komplikation einer Divertikulitis wurden gelegentlich bei Patienten mit RA unter Therapie mit </w:t>
      </w:r>
      <w:r w:rsidR="0093710E">
        <w:t>Tocilizumab</w:t>
      </w:r>
      <w:r w:rsidRPr="006A64EE">
        <w:t xml:space="preserve"> gemeldet (siehe Abschnitt 4.8). Bei Patienten mit intestinalen Ulzerationen oder Divertikulitis in der Anamnese sollte </w:t>
      </w:r>
      <w:r w:rsidR="0093710E" w:rsidRPr="001879E9">
        <w:t>Avtozma</w:t>
      </w:r>
      <w:r w:rsidRPr="006A64EE">
        <w:t xml:space="preserve"> mit Vorsicht angewendet werden. Patienten, die sich mit Symptomen vorstellen, die potenziell mit der Komplikation einer Divertikulitis in Verbindung gebracht werden können, wie abdominale Schmerzen, Blutungen und/oder ungeklärte Veränderungen bei der Verdauung, einhergehend mit Fieber, sollten umgehend untersucht werden, um eine Divertikulitis, die mit einer gastrointestinalen Perforation verbunden sein kann, frühzeitig zu diagnostizieren.</w:t>
      </w:r>
    </w:p>
    <w:p w14:paraId="7B2747AE" w14:textId="77777777" w:rsidR="00093A5E" w:rsidRPr="006A64EE" w:rsidRDefault="00093A5E" w:rsidP="004255F8">
      <w:pPr>
        <w:pStyle w:val="a3"/>
        <w:widowControl/>
      </w:pPr>
    </w:p>
    <w:p w14:paraId="7084AD1D" w14:textId="77777777" w:rsidR="00093A5E" w:rsidRPr="006A64EE" w:rsidRDefault="009C2544" w:rsidP="004255F8">
      <w:pPr>
        <w:keepNext/>
        <w:widowControl/>
        <w:rPr>
          <w:i/>
        </w:rPr>
      </w:pPr>
      <w:r w:rsidRPr="006A64EE">
        <w:rPr>
          <w:i/>
        </w:rPr>
        <w:t>Überempfindlichkeitsreaktionen</w:t>
      </w:r>
    </w:p>
    <w:p w14:paraId="6337084C" w14:textId="694FDA8E" w:rsidR="00093A5E" w:rsidRPr="006A64EE" w:rsidRDefault="009C2544" w:rsidP="004255F8">
      <w:pPr>
        <w:pStyle w:val="a3"/>
        <w:widowControl/>
      </w:pPr>
      <w:r w:rsidRPr="006A64EE">
        <w:t xml:space="preserve">Schwerwiegende Überempfindlichkeitsreaktionen wurden in Zusammenhang mit der Infusion von </w:t>
      </w:r>
      <w:r w:rsidR="0093710E">
        <w:t>Tocilizumab</w:t>
      </w:r>
      <w:r w:rsidR="0093710E" w:rsidRPr="006A64EE">
        <w:t xml:space="preserve"> </w:t>
      </w:r>
      <w:r w:rsidRPr="006A64EE">
        <w:t>beobachtet (siehe Abschnitt 4.8). Diese Reaktionen können bei Patienten, die während</w:t>
      </w:r>
      <w:r w:rsidR="00970C69" w:rsidRPr="006A64EE">
        <w:t xml:space="preserve"> </w:t>
      </w:r>
      <w:r w:rsidRPr="006A64EE">
        <w:t>vorangegangener Infusionen Überempfindlichkeitsreaktionen hatten, schwerer und potenziell tödlich verlaufen, auch wenn sie eine Prämedikation mit Corticosteroiden und Antihistaminika erhielten.</w:t>
      </w:r>
      <w:r w:rsidR="00970C69" w:rsidRPr="006A64EE">
        <w:t xml:space="preserve"> </w:t>
      </w:r>
      <w:r w:rsidRPr="006A64EE">
        <w:t xml:space="preserve">Geeignete Mittel zur Behandlung einer anaphylaktischen Reaktion müssen während der Behandlung mit </w:t>
      </w:r>
      <w:r w:rsidR="0093710E" w:rsidRPr="001879E9">
        <w:t>Avtozma</w:t>
      </w:r>
      <w:r w:rsidRPr="006A64EE">
        <w:t xml:space="preserve"> zum sofortigen Gebrauch bereitstehen. Wenn eine anaphylaktische Reaktion oder eine andere schwerwiegende Überempfindlichkeitsreaktion/ schwerwiegende infusionsbedingte Reaktion auftritt, muss die Anwendung von </w:t>
      </w:r>
      <w:r w:rsidR="0093710E" w:rsidRPr="001879E9">
        <w:t>Avtozma</w:t>
      </w:r>
      <w:r w:rsidRPr="006A64EE">
        <w:t xml:space="preserve"> sofort abgebrochen und die Behandlung mit </w:t>
      </w:r>
      <w:r w:rsidR="0093710E" w:rsidRPr="001879E9">
        <w:t>Avtozma</w:t>
      </w:r>
      <w:r w:rsidRPr="006A64EE">
        <w:t xml:space="preserve"> dauerhaft beendet werden.</w:t>
      </w:r>
    </w:p>
    <w:p w14:paraId="5146413F" w14:textId="77777777" w:rsidR="00093A5E" w:rsidRPr="006A64EE" w:rsidRDefault="00093A5E" w:rsidP="004255F8">
      <w:pPr>
        <w:pStyle w:val="a3"/>
        <w:widowControl/>
      </w:pPr>
    </w:p>
    <w:p w14:paraId="6F66509A" w14:textId="77777777" w:rsidR="00093A5E" w:rsidRPr="006A64EE" w:rsidRDefault="009C2544" w:rsidP="004255F8">
      <w:pPr>
        <w:widowControl/>
        <w:rPr>
          <w:i/>
        </w:rPr>
      </w:pPr>
      <w:r w:rsidRPr="006A64EE">
        <w:rPr>
          <w:i/>
        </w:rPr>
        <w:t>Aktive Lebererkrankung und Leberfunktionsstörungen</w:t>
      </w:r>
    </w:p>
    <w:p w14:paraId="7EA2448E" w14:textId="37806E8D" w:rsidR="00093A5E" w:rsidRPr="006A64EE" w:rsidRDefault="009C2544" w:rsidP="004255F8">
      <w:pPr>
        <w:pStyle w:val="a3"/>
        <w:widowControl/>
      </w:pPr>
      <w:r w:rsidRPr="006A64EE">
        <w:t xml:space="preserve">Die Behandlung mit </w:t>
      </w:r>
      <w:r w:rsidR="0093710E">
        <w:t>Tocilizumab</w:t>
      </w:r>
      <w:r w:rsidRPr="006A64EE">
        <w:t>, vor allem in Verbindung mit Methotrexat, kann mit einer Erhöhung der Lebertransaminasen verbunden sein. Daher sollte man bei der Erwägung, einen Patienten mit aktiver Lebererkrankung oder Leberfunktionsstörungen zu behandeln, Vorsicht walten lassen (siehe Abschnitte 4.2 und 4.8).</w:t>
      </w:r>
    </w:p>
    <w:p w14:paraId="322CEAA1" w14:textId="77777777" w:rsidR="00093A5E" w:rsidRPr="006A64EE" w:rsidRDefault="00093A5E" w:rsidP="004255F8">
      <w:pPr>
        <w:pStyle w:val="a3"/>
        <w:widowControl/>
      </w:pPr>
    </w:p>
    <w:p w14:paraId="19C96742" w14:textId="77777777" w:rsidR="00093A5E" w:rsidRPr="006A64EE" w:rsidRDefault="009C2544" w:rsidP="004255F8">
      <w:pPr>
        <w:widowControl/>
        <w:rPr>
          <w:i/>
        </w:rPr>
      </w:pPr>
      <w:r w:rsidRPr="006A64EE">
        <w:rPr>
          <w:i/>
        </w:rPr>
        <w:t>Hepatotoxizität</w:t>
      </w:r>
    </w:p>
    <w:p w14:paraId="17542BE3" w14:textId="761242DF" w:rsidR="00093A5E" w:rsidRPr="006A64EE" w:rsidRDefault="009C2544" w:rsidP="004255F8">
      <w:pPr>
        <w:pStyle w:val="a3"/>
        <w:widowControl/>
      </w:pPr>
      <w:r w:rsidRPr="006A64EE">
        <w:t xml:space="preserve">Bei der Behandlung mit </w:t>
      </w:r>
      <w:r w:rsidR="0093710E">
        <w:t>Tocilizumab</w:t>
      </w:r>
      <w:r w:rsidR="0093710E" w:rsidRPr="006A64EE">
        <w:t xml:space="preserve"> </w:t>
      </w:r>
      <w:r w:rsidRPr="006A64EE">
        <w:t xml:space="preserve">wurden häufig vorübergehende oder intermittierende, leichte und mäßige Erhöhungen der Lebertransaminasen beobachtet (siehe Abschnitt 4.8). Wenn </w:t>
      </w:r>
      <w:r w:rsidR="0093710E">
        <w:t>Tocilizumab</w:t>
      </w:r>
      <w:r w:rsidR="0093710E" w:rsidRPr="006A64EE">
        <w:t xml:space="preserve"> </w:t>
      </w:r>
      <w:r w:rsidRPr="006A64EE">
        <w:t>zusammen mit potenziell hepatotoxischen Arzneimitteln (z. B. MTX) verabreicht wurde, wurde ein häufigeres Auftreten dieser Erhöhungen beobachtet. Wenn klinisch indiziert, sollten weitere Leberfunktionstests, einschließlich Bilirubin, erwogen werden.</w:t>
      </w:r>
    </w:p>
    <w:p w14:paraId="13246B66" w14:textId="77777777" w:rsidR="00093A5E" w:rsidRPr="006A64EE" w:rsidRDefault="00093A5E" w:rsidP="004255F8">
      <w:pPr>
        <w:pStyle w:val="a3"/>
        <w:widowControl/>
      </w:pPr>
    </w:p>
    <w:p w14:paraId="5D72A93F" w14:textId="4D39D169" w:rsidR="00093A5E" w:rsidRPr="006A64EE" w:rsidRDefault="009C2544" w:rsidP="004255F8">
      <w:pPr>
        <w:pStyle w:val="a3"/>
        <w:widowControl/>
      </w:pPr>
      <w:r w:rsidRPr="006A64EE">
        <w:t xml:space="preserve">Schwerwiegende arzneimittelinduzierte Leberschäden, einschließlich akutem Leberversagen, Hepatitis und Gelbsucht, wurden mit </w:t>
      </w:r>
      <w:r w:rsidR="0093710E">
        <w:t>Tocilizumab</w:t>
      </w:r>
      <w:r w:rsidR="0093710E" w:rsidRPr="006A64EE">
        <w:t xml:space="preserve"> </w:t>
      </w:r>
      <w:r w:rsidRPr="006A64EE">
        <w:t xml:space="preserve">beobachtet (siehe Abschnitt 4.8). Schwerwiegende Leberschädigung trat zwischen 2 Wochen und bis zu mehr als 5 Jahre nach Beginn der Therapie mit </w:t>
      </w:r>
      <w:r w:rsidR="0093710E">
        <w:t>Tocilizumab</w:t>
      </w:r>
      <w:r w:rsidR="0093710E" w:rsidRPr="006A64EE">
        <w:t xml:space="preserve"> </w:t>
      </w:r>
      <w:r w:rsidRPr="006A64EE">
        <w:t>auf. Fälle von Leberversagen, die zu einer Lebertransplantation führten, wurden berichtet. Patienten sollen angewiesen werden, sofort einen Arzt aufzusuchen, wenn Anzeichen und Symptome einer Leberschädigung auftreten.</w:t>
      </w:r>
    </w:p>
    <w:p w14:paraId="12D3BDD1" w14:textId="77777777" w:rsidR="00093A5E" w:rsidRPr="006A64EE" w:rsidRDefault="00093A5E" w:rsidP="004255F8">
      <w:pPr>
        <w:pStyle w:val="a3"/>
        <w:widowControl/>
      </w:pPr>
    </w:p>
    <w:p w14:paraId="20419B5C" w14:textId="3E2398CA" w:rsidR="00093A5E" w:rsidRPr="006A64EE" w:rsidRDefault="009C2544" w:rsidP="004255F8">
      <w:pPr>
        <w:pStyle w:val="a3"/>
        <w:widowControl/>
      </w:pPr>
      <w:r w:rsidRPr="006A64EE">
        <w:t xml:space="preserve">Bei Patienten mit einer Erhöhung der ALAT oder ASAT auf das &gt; 1,5-Fache des oberen Normalwertes (&gt; 1,5 x ULN) muss das Nutzen-Risiko-Verhältnis vor einer Behandlung mit </w:t>
      </w:r>
      <w:r w:rsidR="0093710E" w:rsidRPr="001879E9">
        <w:t>Avtozma</w:t>
      </w:r>
      <w:r w:rsidRPr="006A64EE">
        <w:t xml:space="preserve"> sorgfältig abgewogen werden. Bei Patienten mit RA, pJIA oder sJIA und ALAT oder ASAT &gt; 5 x ULN vor Behandlungsbeginn wird eine Behandlung nicht empfohlen.</w:t>
      </w:r>
    </w:p>
    <w:p w14:paraId="0FF1E05B" w14:textId="77777777" w:rsidR="00093A5E" w:rsidRPr="006A64EE" w:rsidRDefault="00093A5E" w:rsidP="004255F8">
      <w:pPr>
        <w:pStyle w:val="a3"/>
        <w:widowControl/>
      </w:pPr>
    </w:p>
    <w:p w14:paraId="15E75E9D" w14:textId="0B171E84" w:rsidR="00093A5E" w:rsidRPr="006A64EE" w:rsidRDefault="009C2544" w:rsidP="004255F8">
      <w:pPr>
        <w:pStyle w:val="a3"/>
        <w:widowControl/>
      </w:pPr>
      <w:r w:rsidRPr="006A64EE">
        <w:t>Bei Patienten mit RA, pJIA und sJIA müssen ALAT/ASAT während der ersten 6</w:t>
      </w:r>
      <w:r w:rsidR="006B5972">
        <w:t> </w:t>
      </w:r>
      <w:r w:rsidRPr="006A64EE">
        <w:t>Monate der Behandlung alle 4 bis 8</w:t>
      </w:r>
      <w:r w:rsidR="006B5972">
        <w:t> </w:t>
      </w:r>
      <w:r w:rsidRPr="006A64EE">
        <w:t>Wochen und danach alle 12</w:t>
      </w:r>
      <w:r w:rsidR="006B5972">
        <w:t> </w:t>
      </w:r>
      <w:r w:rsidRPr="006A64EE">
        <w:t xml:space="preserve">Wochen kontrolliert werden. Für Empfehlungen zur Anpassung, einschließlich Absetzen von </w:t>
      </w:r>
      <w:r w:rsidR="0093710E" w:rsidRPr="001879E9">
        <w:t>Avtozma</w:t>
      </w:r>
      <w:r w:rsidRPr="006A64EE">
        <w:t xml:space="preserve">, auf Basis der Transaminasenwerte siehe </w:t>
      </w:r>
      <w:r w:rsidRPr="006A64EE">
        <w:lastRenderedPageBreak/>
        <w:t>Abschnitt</w:t>
      </w:r>
      <w:r w:rsidR="006B5972">
        <w:t> </w:t>
      </w:r>
      <w:r w:rsidRPr="006A64EE">
        <w:t>4.2. Bei einer ALAT- oder ASAT-Erhöhung von &gt;</w:t>
      </w:r>
      <w:r w:rsidR="006B5972">
        <w:t> </w:t>
      </w:r>
      <w:r w:rsidRPr="006A64EE">
        <w:t>3</w:t>
      </w:r>
      <w:r w:rsidR="006B5972">
        <w:t> </w:t>
      </w:r>
      <w:r w:rsidRPr="006A64EE">
        <w:t>-</w:t>
      </w:r>
      <w:r w:rsidR="006B5972">
        <w:t> </w:t>
      </w:r>
      <w:r w:rsidRPr="006A64EE">
        <w:t>5</w:t>
      </w:r>
      <w:r w:rsidR="006B5972">
        <w:t> </w:t>
      </w:r>
      <w:r w:rsidRPr="006A64EE">
        <w:t>x</w:t>
      </w:r>
      <w:r w:rsidR="006B5972">
        <w:t> </w:t>
      </w:r>
      <w:r w:rsidRPr="006A64EE">
        <w:t xml:space="preserve">ULN, die durch wiederholte Untersuchungen bestätigt wurde, sollte die Behandlung mit </w:t>
      </w:r>
      <w:r w:rsidR="0093710E" w:rsidRPr="001879E9">
        <w:t>Avtozma</w:t>
      </w:r>
      <w:r w:rsidRPr="006A64EE">
        <w:t xml:space="preserve"> unterbrochen werden.</w:t>
      </w:r>
    </w:p>
    <w:p w14:paraId="68256E72" w14:textId="77777777" w:rsidR="00093A5E" w:rsidRPr="006A64EE" w:rsidRDefault="00093A5E" w:rsidP="004255F8">
      <w:pPr>
        <w:pStyle w:val="a3"/>
        <w:widowControl/>
      </w:pPr>
    </w:p>
    <w:p w14:paraId="6353FA64" w14:textId="77777777" w:rsidR="00093A5E" w:rsidRPr="006A64EE" w:rsidRDefault="009C2544" w:rsidP="004255F8">
      <w:pPr>
        <w:widowControl/>
        <w:rPr>
          <w:i/>
        </w:rPr>
      </w:pPr>
      <w:r w:rsidRPr="006A64EE">
        <w:rPr>
          <w:i/>
        </w:rPr>
        <w:t>Hämatologische Abweichungen</w:t>
      </w:r>
    </w:p>
    <w:p w14:paraId="1B6C2927" w14:textId="10FA53DF" w:rsidR="00093A5E" w:rsidRPr="006A64EE" w:rsidRDefault="009C2544" w:rsidP="004255F8">
      <w:pPr>
        <w:pStyle w:val="a3"/>
        <w:widowControl/>
      </w:pPr>
      <w:r w:rsidRPr="006A64EE">
        <w:t>Nach Behandlung mit Tocilizumab 8</w:t>
      </w:r>
      <w:r w:rsidR="002870CF">
        <w:t> </w:t>
      </w:r>
      <w:r w:rsidRPr="006A64EE">
        <w:t>mg/kg in Kombination mit MTX kam es zu einem Rückgang der Anzahl neutrophiler Granulozyten und der Thrombozyten (siehe Abschnitt 4.8). Patienten, die zuvor mit einem TNF-Inhibitor behandelt wurden, könnten ein erhöhtes Neutropenierisiko haben.</w:t>
      </w:r>
    </w:p>
    <w:p w14:paraId="1F7388C6" w14:textId="77777777" w:rsidR="00093A5E" w:rsidRPr="006A64EE" w:rsidRDefault="00093A5E" w:rsidP="004255F8">
      <w:pPr>
        <w:pStyle w:val="a3"/>
        <w:widowControl/>
      </w:pPr>
    </w:p>
    <w:p w14:paraId="3A4E0038" w14:textId="2B5A72D0" w:rsidR="00093A5E" w:rsidRPr="006A64EE" w:rsidRDefault="009C2544" w:rsidP="004255F8">
      <w:pPr>
        <w:pStyle w:val="a3"/>
        <w:widowControl/>
      </w:pPr>
      <w:r w:rsidRPr="006A64EE">
        <w:t xml:space="preserve">Bei Patienten, die noch nicht mit </w:t>
      </w:r>
      <w:r w:rsidR="0093710E">
        <w:t>Tocilizumab</w:t>
      </w:r>
      <w:r w:rsidR="0093710E" w:rsidRPr="006A64EE">
        <w:t xml:space="preserve"> </w:t>
      </w:r>
      <w:r w:rsidRPr="006A64EE">
        <w:t>behandelt wurden und eine absolute Neutrophilenzahl (ANC) von weniger als 2 x 10</w:t>
      </w:r>
      <w:r w:rsidRPr="006A64EE">
        <w:rPr>
          <w:vertAlign w:val="superscript"/>
        </w:rPr>
        <w:t>9</w:t>
      </w:r>
      <w:r w:rsidRPr="006A64EE">
        <w:t>/l haben, wird ein Beginn der Behandlung nicht empfohlen. Bei Patienten mit niedriger Thrombozytenanzahl (z. B. Thrombozytenanzahl von unter 100 x 10</w:t>
      </w:r>
      <w:r w:rsidRPr="006A64EE">
        <w:rPr>
          <w:vertAlign w:val="superscript"/>
        </w:rPr>
        <w:t>3</w:t>
      </w:r>
      <w:r w:rsidRPr="006A64EE">
        <w:t xml:space="preserve">/µl) muss vor Beginn einer Behandlung mit </w:t>
      </w:r>
      <w:r w:rsidR="0093710E">
        <w:t>Tocilizumab</w:t>
      </w:r>
      <w:r w:rsidR="0093710E" w:rsidRPr="006A64EE">
        <w:t xml:space="preserve"> </w:t>
      </w:r>
      <w:r w:rsidRPr="006A64EE">
        <w:t>das Nutzen-Risiko-Verhältnis sorgfältig abgewogen werden. Bei Patienten mit RA, sJIA und pJIA, die eine ANC von &lt; 0,5 x 10</w:t>
      </w:r>
      <w:r w:rsidRPr="006A64EE">
        <w:rPr>
          <w:vertAlign w:val="superscript"/>
        </w:rPr>
        <w:t>9</w:t>
      </w:r>
      <w:r w:rsidRPr="006A64EE">
        <w:t>/l oder eine Thrombozytenanzahl von &lt; 50 x 10</w:t>
      </w:r>
      <w:r w:rsidRPr="006A64EE">
        <w:rPr>
          <w:vertAlign w:val="superscript"/>
        </w:rPr>
        <w:t>3</w:t>
      </w:r>
      <w:r w:rsidRPr="006A64EE">
        <w:t>/µl entwickeln, wird eine Weiterbehandlung nicht empfohlen.</w:t>
      </w:r>
    </w:p>
    <w:p w14:paraId="5D6B381D" w14:textId="77777777" w:rsidR="00093A5E" w:rsidRPr="006A64EE" w:rsidRDefault="00093A5E" w:rsidP="004255F8">
      <w:pPr>
        <w:pStyle w:val="a3"/>
        <w:widowControl/>
      </w:pPr>
    </w:p>
    <w:p w14:paraId="47BA91A2" w14:textId="47F35613" w:rsidR="00093A5E" w:rsidRPr="006A64EE" w:rsidRDefault="009C2544" w:rsidP="004255F8">
      <w:pPr>
        <w:pStyle w:val="a3"/>
        <w:widowControl/>
      </w:pPr>
      <w:r w:rsidRPr="006A64EE">
        <w:t xml:space="preserve">Eine schwere Neutropenie kann mit einem erhöhten Risiko für schwerwiegende Infektionen verbunden sein, auch wenn in klinischen Prüfungen mit </w:t>
      </w:r>
      <w:r w:rsidR="0093710E">
        <w:t>Tocilizumab</w:t>
      </w:r>
      <w:r w:rsidRPr="006A64EE">
        <w:t xml:space="preserve"> bisher kein eindeutiger Zusammenhang zwischen einem Abfall der neutrophilen Granulozyten und dem Auftreten einer schwerwiegenden Infektion hergestellt werden konnte.</w:t>
      </w:r>
    </w:p>
    <w:p w14:paraId="5B71CA18" w14:textId="77777777" w:rsidR="00093A5E" w:rsidRPr="006A64EE" w:rsidRDefault="00093A5E" w:rsidP="004255F8">
      <w:pPr>
        <w:pStyle w:val="a3"/>
        <w:widowControl/>
      </w:pPr>
    </w:p>
    <w:p w14:paraId="65E5DF18" w14:textId="63A26407" w:rsidR="00093A5E" w:rsidRPr="006A64EE" w:rsidRDefault="009C2544" w:rsidP="004255F8">
      <w:pPr>
        <w:pStyle w:val="a3"/>
        <w:widowControl/>
      </w:pPr>
      <w:r w:rsidRPr="006A64EE">
        <w:t>Bei Patienten mit RA müssen neutrophile Granulozyten und Thrombozyten 4 bis 8</w:t>
      </w:r>
      <w:r w:rsidR="006B5972">
        <w:t> </w:t>
      </w:r>
      <w:r w:rsidRPr="006A64EE">
        <w:t>Wochen nach</w:t>
      </w:r>
      <w:r w:rsidR="0082570C" w:rsidRPr="006A64EE">
        <w:t xml:space="preserve"> </w:t>
      </w:r>
      <w:r w:rsidRPr="006A64EE">
        <w:t>Behandlungsbeginn kontrolliert werden und danach regelmäßig entsprechend normaler klinischer Praxis. Für Empfehlungen zur Dosismodifikation auf Basis der ANC und der Thrombozytenanzahl siehe Abschnitt</w:t>
      </w:r>
      <w:r w:rsidR="006B5972">
        <w:t> </w:t>
      </w:r>
      <w:r w:rsidRPr="006A64EE">
        <w:t>4.2.</w:t>
      </w:r>
    </w:p>
    <w:p w14:paraId="3EAC7E53" w14:textId="77777777" w:rsidR="00093A5E" w:rsidRPr="006A64EE" w:rsidRDefault="00093A5E" w:rsidP="004255F8">
      <w:pPr>
        <w:pStyle w:val="a3"/>
        <w:widowControl/>
      </w:pPr>
    </w:p>
    <w:p w14:paraId="44E6D25C" w14:textId="67E45E0C" w:rsidR="00093A5E" w:rsidRPr="006A64EE" w:rsidRDefault="009C2544" w:rsidP="004255F8">
      <w:pPr>
        <w:pStyle w:val="a3"/>
        <w:widowControl/>
      </w:pPr>
      <w:r w:rsidRPr="006A64EE">
        <w:t>Bei Patienten mit sJIA und pJIA müssen neutrophile Granulozyten und Thrombozyten zum Zeitpunkt der zweiten Infusion und danach gemäß guter klinischer Praxis kontrolliert werden, siehe</w:t>
      </w:r>
      <w:r w:rsidR="0082570C" w:rsidRPr="006A64EE">
        <w:t xml:space="preserve"> </w:t>
      </w:r>
      <w:r w:rsidRPr="006A64EE">
        <w:t>Abschnitt</w:t>
      </w:r>
      <w:r w:rsidR="006B5972">
        <w:t> </w:t>
      </w:r>
      <w:r w:rsidRPr="006A64EE">
        <w:t>4.2.</w:t>
      </w:r>
    </w:p>
    <w:p w14:paraId="6620E744" w14:textId="77777777" w:rsidR="00093A5E" w:rsidRPr="006A64EE" w:rsidRDefault="00093A5E" w:rsidP="004255F8">
      <w:pPr>
        <w:pStyle w:val="a3"/>
        <w:widowControl/>
      </w:pPr>
    </w:p>
    <w:p w14:paraId="32D5363A" w14:textId="77777777" w:rsidR="00093A5E" w:rsidRPr="006A64EE" w:rsidRDefault="009C2544" w:rsidP="004255F8">
      <w:pPr>
        <w:widowControl/>
        <w:rPr>
          <w:i/>
        </w:rPr>
      </w:pPr>
      <w:r w:rsidRPr="006A64EE">
        <w:rPr>
          <w:i/>
        </w:rPr>
        <w:t>Lipidwerte</w:t>
      </w:r>
    </w:p>
    <w:p w14:paraId="4048A9E1" w14:textId="77777777" w:rsidR="00093A5E" w:rsidRPr="006A64EE" w:rsidRDefault="009C2544" w:rsidP="004255F8">
      <w:pPr>
        <w:pStyle w:val="a3"/>
        <w:widowControl/>
      </w:pPr>
      <w:r w:rsidRPr="006A64EE">
        <w:t>Erhöhungen der Lipidwerte, wie z. B. Gesamtcholesterin, Low Density Lipoprotein (LDL), High Density Lipoprotein (HDL) und Triglyceride, wurden bei Patienten, die mit Tocilizumab behandelt wurden, beobachtet (siehe Abschnitt 4.8). Bei den meisten Patienten kam es nicht zu einer Erhöhung der atherogenen Indizes und die Erhöhungen des Gesamtcholesterins sprachen auf eine Behandlung mit Lipidsenkern an.</w:t>
      </w:r>
    </w:p>
    <w:p w14:paraId="3EA9E784" w14:textId="77777777" w:rsidR="00093A5E" w:rsidRPr="006A64EE" w:rsidRDefault="00093A5E" w:rsidP="004255F8">
      <w:pPr>
        <w:pStyle w:val="a3"/>
        <w:widowControl/>
      </w:pPr>
    </w:p>
    <w:p w14:paraId="4B75470E" w14:textId="5D39FFCD" w:rsidR="00093A5E" w:rsidRPr="006A64EE" w:rsidRDefault="009C2544" w:rsidP="004255F8">
      <w:pPr>
        <w:pStyle w:val="a3"/>
        <w:widowControl/>
      </w:pPr>
      <w:r w:rsidRPr="006A64EE">
        <w:t xml:space="preserve">4 bis 8 Wochen nach Beginn der Behandlung mit </w:t>
      </w:r>
      <w:r w:rsidR="00E07140">
        <w:t>Tocilizumab</w:t>
      </w:r>
      <w:r w:rsidR="00E07140" w:rsidRPr="006A64EE">
        <w:t xml:space="preserve"> </w:t>
      </w:r>
      <w:r w:rsidRPr="006A64EE">
        <w:t>muss bei Patienten mit sJIA, pJIA und RA eine Überprüfung der Lipidwerte erfolgen. Die Patienten sollten gemäß lokaler Therapieleitlinien für Hyperlipidämien behandelt werden.</w:t>
      </w:r>
    </w:p>
    <w:p w14:paraId="6D33B3BB" w14:textId="77777777" w:rsidR="00093A5E" w:rsidRPr="006A64EE" w:rsidRDefault="00093A5E" w:rsidP="004255F8">
      <w:pPr>
        <w:pStyle w:val="a3"/>
        <w:widowControl/>
      </w:pPr>
    </w:p>
    <w:p w14:paraId="061763FB" w14:textId="77777777" w:rsidR="00093A5E" w:rsidRPr="006A64EE" w:rsidRDefault="009C2544" w:rsidP="004255F8">
      <w:pPr>
        <w:widowControl/>
        <w:rPr>
          <w:i/>
        </w:rPr>
      </w:pPr>
      <w:r w:rsidRPr="006A64EE">
        <w:rPr>
          <w:i/>
        </w:rPr>
        <w:t>Neurologische Störungen</w:t>
      </w:r>
    </w:p>
    <w:p w14:paraId="5C3A01A7" w14:textId="151740B4" w:rsidR="00093A5E" w:rsidRPr="006A64EE" w:rsidRDefault="009C2544" w:rsidP="004255F8">
      <w:pPr>
        <w:pStyle w:val="a3"/>
        <w:widowControl/>
      </w:pPr>
      <w:r w:rsidRPr="006A64EE">
        <w:t xml:space="preserve">Ärzte müssen aufmerksam auf Symptome achten, die möglicherweise auf den Beginn einer demyelinisierenden Erkrankung des zentralen Nervensystems hindeuten könnten. Das Risikopotenzial für das Auftreten einer Demyelinisierung des zentralen Nervensystems durch </w:t>
      </w:r>
      <w:r w:rsidR="00E07140">
        <w:t>Tocilizumab</w:t>
      </w:r>
      <w:r w:rsidR="00E07140" w:rsidRPr="006A64EE">
        <w:t xml:space="preserve"> </w:t>
      </w:r>
      <w:r w:rsidRPr="006A64EE">
        <w:t>ist bislang unbekannt.</w:t>
      </w:r>
    </w:p>
    <w:p w14:paraId="385E5470" w14:textId="77777777" w:rsidR="00093A5E" w:rsidRPr="006A64EE" w:rsidRDefault="00093A5E" w:rsidP="004255F8">
      <w:pPr>
        <w:pStyle w:val="a3"/>
        <w:widowControl/>
      </w:pPr>
    </w:p>
    <w:p w14:paraId="6964647C" w14:textId="77777777" w:rsidR="00093A5E" w:rsidRPr="006A64EE" w:rsidRDefault="009C2544" w:rsidP="004255F8">
      <w:pPr>
        <w:widowControl/>
        <w:rPr>
          <w:i/>
        </w:rPr>
      </w:pPr>
      <w:r w:rsidRPr="006A64EE">
        <w:rPr>
          <w:i/>
        </w:rPr>
        <w:t>Maligne Erkrankungen</w:t>
      </w:r>
    </w:p>
    <w:p w14:paraId="1D8542BF" w14:textId="77777777" w:rsidR="00093A5E" w:rsidRPr="006A64EE" w:rsidRDefault="009C2544" w:rsidP="004255F8">
      <w:pPr>
        <w:pStyle w:val="a3"/>
        <w:widowControl/>
      </w:pPr>
      <w:r w:rsidRPr="006A64EE">
        <w:t>Patienten mit RA haben ein erhöhtes Risiko für maligne Erkrankungen. Immunmodulierende Arzneimittel können das Risiko für maligne Erkrankungen erhöhen.</w:t>
      </w:r>
    </w:p>
    <w:p w14:paraId="1C5E57BB" w14:textId="77777777" w:rsidR="00093A5E" w:rsidRPr="006A64EE" w:rsidRDefault="00093A5E" w:rsidP="004255F8">
      <w:pPr>
        <w:pStyle w:val="a3"/>
        <w:widowControl/>
      </w:pPr>
    </w:p>
    <w:p w14:paraId="5A63098A" w14:textId="77777777" w:rsidR="00093A5E" w:rsidRPr="006A64EE" w:rsidRDefault="009C2544" w:rsidP="004255F8">
      <w:pPr>
        <w:widowControl/>
        <w:rPr>
          <w:i/>
        </w:rPr>
      </w:pPr>
      <w:r w:rsidRPr="006A64EE">
        <w:rPr>
          <w:i/>
        </w:rPr>
        <w:t>Impfungen</w:t>
      </w:r>
    </w:p>
    <w:p w14:paraId="3D77F6A1" w14:textId="7039E518" w:rsidR="00093A5E" w:rsidRPr="006A64EE" w:rsidRDefault="009C2544" w:rsidP="004255F8">
      <w:pPr>
        <w:pStyle w:val="a3"/>
        <w:widowControl/>
      </w:pPr>
      <w:r w:rsidRPr="006A64EE">
        <w:t xml:space="preserve">Lebendimpfstoffe und attenuierte Lebendimpfstoffe sollten nicht gleichzeitig mit </w:t>
      </w:r>
      <w:r w:rsidR="00E07140">
        <w:t>Tocilizumab</w:t>
      </w:r>
      <w:r w:rsidR="00E07140" w:rsidRPr="006A64EE">
        <w:t xml:space="preserve"> </w:t>
      </w:r>
      <w:r w:rsidRPr="006A64EE">
        <w:t xml:space="preserve">verabreicht werden, da die klinische Sicherheit noch nicht nachgewiesen wurde. In einer offenen randomisierten Studie zeigten erwachsene Patienten mit RA, die mit </w:t>
      </w:r>
      <w:r w:rsidR="00E07140">
        <w:t>Tocilizumab</w:t>
      </w:r>
      <w:r w:rsidR="00E07140" w:rsidRPr="006A64EE">
        <w:t xml:space="preserve"> </w:t>
      </w:r>
      <w:r w:rsidRPr="006A64EE">
        <w:t xml:space="preserve">und MTX behandelt wurden, ein wirksames Ansprechen auf sowohl 23-valente Pneumokokken-Polysaccharid-Impfstoffe als auch Tetanus-Toxoid-Impfstoffe; die Ansprechrate war vergleichbar mit der bei Patienten, die nur </w:t>
      </w:r>
      <w:r w:rsidRPr="006A64EE">
        <w:lastRenderedPageBreak/>
        <w:t xml:space="preserve">MTX erhielten. Es wird empfohlen, dass alle Patienten, insbesondere Patienten mit sJIA und pJIA, alle gemäß den aktuellen Impfempfehlungen notwendigen Impfungen erhalten, bevor eine Behandlung mit </w:t>
      </w:r>
      <w:r w:rsidR="00E07140" w:rsidRPr="001879E9">
        <w:t>Avtozma</w:t>
      </w:r>
      <w:r w:rsidRPr="006A64EE">
        <w:t xml:space="preserve"> begonnen wird. Der Zeitraum zwischen der Impfung mit Lebendimpfstoffen und dem Beginn der Behandlung mit </w:t>
      </w:r>
      <w:r w:rsidR="00E07140" w:rsidRPr="001879E9">
        <w:t>Avtozma</w:t>
      </w:r>
      <w:r w:rsidRPr="006A64EE">
        <w:t xml:space="preserve"> sollte entsprechend den aktuellen Impfempfehlungen in Bezug auf Immunsuppressiva gewählt werden.</w:t>
      </w:r>
    </w:p>
    <w:p w14:paraId="3E3D4F09" w14:textId="77777777" w:rsidR="00093A5E" w:rsidRPr="006A64EE" w:rsidRDefault="00093A5E" w:rsidP="004255F8">
      <w:pPr>
        <w:pStyle w:val="a3"/>
        <w:widowControl/>
      </w:pPr>
    </w:p>
    <w:p w14:paraId="1EC5A063" w14:textId="77777777" w:rsidR="00093A5E" w:rsidRPr="006A64EE" w:rsidRDefault="009C2544" w:rsidP="004255F8">
      <w:pPr>
        <w:widowControl/>
        <w:rPr>
          <w:i/>
        </w:rPr>
      </w:pPr>
      <w:r w:rsidRPr="006A64EE">
        <w:rPr>
          <w:i/>
        </w:rPr>
        <w:t>Kardiovaskuläres Risiko</w:t>
      </w:r>
    </w:p>
    <w:p w14:paraId="7D8AE584" w14:textId="77777777" w:rsidR="00093A5E" w:rsidRPr="006A64EE" w:rsidRDefault="009C2544" w:rsidP="004255F8">
      <w:pPr>
        <w:pStyle w:val="a3"/>
        <w:widowControl/>
      </w:pPr>
      <w:r w:rsidRPr="006A64EE">
        <w:t>Patienten mit RA haben ein erhöhtes Risiko für kardiovaskuläre Erkrankungen. Risikofaktoren (z. B. Hypertonie, Hyperlipidämie) müssen im Rahmen der üblichen Therapiestandards überwacht und behandelt werden.</w:t>
      </w:r>
    </w:p>
    <w:p w14:paraId="5494025F" w14:textId="77777777" w:rsidR="00093A5E" w:rsidRPr="006A64EE" w:rsidRDefault="00093A5E" w:rsidP="004255F8">
      <w:pPr>
        <w:pStyle w:val="a3"/>
        <w:widowControl/>
      </w:pPr>
    </w:p>
    <w:p w14:paraId="25A85593" w14:textId="77777777" w:rsidR="00093A5E" w:rsidRPr="006A64EE" w:rsidRDefault="009C2544" w:rsidP="004255F8">
      <w:pPr>
        <w:keepNext/>
        <w:widowControl/>
        <w:rPr>
          <w:i/>
        </w:rPr>
      </w:pPr>
      <w:r w:rsidRPr="006A64EE">
        <w:rPr>
          <w:i/>
        </w:rPr>
        <w:t>Kombination mit TNF-Inhibitoren</w:t>
      </w:r>
    </w:p>
    <w:p w14:paraId="6541EB25" w14:textId="1D4A54B0" w:rsidR="00093A5E" w:rsidRPr="006A64EE" w:rsidRDefault="00E07140" w:rsidP="004255F8">
      <w:pPr>
        <w:pStyle w:val="a3"/>
        <w:widowControl/>
      </w:pPr>
      <w:r w:rsidRPr="001879E9">
        <w:t>Avtozma</w:t>
      </w:r>
      <w:r w:rsidR="009C2544" w:rsidRPr="006A64EE">
        <w:t xml:space="preserve"> wurde nicht in Kombination mit TNF-Inhibitoren oder anderen biologischen Therapien bei Patienten mit RA, sJIA oder pJIA untersucht. Die Anwendung von </w:t>
      </w:r>
      <w:r w:rsidRPr="001879E9">
        <w:t>Avtozma</w:t>
      </w:r>
      <w:r w:rsidRPr="006A64EE" w:rsidDel="00E07140">
        <w:t xml:space="preserve"> </w:t>
      </w:r>
      <w:r w:rsidR="009C2544" w:rsidRPr="006A64EE">
        <w:t>zusammen mit anderen biologischen Wirkstoffen wird nicht empfohlen.</w:t>
      </w:r>
    </w:p>
    <w:p w14:paraId="27F8D0F3" w14:textId="77777777" w:rsidR="00093A5E" w:rsidRPr="006A64EE" w:rsidRDefault="00093A5E" w:rsidP="004255F8">
      <w:pPr>
        <w:pStyle w:val="a3"/>
        <w:widowControl/>
        <w:rPr>
          <w:u w:val="single"/>
        </w:rPr>
      </w:pPr>
    </w:p>
    <w:p w14:paraId="0FAF97F0" w14:textId="77777777" w:rsidR="00093A5E" w:rsidRPr="006A64EE" w:rsidRDefault="009C2544" w:rsidP="004255F8">
      <w:pPr>
        <w:pStyle w:val="a3"/>
        <w:keepNext/>
        <w:widowControl/>
      </w:pPr>
      <w:r w:rsidRPr="006A64EE">
        <w:rPr>
          <w:u w:val="single"/>
        </w:rPr>
        <w:t>Patienten mit COVID-19</w:t>
      </w:r>
    </w:p>
    <w:p w14:paraId="5E647D45" w14:textId="77777777" w:rsidR="00093A5E" w:rsidRPr="006A64EE" w:rsidRDefault="00093A5E" w:rsidP="004255F8">
      <w:pPr>
        <w:pStyle w:val="a3"/>
        <w:keepNext/>
        <w:widowControl/>
      </w:pPr>
    </w:p>
    <w:p w14:paraId="7677AD98" w14:textId="7E111D51" w:rsidR="00093A5E" w:rsidRPr="006A64EE" w:rsidRDefault="0059713A" w:rsidP="004255F8">
      <w:pPr>
        <w:pStyle w:val="bullet"/>
      </w:pPr>
      <w:r w:rsidRPr="006A64EE">
        <w:rPr>
          <w:rFonts w:ascii="Symbol" w:hAnsi="Symbol"/>
        </w:rPr>
        <w:t></w:t>
      </w:r>
      <w:r w:rsidRPr="006A64EE">
        <w:rPr>
          <w:rFonts w:ascii="Symbol" w:hAnsi="Symbol"/>
        </w:rPr>
        <w:tab/>
      </w:r>
      <w:r w:rsidRPr="006A64EE">
        <w:t xml:space="preserve">Die Wirksamkeit von </w:t>
      </w:r>
      <w:r w:rsidR="00130002" w:rsidRPr="001879E9">
        <w:t>Avtozma</w:t>
      </w:r>
      <w:r w:rsidRPr="006A64EE">
        <w:t xml:space="preserve"> bei der Behandlung von COVID-19-Patienten, die keine erhöhten CRP-Werte aufweisen, wurde nicht nachgewiesen, siehe Abschnitt 5.1.</w:t>
      </w:r>
    </w:p>
    <w:p w14:paraId="360E9B29" w14:textId="719EA80E" w:rsidR="00093A5E" w:rsidRPr="006A64EE" w:rsidRDefault="0059713A" w:rsidP="004255F8">
      <w:pPr>
        <w:pStyle w:val="bullet"/>
      </w:pPr>
      <w:r w:rsidRPr="006A64EE">
        <w:rPr>
          <w:rFonts w:ascii="Symbol" w:hAnsi="Symbol"/>
        </w:rPr>
        <w:t></w:t>
      </w:r>
      <w:r w:rsidRPr="006A64EE">
        <w:rPr>
          <w:rFonts w:ascii="Symbol" w:hAnsi="Symbol"/>
        </w:rPr>
        <w:tab/>
      </w:r>
      <w:r w:rsidR="00130002" w:rsidRPr="001879E9">
        <w:t>Avtozma</w:t>
      </w:r>
      <w:r w:rsidRPr="006A64EE">
        <w:t xml:space="preserve"> sollte bei Patienten, die keine systemischen Corticosteroide erhalten, nicht angewendet werden, da in dieser Subgruppe ein Anstieg der Sterblichkeit nicht ausgeschlossen werden kann, siehe Abschnitt 5.1.</w:t>
      </w:r>
    </w:p>
    <w:p w14:paraId="696345DD" w14:textId="77777777" w:rsidR="00093A5E" w:rsidRPr="006A64EE" w:rsidRDefault="00093A5E" w:rsidP="004255F8">
      <w:pPr>
        <w:pStyle w:val="a3"/>
        <w:widowControl/>
      </w:pPr>
    </w:p>
    <w:p w14:paraId="5592F2F6" w14:textId="77777777" w:rsidR="00093A5E" w:rsidRPr="006A64EE" w:rsidRDefault="009C2544" w:rsidP="004255F8">
      <w:pPr>
        <w:widowControl/>
        <w:rPr>
          <w:i/>
        </w:rPr>
      </w:pPr>
      <w:r w:rsidRPr="006A64EE">
        <w:rPr>
          <w:i/>
        </w:rPr>
        <w:t>Infektionen</w:t>
      </w:r>
    </w:p>
    <w:p w14:paraId="1C351371" w14:textId="5B3A78C5" w:rsidR="00093A5E" w:rsidRPr="006A64EE" w:rsidRDefault="009C2544" w:rsidP="004255F8">
      <w:pPr>
        <w:pStyle w:val="a3"/>
        <w:widowControl/>
      </w:pPr>
      <w:r w:rsidRPr="006A64EE">
        <w:t xml:space="preserve">Bei Patienten mit COVID-19 darf </w:t>
      </w:r>
      <w:r w:rsidR="00DF7F79" w:rsidRPr="001879E9">
        <w:t>Avtozma</w:t>
      </w:r>
      <w:r w:rsidRPr="006A64EE">
        <w:t xml:space="preserve"> nicht verabreicht werden, wenn die Patienten gleichzeitig eine andere schwere aktive Infektion haben. Bei Patienten mit wiederkehrenden oder chronischen Infektionen oder Grunderkrankungen (z. B. Divertikulitis, Diabetes und interstitielle Lungenerkrankung) in der Anamnese, die diese Patienten für Infektionen anfällig machen, sollte der Arzt bei der Erwägung einer Anwendung von </w:t>
      </w:r>
      <w:r w:rsidR="00DF7F79" w:rsidRPr="001879E9">
        <w:t>Avtozma</w:t>
      </w:r>
      <w:r w:rsidRPr="006A64EE">
        <w:t xml:space="preserve"> Vorsicht walten lassen.</w:t>
      </w:r>
    </w:p>
    <w:p w14:paraId="3B378AE1" w14:textId="77777777" w:rsidR="00093A5E" w:rsidRPr="006A64EE" w:rsidRDefault="00093A5E" w:rsidP="004255F8">
      <w:pPr>
        <w:pStyle w:val="a3"/>
        <w:widowControl/>
      </w:pPr>
    </w:p>
    <w:p w14:paraId="565DE103" w14:textId="77777777" w:rsidR="00093A5E" w:rsidRPr="006A64EE" w:rsidRDefault="009C2544" w:rsidP="004255F8">
      <w:pPr>
        <w:widowControl/>
        <w:rPr>
          <w:i/>
        </w:rPr>
      </w:pPr>
      <w:r w:rsidRPr="006A64EE">
        <w:rPr>
          <w:i/>
        </w:rPr>
        <w:t>Hepatotoxizität</w:t>
      </w:r>
    </w:p>
    <w:p w14:paraId="67CEEDBB" w14:textId="6D37FA1A" w:rsidR="00093A5E" w:rsidRPr="006A64EE" w:rsidRDefault="009C2544" w:rsidP="004255F8">
      <w:pPr>
        <w:pStyle w:val="a3"/>
        <w:widowControl/>
      </w:pPr>
      <w:r w:rsidRPr="006A64EE">
        <w:t xml:space="preserve">Bei Patienten, die mit COVID-19 hospitalisiert werden, können die ALAT- oder ASAT-Werte erhöht sein. Multiorganversagen mit Leberbeteiligung ist eine bekannte Komplikation bei schwerem Verlauf von COVID-19. Bei der Entscheidung zur Verabreichung von Tocilizumab ist der potenzielle Nutzen der Behandlung von COVID-19 gegen die potenziellen Risiken einer akuten Behandlung mit Tocilizumab abzuwägen. Bei COVID-19-Patienten mit erhöhten ALAT- oder ASAT-Werten von mehr als 10 x ULN wird die Verabreichung von </w:t>
      </w:r>
      <w:r w:rsidR="00130002" w:rsidRPr="001879E9">
        <w:t>Avtozma</w:t>
      </w:r>
      <w:r w:rsidRPr="006A64EE">
        <w:t xml:space="preserve"> nicht empfohlen. Bei Patienten mit COVID-19 sind die ALAT-/ASAT-Werte gemäß den aktuellen klinischen Standards zu überwachen.</w:t>
      </w:r>
    </w:p>
    <w:p w14:paraId="08831A58" w14:textId="77777777" w:rsidR="00093A5E" w:rsidRPr="006A64EE" w:rsidRDefault="00093A5E" w:rsidP="004255F8">
      <w:pPr>
        <w:pStyle w:val="a3"/>
        <w:widowControl/>
      </w:pPr>
    </w:p>
    <w:p w14:paraId="2B475D5A" w14:textId="77777777" w:rsidR="00093A5E" w:rsidRPr="006A64EE" w:rsidRDefault="009C2544" w:rsidP="004255F8">
      <w:pPr>
        <w:widowControl/>
        <w:rPr>
          <w:i/>
        </w:rPr>
      </w:pPr>
      <w:r w:rsidRPr="006A64EE">
        <w:rPr>
          <w:i/>
        </w:rPr>
        <w:t>Hämatologische Abweichungen</w:t>
      </w:r>
    </w:p>
    <w:p w14:paraId="55EF58A6" w14:textId="4CA373D3" w:rsidR="00093A5E" w:rsidRPr="006A64EE" w:rsidRDefault="009C2544" w:rsidP="004255F8">
      <w:pPr>
        <w:pStyle w:val="a3"/>
        <w:widowControl/>
      </w:pPr>
      <w:r w:rsidRPr="006A64EE">
        <w:t>Bei Patienten mit COVID-19, die eine ANC von &lt;</w:t>
      </w:r>
      <w:r w:rsidR="006B5972">
        <w:t> </w:t>
      </w:r>
      <w:r w:rsidRPr="006A64EE">
        <w:t>1</w:t>
      </w:r>
      <w:r w:rsidR="006B5972">
        <w:t> </w:t>
      </w:r>
      <w:r w:rsidRPr="006A64EE">
        <w:t>x</w:t>
      </w:r>
      <w:r w:rsidR="006B5972">
        <w:t> </w:t>
      </w:r>
      <w:r w:rsidRPr="006A64EE">
        <w:t>10</w:t>
      </w:r>
      <w:r w:rsidRPr="006A64EE">
        <w:rPr>
          <w:vertAlign w:val="superscript"/>
        </w:rPr>
        <w:t>9</w:t>
      </w:r>
      <w:r w:rsidRPr="006A64EE">
        <w:t>/l oder eine Thrombozytenanzahl von</w:t>
      </w:r>
      <w:r w:rsidR="006B5972">
        <w:t xml:space="preserve"> </w:t>
      </w:r>
      <w:r w:rsidRPr="006A64EE">
        <w:t>&lt;</w:t>
      </w:r>
      <w:r w:rsidR="006B5972">
        <w:t> </w:t>
      </w:r>
      <w:r w:rsidRPr="006A64EE">
        <w:t>50</w:t>
      </w:r>
      <w:r w:rsidR="006B5972">
        <w:t> </w:t>
      </w:r>
      <w:r w:rsidRPr="006A64EE">
        <w:t>x</w:t>
      </w:r>
      <w:r w:rsidR="006B5972">
        <w:t> </w:t>
      </w:r>
      <w:r w:rsidRPr="006A64EE">
        <w:t>10</w:t>
      </w:r>
      <w:r w:rsidRPr="006A64EE">
        <w:rPr>
          <w:vertAlign w:val="superscript"/>
        </w:rPr>
        <w:t>3</w:t>
      </w:r>
      <w:r w:rsidRPr="006A64EE">
        <w:t>/µl entwickeln, wird die Behandlung nicht empfohlen. Neutrophile Granulozyten und Thrombozyten müssen gemäß den aktuellen klinischen Standards überwacht werden, siehe Abschnitt</w:t>
      </w:r>
      <w:r w:rsidR="006B5972">
        <w:t> </w:t>
      </w:r>
      <w:r w:rsidRPr="006A64EE">
        <w:t>4.2.</w:t>
      </w:r>
    </w:p>
    <w:p w14:paraId="5A28B73D" w14:textId="77777777" w:rsidR="00093A5E" w:rsidRPr="006A64EE" w:rsidRDefault="00093A5E" w:rsidP="004255F8">
      <w:pPr>
        <w:pStyle w:val="a3"/>
        <w:widowControl/>
      </w:pPr>
    </w:p>
    <w:p w14:paraId="189CDD7E" w14:textId="77777777" w:rsidR="00093A5E" w:rsidRPr="006A64EE" w:rsidRDefault="009C2544" w:rsidP="004255F8">
      <w:pPr>
        <w:pStyle w:val="a3"/>
        <w:widowControl/>
      </w:pPr>
      <w:r w:rsidRPr="006A64EE">
        <w:rPr>
          <w:u w:val="single"/>
        </w:rPr>
        <w:t>Kinder und Jugendliche</w:t>
      </w:r>
    </w:p>
    <w:p w14:paraId="58A8FF31" w14:textId="77777777" w:rsidR="00130002" w:rsidRDefault="00130002" w:rsidP="004255F8">
      <w:pPr>
        <w:widowControl/>
        <w:rPr>
          <w:i/>
        </w:rPr>
      </w:pPr>
    </w:p>
    <w:p w14:paraId="2D13D6FF" w14:textId="3BD44006" w:rsidR="00093A5E" w:rsidRPr="006A64EE" w:rsidRDefault="009C2544" w:rsidP="004255F8">
      <w:pPr>
        <w:widowControl/>
        <w:rPr>
          <w:i/>
        </w:rPr>
      </w:pPr>
      <w:r w:rsidRPr="006A64EE">
        <w:rPr>
          <w:i/>
        </w:rPr>
        <w:t>Patienten mit sJIA</w:t>
      </w:r>
    </w:p>
    <w:p w14:paraId="4546885D" w14:textId="77777777" w:rsidR="00093A5E" w:rsidRPr="006A64EE" w:rsidRDefault="009C2544" w:rsidP="004255F8">
      <w:pPr>
        <w:pStyle w:val="a3"/>
        <w:widowControl/>
      </w:pPr>
      <w:r w:rsidRPr="006A64EE">
        <w:t>Das Makrophagenaktivierungssyndrom (MAS) ist eine schwerwiegende, lebensbedrohliche Erkrankung, die bei Patienten mit sJIA auftreten kann. Die Anwendung von Tocilizumab bei Patienten während einer aktiven MAS-Episode wurde in klinischen Studien nicht untersucht.</w:t>
      </w:r>
    </w:p>
    <w:p w14:paraId="3DEA244A" w14:textId="77777777" w:rsidR="00093A5E" w:rsidRDefault="00093A5E" w:rsidP="004255F8">
      <w:pPr>
        <w:pStyle w:val="a3"/>
        <w:widowControl/>
      </w:pPr>
    </w:p>
    <w:p w14:paraId="784282A4" w14:textId="2B5FBCCD" w:rsidR="00130002" w:rsidRPr="00B320E1" w:rsidRDefault="00130002" w:rsidP="00B320E1">
      <w:pPr>
        <w:keepNext/>
        <w:widowControl/>
        <w:rPr>
          <w:u w:val="single"/>
        </w:rPr>
      </w:pPr>
      <w:r w:rsidRPr="00B320E1">
        <w:rPr>
          <w:u w:val="single"/>
        </w:rPr>
        <w:lastRenderedPageBreak/>
        <w:t>Sonstige Bestandteile mit bekannter Wirkung</w:t>
      </w:r>
    </w:p>
    <w:p w14:paraId="2A9AB5BB" w14:textId="77777777" w:rsidR="00130002" w:rsidRPr="00A61732" w:rsidRDefault="00130002" w:rsidP="00B320E1">
      <w:pPr>
        <w:keepNext/>
        <w:widowControl/>
        <w:rPr>
          <w:i/>
          <w:iCs/>
        </w:rPr>
      </w:pPr>
      <w:r>
        <w:rPr>
          <w:i/>
        </w:rPr>
        <w:t>Polysorbat</w:t>
      </w:r>
    </w:p>
    <w:p w14:paraId="0C3A8CFF" w14:textId="3853C1F5" w:rsidR="00130002" w:rsidRPr="009B2DB1" w:rsidRDefault="00130002" w:rsidP="00B320E1">
      <w:pPr>
        <w:keepNext/>
        <w:widowControl/>
      </w:pPr>
      <w:r>
        <w:t xml:space="preserve">Jede </w:t>
      </w:r>
      <w:r w:rsidR="000306BE">
        <w:t>80 mg-</w:t>
      </w:r>
      <w:r>
        <w:t>Durchstechflasche enthält 2,0 </w:t>
      </w:r>
      <w:r w:rsidRPr="00B320E1">
        <w:t>mg Polysorbat</w:t>
      </w:r>
      <w:r w:rsidR="000306BE">
        <w:t> 80</w:t>
      </w:r>
      <w:r w:rsidRPr="009B2DB1">
        <w:t>.</w:t>
      </w:r>
    </w:p>
    <w:p w14:paraId="3D3FBFBE" w14:textId="63360703" w:rsidR="00130002" w:rsidRPr="009B2DB1" w:rsidRDefault="00130002" w:rsidP="00130002">
      <w:r w:rsidRPr="009B2DB1">
        <w:t xml:space="preserve">Jede </w:t>
      </w:r>
      <w:r w:rsidR="000306BE">
        <w:t>200 mg-</w:t>
      </w:r>
      <w:r w:rsidRPr="009B2DB1">
        <w:t>Durchstechflasche enthält 5,0 </w:t>
      </w:r>
      <w:r w:rsidRPr="00B320E1">
        <w:t>mg Polysorbat</w:t>
      </w:r>
      <w:r w:rsidR="000306BE">
        <w:t xml:space="preserve"> 80</w:t>
      </w:r>
      <w:r w:rsidRPr="009B2DB1">
        <w:t>.</w:t>
      </w:r>
    </w:p>
    <w:p w14:paraId="51ABC333" w14:textId="6E81105D" w:rsidR="00130002" w:rsidRPr="009B2DB1" w:rsidRDefault="00130002" w:rsidP="00130002">
      <w:r w:rsidRPr="009B2DB1">
        <w:t xml:space="preserve">Jede </w:t>
      </w:r>
      <w:r w:rsidR="000306BE">
        <w:t>400 mg-</w:t>
      </w:r>
      <w:r w:rsidRPr="009B2DB1">
        <w:t>Durchstechflasche enthält 10,0 </w:t>
      </w:r>
      <w:r w:rsidRPr="00B320E1">
        <w:t>mg Polysorbat</w:t>
      </w:r>
      <w:r w:rsidR="000306BE">
        <w:t xml:space="preserve"> 80</w:t>
      </w:r>
      <w:r w:rsidRPr="009B2DB1">
        <w:t>.</w:t>
      </w:r>
    </w:p>
    <w:p w14:paraId="7F9D22C5" w14:textId="49770F69" w:rsidR="00130002" w:rsidRDefault="00130002" w:rsidP="00B320E1">
      <w:r w:rsidRPr="00B320E1">
        <w:t>Polysorbate können allergische Reaktionen hervorrufen</w:t>
      </w:r>
      <w:r w:rsidRPr="009B2DB1">
        <w:t xml:space="preserve">. </w:t>
      </w:r>
      <w:r>
        <w:t>Patienten mit einer Allergie gegen Polysorbate sollten dieses Arzneimittel nicht anwenden.</w:t>
      </w:r>
    </w:p>
    <w:p w14:paraId="24D03110" w14:textId="77777777" w:rsidR="00130002" w:rsidRPr="006A64EE" w:rsidRDefault="00130002" w:rsidP="004255F8">
      <w:pPr>
        <w:pStyle w:val="a3"/>
        <w:widowControl/>
      </w:pPr>
    </w:p>
    <w:p w14:paraId="52C302F6" w14:textId="77777777" w:rsidR="00093A5E" w:rsidRPr="006A64EE" w:rsidRDefault="0059713A" w:rsidP="004255F8">
      <w:pPr>
        <w:pStyle w:val="2"/>
      </w:pPr>
      <w:r w:rsidRPr="006A64EE">
        <w:t>4.5</w:t>
      </w:r>
      <w:r w:rsidRPr="006A64EE">
        <w:tab/>
        <w:t>Wechselwirkungen mit anderen Arzneimitteln und sonstige Wechselwirkungen</w:t>
      </w:r>
    </w:p>
    <w:p w14:paraId="1E556FA3" w14:textId="77777777" w:rsidR="00093A5E" w:rsidRPr="006A64EE" w:rsidRDefault="00093A5E" w:rsidP="00D0274D"/>
    <w:p w14:paraId="2F42E0C9" w14:textId="77777777" w:rsidR="00093A5E" w:rsidRPr="006A64EE" w:rsidRDefault="009C2544" w:rsidP="004255F8">
      <w:pPr>
        <w:pStyle w:val="a3"/>
        <w:widowControl/>
      </w:pPr>
      <w:r w:rsidRPr="006A64EE">
        <w:t>Studien zur Erfassung von Wechselwirkungen wurden nur bei Erwachsenen durchgeführt.</w:t>
      </w:r>
    </w:p>
    <w:p w14:paraId="33B64561" w14:textId="77777777" w:rsidR="00093A5E" w:rsidRPr="006A64EE" w:rsidRDefault="00093A5E" w:rsidP="004255F8">
      <w:pPr>
        <w:pStyle w:val="a3"/>
        <w:widowControl/>
      </w:pPr>
    </w:p>
    <w:p w14:paraId="283B320A" w14:textId="77777777" w:rsidR="00093A5E" w:rsidRPr="006A64EE" w:rsidRDefault="009C2544" w:rsidP="004255F8">
      <w:pPr>
        <w:pStyle w:val="a3"/>
        <w:widowControl/>
      </w:pPr>
      <w:r w:rsidRPr="006A64EE">
        <w:t>Die gleichzeitige Anwendung einer Einzeldosis von 10 mg/kg Tocilizumab mit 10 mg – 25 mg MTX einmal wöchentlich hatte keine klinisch signifikante Wirkung auf die MTX-Exposition.</w:t>
      </w:r>
    </w:p>
    <w:p w14:paraId="01FB6342" w14:textId="77777777" w:rsidR="00093A5E" w:rsidRPr="006A64EE" w:rsidRDefault="00093A5E" w:rsidP="004255F8">
      <w:pPr>
        <w:pStyle w:val="a3"/>
        <w:widowControl/>
      </w:pPr>
    </w:p>
    <w:p w14:paraId="4E603EE5" w14:textId="77777777" w:rsidR="00093A5E" w:rsidRPr="006A64EE" w:rsidRDefault="009C2544" w:rsidP="004255F8">
      <w:pPr>
        <w:pStyle w:val="a3"/>
        <w:widowControl/>
      </w:pPr>
      <w:r w:rsidRPr="006A64EE">
        <w:t>In Analysen zur Populationspharmakokinetik fand sich kein Einfluss von MTX, nicht steroidalen Antiphlogistika (NSAs) oder Corticosteroiden auf die Clearance von Tocilizumab.</w:t>
      </w:r>
    </w:p>
    <w:p w14:paraId="5D59B4C6" w14:textId="77777777" w:rsidR="00093A5E" w:rsidRPr="006A64EE" w:rsidRDefault="00093A5E" w:rsidP="004255F8">
      <w:pPr>
        <w:pStyle w:val="a3"/>
        <w:widowControl/>
      </w:pPr>
    </w:p>
    <w:p w14:paraId="1FAC22B1" w14:textId="77777777" w:rsidR="00093A5E" w:rsidRPr="006A64EE" w:rsidRDefault="009C2544" w:rsidP="004255F8">
      <w:pPr>
        <w:pStyle w:val="a3"/>
        <w:widowControl/>
      </w:pPr>
      <w:r w:rsidRPr="006A64EE">
        <w:t>Die Bildung der hepatischen CYP450-Enzyme wird durch Zytokine, wie IL-6, das die chronische Entzündung stimuliert, unterdrückt. Daher ist zu erwarten, dass die Bildung von CYP450-Enzymen normalisiert wird, wenn eine wirksame Behandlung zur Zytokinhemmung, wie Tocilizumab, eingeleitet wird.</w:t>
      </w:r>
    </w:p>
    <w:p w14:paraId="29BB9AE5" w14:textId="77777777" w:rsidR="00093A5E" w:rsidRPr="006A64EE" w:rsidRDefault="00093A5E" w:rsidP="004255F8">
      <w:pPr>
        <w:pStyle w:val="a3"/>
        <w:widowControl/>
      </w:pPr>
    </w:p>
    <w:p w14:paraId="26CFCABC" w14:textId="77777777" w:rsidR="00093A5E" w:rsidRPr="006A64EE" w:rsidRDefault="009C2544" w:rsidP="004255F8">
      <w:pPr>
        <w:pStyle w:val="a3"/>
        <w:widowControl/>
      </w:pPr>
      <w:r w:rsidRPr="006A64EE">
        <w:rPr>
          <w:i/>
        </w:rPr>
        <w:t>In-vitro-</w:t>
      </w:r>
      <w:r w:rsidRPr="006A64EE">
        <w:t>Studien mit kultivierten menschlichen Hepatozyten zeigten, dass IL-6 einen Rückgang der CYP1A2-, CYP2C9-, CYP2C19- und CYP3A4-Enzymexpression bewirkte. Tocilizumab normalisiert die Expression dieser Enzyme.</w:t>
      </w:r>
    </w:p>
    <w:p w14:paraId="0CA159C1" w14:textId="77777777" w:rsidR="00093A5E" w:rsidRPr="006A64EE" w:rsidRDefault="00093A5E" w:rsidP="004255F8">
      <w:pPr>
        <w:pStyle w:val="a3"/>
        <w:widowControl/>
      </w:pPr>
    </w:p>
    <w:p w14:paraId="16BEBC5A" w14:textId="77777777" w:rsidR="00093A5E" w:rsidRPr="006A64EE" w:rsidRDefault="009C2544" w:rsidP="004255F8">
      <w:pPr>
        <w:pStyle w:val="a3"/>
        <w:widowControl/>
      </w:pPr>
      <w:r w:rsidRPr="006A64EE">
        <w:t>In einer Studie bei Patienten mit RA waren die Simvastatin-Spiegel (CYP3A4) eine Woche nach einer</w:t>
      </w:r>
      <w:r w:rsidR="007A149F" w:rsidRPr="006A64EE">
        <w:t xml:space="preserve"> </w:t>
      </w:r>
      <w:r w:rsidRPr="006A64EE">
        <w:t>Einzeldosis von Tocilizumab um 57 % erniedrigt. Dies entspricht einem ähnlichen oder leicht höheren Spiegel als bei gesunden Probanden.</w:t>
      </w:r>
    </w:p>
    <w:p w14:paraId="2E4C755B" w14:textId="77777777" w:rsidR="00093A5E" w:rsidRPr="006A64EE" w:rsidRDefault="00093A5E" w:rsidP="004255F8">
      <w:pPr>
        <w:pStyle w:val="a3"/>
        <w:widowControl/>
      </w:pPr>
    </w:p>
    <w:p w14:paraId="755AE35E" w14:textId="77777777" w:rsidR="00093A5E" w:rsidRPr="006A64EE" w:rsidRDefault="009C2544" w:rsidP="004255F8">
      <w:pPr>
        <w:pStyle w:val="a3"/>
        <w:widowControl/>
      </w:pPr>
      <w:r w:rsidRPr="006A64EE">
        <w:t>Wenn eine Therapie mit Tocilizumab begonnen oder beendet wird, sollten Patienten, die Arzneimittel einnehmen, für welche die Dosis individuell angepasst wird und die durch CYP450 3A4, 1A2 oder 2C9 metabolisiert werden (z. B. Methylprednisolon, Dexamethason [mit der Möglichkeit des Auftretens eines oralen Glucocorticoid-Entzugssyndroms], Atorvastatin, Calciumkanalblocker, Theophyllin, Warfarin, Phenprocoumon, Phenytoin, Ciclosporin oder Benzodiazepine), überwacht werden, da Dosiserhöhungen erforderlich sein könnten, um die therapeutische Wirkung zu erhalten. Aufgrund seiner langen Eliminationshalbwertszeit (t½) kann die Wirkung von Tocilizumab auf die CYP450-Enzymaktivität mehrere Wochen nach dem Ende der Therapie persistieren.</w:t>
      </w:r>
    </w:p>
    <w:p w14:paraId="3AD18602" w14:textId="77777777" w:rsidR="00093A5E" w:rsidRPr="006A64EE" w:rsidRDefault="00093A5E" w:rsidP="004255F8">
      <w:pPr>
        <w:pStyle w:val="a3"/>
        <w:widowControl/>
      </w:pPr>
    </w:p>
    <w:p w14:paraId="3AEC5120" w14:textId="77777777" w:rsidR="00093A5E" w:rsidRPr="006A64EE" w:rsidRDefault="0059713A" w:rsidP="004255F8">
      <w:pPr>
        <w:pStyle w:val="2"/>
      </w:pPr>
      <w:r w:rsidRPr="006A64EE">
        <w:t>4.6</w:t>
      </w:r>
      <w:r w:rsidRPr="006A64EE">
        <w:tab/>
        <w:t>Fertilität, Schwangerschaft und Stillzeit</w:t>
      </w:r>
    </w:p>
    <w:p w14:paraId="16F10461" w14:textId="77777777" w:rsidR="00093A5E" w:rsidRPr="006A64EE" w:rsidRDefault="00093A5E" w:rsidP="00D0274D"/>
    <w:p w14:paraId="71D123DC" w14:textId="77777777" w:rsidR="00093A5E" w:rsidRPr="006A64EE" w:rsidRDefault="009C2544" w:rsidP="004255F8">
      <w:pPr>
        <w:pStyle w:val="a3"/>
        <w:widowControl/>
      </w:pPr>
      <w:r w:rsidRPr="006A64EE">
        <w:rPr>
          <w:u w:val="single"/>
        </w:rPr>
        <w:t>Frauen im gebärfähigen Alter</w:t>
      </w:r>
    </w:p>
    <w:p w14:paraId="2DD4197B" w14:textId="77777777" w:rsidR="00093A5E" w:rsidRPr="006A64EE" w:rsidRDefault="009C2544" w:rsidP="004255F8">
      <w:pPr>
        <w:pStyle w:val="a3"/>
        <w:widowControl/>
      </w:pPr>
      <w:r w:rsidRPr="006A64EE">
        <w:t>Frauen im gebärfähigen Alter müssen während der Behandlung und während 3 Monaten danach eine wirksame Kontrazeption anwenden.</w:t>
      </w:r>
    </w:p>
    <w:p w14:paraId="3CE24ED6" w14:textId="77777777" w:rsidR="00093A5E" w:rsidRPr="006A64EE" w:rsidRDefault="00093A5E" w:rsidP="004255F8">
      <w:pPr>
        <w:pStyle w:val="a3"/>
        <w:widowControl/>
      </w:pPr>
    </w:p>
    <w:p w14:paraId="39ACD684" w14:textId="77777777" w:rsidR="00093A5E" w:rsidRPr="006A64EE" w:rsidRDefault="009C2544" w:rsidP="004255F8">
      <w:pPr>
        <w:pStyle w:val="a3"/>
        <w:widowControl/>
      </w:pPr>
      <w:r w:rsidRPr="006A64EE">
        <w:rPr>
          <w:u w:val="single"/>
        </w:rPr>
        <w:t>Schwangerschaft</w:t>
      </w:r>
    </w:p>
    <w:p w14:paraId="595EAEC6" w14:textId="77777777" w:rsidR="00093A5E" w:rsidRPr="006A64EE" w:rsidRDefault="009C2544" w:rsidP="004255F8">
      <w:pPr>
        <w:pStyle w:val="a3"/>
        <w:widowControl/>
      </w:pPr>
      <w:r w:rsidRPr="006A64EE">
        <w:t>Es liegen keine hinreichenden Daten zur Verwendung von Tocilizumab bei Schwangeren vor. Eine tierexperimentelle Studie hat bei einer hohen Dosierung ein erhöhtes Risiko für Spontanaborte/embryonal–fetalen Tod gezeigt (siehe Abschnitt 5.3). Das potenzielle Risiko für den Menschen ist nicht bekannt.</w:t>
      </w:r>
    </w:p>
    <w:p w14:paraId="2063B866" w14:textId="77777777" w:rsidR="00093A5E" w:rsidRPr="006A64EE" w:rsidRDefault="00093A5E" w:rsidP="004255F8">
      <w:pPr>
        <w:pStyle w:val="a3"/>
        <w:widowControl/>
      </w:pPr>
    </w:p>
    <w:p w14:paraId="745DCE78" w14:textId="17829DCD" w:rsidR="00093A5E" w:rsidRPr="006A64EE" w:rsidRDefault="00D637EB" w:rsidP="004255F8">
      <w:pPr>
        <w:pStyle w:val="a3"/>
        <w:widowControl/>
      </w:pPr>
      <w:r w:rsidRPr="001879E9">
        <w:t>Avtozma</w:t>
      </w:r>
      <w:r w:rsidR="009C2544" w:rsidRPr="006A64EE">
        <w:t xml:space="preserve"> sollte nicht während der Schwangerschaft angewendet werden, es sei denn, dies ist eindeutig erforderlich.</w:t>
      </w:r>
    </w:p>
    <w:p w14:paraId="4DC6B553" w14:textId="77777777" w:rsidR="00093A5E" w:rsidRPr="006A64EE" w:rsidRDefault="00093A5E" w:rsidP="004255F8">
      <w:pPr>
        <w:pStyle w:val="a3"/>
        <w:widowControl/>
      </w:pPr>
    </w:p>
    <w:p w14:paraId="02849378" w14:textId="77777777" w:rsidR="00093A5E" w:rsidRPr="006A64EE" w:rsidRDefault="009C2544" w:rsidP="00B320E1">
      <w:pPr>
        <w:pStyle w:val="a3"/>
        <w:keepNext/>
        <w:widowControl/>
      </w:pPr>
      <w:r w:rsidRPr="006A64EE">
        <w:rPr>
          <w:u w:val="single"/>
        </w:rPr>
        <w:lastRenderedPageBreak/>
        <w:t>Stillzeit</w:t>
      </w:r>
    </w:p>
    <w:p w14:paraId="0A1B4A3C" w14:textId="730757AB" w:rsidR="00093A5E" w:rsidRPr="006A64EE" w:rsidRDefault="009C2544" w:rsidP="004255F8">
      <w:pPr>
        <w:pStyle w:val="a3"/>
        <w:widowControl/>
      </w:pPr>
      <w:r w:rsidRPr="006A64EE">
        <w:t xml:space="preserve">Es ist nicht bekannt, ob Tocilizumab beim Menschen in die Muttermilch übergeht. Die Ausscheidung von Tocilizumab in die Milch wurde in Tierstudien nicht untersucht. Die Entscheidung, weiter zu stillen oder abzustillen oder die Behandlung mit </w:t>
      </w:r>
      <w:r w:rsidR="00D637EB" w:rsidRPr="001879E9">
        <w:t>Avtozma</w:t>
      </w:r>
      <w:r w:rsidRPr="006A64EE">
        <w:t xml:space="preserve"> weiterzuführen oder abzubrechen, sollte auf der Basis des Nutzens des Stillens für das Kind und des Nutzens der Therapie mit </w:t>
      </w:r>
      <w:r w:rsidR="00D637EB" w:rsidRPr="001879E9">
        <w:t>Avtozma</w:t>
      </w:r>
      <w:r w:rsidRPr="006A64EE">
        <w:t xml:space="preserve"> für die Frau getroffen werden.</w:t>
      </w:r>
    </w:p>
    <w:p w14:paraId="53FB9CCA" w14:textId="77777777" w:rsidR="00093A5E" w:rsidRPr="006A64EE" w:rsidRDefault="00093A5E" w:rsidP="004255F8">
      <w:pPr>
        <w:pStyle w:val="a3"/>
        <w:widowControl/>
      </w:pPr>
    </w:p>
    <w:p w14:paraId="763E64F2" w14:textId="77777777" w:rsidR="00093A5E" w:rsidRPr="006A64EE" w:rsidRDefault="009C2544" w:rsidP="004255F8">
      <w:pPr>
        <w:pStyle w:val="a3"/>
        <w:widowControl/>
      </w:pPr>
      <w:r w:rsidRPr="006A64EE">
        <w:rPr>
          <w:u w:val="single"/>
        </w:rPr>
        <w:t>Fertilität</w:t>
      </w:r>
    </w:p>
    <w:p w14:paraId="4E838CC8" w14:textId="77777777" w:rsidR="00093A5E" w:rsidRPr="006A64EE" w:rsidRDefault="009C2544" w:rsidP="004255F8">
      <w:pPr>
        <w:pStyle w:val="a3"/>
        <w:widowControl/>
      </w:pPr>
      <w:r w:rsidRPr="006A64EE">
        <w:t>Verfügbare nicht klinische Daten zur Behandlung mit Tocilizumab geben keinen Hinweis auf eine Wirkung auf die Fertilität.</w:t>
      </w:r>
    </w:p>
    <w:p w14:paraId="27BCC5CD" w14:textId="77777777" w:rsidR="00093A5E" w:rsidRPr="006A64EE" w:rsidRDefault="00093A5E" w:rsidP="004255F8">
      <w:pPr>
        <w:pStyle w:val="a3"/>
        <w:widowControl/>
      </w:pPr>
    </w:p>
    <w:p w14:paraId="7918F595" w14:textId="77777777" w:rsidR="00093A5E" w:rsidRPr="006A64EE" w:rsidRDefault="0059713A" w:rsidP="004255F8">
      <w:pPr>
        <w:pStyle w:val="2"/>
      </w:pPr>
      <w:r w:rsidRPr="006A64EE">
        <w:t>4.7</w:t>
      </w:r>
      <w:r w:rsidRPr="006A64EE">
        <w:tab/>
        <w:t>Auswirkungen auf die Verkehrstüchtigkeit und die Fähigkeit zum Bedienen von Maschinen</w:t>
      </w:r>
    </w:p>
    <w:p w14:paraId="4D924B24" w14:textId="77777777" w:rsidR="00093A5E" w:rsidRPr="006A64EE" w:rsidRDefault="00093A5E" w:rsidP="00D0274D"/>
    <w:p w14:paraId="04BEEC5B" w14:textId="7BBB3FAA" w:rsidR="00093A5E" w:rsidRPr="006A64EE" w:rsidRDefault="00D637EB" w:rsidP="004255F8">
      <w:pPr>
        <w:pStyle w:val="a3"/>
        <w:widowControl/>
      </w:pPr>
      <w:r>
        <w:t>Tocilizumab</w:t>
      </w:r>
      <w:r w:rsidRPr="006A64EE">
        <w:t xml:space="preserve"> </w:t>
      </w:r>
      <w:r w:rsidR="009C2544" w:rsidRPr="006A64EE">
        <w:t>hat geringen Einfluss auf die Verkehrstüchtigkeit und die Fähigkeit zum Bedienen von Maschinen (siehe Abschnitt 4.8, Schwindel).</w:t>
      </w:r>
    </w:p>
    <w:p w14:paraId="2B7E1C94" w14:textId="77777777" w:rsidR="00093A5E" w:rsidRPr="006A64EE" w:rsidRDefault="00093A5E" w:rsidP="004255F8">
      <w:pPr>
        <w:pStyle w:val="a3"/>
        <w:widowControl/>
      </w:pPr>
    </w:p>
    <w:p w14:paraId="4BBA09FA" w14:textId="77777777" w:rsidR="00093A5E" w:rsidRPr="006A64EE" w:rsidRDefault="0059713A" w:rsidP="004255F8">
      <w:pPr>
        <w:pStyle w:val="2"/>
      </w:pPr>
      <w:r w:rsidRPr="006A64EE">
        <w:t>4.8</w:t>
      </w:r>
      <w:r w:rsidRPr="006A64EE">
        <w:tab/>
        <w:t>Nebenwirkungen</w:t>
      </w:r>
    </w:p>
    <w:p w14:paraId="3B1DA49C" w14:textId="77777777" w:rsidR="00093A5E" w:rsidRPr="006A64EE" w:rsidRDefault="00093A5E" w:rsidP="00D0274D"/>
    <w:p w14:paraId="7D84C8AF" w14:textId="77777777" w:rsidR="00093A5E" w:rsidRPr="006A64EE" w:rsidRDefault="009C2544" w:rsidP="004255F8">
      <w:pPr>
        <w:pStyle w:val="a3"/>
        <w:widowControl/>
      </w:pPr>
      <w:r w:rsidRPr="006A64EE">
        <w:rPr>
          <w:u w:val="single"/>
        </w:rPr>
        <w:t>Zusammenfassung des Sicherheitsprofils</w:t>
      </w:r>
    </w:p>
    <w:p w14:paraId="18535AD6" w14:textId="77777777" w:rsidR="00093A5E" w:rsidRPr="006A64EE" w:rsidRDefault="009C2544" w:rsidP="004255F8">
      <w:pPr>
        <w:pStyle w:val="a3"/>
        <w:widowControl/>
      </w:pPr>
      <w:r w:rsidRPr="006A64EE">
        <w:t>Die am häufigsten beobachteten Nebenwirkungen (die bei ≥ 5 % der Patienten auftraten, die eine Behandlung gegen RA, sJIA, pJIA oder CRS mit Tocilizumab als Monotherapie oder in Kombination mit DMARDs erhielten) waren Infektionen des oberen Respirationstrakts, Nasopharyngitis, Kopfschmerzen, Hypertonie und erhöhte ALAT.</w:t>
      </w:r>
    </w:p>
    <w:p w14:paraId="50D077BE" w14:textId="77777777" w:rsidR="00093A5E" w:rsidRPr="006A64EE" w:rsidRDefault="00093A5E" w:rsidP="004255F8">
      <w:pPr>
        <w:pStyle w:val="a3"/>
        <w:widowControl/>
      </w:pPr>
    </w:p>
    <w:p w14:paraId="403B6514" w14:textId="77777777" w:rsidR="00093A5E" w:rsidRPr="006A64EE" w:rsidRDefault="009C2544" w:rsidP="004255F8">
      <w:pPr>
        <w:pStyle w:val="a3"/>
        <w:widowControl/>
      </w:pPr>
      <w:r w:rsidRPr="006A64EE">
        <w:t>Die schwerwiegendsten Nebenwirkungen waren schwerwiegende Infektionen, Komplikationen einer Divertikulitis und Überempfindlichkeitsreaktionen.</w:t>
      </w:r>
    </w:p>
    <w:p w14:paraId="41A1811D" w14:textId="77777777" w:rsidR="00093A5E" w:rsidRPr="006A64EE" w:rsidRDefault="00093A5E" w:rsidP="004255F8">
      <w:pPr>
        <w:pStyle w:val="a3"/>
        <w:widowControl/>
      </w:pPr>
    </w:p>
    <w:p w14:paraId="00C34833" w14:textId="77777777" w:rsidR="00093A5E" w:rsidRPr="006A64EE" w:rsidRDefault="009C2544" w:rsidP="004255F8">
      <w:pPr>
        <w:pStyle w:val="a3"/>
        <w:widowControl/>
      </w:pPr>
      <w:r w:rsidRPr="006A64EE">
        <w:t>Die am häufigsten berichteten Nebenwirkungen (die bei ≥ 5 % der mit Tocilizumab gegen COVID-19 behandelten Patienten auftraten) waren Erhöhung der Lebertransaminasen, Verstopfung und</w:t>
      </w:r>
      <w:r w:rsidR="007A149F" w:rsidRPr="006A64EE">
        <w:t xml:space="preserve"> </w:t>
      </w:r>
      <w:r w:rsidRPr="006A64EE">
        <w:t>Harnwegsinfektion.</w:t>
      </w:r>
    </w:p>
    <w:p w14:paraId="5EB56DDE" w14:textId="77777777" w:rsidR="00093A5E" w:rsidRPr="006A64EE" w:rsidRDefault="00093A5E" w:rsidP="004255F8">
      <w:pPr>
        <w:pStyle w:val="a3"/>
        <w:widowControl/>
      </w:pPr>
    </w:p>
    <w:p w14:paraId="7905BC94" w14:textId="201726C8" w:rsidR="00093A5E" w:rsidRPr="006A64EE" w:rsidRDefault="009C2544" w:rsidP="004255F8">
      <w:pPr>
        <w:pStyle w:val="a3"/>
        <w:widowControl/>
      </w:pPr>
      <w:r w:rsidRPr="006A64EE">
        <w:t xml:space="preserve">Nebenwirkungen aus klinischen Studien und/oder aus Erfahrungen nach der Markteinführung von </w:t>
      </w:r>
      <w:r w:rsidR="00D637EB">
        <w:t>Tocilizumab</w:t>
      </w:r>
      <w:r w:rsidRPr="006A64EE">
        <w:t>, basierend auf Spontanmeldungen, Literaturfällen und Fällen aus nicht-interventionellen Studienprogrammen, sind in Tabelle 1 und Tabelle 2 gemäß MedDRA-Systemorganklasse aufgelistet. Die entsprechende Häufigkeitskategorie für jede Nebenwirkung basiert auf folgender Konvention:</w:t>
      </w:r>
      <w:r w:rsidR="007A149F" w:rsidRPr="006A64EE">
        <w:t xml:space="preserve"> </w:t>
      </w:r>
      <w:r w:rsidRPr="006A64EE">
        <w:t>Sehr häufig (≥</w:t>
      </w:r>
      <w:r w:rsidR="007121D6">
        <w:t> </w:t>
      </w:r>
      <w:r w:rsidRPr="006A64EE">
        <w:t>1/10), häufig (≥</w:t>
      </w:r>
      <w:r w:rsidR="007121D6">
        <w:t> </w:t>
      </w:r>
      <w:r w:rsidRPr="006A64EE">
        <w:t>1/100 bis &lt;</w:t>
      </w:r>
      <w:r w:rsidR="007121D6">
        <w:t> </w:t>
      </w:r>
      <w:r w:rsidRPr="006A64EE">
        <w:t>1/10), gelegentlich (≥</w:t>
      </w:r>
      <w:r w:rsidR="007121D6">
        <w:t> </w:t>
      </w:r>
      <w:r w:rsidRPr="006A64EE">
        <w:t>1/1</w:t>
      </w:r>
      <w:r w:rsidR="007121D6">
        <w:t> </w:t>
      </w:r>
      <w:r w:rsidRPr="006A64EE">
        <w:t>000 bis &lt;</w:t>
      </w:r>
      <w:r w:rsidR="007121D6">
        <w:t> </w:t>
      </w:r>
      <w:r w:rsidRPr="006A64EE">
        <w:t>1/100), selten</w:t>
      </w:r>
      <w:r w:rsidR="007A149F" w:rsidRPr="006A64EE">
        <w:t xml:space="preserve"> </w:t>
      </w:r>
      <w:r w:rsidRPr="006A64EE">
        <w:t>(≥</w:t>
      </w:r>
      <w:r w:rsidR="007121D6">
        <w:t> </w:t>
      </w:r>
      <w:r w:rsidRPr="006A64EE">
        <w:t>1/10</w:t>
      </w:r>
      <w:r w:rsidR="007121D6">
        <w:t> </w:t>
      </w:r>
      <w:r w:rsidRPr="006A64EE">
        <w:t>000 bis &lt;</w:t>
      </w:r>
      <w:r w:rsidR="007121D6">
        <w:t> </w:t>
      </w:r>
      <w:r w:rsidRPr="006A64EE">
        <w:t>1/1</w:t>
      </w:r>
      <w:r w:rsidR="007121D6">
        <w:t> </w:t>
      </w:r>
      <w:r w:rsidRPr="006A64EE">
        <w:t>000) oder sehr selten (&lt;</w:t>
      </w:r>
      <w:r w:rsidR="007121D6">
        <w:t> </w:t>
      </w:r>
      <w:r w:rsidRPr="006A64EE">
        <w:t>1/10</w:t>
      </w:r>
      <w:r w:rsidR="007121D6">
        <w:t> </w:t>
      </w:r>
      <w:r w:rsidRPr="006A64EE">
        <w:t>000). Innerhalb jeder Häufigkeitsgruppe werden die Nebenwirkungen nach abnehmendem Schweregrad angegeben.</w:t>
      </w:r>
    </w:p>
    <w:p w14:paraId="6C207EC3" w14:textId="77777777" w:rsidR="00093A5E" w:rsidRPr="006A64EE" w:rsidRDefault="00093A5E" w:rsidP="004255F8">
      <w:pPr>
        <w:pStyle w:val="a3"/>
        <w:widowControl/>
      </w:pPr>
    </w:p>
    <w:p w14:paraId="1F05C18B" w14:textId="77777777" w:rsidR="00093A5E" w:rsidRPr="006A64EE" w:rsidRDefault="009C2544" w:rsidP="004255F8">
      <w:pPr>
        <w:pStyle w:val="a3"/>
        <w:widowControl/>
      </w:pPr>
      <w:r w:rsidRPr="006A64EE">
        <w:rPr>
          <w:u w:val="single"/>
        </w:rPr>
        <w:t>Patienten mit RA</w:t>
      </w:r>
    </w:p>
    <w:p w14:paraId="0CB33BE1" w14:textId="77777777" w:rsidR="00093A5E" w:rsidRPr="006A64EE" w:rsidRDefault="009C2544" w:rsidP="004255F8">
      <w:pPr>
        <w:pStyle w:val="a3"/>
        <w:widowControl/>
      </w:pPr>
      <w:r w:rsidRPr="006A64EE">
        <w:t>Das Sicherheitsprofil von Tocilizumab wurde in vier placebokontrollierten Studien (Studien II, III, IV und V), einer MTX-kontrollierten Studie (Studie I) und während ihrer Verlängerungsphasen untersucht (siehe Abschnitt 5.1).</w:t>
      </w:r>
    </w:p>
    <w:p w14:paraId="530CE12E" w14:textId="77777777" w:rsidR="00093A5E" w:rsidRPr="006A64EE" w:rsidRDefault="00093A5E" w:rsidP="004255F8">
      <w:pPr>
        <w:pStyle w:val="a3"/>
        <w:widowControl/>
      </w:pPr>
    </w:p>
    <w:p w14:paraId="79A3F4E3" w14:textId="2A2772D5" w:rsidR="00093A5E" w:rsidRPr="006A64EE" w:rsidRDefault="009C2544" w:rsidP="004255F8">
      <w:pPr>
        <w:pStyle w:val="a3"/>
        <w:widowControl/>
      </w:pPr>
      <w:r w:rsidRPr="006A64EE">
        <w:t>Die doppelblinde, kontrollierte Phase dauerte bei vier Studien 6</w:t>
      </w:r>
      <w:r w:rsidR="007121D6">
        <w:t> </w:t>
      </w:r>
      <w:r w:rsidRPr="006A64EE">
        <w:t>Monate (Studien I, III, IV und V) und in einer Studie bis zu 2</w:t>
      </w:r>
      <w:r w:rsidR="007121D6">
        <w:t> </w:t>
      </w:r>
      <w:r w:rsidRPr="006A64EE">
        <w:t>Jahre (Studie II). In den doppelblinden, kontrollierten Studien erhielten</w:t>
      </w:r>
      <w:r w:rsidR="007A149F" w:rsidRPr="006A64EE">
        <w:t xml:space="preserve"> </w:t>
      </w:r>
      <w:r w:rsidRPr="006A64EE">
        <w:t>774</w:t>
      </w:r>
      <w:r w:rsidR="007121D6">
        <w:t> </w:t>
      </w:r>
      <w:r w:rsidRPr="006A64EE">
        <w:t>Patienten Tocilizumab 4</w:t>
      </w:r>
      <w:r w:rsidR="007121D6">
        <w:t> </w:t>
      </w:r>
      <w:r w:rsidRPr="006A64EE">
        <w:t>mg/kg in Kombination mit MTX, 1</w:t>
      </w:r>
      <w:r w:rsidR="007121D6">
        <w:t> </w:t>
      </w:r>
      <w:r w:rsidRPr="006A64EE">
        <w:t>870 Patienten erhielten Tocilizumab 8</w:t>
      </w:r>
      <w:r w:rsidR="00AE460C">
        <w:t> </w:t>
      </w:r>
      <w:r w:rsidRPr="006A64EE">
        <w:t>mg/kg in Kombination mit MTX oder anderen DMARDs und 288</w:t>
      </w:r>
      <w:r w:rsidR="007121D6">
        <w:t> </w:t>
      </w:r>
      <w:r w:rsidRPr="006A64EE">
        <w:t>Patienten erhielten Tocilizumab 8</w:t>
      </w:r>
      <w:r w:rsidR="00AE460C">
        <w:t> </w:t>
      </w:r>
      <w:r w:rsidRPr="006A64EE">
        <w:t>mg/kg als Monotherapie.</w:t>
      </w:r>
    </w:p>
    <w:p w14:paraId="21F69989" w14:textId="77777777" w:rsidR="00093A5E" w:rsidRPr="006A64EE" w:rsidRDefault="00093A5E" w:rsidP="004255F8">
      <w:pPr>
        <w:pStyle w:val="a3"/>
        <w:widowControl/>
      </w:pPr>
    </w:p>
    <w:p w14:paraId="460D8C18" w14:textId="2AAD5AAD" w:rsidR="00093A5E" w:rsidRPr="006A64EE" w:rsidRDefault="009C2544" w:rsidP="004255F8">
      <w:pPr>
        <w:pStyle w:val="a3"/>
        <w:widowControl/>
      </w:pPr>
      <w:r w:rsidRPr="006A64EE">
        <w:t>Die Population mit Langzeitexposition setzt sich aus allen Patienten zusammen, die zumindest eine Dosis Tocilizumab entweder in der doppelblinden, kontrollierten Phase oder in der offenen Verlängerungsphase der Studien erhalten haben. Von den 4</w:t>
      </w:r>
      <w:r w:rsidR="007121D6">
        <w:t> </w:t>
      </w:r>
      <w:r w:rsidRPr="006A64EE">
        <w:t>009 Patienten dieser Population erhielten</w:t>
      </w:r>
      <w:r w:rsidR="007A149F" w:rsidRPr="006A64EE">
        <w:t xml:space="preserve"> </w:t>
      </w:r>
      <w:r w:rsidRPr="006A64EE">
        <w:t>3</w:t>
      </w:r>
      <w:r w:rsidR="007121D6">
        <w:t> </w:t>
      </w:r>
      <w:r w:rsidRPr="006A64EE">
        <w:t>577 eine mindestens 6-monatige Behandlung, 3</w:t>
      </w:r>
      <w:r w:rsidR="007121D6">
        <w:t> </w:t>
      </w:r>
      <w:r w:rsidRPr="006A64EE">
        <w:t>296 eine mindestens 1-jährige, 2</w:t>
      </w:r>
      <w:r w:rsidR="007121D6">
        <w:t> </w:t>
      </w:r>
      <w:r w:rsidRPr="006A64EE">
        <w:t>806 erhielten für mindestens 2</w:t>
      </w:r>
      <w:r w:rsidR="007121D6">
        <w:t> </w:t>
      </w:r>
      <w:r w:rsidRPr="006A64EE">
        <w:t>Jahre und 1</w:t>
      </w:r>
      <w:r w:rsidR="007121D6">
        <w:t> </w:t>
      </w:r>
      <w:r w:rsidRPr="006A64EE">
        <w:t>222 für 3</w:t>
      </w:r>
      <w:r w:rsidR="007121D6">
        <w:t> </w:t>
      </w:r>
      <w:r w:rsidRPr="006A64EE">
        <w:t>Jahre eine Behandlung.</w:t>
      </w:r>
    </w:p>
    <w:p w14:paraId="10C43FE0" w14:textId="77777777" w:rsidR="00093A5E" w:rsidRPr="006A64EE" w:rsidRDefault="00093A5E" w:rsidP="004255F8">
      <w:pPr>
        <w:widowControl/>
      </w:pPr>
    </w:p>
    <w:p w14:paraId="67BDBB94" w14:textId="577C6CFF" w:rsidR="00093A5E" w:rsidRPr="006A64EE" w:rsidRDefault="007D680A" w:rsidP="004255F8">
      <w:pPr>
        <w:pStyle w:val="Tabletittle"/>
      </w:pPr>
      <w:r w:rsidRPr="006A64EE">
        <w:t>Tabelle</w:t>
      </w:r>
      <w:r w:rsidR="007121D6">
        <w:t> </w:t>
      </w:r>
      <w:r w:rsidRPr="006A64EE">
        <w:t>1:</w:t>
      </w:r>
      <w:r w:rsidR="00FA2513" w:rsidRPr="006A64EE">
        <w:tab/>
      </w:r>
      <w:r w:rsidRPr="006A64EE">
        <w:t>Auflistung der Nebenwirkungen, die bei Patienten mit RA, welche eine Behandlung mit Tocilizumab als Monotherapie oder in Kombination mit MTX oder anderen DMARDs erhielten, während der doppelblinden, kontrollierten Phase oder nach der Markteinführung auftraten</w:t>
      </w:r>
    </w:p>
    <w:p w14:paraId="4408C764" w14:textId="53D32EF8" w:rsidR="002D5756" w:rsidRPr="006A64EE" w:rsidRDefault="002D5756" w:rsidP="004255F8">
      <w:pPr>
        <w:pStyle w:val="a3"/>
        <w:widowControl/>
        <w:rPr>
          <w:i/>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012"/>
        <w:gridCol w:w="1666"/>
        <w:gridCol w:w="2030"/>
        <w:gridCol w:w="1959"/>
        <w:gridCol w:w="1405"/>
      </w:tblGrid>
      <w:tr w:rsidR="00593482" w:rsidRPr="006A64EE" w14:paraId="11341CA7" w14:textId="77777777" w:rsidTr="00AD15E0">
        <w:trPr>
          <w:tblHeader/>
        </w:trPr>
        <w:tc>
          <w:tcPr>
            <w:tcW w:w="2012" w:type="dxa"/>
            <w:vMerge w:val="restart"/>
          </w:tcPr>
          <w:p w14:paraId="3A6F161F" w14:textId="77777777" w:rsidR="00093A5E" w:rsidRPr="006A64EE" w:rsidRDefault="009C2544" w:rsidP="004255F8">
            <w:pPr>
              <w:pStyle w:val="TableParagraph"/>
              <w:widowControl/>
              <w:suppressAutoHyphens/>
              <w:jc w:val="center"/>
              <w:rPr>
                <w:b/>
                <w:sz w:val="20"/>
                <w:szCs w:val="20"/>
              </w:rPr>
            </w:pPr>
            <w:r w:rsidRPr="006A64EE">
              <w:rPr>
                <w:b/>
                <w:sz w:val="20"/>
                <w:szCs w:val="20"/>
              </w:rPr>
              <w:t>MedDRA-</w:t>
            </w:r>
          </w:p>
          <w:p w14:paraId="71C3CE49" w14:textId="74D214A6" w:rsidR="002D5756" w:rsidRPr="006A64EE" w:rsidRDefault="009C2544" w:rsidP="004255F8">
            <w:pPr>
              <w:pStyle w:val="TableParagraph"/>
              <w:widowControl/>
              <w:suppressAutoHyphens/>
              <w:jc w:val="center"/>
              <w:rPr>
                <w:b/>
                <w:sz w:val="20"/>
                <w:szCs w:val="20"/>
              </w:rPr>
            </w:pPr>
            <w:r w:rsidRPr="006A64EE">
              <w:rPr>
                <w:b/>
                <w:sz w:val="20"/>
                <w:szCs w:val="20"/>
              </w:rPr>
              <w:t>Systemorganklasse</w:t>
            </w:r>
          </w:p>
        </w:tc>
        <w:tc>
          <w:tcPr>
            <w:tcW w:w="7060" w:type="dxa"/>
            <w:gridSpan w:val="4"/>
          </w:tcPr>
          <w:p w14:paraId="7FCDB20A" w14:textId="77777777" w:rsidR="002D5756" w:rsidRPr="006A64EE" w:rsidRDefault="009C2544" w:rsidP="004255F8">
            <w:pPr>
              <w:pStyle w:val="TableParagraph"/>
              <w:widowControl/>
              <w:suppressAutoHyphens/>
              <w:jc w:val="center"/>
              <w:rPr>
                <w:b/>
                <w:sz w:val="20"/>
                <w:szCs w:val="20"/>
              </w:rPr>
            </w:pPr>
            <w:r w:rsidRPr="006A64EE">
              <w:rPr>
                <w:b/>
                <w:sz w:val="20"/>
                <w:szCs w:val="20"/>
              </w:rPr>
              <w:t>Häufigkeitskategorien mit bevorzugter Bezeichnung (PT)</w:t>
            </w:r>
          </w:p>
        </w:tc>
      </w:tr>
      <w:tr w:rsidR="00593482" w:rsidRPr="006A64EE" w14:paraId="187F8FC2" w14:textId="77777777" w:rsidTr="00AD15E0">
        <w:trPr>
          <w:tblHeader/>
        </w:trPr>
        <w:tc>
          <w:tcPr>
            <w:tcW w:w="2012" w:type="dxa"/>
            <w:vMerge/>
          </w:tcPr>
          <w:p w14:paraId="173BDF41" w14:textId="77777777" w:rsidR="002D5756" w:rsidRPr="006A64EE" w:rsidRDefault="002D5756" w:rsidP="004255F8">
            <w:pPr>
              <w:widowControl/>
              <w:suppressAutoHyphens/>
              <w:jc w:val="center"/>
              <w:rPr>
                <w:sz w:val="20"/>
                <w:szCs w:val="20"/>
              </w:rPr>
            </w:pPr>
          </w:p>
        </w:tc>
        <w:tc>
          <w:tcPr>
            <w:tcW w:w="1666" w:type="dxa"/>
          </w:tcPr>
          <w:p w14:paraId="6EF07702" w14:textId="77777777" w:rsidR="002D5756" w:rsidRPr="006A64EE" w:rsidRDefault="009C2544" w:rsidP="004255F8">
            <w:pPr>
              <w:pStyle w:val="TableParagraph"/>
              <w:widowControl/>
              <w:suppressAutoHyphens/>
              <w:jc w:val="center"/>
              <w:rPr>
                <w:b/>
                <w:sz w:val="20"/>
                <w:szCs w:val="20"/>
              </w:rPr>
            </w:pPr>
            <w:r w:rsidRPr="006A64EE">
              <w:rPr>
                <w:b/>
                <w:sz w:val="20"/>
                <w:szCs w:val="20"/>
              </w:rPr>
              <w:t>Sehr häufig</w:t>
            </w:r>
          </w:p>
        </w:tc>
        <w:tc>
          <w:tcPr>
            <w:tcW w:w="2030" w:type="dxa"/>
          </w:tcPr>
          <w:p w14:paraId="1A1282FC" w14:textId="77777777" w:rsidR="002D5756" w:rsidRPr="006A64EE" w:rsidRDefault="009C2544" w:rsidP="004255F8">
            <w:pPr>
              <w:pStyle w:val="TableParagraph"/>
              <w:widowControl/>
              <w:suppressAutoHyphens/>
              <w:jc w:val="center"/>
              <w:rPr>
                <w:b/>
                <w:sz w:val="20"/>
                <w:szCs w:val="20"/>
              </w:rPr>
            </w:pPr>
            <w:r w:rsidRPr="006A64EE">
              <w:rPr>
                <w:b/>
                <w:sz w:val="20"/>
                <w:szCs w:val="20"/>
              </w:rPr>
              <w:t>Häufig</w:t>
            </w:r>
          </w:p>
        </w:tc>
        <w:tc>
          <w:tcPr>
            <w:tcW w:w="1959" w:type="dxa"/>
          </w:tcPr>
          <w:p w14:paraId="5337CFBE" w14:textId="77777777" w:rsidR="002D5756" w:rsidRPr="006A64EE" w:rsidRDefault="009C2544" w:rsidP="004255F8">
            <w:pPr>
              <w:pStyle w:val="TableParagraph"/>
              <w:widowControl/>
              <w:suppressAutoHyphens/>
              <w:jc w:val="center"/>
              <w:rPr>
                <w:b/>
                <w:sz w:val="20"/>
                <w:szCs w:val="20"/>
              </w:rPr>
            </w:pPr>
            <w:r w:rsidRPr="006A64EE">
              <w:rPr>
                <w:b/>
                <w:sz w:val="20"/>
                <w:szCs w:val="20"/>
              </w:rPr>
              <w:t>Gelegentlich</w:t>
            </w:r>
          </w:p>
        </w:tc>
        <w:tc>
          <w:tcPr>
            <w:tcW w:w="1405" w:type="dxa"/>
          </w:tcPr>
          <w:p w14:paraId="1F298FD5" w14:textId="77777777" w:rsidR="002D5756" w:rsidRPr="006A64EE" w:rsidRDefault="009C2544" w:rsidP="004255F8">
            <w:pPr>
              <w:pStyle w:val="TableParagraph"/>
              <w:widowControl/>
              <w:suppressAutoHyphens/>
              <w:jc w:val="center"/>
              <w:rPr>
                <w:b/>
                <w:sz w:val="20"/>
                <w:szCs w:val="20"/>
              </w:rPr>
            </w:pPr>
            <w:r w:rsidRPr="006A64EE">
              <w:rPr>
                <w:b/>
                <w:sz w:val="20"/>
                <w:szCs w:val="20"/>
              </w:rPr>
              <w:t>Selten</w:t>
            </w:r>
          </w:p>
        </w:tc>
      </w:tr>
      <w:tr w:rsidR="00593482" w:rsidRPr="006A64EE" w14:paraId="0BD686D8" w14:textId="77777777" w:rsidTr="00AD15E0">
        <w:trPr>
          <w:cantSplit/>
        </w:trPr>
        <w:tc>
          <w:tcPr>
            <w:tcW w:w="2012" w:type="dxa"/>
          </w:tcPr>
          <w:p w14:paraId="70BAD3D9" w14:textId="77777777" w:rsidR="002D5756" w:rsidRPr="006A64EE" w:rsidRDefault="009C2544" w:rsidP="004255F8">
            <w:pPr>
              <w:pStyle w:val="TableParagraph"/>
              <w:widowControl/>
              <w:suppressAutoHyphens/>
              <w:rPr>
                <w:sz w:val="20"/>
                <w:szCs w:val="20"/>
              </w:rPr>
            </w:pPr>
            <w:r w:rsidRPr="006A64EE">
              <w:rPr>
                <w:sz w:val="20"/>
                <w:szCs w:val="20"/>
              </w:rPr>
              <w:t>Infektionen und parasitäre Erkrankungen</w:t>
            </w:r>
          </w:p>
        </w:tc>
        <w:tc>
          <w:tcPr>
            <w:tcW w:w="1666" w:type="dxa"/>
          </w:tcPr>
          <w:p w14:paraId="19C66747" w14:textId="20C46629" w:rsidR="002D5756" w:rsidRPr="006A64EE" w:rsidRDefault="009C2544" w:rsidP="004255F8">
            <w:pPr>
              <w:pStyle w:val="TableParagraph"/>
              <w:widowControl/>
              <w:suppressAutoHyphens/>
              <w:rPr>
                <w:sz w:val="20"/>
                <w:szCs w:val="20"/>
              </w:rPr>
            </w:pPr>
            <w:r w:rsidRPr="006A64EE">
              <w:rPr>
                <w:sz w:val="20"/>
                <w:szCs w:val="20"/>
              </w:rPr>
              <w:t>Infektionen des oberen Respirationstrakts</w:t>
            </w:r>
          </w:p>
        </w:tc>
        <w:tc>
          <w:tcPr>
            <w:tcW w:w="2030" w:type="dxa"/>
          </w:tcPr>
          <w:p w14:paraId="6B74D107" w14:textId="77777777" w:rsidR="002D5756" w:rsidRPr="006A64EE" w:rsidRDefault="009C2544" w:rsidP="004255F8">
            <w:pPr>
              <w:pStyle w:val="TableParagraph"/>
              <w:widowControl/>
              <w:suppressAutoHyphens/>
              <w:rPr>
                <w:sz w:val="20"/>
                <w:szCs w:val="20"/>
              </w:rPr>
            </w:pPr>
            <w:r w:rsidRPr="006A64EE">
              <w:rPr>
                <w:sz w:val="20"/>
                <w:szCs w:val="20"/>
              </w:rPr>
              <w:t>Zellulitis, Pneumonie, oraler Herpes simplex, Herpes zoster</w:t>
            </w:r>
          </w:p>
        </w:tc>
        <w:tc>
          <w:tcPr>
            <w:tcW w:w="1959" w:type="dxa"/>
          </w:tcPr>
          <w:p w14:paraId="7B83E942" w14:textId="77777777" w:rsidR="002D5756" w:rsidRPr="006A64EE" w:rsidRDefault="009C2544" w:rsidP="004255F8">
            <w:pPr>
              <w:pStyle w:val="TableParagraph"/>
              <w:widowControl/>
              <w:suppressAutoHyphens/>
              <w:rPr>
                <w:sz w:val="20"/>
                <w:szCs w:val="20"/>
              </w:rPr>
            </w:pPr>
            <w:r w:rsidRPr="006A64EE">
              <w:rPr>
                <w:sz w:val="20"/>
                <w:szCs w:val="20"/>
              </w:rPr>
              <w:t>Divertikulitis</w:t>
            </w:r>
          </w:p>
        </w:tc>
        <w:tc>
          <w:tcPr>
            <w:tcW w:w="1405" w:type="dxa"/>
          </w:tcPr>
          <w:p w14:paraId="0E988297" w14:textId="77777777" w:rsidR="002D5756" w:rsidRPr="006A64EE" w:rsidRDefault="002D5756" w:rsidP="004255F8">
            <w:pPr>
              <w:pStyle w:val="TableParagraph"/>
              <w:widowControl/>
              <w:suppressAutoHyphens/>
              <w:rPr>
                <w:sz w:val="20"/>
                <w:szCs w:val="20"/>
              </w:rPr>
            </w:pPr>
          </w:p>
        </w:tc>
      </w:tr>
      <w:tr w:rsidR="00593482" w:rsidRPr="006A64EE" w14:paraId="06E4EFC1" w14:textId="77777777" w:rsidTr="00AD15E0">
        <w:trPr>
          <w:cantSplit/>
        </w:trPr>
        <w:tc>
          <w:tcPr>
            <w:tcW w:w="2012" w:type="dxa"/>
          </w:tcPr>
          <w:p w14:paraId="4F48B18C" w14:textId="5F54883E" w:rsidR="002D5756" w:rsidRPr="006A64EE" w:rsidRDefault="009C2544" w:rsidP="004255F8">
            <w:pPr>
              <w:pStyle w:val="TableParagraph"/>
              <w:widowControl/>
              <w:suppressAutoHyphens/>
              <w:rPr>
                <w:sz w:val="20"/>
                <w:szCs w:val="20"/>
              </w:rPr>
            </w:pPr>
            <w:r w:rsidRPr="006A64EE">
              <w:rPr>
                <w:sz w:val="20"/>
                <w:szCs w:val="20"/>
              </w:rPr>
              <w:t>Erkrankungen des Blutes und des</w:t>
            </w:r>
            <w:r w:rsidR="007A149F" w:rsidRPr="006A64EE">
              <w:rPr>
                <w:sz w:val="20"/>
                <w:szCs w:val="20"/>
              </w:rPr>
              <w:t xml:space="preserve"> </w:t>
            </w:r>
            <w:r w:rsidRPr="006A64EE">
              <w:rPr>
                <w:sz w:val="20"/>
                <w:szCs w:val="20"/>
              </w:rPr>
              <w:t>Lymphsystems</w:t>
            </w:r>
          </w:p>
        </w:tc>
        <w:tc>
          <w:tcPr>
            <w:tcW w:w="1666" w:type="dxa"/>
          </w:tcPr>
          <w:p w14:paraId="32D016FC" w14:textId="77777777" w:rsidR="002D5756" w:rsidRPr="006A64EE" w:rsidRDefault="002D5756" w:rsidP="004255F8">
            <w:pPr>
              <w:pStyle w:val="TableParagraph"/>
              <w:widowControl/>
              <w:suppressAutoHyphens/>
              <w:rPr>
                <w:sz w:val="20"/>
                <w:szCs w:val="20"/>
              </w:rPr>
            </w:pPr>
          </w:p>
        </w:tc>
        <w:tc>
          <w:tcPr>
            <w:tcW w:w="2030" w:type="dxa"/>
          </w:tcPr>
          <w:p w14:paraId="573DA5CE" w14:textId="77777777" w:rsidR="00093A5E" w:rsidRPr="006A64EE" w:rsidRDefault="009C2544" w:rsidP="004255F8">
            <w:pPr>
              <w:pStyle w:val="TableParagraph"/>
              <w:widowControl/>
              <w:suppressAutoHyphens/>
              <w:rPr>
                <w:sz w:val="20"/>
                <w:szCs w:val="20"/>
              </w:rPr>
            </w:pPr>
            <w:r w:rsidRPr="006A64EE">
              <w:rPr>
                <w:sz w:val="20"/>
                <w:szCs w:val="20"/>
              </w:rPr>
              <w:t>Leukopenie, Neutropenie,</w:t>
            </w:r>
          </w:p>
          <w:p w14:paraId="6E58030D" w14:textId="52B079CE" w:rsidR="002D5756" w:rsidRPr="006A64EE" w:rsidRDefault="009C2544" w:rsidP="004255F8">
            <w:pPr>
              <w:pStyle w:val="TableParagraph"/>
              <w:widowControl/>
              <w:suppressAutoHyphens/>
              <w:rPr>
                <w:sz w:val="20"/>
                <w:szCs w:val="20"/>
              </w:rPr>
            </w:pPr>
            <w:r w:rsidRPr="006A64EE">
              <w:rPr>
                <w:sz w:val="20"/>
                <w:szCs w:val="20"/>
              </w:rPr>
              <w:t>Hypofibrinogenämie</w:t>
            </w:r>
          </w:p>
        </w:tc>
        <w:tc>
          <w:tcPr>
            <w:tcW w:w="1959" w:type="dxa"/>
          </w:tcPr>
          <w:p w14:paraId="4179EF40" w14:textId="77777777" w:rsidR="002D5756" w:rsidRPr="006A64EE" w:rsidRDefault="002D5756" w:rsidP="004255F8">
            <w:pPr>
              <w:pStyle w:val="TableParagraph"/>
              <w:widowControl/>
              <w:suppressAutoHyphens/>
              <w:rPr>
                <w:sz w:val="20"/>
                <w:szCs w:val="20"/>
              </w:rPr>
            </w:pPr>
          </w:p>
        </w:tc>
        <w:tc>
          <w:tcPr>
            <w:tcW w:w="1405" w:type="dxa"/>
          </w:tcPr>
          <w:p w14:paraId="7DDC48E2" w14:textId="77777777" w:rsidR="002D5756" w:rsidRPr="006A64EE" w:rsidRDefault="002D5756" w:rsidP="004255F8">
            <w:pPr>
              <w:pStyle w:val="TableParagraph"/>
              <w:widowControl/>
              <w:suppressAutoHyphens/>
              <w:rPr>
                <w:sz w:val="20"/>
                <w:szCs w:val="20"/>
              </w:rPr>
            </w:pPr>
          </w:p>
        </w:tc>
      </w:tr>
      <w:tr w:rsidR="00593482" w:rsidRPr="006A64EE" w14:paraId="156E73EC" w14:textId="77777777" w:rsidTr="00AD15E0">
        <w:trPr>
          <w:cantSplit/>
        </w:trPr>
        <w:tc>
          <w:tcPr>
            <w:tcW w:w="2012" w:type="dxa"/>
          </w:tcPr>
          <w:p w14:paraId="66BB54C4" w14:textId="790A7200" w:rsidR="002D5756" w:rsidRPr="006A64EE" w:rsidRDefault="009C2544" w:rsidP="004255F8">
            <w:pPr>
              <w:pStyle w:val="TableParagraph"/>
              <w:widowControl/>
              <w:suppressAutoHyphens/>
              <w:rPr>
                <w:sz w:val="20"/>
                <w:szCs w:val="20"/>
              </w:rPr>
            </w:pPr>
            <w:r w:rsidRPr="006A64EE">
              <w:rPr>
                <w:sz w:val="20"/>
                <w:szCs w:val="20"/>
              </w:rPr>
              <w:t>Erkrankungen des</w:t>
            </w:r>
            <w:r w:rsidR="007A149F" w:rsidRPr="006A64EE">
              <w:rPr>
                <w:sz w:val="20"/>
                <w:szCs w:val="20"/>
              </w:rPr>
              <w:t xml:space="preserve"> </w:t>
            </w:r>
            <w:r w:rsidRPr="006A64EE">
              <w:rPr>
                <w:sz w:val="20"/>
                <w:szCs w:val="20"/>
              </w:rPr>
              <w:t>Immunsystems</w:t>
            </w:r>
          </w:p>
        </w:tc>
        <w:tc>
          <w:tcPr>
            <w:tcW w:w="1666" w:type="dxa"/>
          </w:tcPr>
          <w:p w14:paraId="3BAFD1DF" w14:textId="77777777" w:rsidR="002D5756" w:rsidRPr="006A64EE" w:rsidRDefault="002D5756" w:rsidP="004255F8">
            <w:pPr>
              <w:pStyle w:val="TableParagraph"/>
              <w:widowControl/>
              <w:suppressAutoHyphens/>
              <w:rPr>
                <w:sz w:val="20"/>
                <w:szCs w:val="20"/>
              </w:rPr>
            </w:pPr>
          </w:p>
        </w:tc>
        <w:tc>
          <w:tcPr>
            <w:tcW w:w="2030" w:type="dxa"/>
          </w:tcPr>
          <w:p w14:paraId="63133CB7" w14:textId="77777777" w:rsidR="002D5756" w:rsidRPr="006A64EE" w:rsidRDefault="002D5756" w:rsidP="004255F8">
            <w:pPr>
              <w:pStyle w:val="TableParagraph"/>
              <w:widowControl/>
              <w:suppressAutoHyphens/>
              <w:rPr>
                <w:sz w:val="20"/>
                <w:szCs w:val="20"/>
              </w:rPr>
            </w:pPr>
          </w:p>
        </w:tc>
        <w:tc>
          <w:tcPr>
            <w:tcW w:w="1959" w:type="dxa"/>
          </w:tcPr>
          <w:p w14:paraId="740D171D" w14:textId="77777777" w:rsidR="002D5756" w:rsidRPr="006A64EE" w:rsidRDefault="002D5756" w:rsidP="004255F8">
            <w:pPr>
              <w:pStyle w:val="TableParagraph"/>
              <w:widowControl/>
              <w:suppressAutoHyphens/>
              <w:rPr>
                <w:sz w:val="20"/>
                <w:szCs w:val="20"/>
              </w:rPr>
            </w:pPr>
          </w:p>
        </w:tc>
        <w:tc>
          <w:tcPr>
            <w:tcW w:w="1405" w:type="dxa"/>
          </w:tcPr>
          <w:p w14:paraId="18AC3430" w14:textId="77777777" w:rsidR="00093A5E" w:rsidRPr="006A64EE" w:rsidRDefault="009C2544" w:rsidP="004255F8">
            <w:pPr>
              <w:pStyle w:val="TableParagraph"/>
              <w:widowControl/>
              <w:suppressAutoHyphens/>
              <w:rPr>
                <w:sz w:val="20"/>
                <w:szCs w:val="20"/>
              </w:rPr>
            </w:pPr>
            <w:r w:rsidRPr="006A64EE">
              <w:rPr>
                <w:sz w:val="20"/>
                <w:szCs w:val="20"/>
              </w:rPr>
              <w:t>Anaphylaxie</w:t>
            </w:r>
          </w:p>
          <w:p w14:paraId="7166F268" w14:textId="730EC519" w:rsidR="002D5756" w:rsidRPr="006A64EE" w:rsidRDefault="009C2544" w:rsidP="004255F8">
            <w:pPr>
              <w:pStyle w:val="TableParagraph"/>
              <w:widowControl/>
              <w:suppressAutoHyphens/>
              <w:rPr>
                <w:sz w:val="20"/>
                <w:szCs w:val="20"/>
              </w:rPr>
            </w:pPr>
            <w:r w:rsidRPr="006A64EE">
              <w:rPr>
                <w:sz w:val="20"/>
                <w:szCs w:val="20"/>
              </w:rPr>
              <w:t>(tödlich)</w:t>
            </w:r>
            <w:r w:rsidRPr="006A64EE">
              <w:rPr>
                <w:sz w:val="20"/>
                <w:szCs w:val="20"/>
                <w:vertAlign w:val="superscript"/>
              </w:rPr>
              <w:t>1,</w:t>
            </w:r>
            <w:r w:rsidRPr="006A64EE">
              <w:rPr>
                <w:sz w:val="20"/>
                <w:szCs w:val="20"/>
              </w:rPr>
              <w:t xml:space="preserve"> </w:t>
            </w:r>
            <w:r w:rsidRPr="006A64EE">
              <w:rPr>
                <w:sz w:val="20"/>
                <w:szCs w:val="20"/>
                <w:vertAlign w:val="superscript"/>
              </w:rPr>
              <w:t>2,</w:t>
            </w:r>
            <w:r w:rsidR="001A473A" w:rsidRPr="006A64EE">
              <w:rPr>
                <w:sz w:val="20"/>
                <w:szCs w:val="20"/>
              </w:rPr>
              <w:t xml:space="preserve"> </w:t>
            </w:r>
            <w:r w:rsidRPr="006A64EE">
              <w:rPr>
                <w:sz w:val="20"/>
                <w:szCs w:val="20"/>
                <w:vertAlign w:val="superscript"/>
              </w:rPr>
              <w:t>3</w:t>
            </w:r>
          </w:p>
        </w:tc>
      </w:tr>
      <w:tr w:rsidR="00593482" w:rsidRPr="006A64EE" w14:paraId="6AD4B64E" w14:textId="77777777" w:rsidTr="00AD15E0">
        <w:trPr>
          <w:cantSplit/>
        </w:trPr>
        <w:tc>
          <w:tcPr>
            <w:tcW w:w="2012" w:type="dxa"/>
          </w:tcPr>
          <w:p w14:paraId="4CD53D14" w14:textId="57E93C4F" w:rsidR="002D5756" w:rsidRPr="006A64EE" w:rsidRDefault="009C2544" w:rsidP="004255F8">
            <w:pPr>
              <w:pStyle w:val="TableParagraph"/>
              <w:widowControl/>
              <w:suppressAutoHyphens/>
              <w:rPr>
                <w:sz w:val="20"/>
                <w:szCs w:val="20"/>
              </w:rPr>
            </w:pPr>
            <w:r w:rsidRPr="006A64EE">
              <w:rPr>
                <w:sz w:val="20"/>
                <w:szCs w:val="20"/>
              </w:rPr>
              <w:t>Endokrine</w:t>
            </w:r>
            <w:r w:rsidR="007A149F" w:rsidRPr="006A64EE">
              <w:rPr>
                <w:sz w:val="20"/>
                <w:szCs w:val="20"/>
              </w:rPr>
              <w:t xml:space="preserve"> </w:t>
            </w:r>
            <w:r w:rsidRPr="006A64EE">
              <w:rPr>
                <w:sz w:val="20"/>
                <w:szCs w:val="20"/>
              </w:rPr>
              <w:t>Erkrankungen</w:t>
            </w:r>
          </w:p>
        </w:tc>
        <w:tc>
          <w:tcPr>
            <w:tcW w:w="1666" w:type="dxa"/>
          </w:tcPr>
          <w:p w14:paraId="2B94FEA9" w14:textId="77777777" w:rsidR="002D5756" w:rsidRPr="006A64EE" w:rsidRDefault="002D5756" w:rsidP="004255F8">
            <w:pPr>
              <w:pStyle w:val="TableParagraph"/>
              <w:widowControl/>
              <w:suppressAutoHyphens/>
              <w:rPr>
                <w:sz w:val="20"/>
                <w:szCs w:val="20"/>
              </w:rPr>
            </w:pPr>
          </w:p>
        </w:tc>
        <w:tc>
          <w:tcPr>
            <w:tcW w:w="2030" w:type="dxa"/>
          </w:tcPr>
          <w:p w14:paraId="0DFA5D6F" w14:textId="77777777" w:rsidR="002D5756" w:rsidRPr="006A64EE" w:rsidRDefault="002D5756" w:rsidP="004255F8">
            <w:pPr>
              <w:pStyle w:val="TableParagraph"/>
              <w:widowControl/>
              <w:suppressAutoHyphens/>
              <w:rPr>
                <w:sz w:val="20"/>
                <w:szCs w:val="20"/>
              </w:rPr>
            </w:pPr>
          </w:p>
        </w:tc>
        <w:tc>
          <w:tcPr>
            <w:tcW w:w="1959" w:type="dxa"/>
          </w:tcPr>
          <w:p w14:paraId="0245F4CE" w14:textId="15973192" w:rsidR="002D5756" w:rsidRPr="006A64EE" w:rsidRDefault="009C2544" w:rsidP="004255F8">
            <w:pPr>
              <w:pStyle w:val="TableParagraph"/>
              <w:widowControl/>
              <w:suppressAutoHyphens/>
              <w:rPr>
                <w:sz w:val="20"/>
                <w:szCs w:val="20"/>
              </w:rPr>
            </w:pPr>
            <w:r w:rsidRPr="006A64EE">
              <w:rPr>
                <w:sz w:val="20"/>
                <w:szCs w:val="20"/>
              </w:rPr>
              <w:t>Hypothyroidismus</w:t>
            </w:r>
          </w:p>
        </w:tc>
        <w:tc>
          <w:tcPr>
            <w:tcW w:w="1405" w:type="dxa"/>
          </w:tcPr>
          <w:p w14:paraId="50CD30C4" w14:textId="77777777" w:rsidR="002D5756" w:rsidRPr="006A64EE" w:rsidRDefault="002D5756" w:rsidP="004255F8">
            <w:pPr>
              <w:pStyle w:val="TableParagraph"/>
              <w:widowControl/>
              <w:suppressAutoHyphens/>
              <w:rPr>
                <w:sz w:val="20"/>
                <w:szCs w:val="20"/>
              </w:rPr>
            </w:pPr>
          </w:p>
        </w:tc>
      </w:tr>
      <w:tr w:rsidR="00593482" w:rsidRPr="006A64EE" w14:paraId="79C27FF2" w14:textId="77777777" w:rsidTr="00AD15E0">
        <w:trPr>
          <w:cantSplit/>
        </w:trPr>
        <w:tc>
          <w:tcPr>
            <w:tcW w:w="2012" w:type="dxa"/>
          </w:tcPr>
          <w:p w14:paraId="4FF1149B" w14:textId="59B4C934" w:rsidR="002D5756" w:rsidRPr="006A64EE" w:rsidRDefault="009C2544" w:rsidP="004255F8">
            <w:pPr>
              <w:pStyle w:val="TableParagraph"/>
              <w:widowControl/>
              <w:suppressAutoHyphens/>
              <w:rPr>
                <w:sz w:val="20"/>
                <w:szCs w:val="20"/>
              </w:rPr>
            </w:pPr>
            <w:r w:rsidRPr="006A64EE">
              <w:rPr>
                <w:sz w:val="20"/>
                <w:szCs w:val="20"/>
              </w:rPr>
              <w:t>Stoffwechsel- und</w:t>
            </w:r>
            <w:r w:rsidR="007A149F" w:rsidRPr="006A64EE">
              <w:rPr>
                <w:sz w:val="20"/>
                <w:szCs w:val="20"/>
              </w:rPr>
              <w:t xml:space="preserve"> </w:t>
            </w:r>
            <w:r w:rsidRPr="006A64EE">
              <w:rPr>
                <w:sz w:val="20"/>
                <w:szCs w:val="20"/>
              </w:rPr>
              <w:t>Ernährungsstörungen</w:t>
            </w:r>
          </w:p>
        </w:tc>
        <w:tc>
          <w:tcPr>
            <w:tcW w:w="1666" w:type="dxa"/>
          </w:tcPr>
          <w:p w14:paraId="6EB050F4" w14:textId="1C54233D" w:rsidR="002D5756" w:rsidRPr="006A64EE" w:rsidRDefault="009C2544" w:rsidP="004255F8">
            <w:pPr>
              <w:pStyle w:val="TableParagraph"/>
              <w:widowControl/>
              <w:suppressAutoHyphens/>
              <w:rPr>
                <w:sz w:val="20"/>
                <w:szCs w:val="20"/>
              </w:rPr>
            </w:pPr>
            <w:r w:rsidRPr="006A64EE">
              <w:rPr>
                <w:sz w:val="20"/>
                <w:szCs w:val="20"/>
              </w:rPr>
              <w:t>Hypercholesterin-ämie*</w:t>
            </w:r>
          </w:p>
        </w:tc>
        <w:tc>
          <w:tcPr>
            <w:tcW w:w="2030" w:type="dxa"/>
          </w:tcPr>
          <w:p w14:paraId="7D1E87E3" w14:textId="77777777" w:rsidR="002D5756" w:rsidRPr="006A64EE" w:rsidRDefault="002D5756" w:rsidP="004255F8">
            <w:pPr>
              <w:pStyle w:val="TableParagraph"/>
              <w:widowControl/>
              <w:suppressAutoHyphens/>
              <w:rPr>
                <w:sz w:val="20"/>
                <w:szCs w:val="20"/>
              </w:rPr>
            </w:pPr>
          </w:p>
        </w:tc>
        <w:tc>
          <w:tcPr>
            <w:tcW w:w="1959" w:type="dxa"/>
          </w:tcPr>
          <w:p w14:paraId="17501B5C" w14:textId="645561E3" w:rsidR="002D5756" w:rsidRPr="006A64EE" w:rsidRDefault="009C2544" w:rsidP="004255F8">
            <w:pPr>
              <w:pStyle w:val="TableParagraph"/>
              <w:widowControl/>
              <w:suppressAutoHyphens/>
              <w:rPr>
                <w:sz w:val="20"/>
                <w:szCs w:val="20"/>
              </w:rPr>
            </w:pPr>
            <w:r w:rsidRPr="006A64EE">
              <w:rPr>
                <w:sz w:val="20"/>
                <w:szCs w:val="20"/>
              </w:rPr>
              <w:t>Hypertriglyceridämie</w:t>
            </w:r>
          </w:p>
        </w:tc>
        <w:tc>
          <w:tcPr>
            <w:tcW w:w="1405" w:type="dxa"/>
          </w:tcPr>
          <w:p w14:paraId="773650B1" w14:textId="77777777" w:rsidR="002D5756" w:rsidRPr="006A64EE" w:rsidRDefault="002D5756" w:rsidP="004255F8">
            <w:pPr>
              <w:pStyle w:val="TableParagraph"/>
              <w:widowControl/>
              <w:suppressAutoHyphens/>
              <w:rPr>
                <w:sz w:val="20"/>
                <w:szCs w:val="20"/>
              </w:rPr>
            </w:pPr>
          </w:p>
        </w:tc>
      </w:tr>
      <w:tr w:rsidR="00593482" w:rsidRPr="006A64EE" w14:paraId="0E3E0C48" w14:textId="77777777" w:rsidTr="00AD15E0">
        <w:trPr>
          <w:cantSplit/>
        </w:trPr>
        <w:tc>
          <w:tcPr>
            <w:tcW w:w="2012" w:type="dxa"/>
          </w:tcPr>
          <w:p w14:paraId="3F3433E3" w14:textId="18608EE9" w:rsidR="002D5756" w:rsidRPr="006A64EE" w:rsidRDefault="009C2544" w:rsidP="004255F8">
            <w:pPr>
              <w:pStyle w:val="TableParagraph"/>
              <w:widowControl/>
              <w:suppressAutoHyphens/>
              <w:rPr>
                <w:sz w:val="20"/>
                <w:szCs w:val="20"/>
              </w:rPr>
            </w:pPr>
            <w:r w:rsidRPr="006A64EE">
              <w:rPr>
                <w:sz w:val="20"/>
                <w:szCs w:val="20"/>
              </w:rPr>
              <w:t>Erkrankungen des</w:t>
            </w:r>
            <w:r w:rsidR="007A149F" w:rsidRPr="006A64EE">
              <w:rPr>
                <w:sz w:val="20"/>
                <w:szCs w:val="20"/>
              </w:rPr>
              <w:t xml:space="preserve"> </w:t>
            </w:r>
            <w:r w:rsidRPr="006A64EE">
              <w:rPr>
                <w:sz w:val="20"/>
                <w:szCs w:val="20"/>
              </w:rPr>
              <w:t>Nervensystems</w:t>
            </w:r>
          </w:p>
        </w:tc>
        <w:tc>
          <w:tcPr>
            <w:tcW w:w="1666" w:type="dxa"/>
          </w:tcPr>
          <w:p w14:paraId="50B75ABD" w14:textId="77777777" w:rsidR="002D5756" w:rsidRPr="006A64EE" w:rsidRDefault="002D5756" w:rsidP="004255F8">
            <w:pPr>
              <w:pStyle w:val="TableParagraph"/>
              <w:widowControl/>
              <w:suppressAutoHyphens/>
              <w:rPr>
                <w:sz w:val="20"/>
                <w:szCs w:val="20"/>
              </w:rPr>
            </w:pPr>
          </w:p>
        </w:tc>
        <w:tc>
          <w:tcPr>
            <w:tcW w:w="2030" w:type="dxa"/>
          </w:tcPr>
          <w:p w14:paraId="7A075A87" w14:textId="125FD258" w:rsidR="002D5756" w:rsidRPr="006A64EE" w:rsidRDefault="009C2544" w:rsidP="004255F8">
            <w:pPr>
              <w:pStyle w:val="TableParagraph"/>
              <w:widowControl/>
              <w:suppressAutoHyphens/>
              <w:rPr>
                <w:sz w:val="20"/>
                <w:szCs w:val="20"/>
              </w:rPr>
            </w:pPr>
            <w:r w:rsidRPr="006A64EE">
              <w:rPr>
                <w:sz w:val="20"/>
                <w:szCs w:val="20"/>
              </w:rPr>
              <w:t>Kopfschmerzen,</w:t>
            </w:r>
            <w:r w:rsidR="00902F78" w:rsidRPr="006A64EE">
              <w:rPr>
                <w:sz w:val="20"/>
                <w:szCs w:val="20"/>
              </w:rPr>
              <w:t xml:space="preserve"> </w:t>
            </w:r>
            <w:r w:rsidRPr="006A64EE">
              <w:rPr>
                <w:sz w:val="20"/>
                <w:szCs w:val="20"/>
              </w:rPr>
              <w:t>Schwindel</w:t>
            </w:r>
          </w:p>
        </w:tc>
        <w:tc>
          <w:tcPr>
            <w:tcW w:w="1959" w:type="dxa"/>
          </w:tcPr>
          <w:p w14:paraId="0728F98A" w14:textId="77777777" w:rsidR="002D5756" w:rsidRPr="006A64EE" w:rsidRDefault="002D5756" w:rsidP="004255F8">
            <w:pPr>
              <w:pStyle w:val="TableParagraph"/>
              <w:widowControl/>
              <w:suppressAutoHyphens/>
              <w:rPr>
                <w:sz w:val="20"/>
                <w:szCs w:val="20"/>
              </w:rPr>
            </w:pPr>
          </w:p>
        </w:tc>
        <w:tc>
          <w:tcPr>
            <w:tcW w:w="1405" w:type="dxa"/>
          </w:tcPr>
          <w:p w14:paraId="49F9C66C" w14:textId="77777777" w:rsidR="002D5756" w:rsidRPr="006A64EE" w:rsidRDefault="002D5756" w:rsidP="004255F8">
            <w:pPr>
              <w:pStyle w:val="TableParagraph"/>
              <w:widowControl/>
              <w:suppressAutoHyphens/>
              <w:rPr>
                <w:sz w:val="20"/>
                <w:szCs w:val="20"/>
              </w:rPr>
            </w:pPr>
          </w:p>
        </w:tc>
      </w:tr>
      <w:tr w:rsidR="00593482" w:rsidRPr="006A64EE" w14:paraId="796F04CF" w14:textId="77777777" w:rsidTr="00AD15E0">
        <w:trPr>
          <w:cantSplit/>
        </w:trPr>
        <w:tc>
          <w:tcPr>
            <w:tcW w:w="2012" w:type="dxa"/>
          </w:tcPr>
          <w:p w14:paraId="7D69E0F9" w14:textId="77777777" w:rsidR="002D5756" w:rsidRPr="006A64EE" w:rsidRDefault="009C2544" w:rsidP="004255F8">
            <w:pPr>
              <w:pStyle w:val="TableParagraph"/>
              <w:widowControl/>
              <w:suppressAutoHyphens/>
              <w:rPr>
                <w:sz w:val="20"/>
                <w:szCs w:val="20"/>
              </w:rPr>
            </w:pPr>
            <w:r w:rsidRPr="006A64EE">
              <w:rPr>
                <w:sz w:val="20"/>
                <w:szCs w:val="20"/>
              </w:rPr>
              <w:t>Augenerkrankungen</w:t>
            </w:r>
          </w:p>
        </w:tc>
        <w:tc>
          <w:tcPr>
            <w:tcW w:w="1666" w:type="dxa"/>
          </w:tcPr>
          <w:p w14:paraId="61E8A0D9" w14:textId="77777777" w:rsidR="002D5756" w:rsidRPr="006A64EE" w:rsidRDefault="002D5756" w:rsidP="004255F8">
            <w:pPr>
              <w:pStyle w:val="TableParagraph"/>
              <w:widowControl/>
              <w:suppressAutoHyphens/>
              <w:rPr>
                <w:sz w:val="20"/>
                <w:szCs w:val="20"/>
              </w:rPr>
            </w:pPr>
          </w:p>
        </w:tc>
        <w:tc>
          <w:tcPr>
            <w:tcW w:w="2030" w:type="dxa"/>
          </w:tcPr>
          <w:p w14:paraId="346F905B" w14:textId="77777777" w:rsidR="002D5756" w:rsidRPr="006A64EE" w:rsidRDefault="009C2544" w:rsidP="004255F8">
            <w:pPr>
              <w:pStyle w:val="TableParagraph"/>
              <w:widowControl/>
              <w:suppressAutoHyphens/>
              <w:rPr>
                <w:sz w:val="20"/>
                <w:szCs w:val="20"/>
              </w:rPr>
            </w:pPr>
            <w:r w:rsidRPr="006A64EE">
              <w:rPr>
                <w:sz w:val="20"/>
                <w:szCs w:val="20"/>
              </w:rPr>
              <w:t>Konjunktivitis</w:t>
            </w:r>
          </w:p>
        </w:tc>
        <w:tc>
          <w:tcPr>
            <w:tcW w:w="1959" w:type="dxa"/>
          </w:tcPr>
          <w:p w14:paraId="3701BFA3" w14:textId="77777777" w:rsidR="002D5756" w:rsidRPr="006A64EE" w:rsidRDefault="002D5756" w:rsidP="004255F8">
            <w:pPr>
              <w:pStyle w:val="TableParagraph"/>
              <w:widowControl/>
              <w:suppressAutoHyphens/>
              <w:rPr>
                <w:sz w:val="20"/>
                <w:szCs w:val="20"/>
              </w:rPr>
            </w:pPr>
          </w:p>
        </w:tc>
        <w:tc>
          <w:tcPr>
            <w:tcW w:w="1405" w:type="dxa"/>
          </w:tcPr>
          <w:p w14:paraId="59219C1E" w14:textId="77777777" w:rsidR="002D5756" w:rsidRPr="006A64EE" w:rsidRDefault="002D5756" w:rsidP="004255F8">
            <w:pPr>
              <w:pStyle w:val="TableParagraph"/>
              <w:widowControl/>
              <w:suppressAutoHyphens/>
              <w:rPr>
                <w:sz w:val="20"/>
                <w:szCs w:val="20"/>
              </w:rPr>
            </w:pPr>
          </w:p>
        </w:tc>
      </w:tr>
      <w:tr w:rsidR="00593482" w:rsidRPr="006A64EE" w14:paraId="4F6AA63A" w14:textId="77777777" w:rsidTr="00AD15E0">
        <w:trPr>
          <w:cantSplit/>
        </w:trPr>
        <w:tc>
          <w:tcPr>
            <w:tcW w:w="2012" w:type="dxa"/>
          </w:tcPr>
          <w:p w14:paraId="33187834" w14:textId="77777777" w:rsidR="002D5756" w:rsidRPr="006A64EE" w:rsidRDefault="009C2544" w:rsidP="004255F8">
            <w:pPr>
              <w:pStyle w:val="TableParagraph"/>
              <w:widowControl/>
              <w:suppressAutoHyphens/>
              <w:rPr>
                <w:sz w:val="20"/>
                <w:szCs w:val="20"/>
              </w:rPr>
            </w:pPr>
            <w:r w:rsidRPr="006A64EE">
              <w:rPr>
                <w:sz w:val="20"/>
                <w:szCs w:val="20"/>
              </w:rPr>
              <w:t>Gefäßerkrankungen</w:t>
            </w:r>
          </w:p>
        </w:tc>
        <w:tc>
          <w:tcPr>
            <w:tcW w:w="1666" w:type="dxa"/>
          </w:tcPr>
          <w:p w14:paraId="4CC8383C" w14:textId="77777777" w:rsidR="002D5756" w:rsidRPr="006A64EE" w:rsidRDefault="002D5756" w:rsidP="004255F8">
            <w:pPr>
              <w:pStyle w:val="TableParagraph"/>
              <w:widowControl/>
              <w:suppressAutoHyphens/>
              <w:rPr>
                <w:sz w:val="20"/>
                <w:szCs w:val="20"/>
              </w:rPr>
            </w:pPr>
          </w:p>
        </w:tc>
        <w:tc>
          <w:tcPr>
            <w:tcW w:w="2030" w:type="dxa"/>
          </w:tcPr>
          <w:p w14:paraId="38222B5E" w14:textId="77777777" w:rsidR="002D5756" w:rsidRPr="006A64EE" w:rsidRDefault="009C2544" w:rsidP="004255F8">
            <w:pPr>
              <w:pStyle w:val="TableParagraph"/>
              <w:widowControl/>
              <w:suppressAutoHyphens/>
              <w:rPr>
                <w:sz w:val="20"/>
                <w:szCs w:val="20"/>
              </w:rPr>
            </w:pPr>
            <w:r w:rsidRPr="006A64EE">
              <w:rPr>
                <w:sz w:val="20"/>
                <w:szCs w:val="20"/>
              </w:rPr>
              <w:t>Hypertonie</w:t>
            </w:r>
          </w:p>
        </w:tc>
        <w:tc>
          <w:tcPr>
            <w:tcW w:w="1959" w:type="dxa"/>
          </w:tcPr>
          <w:p w14:paraId="11E67943" w14:textId="77777777" w:rsidR="002D5756" w:rsidRPr="006A64EE" w:rsidRDefault="002D5756" w:rsidP="004255F8">
            <w:pPr>
              <w:pStyle w:val="TableParagraph"/>
              <w:widowControl/>
              <w:suppressAutoHyphens/>
              <w:rPr>
                <w:sz w:val="20"/>
                <w:szCs w:val="20"/>
              </w:rPr>
            </w:pPr>
          </w:p>
        </w:tc>
        <w:tc>
          <w:tcPr>
            <w:tcW w:w="1405" w:type="dxa"/>
          </w:tcPr>
          <w:p w14:paraId="51C6B716" w14:textId="77777777" w:rsidR="002D5756" w:rsidRPr="006A64EE" w:rsidRDefault="002D5756" w:rsidP="004255F8">
            <w:pPr>
              <w:pStyle w:val="TableParagraph"/>
              <w:widowControl/>
              <w:suppressAutoHyphens/>
              <w:rPr>
                <w:sz w:val="20"/>
                <w:szCs w:val="20"/>
              </w:rPr>
            </w:pPr>
          </w:p>
        </w:tc>
      </w:tr>
      <w:tr w:rsidR="00593482" w:rsidRPr="006A64EE" w14:paraId="6939BC6A" w14:textId="77777777" w:rsidTr="00AD15E0">
        <w:trPr>
          <w:cantSplit/>
        </w:trPr>
        <w:tc>
          <w:tcPr>
            <w:tcW w:w="2012" w:type="dxa"/>
          </w:tcPr>
          <w:p w14:paraId="1502DD3E" w14:textId="6EB8F56D" w:rsidR="002D5756" w:rsidRPr="006A64EE" w:rsidRDefault="009C2544" w:rsidP="004255F8">
            <w:pPr>
              <w:pStyle w:val="TableParagraph"/>
              <w:widowControl/>
              <w:suppressAutoHyphens/>
              <w:rPr>
                <w:sz w:val="20"/>
                <w:szCs w:val="20"/>
              </w:rPr>
            </w:pPr>
            <w:r w:rsidRPr="006A64EE">
              <w:rPr>
                <w:sz w:val="20"/>
                <w:szCs w:val="20"/>
              </w:rPr>
              <w:t>Erkrankungen der Atemwege, des Brustraums und</w:t>
            </w:r>
            <w:r w:rsidR="007A149F" w:rsidRPr="006A64EE">
              <w:rPr>
                <w:sz w:val="20"/>
                <w:szCs w:val="20"/>
              </w:rPr>
              <w:t xml:space="preserve"> </w:t>
            </w:r>
            <w:r w:rsidRPr="006A64EE">
              <w:rPr>
                <w:sz w:val="20"/>
                <w:szCs w:val="20"/>
              </w:rPr>
              <w:t>Mediastinums</w:t>
            </w:r>
          </w:p>
        </w:tc>
        <w:tc>
          <w:tcPr>
            <w:tcW w:w="1666" w:type="dxa"/>
          </w:tcPr>
          <w:p w14:paraId="29EE565C" w14:textId="77777777" w:rsidR="002D5756" w:rsidRPr="006A64EE" w:rsidRDefault="002D5756" w:rsidP="004255F8">
            <w:pPr>
              <w:pStyle w:val="TableParagraph"/>
              <w:widowControl/>
              <w:suppressAutoHyphens/>
              <w:rPr>
                <w:sz w:val="20"/>
                <w:szCs w:val="20"/>
              </w:rPr>
            </w:pPr>
          </w:p>
        </w:tc>
        <w:tc>
          <w:tcPr>
            <w:tcW w:w="2030" w:type="dxa"/>
          </w:tcPr>
          <w:p w14:paraId="3773E229" w14:textId="77777777" w:rsidR="002D5756" w:rsidRPr="006A64EE" w:rsidRDefault="009C2544" w:rsidP="004255F8">
            <w:pPr>
              <w:pStyle w:val="TableParagraph"/>
              <w:widowControl/>
              <w:suppressAutoHyphens/>
              <w:rPr>
                <w:sz w:val="20"/>
                <w:szCs w:val="20"/>
              </w:rPr>
            </w:pPr>
            <w:r w:rsidRPr="006A64EE">
              <w:rPr>
                <w:sz w:val="20"/>
                <w:szCs w:val="20"/>
              </w:rPr>
              <w:t>Husten, Dyspnoe</w:t>
            </w:r>
          </w:p>
        </w:tc>
        <w:tc>
          <w:tcPr>
            <w:tcW w:w="1959" w:type="dxa"/>
          </w:tcPr>
          <w:p w14:paraId="73B81775" w14:textId="77777777" w:rsidR="002D5756" w:rsidRPr="006A64EE" w:rsidRDefault="002D5756" w:rsidP="004255F8">
            <w:pPr>
              <w:pStyle w:val="TableParagraph"/>
              <w:widowControl/>
              <w:suppressAutoHyphens/>
              <w:rPr>
                <w:sz w:val="20"/>
                <w:szCs w:val="20"/>
              </w:rPr>
            </w:pPr>
          </w:p>
        </w:tc>
        <w:tc>
          <w:tcPr>
            <w:tcW w:w="1405" w:type="dxa"/>
          </w:tcPr>
          <w:p w14:paraId="7868D82A" w14:textId="77777777" w:rsidR="002D5756" w:rsidRPr="006A64EE" w:rsidRDefault="002D5756" w:rsidP="004255F8">
            <w:pPr>
              <w:pStyle w:val="TableParagraph"/>
              <w:widowControl/>
              <w:suppressAutoHyphens/>
              <w:rPr>
                <w:sz w:val="20"/>
                <w:szCs w:val="20"/>
              </w:rPr>
            </w:pPr>
          </w:p>
        </w:tc>
      </w:tr>
      <w:tr w:rsidR="00593482" w:rsidRPr="006A64EE" w14:paraId="6F438D8F" w14:textId="77777777" w:rsidTr="00AD15E0">
        <w:trPr>
          <w:cantSplit/>
        </w:trPr>
        <w:tc>
          <w:tcPr>
            <w:tcW w:w="2012" w:type="dxa"/>
          </w:tcPr>
          <w:p w14:paraId="3EAF20AC" w14:textId="48AC5081" w:rsidR="002D5756" w:rsidRPr="006A64EE" w:rsidRDefault="009C2544" w:rsidP="004255F8">
            <w:pPr>
              <w:pStyle w:val="TableParagraph"/>
              <w:widowControl/>
              <w:suppressAutoHyphens/>
              <w:rPr>
                <w:sz w:val="20"/>
                <w:szCs w:val="20"/>
              </w:rPr>
            </w:pPr>
            <w:r w:rsidRPr="006A64EE">
              <w:rPr>
                <w:sz w:val="20"/>
                <w:szCs w:val="20"/>
              </w:rPr>
              <w:t>Erkrankungen des Gastrointestinaltrakts</w:t>
            </w:r>
          </w:p>
        </w:tc>
        <w:tc>
          <w:tcPr>
            <w:tcW w:w="1666" w:type="dxa"/>
          </w:tcPr>
          <w:p w14:paraId="5F8533BC" w14:textId="77777777" w:rsidR="002D5756" w:rsidRPr="006A64EE" w:rsidRDefault="002D5756" w:rsidP="004255F8">
            <w:pPr>
              <w:pStyle w:val="TableParagraph"/>
              <w:widowControl/>
              <w:suppressAutoHyphens/>
              <w:rPr>
                <w:sz w:val="20"/>
                <w:szCs w:val="20"/>
              </w:rPr>
            </w:pPr>
          </w:p>
        </w:tc>
        <w:tc>
          <w:tcPr>
            <w:tcW w:w="2030" w:type="dxa"/>
          </w:tcPr>
          <w:p w14:paraId="74A8D768" w14:textId="086B601B" w:rsidR="002D5756" w:rsidRPr="006A64EE" w:rsidRDefault="009C2544" w:rsidP="004255F8">
            <w:pPr>
              <w:pStyle w:val="TableParagraph"/>
              <w:widowControl/>
              <w:suppressAutoHyphens/>
              <w:rPr>
                <w:sz w:val="20"/>
                <w:szCs w:val="20"/>
              </w:rPr>
            </w:pPr>
            <w:r w:rsidRPr="006A64EE">
              <w:rPr>
                <w:sz w:val="20"/>
                <w:szCs w:val="20"/>
              </w:rPr>
              <w:t>Abdominale Schmerzen,</w:t>
            </w:r>
            <w:r w:rsidR="00902F78" w:rsidRPr="006A64EE">
              <w:rPr>
                <w:sz w:val="20"/>
                <w:szCs w:val="20"/>
              </w:rPr>
              <w:t xml:space="preserve"> </w:t>
            </w:r>
            <w:r w:rsidRPr="006A64EE">
              <w:rPr>
                <w:sz w:val="20"/>
                <w:szCs w:val="20"/>
              </w:rPr>
              <w:t>Mundulzera, Gastritis</w:t>
            </w:r>
          </w:p>
        </w:tc>
        <w:tc>
          <w:tcPr>
            <w:tcW w:w="1959" w:type="dxa"/>
          </w:tcPr>
          <w:p w14:paraId="0C5CB329" w14:textId="77777777" w:rsidR="002D5756" w:rsidRPr="006A64EE" w:rsidRDefault="009C2544" w:rsidP="004255F8">
            <w:pPr>
              <w:pStyle w:val="TableParagraph"/>
              <w:widowControl/>
              <w:suppressAutoHyphens/>
              <w:rPr>
                <w:sz w:val="20"/>
                <w:szCs w:val="20"/>
              </w:rPr>
            </w:pPr>
            <w:r w:rsidRPr="006A64EE">
              <w:rPr>
                <w:sz w:val="20"/>
                <w:szCs w:val="20"/>
              </w:rPr>
              <w:t>Stomatitis, Magengeschwür</w:t>
            </w:r>
          </w:p>
        </w:tc>
        <w:tc>
          <w:tcPr>
            <w:tcW w:w="1405" w:type="dxa"/>
          </w:tcPr>
          <w:p w14:paraId="5B51E178" w14:textId="77777777" w:rsidR="002D5756" w:rsidRPr="006A64EE" w:rsidRDefault="002D5756" w:rsidP="004255F8">
            <w:pPr>
              <w:pStyle w:val="TableParagraph"/>
              <w:widowControl/>
              <w:suppressAutoHyphens/>
              <w:rPr>
                <w:sz w:val="20"/>
                <w:szCs w:val="20"/>
              </w:rPr>
            </w:pPr>
          </w:p>
        </w:tc>
      </w:tr>
      <w:tr w:rsidR="00593482" w:rsidRPr="006A64EE" w14:paraId="74AC15AF" w14:textId="77777777" w:rsidTr="00AD15E0">
        <w:trPr>
          <w:cantSplit/>
        </w:trPr>
        <w:tc>
          <w:tcPr>
            <w:tcW w:w="2012" w:type="dxa"/>
          </w:tcPr>
          <w:p w14:paraId="0D9AA668" w14:textId="77777777" w:rsidR="002D5756" w:rsidRPr="006A64EE" w:rsidRDefault="009C2544" w:rsidP="004255F8">
            <w:pPr>
              <w:pStyle w:val="TableParagraph"/>
              <w:widowControl/>
              <w:suppressAutoHyphens/>
              <w:rPr>
                <w:sz w:val="20"/>
                <w:szCs w:val="20"/>
              </w:rPr>
            </w:pPr>
            <w:r w:rsidRPr="006A64EE">
              <w:rPr>
                <w:sz w:val="20"/>
                <w:szCs w:val="20"/>
              </w:rPr>
              <w:t>Leber- und Gallenerkrankungen</w:t>
            </w:r>
          </w:p>
        </w:tc>
        <w:tc>
          <w:tcPr>
            <w:tcW w:w="1666" w:type="dxa"/>
          </w:tcPr>
          <w:p w14:paraId="00EE9636" w14:textId="77777777" w:rsidR="002D5756" w:rsidRPr="006A64EE" w:rsidRDefault="002D5756" w:rsidP="004255F8">
            <w:pPr>
              <w:pStyle w:val="TableParagraph"/>
              <w:widowControl/>
              <w:suppressAutoHyphens/>
              <w:rPr>
                <w:sz w:val="20"/>
                <w:szCs w:val="20"/>
              </w:rPr>
            </w:pPr>
          </w:p>
        </w:tc>
        <w:tc>
          <w:tcPr>
            <w:tcW w:w="2030" w:type="dxa"/>
          </w:tcPr>
          <w:p w14:paraId="5C055275" w14:textId="77777777" w:rsidR="002D5756" w:rsidRPr="006A64EE" w:rsidRDefault="002D5756" w:rsidP="004255F8">
            <w:pPr>
              <w:pStyle w:val="TableParagraph"/>
              <w:widowControl/>
              <w:suppressAutoHyphens/>
              <w:rPr>
                <w:sz w:val="20"/>
                <w:szCs w:val="20"/>
              </w:rPr>
            </w:pPr>
          </w:p>
        </w:tc>
        <w:tc>
          <w:tcPr>
            <w:tcW w:w="1959" w:type="dxa"/>
          </w:tcPr>
          <w:p w14:paraId="53393F3A" w14:textId="77777777" w:rsidR="002D5756" w:rsidRPr="006A64EE" w:rsidRDefault="002D5756" w:rsidP="004255F8">
            <w:pPr>
              <w:pStyle w:val="TableParagraph"/>
              <w:widowControl/>
              <w:suppressAutoHyphens/>
              <w:rPr>
                <w:sz w:val="20"/>
                <w:szCs w:val="20"/>
              </w:rPr>
            </w:pPr>
          </w:p>
        </w:tc>
        <w:tc>
          <w:tcPr>
            <w:tcW w:w="1405" w:type="dxa"/>
          </w:tcPr>
          <w:p w14:paraId="36B75E31" w14:textId="5B6E5DC8" w:rsidR="00093A5E" w:rsidRPr="006A64EE" w:rsidRDefault="009C2544" w:rsidP="004255F8">
            <w:pPr>
              <w:pStyle w:val="TableParagraph"/>
              <w:widowControl/>
              <w:suppressAutoHyphens/>
              <w:rPr>
                <w:sz w:val="20"/>
                <w:szCs w:val="20"/>
              </w:rPr>
            </w:pPr>
            <w:r w:rsidRPr="006A64EE">
              <w:rPr>
                <w:sz w:val="20"/>
                <w:szCs w:val="20"/>
              </w:rPr>
              <w:t>Arzneimittel-induzierte Leberschäden, Hepatitis, Gelbsucht Sehr selten:</w:t>
            </w:r>
          </w:p>
          <w:p w14:paraId="40255EA1" w14:textId="215AE2B1" w:rsidR="002D5756" w:rsidRPr="006A64EE" w:rsidRDefault="009C2544" w:rsidP="004255F8">
            <w:pPr>
              <w:pStyle w:val="TableParagraph"/>
              <w:widowControl/>
              <w:suppressAutoHyphens/>
              <w:rPr>
                <w:sz w:val="20"/>
                <w:szCs w:val="20"/>
              </w:rPr>
            </w:pPr>
            <w:r w:rsidRPr="006A64EE">
              <w:rPr>
                <w:sz w:val="20"/>
                <w:szCs w:val="20"/>
              </w:rPr>
              <w:t>Leberversagen</w:t>
            </w:r>
          </w:p>
        </w:tc>
      </w:tr>
      <w:tr w:rsidR="00593482" w:rsidRPr="006A64EE" w14:paraId="0556D54B" w14:textId="77777777" w:rsidTr="00AD15E0">
        <w:trPr>
          <w:cantSplit/>
        </w:trPr>
        <w:tc>
          <w:tcPr>
            <w:tcW w:w="2012" w:type="dxa"/>
          </w:tcPr>
          <w:p w14:paraId="1C75365B" w14:textId="3410B81E" w:rsidR="002D5756" w:rsidRPr="006A64EE" w:rsidRDefault="009C2544" w:rsidP="004255F8">
            <w:pPr>
              <w:pStyle w:val="TableParagraph"/>
              <w:widowControl/>
              <w:suppressAutoHyphens/>
              <w:rPr>
                <w:sz w:val="20"/>
                <w:szCs w:val="20"/>
              </w:rPr>
            </w:pPr>
            <w:r w:rsidRPr="006A64EE">
              <w:rPr>
                <w:sz w:val="20"/>
                <w:szCs w:val="20"/>
              </w:rPr>
              <w:t>Erkrankungen der Haut und des Unterhautgewebes</w:t>
            </w:r>
          </w:p>
        </w:tc>
        <w:tc>
          <w:tcPr>
            <w:tcW w:w="1666" w:type="dxa"/>
          </w:tcPr>
          <w:p w14:paraId="57B30072" w14:textId="77777777" w:rsidR="002D5756" w:rsidRPr="006A64EE" w:rsidRDefault="002D5756" w:rsidP="004255F8">
            <w:pPr>
              <w:pStyle w:val="TableParagraph"/>
              <w:widowControl/>
              <w:suppressAutoHyphens/>
              <w:rPr>
                <w:sz w:val="20"/>
                <w:szCs w:val="20"/>
              </w:rPr>
            </w:pPr>
          </w:p>
        </w:tc>
        <w:tc>
          <w:tcPr>
            <w:tcW w:w="2030" w:type="dxa"/>
          </w:tcPr>
          <w:p w14:paraId="092508E2" w14:textId="77777777" w:rsidR="002D5756" w:rsidRPr="006A64EE" w:rsidRDefault="009C2544" w:rsidP="004255F8">
            <w:pPr>
              <w:pStyle w:val="TableParagraph"/>
              <w:widowControl/>
              <w:suppressAutoHyphens/>
              <w:rPr>
                <w:sz w:val="20"/>
                <w:szCs w:val="20"/>
              </w:rPr>
            </w:pPr>
            <w:r w:rsidRPr="006A64EE">
              <w:rPr>
                <w:sz w:val="20"/>
                <w:szCs w:val="20"/>
              </w:rPr>
              <w:t>Exanthem, Pruritus, Urtikaria</w:t>
            </w:r>
          </w:p>
        </w:tc>
        <w:tc>
          <w:tcPr>
            <w:tcW w:w="1959" w:type="dxa"/>
          </w:tcPr>
          <w:p w14:paraId="6CD2760E" w14:textId="77777777" w:rsidR="002D5756" w:rsidRPr="006A64EE" w:rsidRDefault="002D5756" w:rsidP="004255F8">
            <w:pPr>
              <w:pStyle w:val="TableParagraph"/>
              <w:widowControl/>
              <w:suppressAutoHyphens/>
              <w:rPr>
                <w:sz w:val="20"/>
                <w:szCs w:val="20"/>
              </w:rPr>
            </w:pPr>
          </w:p>
        </w:tc>
        <w:tc>
          <w:tcPr>
            <w:tcW w:w="1405" w:type="dxa"/>
          </w:tcPr>
          <w:p w14:paraId="6107DA84" w14:textId="77777777" w:rsidR="002D5756" w:rsidRPr="006A64EE" w:rsidRDefault="009C2544" w:rsidP="004255F8">
            <w:pPr>
              <w:pStyle w:val="TableParagraph"/>
              <w:widowControl/>
              <w:suppressAutoHyphens/>
              <w:rPr>
                <w:sz w:val="20"/>
                <w:szCs w:val="20"/>
              </w:rPr>
            </w:pPr>
            <w:r w:rsidRPr="006A64EE">
              <w:rPr>
                <w:sz w:val="20"/>
                <w:szCs w:val="20"/>
              </w:rPr>
              <w:t>Stevens-Johnson- Syndrom</w:t>
            </w:r>
            <w:r w:rsidRPr="006A64EE">
              <w:rPr>
                <w:sz w:val="20"/>
                <w:szCs w:val="20"/>
                <w:vertAlign w:val="superscript"/>
              </w:rPr>
              <w:t>3</w:t>
            </w:r>
          </w:p>
        </w:tc>
      </w:tr>
      <w:tr w:rsidR="00593482" w:rsidRPr="006A64EE" w14:paraId="61C58BE3" w14:textId="77777777" w:rsidTr="00AD15E0">
        <w:trPr>
          <w:cantSplit/>
        </w:trPr>
        <w:tc>
          <w:tcPr>
            <w:tcW w:w="2012" w:type="dxa"/>
          </w:tcPr>
          <w:p w14:paraId="3A52FC13" w14:textId="658E2E76" w:rsidR="002D5756" w:rsidRPr="006A64EE" w:rsidRDefault="009C2544" w:rsidP="004255F8">
            <w:pPr>
              <w:pStyle w:val="TableParagraph"/>
              <w:widowControl/>
              <w:suppressAutoHyphens/>
              <w:rPr>
                <w:sz w:val="20"/>
                <w:szCs w:val="20"/>
              </w:rPr>
            </w:pPr>
            <w:r w:rsidRPr="006A64EE">
              <w:rPr>
                <w:sz w:val="20"/>
                <w:szCs w:val="20"/>
              </w:rPr>
              <w:t>Erkrankungen der Nieren und</w:t>
            </w:r>
            <w:r w:rsidR="007A149F" w:rsidRPr="006A64EE">
              <w:rPr>
                <w:sz w:val="20"/>
                <w:szCs w:val="20"/>
              </w:rPr>
              <w:t xml:space="preserve"> </w:t>
            </w:r>
            <w:r w:rsidRPr="006A64EE">
              <w:rPr>
                <w:sz w:val="20"/>
                <w:szCs w:val="20"/>
              </w:rPr>
              <w:t>Harnwege</w:t>
            </w:r>
          </w:p>
        </w:tc>
        <w:tc>
          <w:tcPr>
            <w:tcW w:w="1666" w:type="dxa"/>
          </w:tcPr>
          <w:p w14:paraId="1C9D3AB3" w14:textId="77777777" w:rsidR="002D5756" w:rsidRPr="006A64EE" w:rsidRDefault="002D5756" w:rsidP="004255F8">
            <w:pPr>
              <w:pStyle w:val="TableParagraph"/>
              <w:widowControl/>
              <w:suppressAutoHyphens/>
              <w:rPr>
                <w:sz w:val="20"/>
                <w:szCs w:val="20"/>
              </w:rPr>
            </w:pPr>
          </w:p>
        </w:tc>
        <w:tc>
          <w:tcPr>
            <w:tcW w:w="2030" w:type="dxa"/>
          </w:tcPr>
          <w:p w14:paraId="56E197AE" w14:textId="77777777" w:rsidR="002D5756" w:rsidRPr="006A64EE" w:rsidRDefault="002D5756" w:rsidP="004255F8">
            <w:pPr>
              <w:pStyle w:val="TableParagraph"/>
              <w:widowControl/>
              <w:suppressAutoHyphens/>
              <w:rPr>
                <w:sz w:val="20"/>
                <w:szCs w:val="20"/>
              </w:rPr>
            </w:pPr>
          </w:p>
        </w:tc>
        <w:tc>
          <w:tcPr>
            <w:tcW w:w="1959" w:type="dxa"/>
          </w:tcPr>
          <w:p w14:paraId="2784BFF6" w14:textId="77777777" w:rsidR="002D5756" w:rsidRPr="006A64EE" w:rsidRDefault="009C2544" w:rsidP="004255F8">
            <w:pPr>
              <w:pStyle w:val="TableParagraph"/>
              <w:widowControl/>
              <w:suppressAutoHyphens/>
              <w:rPr>
                <w:sz w:val="20"/>
                <w:szCs w:val="20"/>
              </w:rPr>
            </w:pPr>
            <w:r w:rsidRPr="006A64EE">
              <w:rPr>
                <w:sz w:val="20"/>
                <w:szCs w:val="20"/>
              </w:rPr>
              <w:t>Nephrolithiasis</w:t>
            </w:r>
          </w:p>
        </w:tc>
        <w:tc>
          <w:tcPr>
            <w:tcW w:w="1405" w:type="dxa"/>
          </w:tcPr>
          <w:p w14:paraId="2AC4FA5D" w14:textId="77777777" w:rsidR="002D5756" w:rsidRPr="006A64EE" w:rsidRDefault="002D5756" w:rsidP="004255F8">
            <w:pPr>
              <w:pStyle w:val="TableParagraph"/>
              <w:widowControl/>
              <w:suppressAutoHyphens/>
              <w:rPr>
                <w:sz w:val="20"/>
                <w:szCs w:val="20"/>
              </w:rPr>
            </w:pPr>
          </w:p>
        </w:tc>
      </w:tr>
      <w:tr w:rsidR="00593482" w:rsidRPr="006A64EE" w14:paraId="3DF14F0C" w14:textId="77777777" w:rsidTr="00AD15E0">
        <w:trPr>
          <w:cantSplit/>
        </w:trPr>
        <w:tc>
          <w:tcPr>
            <w:tcW w:w="2012" w:type="dxa"/>
          </w:tcPr>
          <w:p w14:paraId="447E0076" w14:textId="6F48CC02" w:rsidR="002D5756" w:rsidRPr="006A64EE" w:rsidRDefault="009C2544" w:rsidP="004255F8">
            <w:pPr>
              <w:pStyle w:val="TableParagraph"/>
              <w:widowControl/>
              <w:suppressAutoHyphens/>
              <w:rPr>
                <w:sz w:val="20"/>
                <w:szCs w:val="20"/>
              </w:rPr>
            </w:pPr>
            <w:r w:rsidRPr="006A64EE">
              <w:rPr>
                <w:sz w:val="20"/>
                <w:szCs w:val="20"/>
              </w:rPr>
              <w:t>Allgemeine Erkrankungen und Beschwerden a</w:t>
            </w:r>
            <w:r w:rsidR="00C21238" w:rsidRPr="006A64EE">
              <w:rPr>
                <w:sz w:val="20"/>
                <w:szCs w:val="20"/>
              </w:rPr>
              <w:t>m</w:t>
            </w:r>
            <w:r w:rsidR="007A149F" w:rsidRPr="006A64EE">
              <w:rPr>
                <w:sz w:val="20"/>
                <w:szCs w:val="20"/>
              </w:rPr>
              <w:t xml:space="preserve"> </w:t>
            </w:r>
            <w:r w:rsidRPr="006A64EE">
              <w:rPr>
                <w:sz w:val="20"/>
                <w:szCs w:val="20"/>
              </w:rPr>
              <w:t>Verabreichungsort</w:t>
            </w:r>
          </w:p>
        </w:tc>
        <w:tc>
          <w:tcPr>
            <w:tcW w:w="1666" w:type="dxa"/>
          </w:tcPr>
          <w:p w14:paraId="30E47B38" w14:textId="77777777" w:rsidR="002D5756" w:rsidRPr="006A64EE" w:rsidRDefault="002D5756" w:rsidP="004255F8">
            <w:pPr>
              <w:pStyle w:val="TableParagraph"/>
              <w:widowControl/>
              <w:suppressAutoHyphens/>
              <w:rPr>
                <w:sz w:val="20"/>
                <w:szCs w:val="20"/>
              </w:rPr>
            </w:pPr>
          </w:p>
        </w:tc>
        <w:tc>
          <w:tcPr>
            <w:tcW w:w="2030" w:type="dxa"/>
          </w:tcPr>
          <w:p w14:paraId="4857F0B4" w14:textId="76BCA766" w:rsidR="002D5756" w:rsidRPr="006A64EE" w:rsidRDefault="009C2544" w:rsidP="004255F8">
            <w:pPr>
              <w:pStyle w:val="TableParagraph"/>
              <w:widowControl/>
              <w:suppressAutoHyphens/>
              <w:rPr>
                <w:sz w:val="20"/>
                <w:szCs w:val="20"/>
              </w:rPr>
            </w:pPr>
            <w:r w:rsidRPr="006A64EE">
              <w:rPr>
                <w:sz w:val="20"/>
                <w:szCs w:val="20"/>
              </w:rPr>
              <w:t>Peripheres Ödem, Überempfindlichkeits-reaktionen</w:t>
            </w:r>
          </w:p>
        </w:tc>
        <w:tc>
          <w:tcPr>
            <w:tcW w:w="1959" w:type="dxa"/>
          </w:tcPr>
          <w:p w14:paraId="70BA0FAA" w14:textId="77777777" w:rsidR="002D5756" w:rsidRPr="006A64EE" w:rsidRDefault="002D5756" w:rsidP="004255F8">
            <w:pPr>
              <w:pStyle w:val="TableParagraph"/>
              <w:widowControl/>
              <w:suppressAutoHyphens/>
              <w:rPr>
                <w:sz w:val="20"/>
                <w:szCs w:val="20"/>
              </w:rPr>
            </w:pPr>
          </w:p>
        </w:tc>
        <w:tc>
          <w:tcPr>
            <w:tcW w:w="1405" w:type="dxa"/>
          </w:tcPr>
          <w:p w14:paraId="2CF7EAA4" w14:textId="77777777" w:rsidR="002D5756" w:rsidRPr="006A64EE" w:rsidRDefault="002D5756" w:rsidP="004255F8">
            <w:pPr>
              <w:pStyle w:val="TableParagraph"/>
              <w:widowControl/>
              <w:suppressAutoHyphens/>
              <w:rPr>
                <w:sz w:val="20"/>
                <w:szCs w:val="20"/>
              </w:rPr>
            </w:pPr>
          </w:p>
        </w:tc>
      </w:tr>
      <w:tr w:rsidR="00593482" w:rsidRPr="006A64EE" w14:paraId="24CD5EC6" w14:textId="77777777" w:rsidTr="00AD15E0">
        <w:trPr>
          <w:cantSplit/>
        </w:trPr>
        <w:tc>
          <w:tcPr>
            <w:tcW w:w="2012" w:type="dxa"/>
          </w:tcPr>
          <w:p w14:paraId="6D726569" w14:textId="77777777" w:rsidR="002D5756" w:rsidRPr="006A64EE" w:rsidRDefault="009C2544" w:rsidP="004255F8">
            <w:pPr>
              <w:pStyle w:val="TableParagraph"/>
              <w:widowControl/>
              <w:suppressAutoHyphens/>
              <w:rPr>
                <w:sz w:val="20"/>
                <w:szCs w:val="20"/>
              </w:rPr>
            </w:pPr>
            <w:r w:rsidRPr="006A64EE">
              <w:rPr>
                <w:sz w:val="20"/>
                <w:szCs w:val="20"/>
              </w:rPr>
              <w:t>Untersuchungen</w:t>
            </w:r>
          </w:p>
        </w:tc>
        <w:tc>
          <w:tcPr>
            <w:tcW w:w="1666" w:type="dxa"/>
          </w:tcPr>
          <w:p w14:paraId="58A9561E" w14:textId="77777777" w:rsidR="002D5756" w:rsidRPr="006A64EE" w:rsidRDefault="002D5756" w:rsidP="004255F8">
            <w:pPr>
              <w:pStyle w:val="TableParagraph"/>
              <w:widowControl/>
              <w:suppressAutoHyphens/>
              <w:rPr>
                <w:sz w:val="20"/>
                <w:szCs w:val="20"/>
              </w:rPr>
            </w:pPr>
          </w:p>
        </w:tc>
        <w:tc>
          <w:tcPr>
            <w:tcW w:w="2030" w:type="dxa"/>
          </w:tcPr>
          <w:p w14:paraId="51BBC284" w14:textId="70703146" w:rsidR="002D5756" w:rsidRPr="006A64EE" w:rsidRDefault="009C2544" w:rsidP="004255F8">
            <w:pPr>
              <w:pStyle w:val="TableParagraph"/>
              <w:widowControl/>
              <w:suppressAutoHyphens/>
              <w:rPr>
                <w:sz w:val="20"/>
                <w:szCs w:val="20"/>
              </w:rPr>
            </w:pPr>
            <w:r w:rsidRPr="006A64EE">
              <w:rPr>
                <w:sz w:val="20"/>
                <w:szCs w:val="20"/>
              </w:rPr>
              <w:t>Erhöhung der Lebertransaminasen, Gewichtszunahme, Erhöhung des</w:t>
            </w:r>
            <w:r w:rsidR="00902F78" w:rsidRPr="006A64EE">
              <w:rPr>
                <w:sz w:val="20"/>
                <w:szCs w:val="20"/>
              </w:rPr>
              <w:t xml:space="preserve"> </w:t>
            </w:r>
            <w:r w:rsidRPr="006A64EE">
              <w:rPr>
                <w:sz w:val="20"/>
                <w:szCs w:val="20"/>
              </w:rPr>
              <w:t>Gesamtbilirubins*</w:t>
            </w:r>
          </w:p>
        </w:tc>
        <w:tc>
          <w:tcPr>
            <w:tcW w:w="1959" w:type="dxa"/>
          </w:tcPr>
          <w:p w14:paraId="2B223160" w14:textId="77777777" w:rsidR="002D5756" w:rsidRPr="006A64EE" w:rsidRDefault="002D5756" w:rsidP="004255F8">
            <w:pPr>
              <w:pStyle w:val="TableParagraph"/>
              <w:widowControl/>
              <w:suppressAutoHyphens/>
              <w:rPr>
                <w:sz w:val="20"/>
                <w:szCs w:val="20"/>
              </w:rPr>
            </w:pPr>
          </w:p>
        </w:tc>
        <w:tc>
          <w:tcPr>
            <w:tcW w:w="1405" w:type="dxa"/>
          </w:tcPr>
          <w:p w14:paraId="59CCE72C" w14:textId="77777777" w:rsidR="002D5756" w:rsidRPr="006A64EE" w:rsidRDefault="002D5756" w:rsidP="004255F8">
            <w:pPr>
              <w:pStyle w:val="TableParagraph"/>
              <w:widowControl/>
              <w:suppressAutoHyphens/>
              <w:rPr>
                <w:sz w:val="20"/>
                <w:szCs w:val="20"/>
              </w:rPr>
            </w:pPr>
          </w:p>
        </w:tc>
      </w:tr>
    </w:tbl>
    <w:p w14:paraId="6953BDEB" w14:textId="77777777" w:rsidR="00093A5E" w:rsidRPr="006A64EE" w:rsidRDefault="009C2544" w:rsidP="004255F8">
      <w:pPr>
        <w:widowControl/>
        <w:rPr>
          <w:sz w:val="18"/>
          <w:szCs w:val="18"/>
        </w:rPr>
      </w:pPr>
      <w:r w:rsidRPr="006A64EE">
        <w:rPr>
          <w:sz w:val="18"/>
          <w:szCs w:val="18"/>
        </w:rPr>
        <w:t>* Beinhaltet Erhöhungen, die als Teil von routinemäßigen Laboruntersuchungen gesammelt wurden (siehe Text unten)</w:t>
      </w:r>
    </w:p>
    <w:p w14:paraId="2C69B574" w14:textId="77777777" w:rsidR="00093A5E" w:rsidRPr="006A64EE" w:rsidRDefault="009C2544" w:rsidP="004255F8">
      <w:pPr>
        <w:widowControl/>
        <w:jc w:val="both"/>
        <w:rPr>
          <w:sz w:val="18"/>
          <w:szCs w:val="18"/>
        </w:rPr>
      </w:pPr>
      <w:r w:rsidRPr="006A64EE">
        <w:rPr>
          <w:sz w:val="18"/>
          <w:szCs w:val="18"/>
          <w:vertAlign w:val="superscript"/>
        </w:rPr>
        <w:t>1</w:t>
      </w:r>
      <w:r w:rsidRPr="006A64EE">
        <w:rPr>
          <w:sz w:val="18"/>
          <w:szCs w:val="18"/>
        </w:rPr>
        <w:t xml:space="preserve"> Siehe Abschnitt 4.3</w:t>
      </w:r>
    </w:p>
    <w:p w14:paraId="66733C26" w14:textId="77777777" w:rsidR="00093A5E" w:rsidRPr="006A64EE" w:rsidRDefault="009C2544" w:rsidP="004255F8">
      <w:pPr>
        <w:widowControl/>
        <w:jc w:val="both"/>
        <w:rPr>
          <w:sz w:val="18"/>
          <w:szCs w:val="18"/>
        </w:rPr>
      </w:pPr>
      <w:r w:rsidRPr="006A64EE">
        <w:rPr>
          <w:sz w:val="18"/>
          <w:szCs w:val="18"/>
          <w:vertAlign w:val="superscript"/>
        </w:rPr>
        <w:t>2</w:t>
      </w:r>
      <w:r w:rsidRPr="006A64EE">
        <w:rPr>
          <w:sz w:val="18"/>
          <w:szCs w:val="18"/>
        </w:rPr>
        <w:t xml:space="preserve"> Siehe Abschnitt 4.4</w:t>
      </w:r>
    </w:p>
    <w:p w14:paraId="79A62279" w14:textId="057E68D3" w:rsidR="00093A5E" w:rsidRPr="006A64EE" w:rsidRDefault="009C2544" w:rsidP="004255F8">
      <w:pPr>
        <w:widowControl/>
        <w:jc w:val="both"/>
        <w:rPr>
          <w:sz w:val="18"/>
          <w:szCs w:val="18"/>
        </w:rPr>
      </w:pPr>
      <w:r w:rsidRPr="006A64EE">
        <w:rPr>
          <w:sz w:val="18"/>
          <w:szCs w:val="18"/>
          <w:vertAlign w:val="superscript"/>
        </w:rPr>
        <w:lastRenderedPageBreak/>
        <w:t>3</w:t>
      </w:r>
      <w:r w:rsidRPr="006A64EE">
        <w:rPr>
          <w:sz w:val="18"/>
          <w:szCs w:val="18"/>
        </w:rPr>
        <w:t xml:space="preserve"> Diese Nebenwirkung wurde durch Überwachung nach der Markteinführung festgestellt, in kontrollierten klinischen Studien jedoch nicht beobachtet. Die Häufigkeitskategorie wurde als die obere Grenze des 95</w:t>
      </w:r>
      <w:r w:rsidR="0018020B">
        <w:rPr>
          <w:sz w:val="18"/>
          <w:szCs w:val="18"/>
        </w:rPr>
        <w:t> </w:t>
      </w:r>
      <w:r w:rsidRPr="006A64EE">
        <w:rPr>
          <w:sz w:val="18"/>
          <w:szCs w:val="18"/>
        </w:rPr>
        <w:t>%-Konfidenzintervalls geschätzt, das auf Basis der Gesamtzahl an Patienten berechnet wurde, die Tocilizumab in klinischen Studien erhalten haben.</w:t>
      </w:r>
    </w:p>
    <w:p w14:paraId="75856B13" w14:textId="77777777" w:rsidR="00093A5E" w:rsidRPr="006A64EE" w:rsidRDefault="00093A5E" w:rsidP="004255F8">
      <w:pPr>
        <w:pStyle w:val="a3"/>
        <w:widowControl/>
      </w:pPr>
    </w:p>
    <w:p w14:paraId="6130DEF0" w14:textId="77777777" w:rsidR="00093A5E" w:rsidRPr="006A64EE" w:rsidRDefault="009C2544" w:rsidP="004255F8">
      <w:pPr>
        <w:widowControl/>
        <w:rPr>
          <w:i/>
        </w:rPr>
      </w:pPr>
      <w:r w:rsidRPr="006A64EE">
        <w:rPr>
          <w:i/>
        </w:rPr>
        <w:t>Infektionen</w:t>
      </w:r>
    </w:p>
    <w:p w14:paraId="43361522" w14:textId="57319337" w:rsidR="00093A5E" w:rsidRPr="006A64EE" w:rsidRDefault="009C2544" w:rsidP="00E303AE">
      <w:r w:rsidRPr="006A64EE">
        <w:t>Die Anzahl aller Infektionen, die bei einer Behandlung mit 8 mg/kg Tocilizumab plus DMARD in den 6-monatigen kontrollierten klinischen Prüfungen beobachtet wurde, lag bei 127 Ereignissen pro</w:t>
      </w:r>
      <w:r w:rsidR="007319EC" w:rsidRPr="006A64EE">
        <w:t xml:space="preserve"> </w:t>
      </w:r>
      <w:r w:rsidRPr="00AE460C">
        <w:t>100</w:t>
      </w:r>
      <w:r w:rsidR="00AE460C">
        <w:t> </w:t>
      </w:r>
      <w:r w:rsidRPr="00AE460C">
        <w:t>Patientenjahren</w:t>
      </w:r>
      <w:r w:rsidRPr="006A64EE">
        <w:t xml:space="preserve"> im Vergleich zu 112 Ereignissen pro 100 Patientenjahren in der Gruppe, die mit Placebo plus DMARD behandelt wurde. In der Population mit Langzeitexposition lag die Gesamtrate an Infektionen unter </w:t>
      </w:r>
      <w:r w:rsidR="00D637EB">
        <w:t>Tocilizumab</w:t>
      </w:r>
      <w:r w:rsidR="00D637EB" w:rsidRPr="006A64EE">
        <w:t xml:space="preserve"> </w:t>
      </w:r>
      <w:r w:rsidRPr="006A64EE">
        <w:t>bei 108 Ereignissen pro 100 Patientenjahren Exposition.</w:t>
      </w:r>
    </w:p>
    <w:p w14:paraId="0CD593DE" w14:textId="77777777" w:rsidR="00093A5E" w:rsidRPr="006A64EE" w:rsidRDefault="00093A5E" w:rsidP="004255F8">
      <w:pPr>
        <w:pStyle w:val="a3"/>
        <w:widowControl/>
      </w:pPr>
    </w:p>
    <w:p w14:paraId="3E39045D" w14:textId="77777777" w:rsidR="00093A5E" w:rsidRPr="006A64EE" w:rsidRDefault="009C2544" w:rsidP="004255F8">
      <w:pPr>
        <w:pStyle w:val="a3"/>
        <w:widowControl/>
      </w:pPr>
      <w:r w:rsidRPr="006A64EE">
        <w:t>In den 6-monatigen kontrollierten klinischen Prüfungen lag die Rate der schwerwiegenden Infektionen mit Tocilizumab 8 mg/kg plus DMARDs bei 5,3 Ereignissen pro 100 Patientenjahren Exposition verglichen mit 3,9 Ereignissen pro 100 Patientenjahren Exposition in der Gruppe, die Placebo plus DMARDs erhielt. In der Monotherapie-Studie lag die Anzahl der schwerwiegenden Infektionen in der Gruppe, die Tocilizumab erhielt, bei 3,6 Ereignissen pro 100 Patientenjahren Exposition und in der Gruppe, die MTX erhielt, bei 1,5 Ereignissen pro 100 Patientenjahren Exposition.</w:t>
      </w:r>
    </w:p>
    <w:p w14:paraId="2C693589" w14:textId="77777777" w:rsidR="00093A5E" w:rsidRPr="006A64EE" w:rsidRDefault="00093A5E" w:rsidP="004255F8">
      <w:pPr>
        <w:pStyle w:val="a3"/>
        <w:widowControl/>
      </w:pPr>
    </w:p>
    <w:p w14:paraId="7BA0634E" w14:textId="77777777" w:rsidR="00093A5E" w:rsidRPr="006A64EE" w:rsidRDefault="009C2544" w:rsidP="004255F8">
      <w:pPr>
        <w:pStyle w:val="a3"/>
        <w:widowControl/>
      </w:pPr>
      <w:r w:rsidRPr="006A64EE">
        <w:t>In der Population mit der Langzeitexposition lag die Gesamtzahl der schwerwiegenden Infektionen (bakteriell, viral und mykotisch) bei 4,7 Ereignissen pro 100 Patientenjahren. Die beobachteten schwerwiegenden Infektionen, einige mit tödlichem Ausgang, beinhalten aktive Tuberkulose, die als intrapulmonale oder extrapulmonale Erkrankung auftreten kann, invasive pulmonale Infektionen, wie Candidiasis, Aspergillose, Kokzidioidomykose und Pneumozystis jirovecii, Pneumonie, Zellulitis, Herpes zoster, Gastroenteritis, Divertikulitis, Sepsis und bakterielle Arthritis. Fälle opportunistischer Infektionen wurden beobachtet.</w:t>
      </w:r>
    </w:p>
    <w:p w14:paraId="530E99D3" w14:textId="77777777" w:rsidR="00093A5E" w:rsidRPr="006A64EE" w:rsidRDefault="00093A5E" w:rsidP="004255F8">
      <w:pPr>
        <w:pStyle w:val="a3"/>
        <w:widowControl/>
      </w:pPr>
    </w:p>
    <w:p w14:paraId="3BA7483C" w14:textId="77777777" w:rsidR="00093A5E" w:rsidRPr="006A64EE" w:rsidRDefault="009C2544" w:rsidP="004255F8">
      <w:pPr>
        <w:keepNext/>
        <w:widowControl/>
        <w:rPr>
          <w:i/>
        </w:rPr>
      </w:pPr>
      <w:r w:rsidRPr="006A64EE">
        <w:rPr>
          <w:i/>
        </w:rPr>
        <w:t>Interstitielle Lungenerkrankung</w:t>
      </w:r>
    </w:p>
    <w:p w14:paraId="3DFF6794" w14:textId="77777777" w:rsidR="00093A5E" w:rsidRPr="006A64EE" w:rsidRDefault="009C2544" w:rsidP="004255F8">
      <w:pPr>
        <w:pStyle w:val="a3"/>
        <w:widowControl/>
      </w:pPr>
      <w:r w:rsidRPr="006A64EE">
        <w:t>Eine Lungenfunktionsstörung kann das Risiko für das Auftreten von Infektionen erhöhen. Nach der Markteinführung gab es Berichte über interstitielle Lungenerkrankungen (einschließlich Pneumonitis und Lungenfibrose), von denen einige tödlich verliefen.</w:t>
      </w:r>
    </w:p>
    <w:p w14:paraId="0A3567AB" w14:textId="77777777" w:rsidR="00093A5E" w:rsidRPr="006A64EE" w:rsidRDefault="00093A5E" w:rsidP="004255F8">
      <w:pPr>
        <w:pStyle w:val="a3"/>
        <w:widowControl/>
      </w:pPr>
    </w:p>
    <w:p w14:paraId="73E49389" w14:textId="77777777" w:rsidR="00093A5E" w:rsidRPr="006A64EE" w:rsidRDefault="009C2544" w:rsidP="004255F8">
      <w:pPr>
        <w:widowControl/>
        <w:rPr>
          <w:i/>
        </w:rPr>
      </w:pPr>
      <w:r w:rsidRPr="006A64EE">
        <w:rPr>
          <w:i/>
        </w:rPr>
        <w:t>Gastrointestinale Perforationen</w:t>
      </w:r>
    </w:p>
    <w:p w14:paraId="58386884" w14:textId="77777777" w:rsidR="00093A5E" w:rsidRPr="006A64EE" w:rsidRDefault="009C2544" w:rsidP="004255F8">
      <w:pPr>
        <w:pStyle w:val="a3"/>
        <w:widowControl/>
      </w:pPr>
      <w:r w:rsidRPr="006A64EE">
        <w:t>Während der 6-monatigen kontrollierten klinischen Studien lag die Gesamtzahl der gastrointestinalen Perforationen unter Therapie mit Tocilizumab bei 0,26 Ereignissen pro 100 Patientenjahren. In der Population mit der Langzeitexposition lag die Gesamtzahl der gastrointestinalen Perforationen bei 0,28 Ereignissen pro 100 Patientenjahren. Die Berichte der gastrointestinalen Perforationen unter Tocilizumab-Therapie wurden hauptsächlich als Komplikationen einer Divertikulitis, wie generalisierte purulente Peritonitis, Perforation des unteren Gastrointestinaltrakts, Fisteln und Abszesse, gemeldet.</w:t>
      </w:r>
    </w:p>
    <w:p w14:paraId="070E79E8" w14:textId="77777777" w:rsidR="00093A5E" w:rsidRPr="006A64EE" w:rsidRDefault="00093A5E" w:rsidP="004255F8">
      <w:pPr>
        <w:pStyle w:val="a3"/>
        <w:widowControl/>
      </w:pPr>
    </w:p>
    <w:p w14:paraId="06D86AC2" w14:textId="77777777" w:rsidR="00093A5E" w:rsidRPr="006A64EE" w:rsidRDefault="009C2544" w:rsidP="004255F8">
      <w:pPr>
        <w:widowControl/>
        <w:rPr>
          <w:i/>
        </w:rPr>
      </w:pPr>
      <w:r w:rsidRPr="006A64EE">
        <w:rPr>
          <w:i/>
        </w:rPr>
        <w:t>Infusionsbedingte Reaktionen</w:t>
      </w:r>
    </w:p>
    <w:p w14:paraId="679E3AC3" w14:textId="77777777" w:rsidR="00093A5E" w:rsidRPr="006A64EE" w:rsidRDefault="009C2544" w:rsidP="004255F8">
      <w:pPr>
        <w:pStyle w:val="a3"/>
        <w:widowControl/>
      </w:pPr>
      <w:r w:rsidRPr="006A64EE">
        <w:t>In den 6-monatigen kontrollierten Studien wurden unerwünschte Ereignisse, die in Zusammenhang mit der Infusion auftraten (die ausgewählten Ereignisse traten während oder innerhalb von 24 Stunden nach der Infusion auf), bei 6,9 % der Patienten, die mit 8 mg/kg Tocilizumab plus DMARDs behandelt wurden und bei 5,1 % der Patienten, die mit Placebo plus DMARDs behandelt wurden, beobachtet. Die beobachteten Ereignisse, die während der Infusion auftraten, waren vor allem Episoden von Hypertonie; die Ereignisse, die innerhalb von 24 Stunden nach dem Ende der Infusion beobachtet wurden, waren Kopfschmerzen und Hautreaktionen (Exanthem, Urtikaria). Diese Ereignisse waren nicht behandlungslimitierend.</w:t>
      </w:r>
    </w:p>
    <w:p w14:paraId="3C412AD3" w14:textId="77777777" w:rsidR="00093A5E" w:rsidRPr="006A64EE" w:rsidRDefault="00093A5E" w:rsidP="004255F8">
      <w:pPr>
        <w:pStyle w:val="a3"/>
        <w:widowControl/>
      </w:pPr>
    </w:p>
    <w:p w14:paraId="536EBA86" w14:textId="61F34FE1" w:rsidR="00093A5E" w:rsidRPr="006A64EE" w:rsidRDefault="009C2544" w:rsidP="004255F8">
      <w:pPr>
        <w:pStyle w:val="a3"/>
        <w:widowControl/>
      </w:pPr>
      <w:r w:rsidRPr="006A64EE">
        <w:t>Die Anzahl der anaphylaktischen Reaktionen (die bei insgesamt 8/4</w:t>
      </w:r>
      <w:r w:rsidR="006B2CAB">
        <w:t> </w:t>
      </w:r>
      <w:r w:rsidRPr="006A64EE">
        <w:t>009</w:t>
      </w:r>
      <w:r w:rsidR="006B2CAB">
        <w:t> </w:t>
      </w:r>
      <w:r w:rsidRPr="006A64EE">
        <w:t>Patienten, 0,2</w:t>
      </w:r>
      <w:r w:rsidR="006B2CAB">
        <w:t> </w:t>
      </w:r>
      <w:r w:rsidRPr="006A64EE">
        <w:t>% auftraten) lag mit der 4-mg/kg-Dosierung mehrfach höher als mit der 8-mg/kg-Dosierung. Klinisch signifikante Überempfindlichkeitsreaktionen, die mit Tocilizumab verbunden waren und eine Unterbrechung der Behandlung erforderlich machten, wurden bei insgesamt 56 von 4</w:t>
      </w:r>
      <w:r w:rsidR="006B2CAB">
        <w:t> </w:t>
      </w:r>
      <w:r w:rsidRPr="006A64EE">
        <w:t>009</w:t>
      </w:r>
      <w:r w:rsidR="006B2CAB">
        <w:t> </w:t>
      </w:r>
      <w:r w:rsidRPr="006A64EE">
        <w:t>Patienten (1,4</w:t>
      </w:r>
      <w:r w:rsidR="006B2CAB">
        <w:t> </w:t>
      </w:r>
      <w:r w:rsidRPr="006A64EE">
        <w:t>%) beobachtet, die während kontrollierter und offener klinischer Studien mit Tocilizumab behandelt wurden. Diese Reaktionen wurden normalerweise während der zweiten bis fünften Infusion von Tocilizumab</w:t>
      </w:r>
      <w:r w:rsidR="007319EC" w:rsidRPr="006A64EE">
        <w:t xml:space="preserve"> </w:t>
      </w:r>
      <w:r w:rsidRPr="006A64EE">
        <w:lastRenderedPageBreak/>
        <w:t>beobachtet (siehe Abschnitt</w:t>
      </w:r>
      <w:r w:rsidR="006B2CAB">
        <w:t> </w:t>
      </w:r>
      <w:r w:rsidRPr="006A64EE">
        <w:t>4.4). Nach der Markteinführung wurde während der Behandlung mit Tocilizumab über tödlich verlaufene anaphylaktische Reaktion berichtet (siehe Abschnitt</w:t>
      </w:r>
      <w:r w:rsidR="006B2CAB">
        <w:t> </w:t>
      </w:r>
      <w:r w:rsidRPr="006A64EE">
        <w:t>4.4).</w:t>
      </w:r>
    </w:p>
    <w:p w14:paraId="6A354146" w14:textId="77777777" w:rsidR="00093A5E" w:rsidRPr="006A64EE" w:rsidRDefault="00093A5E" w:rsidP="004255F8">
      <w:pPr>
        <w:pStyle w:val="a3"/>
        <w:widowControl/>
      </w:pPr>
    </w:p>
    <w:p w14:paraId="20EF02B6" w14:textId="77777777" w:rsidR="00093A5E" w:rsidRPr="006A64EE" w:rsidRDefault="009C2544" w:rsidP="004255F8">
      <w:pPr>
        <w:widowControl/>
        <w:rPr>
          <w:i/>
        </w:rPr>
      </w:pPr>
      <w:r w:rsidRPr="006A64EE">
        <w:rPr>
          <w:i/>
        </w:rPr>
        <w:t>Hämatologische Anomalien:</w:t>
      </w:r>
    </w:p>
    <w:p w14:paraId="3631BAD9" w14:textId="77777777" w:rsidR="00093A5E" w:rsidRPr="006A64EE" w:rsidRDefault="009C2544" w:rsidP="004255F8">
      <w:pPr>
        <w:widowControl/>
        <w:rPr>
          <w:i/>
        </w:rPr>
      </w:pPr>
      <w:r w:rsidRPr="006A64EE">
        <w:rPr>
          <w:i/>
        </w:rPr>
        <w:t>Neutrophile Granulozyten</w:t>
      </w:r>
    </w:p>
    <w:p w14:paraId="3ECAB57A" w14:textId="23E97F92" w:rsidR="00093A5E" w:rsidRPr="006A64EE" w:rsidRDefault="009C2544" w:rsidP="004255F8">
      <w:pPr>
        <w:pStyle w:val="a3"/>
        <w:widowControl/>
      </w:pPr>
      <w:r w:rsidRPr="006A64EE">
        <w:t>In den 6-monatigen kontrollierten Studien kam es unter Behandlung mit 8 mg/kg Tocilizumab plus DMARDs bei 3,4 % der Patienten zu einem Rückgang der Anzahl der neutrophilen Granulozyten auf unter 1 x 10</w:t>
      </w:r>
      <w:r w:rsidRPr="006A64EE">
        <w:rPr>
          <w:vertAlign w:val="superscript"/>
        </w:rPr>
        <w:t>9</w:t>
      </w:r>
      <w:r w:rsidRPr="006A64EE">
        <w:t>/l verglichen mit &lt; 0,1 % bei Patienten unter Placebo plus DMARDs. Bei circa der Hälfte der Patienten, bei denen sich eine ANC von &lt; 1 x 10</w:t>
      </w:r>
      <w:r w:rsidRPr="006A64EE">
        <w:rPr>
          <w:vertAlign w:val="superscript"/>
        </w:rPr>
        <w:t>9</w:t>
      </w:r>
      <w:r w:rsidRPr="006A64EE">
        <w:t>/l entwickelte, geschah dies während der ersten 8</w:t>
      </w:r>
      <w:r w:rsidR="00500BB9">
        <w:t> </w:t>
      </w:r>
      <w:r w:rsidRPr="006A64EE">
        <w:t>Wochen nach Beginn der Behandlung. Ein Rückgang unter 0,5 x 10</w:t>
      </w:r>
      <w:r w:rsidRPr="006A64EE">
        <w:rPr>
          <w:vertAlign w:val="superscript"/>
        </w:rPr>
        <w:t>9</w:t>
      </w:r>
      <w:r w:rsidRPr="006A64EE">
        <w:t>/l wurde bei 0,3 % der Patienten, die Tocilizumab 8 mg/kg plus DMARDs erhielten, beobachtet. Infektionen mit gleichzeitig auftretender Neutropenie sind berichtet worden.</w:t>
      </w:r>
    </w:p>
    <w:p w14:paraId="01A0E530" w14:textId="77777777" w:rsidR="00093A5E" w:rsidRPr="006A64EE" w:rsidRDefault="00093A5E" w:rsidP="004255F8">
      <w:pPr>
        <w:pStyle w:val="a3"/>
        <w:widowControl/>
      </w:pPr>
    </w:p>
    <w:p w14:paraId="4EE0581D" w14:textId="4FCFCEAB" w:rsidR="00093A5E" w:rsidRPr="006A64EE" w:rsidRDefault="009C2544" w:rsidP="004255F8">
      <w:pPr>
        <w:pStyle w:val="a3"/>
        <w:widowControl/>
        <w:jc w:val="both"/>
      </w:pPr>
      <w:r w:rsidRPr="006A64EE">
        <w:t>Während der doppelblinden, kontrollierten Phase und der Langzeitexposition blieben die Art und die Inzidenz der Verminderung neutrophiler Granulozyten vergleichbar mit jener, welche während der 6</w:t>
      </w:r>
      <w:r w:rsidR="00500BB9">
        <w:noBreakHyphen/>
      </w:r>
      <w:r w:rsidRPr="006A64EE">
        <w:t>monatigen kontrollierten klinischen Prüfungen beobachtet wurde.</w:t>
      </w:r>
    </w:p>
    <w:p w14:paraId="0FA13461" w14:textId="77777777" w:rsidR="00093A5E" w:rsidRPr="006A64EE" w:rsidRDefault="00093A5E" w:rsidP="004255F8">
      <w:pPr>
        <w:pStyle w:val="a3"/>
        <w:widowControl/>
        <w:jc w:val="both"/>
      </w:pPr>
    </w:p>
    <w:p w14:paraId="17015A97" w14:textId="77777777" w:rsidR="00093A5E" w:rsidRPr="006A64EE" w:rsidRDefault="009C2544" w:rsidP="004255F8">
      <w:pPr>
        <w:keepNext/>
        <w:widowControl/>
        <w:rPr>
          <w:i/>
        </w:rPr>
      </w:pPr>
      <w:r w:rsidRPr="006A64EE">
        <w:rPr>
          <w:i/>
        </w:rPr>
        <w:t>Thrombozyten</w:t>
      </w:r>
    </w:p>
    <w:p w14:paraId="6D7AFEEF" w14:textId="77777777" w:rsidR="00093A5E" w:rsidRPr="006A64EE" w:rsidRDefault="009C2544" w:rsidP="004255F8">
      <w:pPr>
        <w:pStyle w:val="a3"/>
        <w:widowControl/>
      </w:pPr>
      <w:r w:rsidRPr="006A64EE">
        <w:t>In den 6-monatigen kontrollierten Studien kam es bei 1,7 % der Patienten, die Tocilizumab 8 mg/kg plus DMARDs erhielten, zu einem Rückgang der Thrombozytenanzahl unter 100 x 10</w:t>
      </w:r>
      <w:r w:rsidRPr="006A64EE">
        <w:rPr>
          <w:vertAlign w:val="superscript"/>
        </w:rPr>
        <w:t>3</w:t>
      </w:r>
      <w:r w:rsidRPr="006A64EE">
        <w:t>/µl verglichen mit &lt; 1 % unter Placebo plus DMARDs. Diese Abnahme trat auf, ohne dass damit Blutungen verbunden waren.</w:t>
      </w:r>
    </w:p>
    <w:p w14:paraId="2292FF93" w14:textId="77777777" w:rsidR="00093A5E" w:rsidRPr="006A64EE" w:rsidRDefault="00093A5E" w:rsidP="004255F8">
      <w:pPr>
        <w:pStyle w:val="a3"/>
        <w:widowControl/>
      </w:pPr>
    </w:p>
    <w:p w14:paraId="10791456" w14:textId="4E4C51D7" w:rsidR="00093A5E" w:rsidRPr="006A64EE" w:rsidRDefault="009C2544" w:rsidP="004255F8">
      <w:pPr>
        <w:pStyle w:val="a3"/>
        <w:widowControl/>
      </w:pPr>
      <w:r w:rsidRPr="006A64EE">
        <w:t>Während der doppelblinden, kontrollierten Phase und der Langzeitexposition blieben die Art und die Inzidenz der Verminderung der Thrombozytenzahl vergleichbar mit jener, welche während der 6-monatigen kontrollierten klinischen Prüfungen beobachtet wurde.</w:t>
      </w:r>
    </w:p>
    <w:p w14:paraId="100DEB35" w14:textId="77777777" w:rsidR="00093A5E" w:rsidRPr="006A64EE" w:rsidRDefault="00093A5E" w:rsidP="004255F8">
      <w:pPr>
        <w:pStyle w:val="a3"/>
        <w:widowControl/>
      </w:pPr>
    </w:p>
    <w:p w14:paraId="36FA1F4A" w14:textId="77777777" w:rsidR="00093A5E" w:rsidRPr="006A64EE" w:rsidRDefault="009C2544" w:rsidP="004255F8">
      <w:pPr>
        <w:pStyle w:val="a3"/>
        <w:widowControl/>
        <w:jc w:val="both"/>
      </w:pPr>
      <w:r w:rsidRPr="006A64EE">
        <w:t>Nach der Markteinführung gab es sehr seltene Berichte über Panzytopenie.</w:t>
      </w:r>
    </w:p>
    <w:p w14:paraId="348F2DCE" w14:textId="77777777" w:rsidR="00093A5E" w:rsidRPr="006A64EE" w:rsidRDefault="00093A5E" w:rsidP="004255F8">
      <w:pPr>
        <w:pStyle w:val="a3"/>
        <w:widowControl/>
      </w:pPr>
    </w:p>
    <w:p w14:paraId="0177DCFC" w14:textId="77777777" w:rsidR="00093A5E" w:rsidRPr="006A64EE" w:rsidRDefault="009C2544" w:rsidP="004255F8">
      <w:pPr>
        <w:widowControl/>
        <w:rPr>
          <w:i/>
        </w:rPr>
      </w:pPr>
      <w:r w:rsidRPr="006A64EE">
        <w:rPr>
          <w:i/>
        </w:rPr>
        <w:t>Erhöhungen der Lebertransaminasen</w:t>
      </w:r>
    </w:p>
    <w:p w14:paraId="3FA9507A" w14:textId="72384CA9" w:rsidR="00093A5E" w:rsidRPr="006A64EE" w:rsidRDefault="009C2544" w:rsidP="004255F8">
      <w:pPr>
        <w:pStyle w:val="a3"/>
        <w:widowControl/>
      </w:pPr>
      <w:r w:rsidRPr="006A64EE">
        <w:t>In den 6-monatigen kontrollierten Studien wurde bei 2,1 % der Patienten, die 8 mg/kg Tocilizumab erhielten, eine vorübergehende Erhöhung von ALAT/ASAT auf mehr als das 3-Fache des oberen Normalwertes (&gt; 3 x ULN) beobachtet, verglichen mit 4,9 % der Patienten unter MTX sowie bei 6,5</w:t>
      </w:r>
      <w:r w:rsidR="00D67EC0">
        <w:t> </w:t>
      </w:r>
      <w:r w:rsidRPr="006A64EE">
        <w:t>% der Patienten, die 8 mg/kg Tocilizumab plus DMARDs erhielten, verglichen mit 1,5 % der Patienten unter Placebo plus DMARDs.</w:t>
      </w:r>
    </w:p>
    <w:p w14:paraId="5D813A8D" w14:textId="77777777" w:rsidR="00093A5E" w:rsidRPr="006A64EE" w:rsidRDefault="00093A5E" w:rsidP="004255F8">
      <w:pPr>
        <w:pStyle w:val="a3"/>
        <w:widowControl/>
      </w:pPr>
    </w:p>
    <w:p w14:paraId="1AB287D2" w14:textId="77777777" w:rsidR="00093A5E" w:rsidRPr="006A64EE" w:rsidRDefault="009C2544" w:rsidP="004255F8">
      <w:pPr>
        <w:pStyle w:val="a3"/>
        <w:widowControl/>
      </w:pPr>
      <w:r w:rsidRPr="006A64EE">
        <w:t>Das Hinzufügen potenziell hepatotoxischer Arzneimittel (z. B. MTX) zu einer Monotherapie mit Tocilizumab führte zu einem häufigeren Auftreten dieser Erhöhungen. Erhöhungen von ALAT/ASAT auf &gt; 5 x ULN wurden bei 0,7 % der Patienten unter Monotherapie mit Tocilizumab und 1,4 % der Patienten, die Tocilizumab plus DMARDs erhielten, beobachtet, wobei bei der Mehrzahl dieser Patienten die Behandlung mit Tocilizumab endgültig abgebrochen wurde. Während der doppelblinden, kontrollierten Phase betrug die Inzidenz von Werten des indirekten Bilirubins, die über dem oberen Normalwert lagen und die als routinemäßige Laborparameter gesammelt wurden, bei Patienten, die mit 8 mg/kg Tocilizumab + DMARD behandelt wurden, 6,2 %. Insgesamt kam es bei 5,8 % der Patienten zu einer Erhöhung des indirekten Bilirubins auf &gt; 1 bis 2 x ULN und bei 0,4 % zu einer Erhöhung auf &gt; 2 x ULN.</w:t>
      </w:r>
    </w:p>
    <w:p w14:paraId="4E11551C" w14:textId="77777777" w:rsidR="00093A5E" w:rsidRPr="006A64EE" w:rsidRDefault="00093A5E" w:rsidP="004255F8">
      <w:pPr>
        <w:pStyle w:val="a3"/>
        <w:widowControl/>
      </w:pPr>
    </w:p>
    <w:p w14:paraId="7C68C67B" w14:textId="77777777" w:rsidR="00093A5E" w:rsidRPr="006A64EE" w:rsidRDefault="009C2544" w:rsidP="004255F8">
      <w:pPr>
        <w:pStyle w:val="a3"/>
        <w:widowControl/>
      </w:pPr>
      <w:r w:rsidRPr="006A64EE">
        <w:t>Während der doppelblinden, kontrollierten Phase und der Langzeitexposition blieben die Art und die Inzidenz der Erhöhung von ALAT/ASAT vergleichbar mit der, die während der 6-monatigen kontrollierten klinischen Prüfungen beobachtet wurde.</w:t>
      </w:r>
    </w:p>
    <w:p w14:paraId="5A934F8C" w14:textId="77777777" w:rsidR="00093A5E" w:rsidRPr="006A64EE" w:rsidRDefault="00093A5E" w:rsidP="004255F8">
      <w:pPr>
        <w:widowControl/>
      </w:pPr>
    </w:p>
    <w:p w14:paraId="4E865170" w14:textId="77777777" w:rsidR="00093A5E" w:rsidRPr="006A64EE" w:rsidRDefault="009C2544" w:rsidP="004255F8">
      <w:pPr>
        <w:widowControl/>
        <w:rPr>
          <w:i/>
        </w:rPr>
      </w:pPr>
      <w:r w:rsidRPr="006A64EE">
        <w:rPr>
          <w:i/>
        </w:rPr>
        <w:t>Lipidwerte</w:t>
      </w:r>
    </w:p>
    <w:p w14:paraId="1A59098C" w14:textId="6F6942B4" w:rsidR="00093A5E" w:rsidRPr="006A64EE" w:rsidRDefault="009C2544" w:rsidP="004255F8">
      <w:pPr>
        <w:pStyle w:val="a3"/>
        <w:widowControl/>
      </w:pPr>
      <w:r w:rsidRPr="006A64EE">
        <w:t xml:space="preserve">Während der kontrollierten sechsmonatigen Studien wurde häufig eine Erhöhung der Lipidwerte, wie Gesamtcholesterin, Triglyceride, LDL-Cholesterin und/oder HDL-Cholesterin, beobachtet. Bei den routinemäßigen Laboruntersuchungen wurden bei circa 24 % der Patienten, die in klinischen Studien </w:t>
      </w:r>
      <w:r w:rsidR="00383DD8">
        <w:t>Tocilizumab</w:t>
      </w:r>
      <w:r w:rsidR="00383DD8" w:rsidRPr="006A64EE">
        <w:t xml:space="preserve"> </w:t>
      </w:r>
      <w:r w:rsidRPr="006A64EE">
        <w:t xml:space="preserve">erhielten, anhaltende Erhöhungen des Gesamtcholesterins auf ≥ 6,2 mmol/l beobachtet, </w:t>
      </w:r>
      <w:r w:rsidRPr="006A64EE">
        <w:lastRenderedPageBreak/>
        <w:t>wobei es bei 15 % zu einer anhaltenden Erhöhung des LDL auf ≥ 4,1 mmol/l kam. Die Erhöhungen der Lipidwerte sprachen auf eine Behandlung mit Lipidsenkern an.</w:t>
      </w:r>
    </w:p>
    <w:p w14:paraId="64CFF92D" w14:textId="77777777" w:rsidR="00093A5E" w:rsidRPr="006A64EE" w:rsidRDefault="00093A5E" w:rsidP="004255F8">
      <w:pPr>
        <w:pStyle w:val="a3"/>
        <w:widowControl/>
      </w:pPr>
    </w:p>
    <w:p w14:paraId="585F5CDE" w14:textId="77777777" w:rsidR="00093A5E" w:rsidRPr="006A64EE" w:rsidRDefault="009C2544" w:rsidP="004255F8">
      <w:pPr>
        <w:pStyle w:val="a3"/>
        <w:widowControl/>
      </w:pPr>
      <w:r w:rsidRPr="006A64EE">
        <w:t>Während der doppelblinden, kontrollierten Phase und der Langzeitexposition blieben die Art und die Inzidenz der Erhöhung der Lipidwerte vergleichbar mit der, die während der 6-monatigen kontrollierten klinischen Prüfungen beobachtet wurde.</w:t>
      </w:r>
    </w:p>
    <w:p w14:paraId="5D7A9C18" w14:textId="77777777" w:rsidR="00093A5E" w:rsidRPr="006A64EE" w:rsidRDefault="00093A5E" w:rsidP="004255F8">
      <w:pPr>
        <w:pStyle w:val="a3"/>
        <w:widowControl/>
      </w:pPr>
    </w:p>
    <w:p w14:paraId="322FC653" w14:textId="77777777" w:rsidR="00093A5E" w:rsidRPr="006A64EE" w:rsidRDefault="009C2544" w:rsidP="004255F8">
      <w:pPr>
        <w:keepNext/>
        <w:widowControl/>
        <w:rPr>
          <w:i/>
        </w:rPr>
      </w:pPr>
      <w:r w:rsidRPr="006A64EE">
        <w:rPr>
          <w:i/>
        </w:rPr>
        <w:t>Maligne Erkrankungen</w:t>
      </w:r>
    </w:p>
    <w:p w14:paraId="1ADD5D77" w14:textId="77777777" w:rsidR="00093A5E" w:rsidRPr="006A64EE" w:rsidRDefault="009C2544" w:rsidP="004255F8">
      <w:pPr>
        <w:pStyle w:val="a3"/>
        <w:widowControl/>
      </w:pPr>
      <w:r w:rsidRPr="006A64EE">
        <w:t>Die klinischen Daten sind nicht ausreichend, um die potenzielle Inzidenz von malignen Erkrankungen nach Exposition mit Tocilizumab zu beurteilen. Derzeit werden Untersuchungen zur Langzeitsicherheit durchgeführt.</w:t>
      </w:r>
    </w:p>
    <w:p w14:paraId="395761E4" w14:textId="77777777" w:rsidR="00093A5E" w:rsidRPr="006A64EE" w:rsidRDefault="00093A5E" w:rsidP="004255F8">
      <w:pPr>
        <w:pStyle w:val="a3"/>
        <w:widowControl/>
      </w:pPr>
    </w:p>
    <w:p w14:paraId="5D2AAD5E" w14:textId="77777777" w:rsidR="00093A5E" w:rsidRPr="006A64EE" w:rsidRDefault="009C2544" w:rsidP="004255F8">
      <w:pPr>
        <w:widowControl/>
        <w:rPr>
          <w:i/>
        </w:rPr>
      </w:pPr>
      <w:r w:rsidRPr="006A64EE">
        <w:rPr>
          <w:i/>
        </w:rPr>
        <w:t>Hautreaktionen</w:t>
      </w:r>
    </w:p>
    <w:p w14:paraId="33538E2C" w14:textId="77777777" w:rsidR="00093A5E" w:rsidRPr="006A64EE" w:rsidRDefault="009C2544" w:rsidP="004255F8">
      <w:pPr>
        <w:pStyle w:val="a3"/>
        <w:widowControl/>
      </w:pPr>
      <w:r w:rsidRPr="006A64EE">
        <w:t>Nach der Markteinführung gab es seltene Berichte über Stevens-Johnson-Syndrom.</w:t>
      </w:r>
    </w:p>
    <w:p w14:paraId="2781F95D" w14:textId="77777777" w:rsidR="00093A5E" w:rsidRPr="006A64EE" w:rsidRDefault="00093A5E" w:rsidP="004255F8">
      <w:pPr>
        <w:pStyle w:val="a3"/>
        <w:widowControl/>
      </w:pPr>
    </w:p>
    <w:p w14:paraId="2D0AA3A5" w14:textId="77777777" w:rsidR="00093A5E" w:rsidRPr="006A64EE" w:rsidRDefault="009C2544" w:rsidP="004255F8">
      <w:pPr>
        <w:pStyle w:val="a3"/>
        <w:keepNext/>
        <w:widowControl/>
      </w:pPr>
      <w:r w:rsidRPr="006A64EE">
        <w:rPr>
          <w:u w:val="single"/>
        </w:rPr>
        <w:t>Patienten mit COVID-19</w:t>
      </w:r>
    </w:p>
    <w:p w14:paraId="5F4038BE" w14:textId="536E51DE" w:rsidR="00093A5E" w:rsidRPr="006A64EE" w:rsidRDefault="009C2544" w:rsidP="004255F8">
      <w:pPr>
        <w:pStyle w:val="a3"/>
        <w:widowControl/>
      </w:pPr>
      <w:r w:rsidRPr="006A64EE">
        <w:t xml:space="preserve">Die Untersuchungen zur Sicherheit der Anwendung von </w:t>
      </w:r>
      <w:r w:rsidR="00383DD8">
        <w:t>Tocilizumab</w:t>
      </w:r>
      <w:r w:rsidR="00383DD8" w:rsidRPr="006A64EE">
        <w:t xml:space="preserve"> </w:t>
      </w:r>
      <w:r w:rsidRPr="006A64EE">
        <w:t xml:space="preserve">bei COVID-19 basierten auf drei randomisierten, doppelblinden, placebokontrollierten Studien (Studien ML42528, WA42380 und WA42511). Insgesamt wurden in diesen Studien 974 Patienten mit </w:t>
      </w:r>
      <w:r w:rsidR="00383DD8">
        <w:t>Tocilizumab</w:t>
      </w:r>
      <w:r w:rsidR="00383DD8" w:rsidRPr="006A64EE">
        <w:t xml:space="preserve"> </w:t>
      </w:r>
      <w:r w:rsidRPr="006A64EE">
        <w:t>behandelt. Die Sammlung von Sicherheitsdaten aus RECOVERY war begrenzt und wird hier nicht dargestellt.</w:t>
      </w:r>
    </w:p>
    <w:p w14:paraId="3DCDB667" w14:textId="77777777" w:rsidR="00093A5E" w:rsidRPr="006A64EE" w:rsidRDefault="00093A5E" w:rsidP="004255F8">
      <w:pPr>
        <w:pStyle w:val="a3"/>
        <w:widowControl/>
      </w:pPr>
    </w:p>
    <w:p w14:paraId="55B3908E" w14:textId="4A47886A" w:rsidR="00093A5E" w:rsidRPr="006A64EE" w:rsidRDefault="009C2544" w:rsidP="004255F8">
      <w:pPr>
        <w:pStyle w:val="a3"/>
        <w:widowControl/>
      </w:pPr>
      <w:r w:rsidRPr="006A64EE">
        <w:t xml:space="preserve">Die folgenden Nebenwirkungen wurden als Ereignisse, die bei mindestens 3 % der mit </w:t>
      </w:r>
      <w:r w:rsidR="00383DD8">
        <w:t>Tocilizumab</w:t>
      </w:r>
      <w:r w:rsidR="00383DD8" w:rsidRPr="006A64EE">
        <w:t xml:space="preserve"> </w:t>
      </w:r>
      <w:r w:rsidRPr="006A64EE">
        <w:t>behandelten Patienten und häufiger als bei Patienten unter Placebo in der gepoolten, bezüglich der Sicherheit auswertbaren Population, in den klinischen Studien ML42528, WA42380 und WA42511 auftraten, bestätigt und sind in Tabelle 2 nach MedDRA-Systemorganklasse aufgelistet.</w:t>
      </w:r>
    </w:p>
    <w:p w14:paraId="64BD7924" w14:textId="77777777" w:rsidR="00093A5E" w:rsidRPr="006A64EE" w:rsidRDefault="00093A5E" w:rsidP="004255F8">
      <w:pPr>
        <w:pStyle w:val="a3"/>
        <w:widowControl/>
      </w:pPr>
    </w:p>
    <w:p w14:paraId="6AF7AF31" w14:textId="35493163" w:rsidR="00093A5E" w:rsidRPr="006A64EE" w:rsidRDefault="009C2544" w:rsidP="004255F8">
      <w:pPr>
        <w:pStyle w:val="Tabletittle"/>
      </w:pPr>
      <w:r w:rsidRPr="006A64EE">
        <w:t>Tabelle 2:</w:t>
      </w:r>
      <w:r w:rsidRPr="006A64EE">
        <w:tab/>
        <w:t>Liste der Nebenwirkungen</w:t>
      </w:r>
      <w:r w:rsidRPr="006A64EE">
        <w:rPr>
          <w:vertAlign w:val="superscript"/>
        </w:rPr>
        <w:t>1</w:t>
      </w:r>
      <w:r w:rsidRPr="006A64EE">
        <w:t xml:space="preserve"> aus der gepoolten, bezüglich der Sicherheit auswertbaren Population, in den klinischen Studien zu </w:t>
      </w:r>
      <w:r w:rsidR="00383DD8">
        <w:t>Tocilizumab</w:t>
      </w:r>
      <w:r w:rsidR="00383DD8" w:rsidRPr="006A64EE">
        <w:t xml:space="preserve"> </w:t>
      </w:r>
      <w:r w:rsidRPr="006A64EE">
        <w:t>bei Patienten mit COVID-19</w:t>
      </w:r>
      <w:r w:rsidRPr="006A64EE">
        <w:rPr>
          <w:vertAlign w:val="superscript"/>
        </w:rPr>
        <w:t>2</w:t>
      </w:r>
    </w:p>
    <w:p w14:paraId="2D6FF653" w14:textId="53DD46F3" w:rsidR="002D5756" w:rsidRPr="006A64EE" w:rsidRDefault="002D5756" w:rsidP="004255F8">
      <w:pPr>
        <w:pStyle w:val="a3"/>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397"/>
        <w:gridCol w:w="2573"/>
        <w:gridCol w:w="3091"/>
      </w:tblGrid>
      <w:tr w:rsidR="00593482" w:rsidRPr="006A64EE" w14:paraId="1B6D1F8E" w14:textId="77777777" w:rsidTr="00517106">
        <w:trPr>
          <w:cantSplit/>
        </w:trPr>
        <w:tc>
          <w:tcPr>
            <w:tcW w:w="2551" w:type="dxa"/>
          </w:tcPr>
          <w:p w14:paraId="5E776AC4" w14:textId="77777777" w:rsidR="00093A5E" w:rsidRPr="006A64EE" w:rsidRDefault="009C2544" w:rsidP="004255F8">
            <w:pPr>
              <w:pStyle w:val="TableParagraph"/>
              <w:widowControl/>
              <w:suppressAutoHyphens/>
              <w:rPr>
                <w:b/>
                <w:sz w:val="20"/>
                <w:szCs w:val="20"/>
              </w:rPr>
            </w:pPr>
            <w:r w:rsidRPr="006A64EE">
              <w:rPr>
                <w:b/>
                <w:sz w:val="20"/>
                <w:szCs w:val="20"/>
              </w:rPr>
              <w:t>MedDRA-</w:t>
            </w:r>
          </w:p>
          <w:p w14:paraId="0F775E39" w14:textId="3B08DF9D" w:rsidR="002D5756" w:rsidRPr="006A64EE" w:rsidRDefault="009C2544" w:rsidP="004255F8">
            <w:pPr>
              <w:pStyle w:val="TableParagraph"/>
              <w:widowControl/>
              <w:suppressAutoHyphens/>
              <w:rPr>
                <w:b/>
                <w:sz w:val="20"/>
                <w:szCs w:val="20"/>
              </w:rPr>
            </w:pPr>
            <w:r w:rsidRPr="006A64EE">
              <w:rPr>
                <w:b/>
                <w:sz w:val="20"/>
                <w:szCs w:val="20"/>
              </w:rPr>
              <w:t>Systemorganklasse</w:t>
            </w:r>
          </w:p>
        </w:tc>
        <w:tc>
          <w:tcPr>
            <w:tcW w:w="1932" w:type="dxa"/>
          </w:tcPr>
          <w:p w14:paraId="716660F5" w14:textId="77777777" w:rsidR="002D5756" w:rsidRPr="006A64EE" w:rsidRDefault="009C2544" w:rsidP="004255F8">
            <w:pPr>
              <w:pStyle w:val="TableParagraph"/>
              <w:widowControl/>
              <w:suppressAutoHyphens/>
              <w:rPr>
                <w:b/>
                <w:sz w:val="20"/>
                <w:szCs w:val="20"/>
              </w:rPr>
            </w:pPr>
            <w:r w:rsidRPr="006A64EE">
              <w:rPr>
                <w:b/>
                <w:sz w:val="20"/>
                <w:szCs w:val="20"/>
              </w:rPr>
              <w:t>Sehr häufig</w:t>
            </w:r>
          </w:p>
        </w:tc>
        <w:tc>
          <w:tcPr>
            <w:tcW w:w="2321" w:type="dxa"/>
          </w:tcPr>
          <w:p w14:paraId="7FA2964E" w14:textId="77777777" w:rsidR="002D5756" w:rsidRPr="006A64EE" w:rsidRDefault="009C2544" w:rsidP="004255F8">
            <w:pPr>
              <w:pStyle w:val="TableParagraph"/>
              <w:widowControl/>
              <w:suppressAutoHyphens/>
              <w:jc w:val="center"/>
              <w:rPr>
                <w:b/>
                <w:sz w:val="20"/>
                <w:szCs w:val="20"/>
              </w:rPr>
            </w:pPr>
            <w:r w:rsidRPr="006A64EE">
              <w:rPr>
                <w:b/>
                <w:sz w:val="20"/>
                <w:szCs w:val="20"/>
              </w:rPr>
              <w:t>Häufig</w:t>
            </w:r>
          </w:p>
        </w:tc>
      </w:tr>
      <w:tr w:rsidR="00593482" w:rsidRPr="006A64EE" w14:paraId="1225F4D9" w14:textId="77777777" w:rsidTr="00517106">
        <w:trPr>
          <w:cantSplit/>
        </w:trPr>
        <w:tc>
          <w:tcPr>
            <w:tcW w:w="2551" w:type="dxa"/>
          </w:tcPr>
          <w:p w14:paraId="3DE01EF7" w14:textId="508954F5" w:rsidR="002D5756" w:rsidRPr="006A64EE" w:rsidRDefault="009C2544" w:rsidP="004255F8">
            <w:pPr>
              <w:pStyle w:val="TableParagraph"/>
              <w:widowControl/>
              <w:suppressAutoHyphens/>
              <w:rPr>
                <w:sz w:val="20"/>
                <w:szCs w:val="20"/>
              </w:rPr>
            </w:pPr>
            <w:r w:rsidRPr="006A64EE">
              <w:rPr>
                <w:sz w:val="20"/>
                <w:szCs w:val="20"/>
              </w:rPr>
              <w:t>Infektionen und parasitäre</w:t>
            </w:r>
            <w:r w:rsidR="00902F78" w:rsidRPr="006A64EE">
              <w:rPr>
                <w:sz w:val="20"/>
                <w:szCs w:val="20"/>
              </w:rPr>
              <w:t xml:space="preserve"> </w:t>
            </w:r>
            <w:r w:rsidRPr="006A64EE">
              <w:rPr>
                <w:sz w:val="20"/>
                <w:szCs w:val="20"/>
              </w:rPr>
              <w:t>Erkrankungen</w:t>
            </w:r>
          </w:p>
        </w:tc>
        <w:tc>
          <w:tcPr>
            <w:tcW w:w="1932" w:type="dxa"/>
          </w:tcPr>
          <w:p w14:paraId="5A10B5A2" w14:textId="77777777" w:rsidR="002D5756" w:rsidRPr="006A64EE" w:rsidRDefault="002D5756" w:rsidP="004255F8">
            <w:pPr>
              <w:pStyle w:val="TableParagraph"/>
              <w:widowControl/>
              <w:suppressAutoHyphens/>
              <w:rPr>
                <w:sz w:val="20"/>
                <w:szCs w:val="20"/>
              </w:rPr>
            </w:pPr>
          </w:p>
        </w:tc>
        <w:tc>
          <w:tcPr>
            <w:tcW w:w="2321" w:type="dxa"/>
          </w:tcPr>
          <w:p w14:paraId="4E14E1C4" w14:textId="77777777" w:rsidR="002D5756" w:rsidRPr="006A64EE" w:rsidRDefault="009C2544" w:rsidP="004255F8">
            <w:pPr>
              <w:pStyle w:val="TableParagraph"/>
              <w:widowControl/>
              <w:suppressAutoHyphens/>
              <w:rPr>
                <w:sz w:val="20"/>
                <w:szCs w:val="20"/>
              </w:rPr>
            </w:pPr>
            <w:r w:rsidRPr="006A64EE">
              <w:rPr>
                <w:sz w:val="20"/>
                <w:szCs w:val="20"/>
              </w:rPr>
              <w:t>Harnwegsinfektion</w:t>
            </w:r>
          </w:p>
        </w:tc>
      </w:tr>
      <w:tr w:rsidR="00593482" w:rsidRPr="006A64EE" w14:paraId="0B46AE4D" w14:textId="77777777" w:rsidTr="00517106">
        <w:trPr>
          <w:cantSplit/>
        </w:trPr>
        <w:tc>
          <w:tcPr>
            <w:tcW w:w="2551" w:type="dxa"/>
          </w:tcPr>
          <w:p w14:paraId="01173C44" w14:textId="65961615" w:rsidR="002D5756" w:rsidRPr="006A64EE" w:rsidRDefault="009C2544" w:rsidP="004255F8">
            <w:pPr>
              <w:pStyle w:val="TableParagraph"/>
              <w:widowControl/>
              <w:suppressAutoHyphens/>
              <w:rPr>
                <w:sz w:val="20"/>
                <w:szCs w:val="20"/>
              </w:rPr>
            </w:pPr>
            <w:r w:rsidRPr="006A64EE">
              <w:rPr>
                <w:sz w:val="20"/>
                <w:szCs w:val="20"/>
              </w:rPr>
              <w:t>Stoffwechsel- und</w:t>
            </w:r>
            <w:r w:rsidR="00902F78" w:rsidRPr="006A64EE">
              <w:rPr>
                <w:sz w:val="20"/>
                <w:szCs w:val="20"/>
              </w:rPr>
              <w:t xml:space="preserve"> </w:t>
            </w:r>
            <w:r w:rsidRPr="006A64EE">
              <w:rPr>
                <w:sz w:val="20"/>
                <w:szCs w:val="20"/>
              </w:rPr>
              <w:t>Ernährungsstörungen</w:t>
            </w:r>
          </w:p>
        </w:tc>
        <w:tc>
          <w:tcPr>
            <w:tcW w:w="1932" w:type="dxa"/>
          </w:tcPr>
          <w:p w14:paraId="736F9E91" w14:textId="77777777" w:rsidR="002D5756" w:rsidRPr="006A64EE" w:rsidRDefault="002D5756" w:rsidP="004255F8">
            <w:pPr>
              <w:pStyle w:val="TableParagraph"/>
              <w:widowControl/>
              <w:suppressAutoHyphens/>
              <w:rPr>
                <w:sz w:val="20"/>
                <w:szCs w:val="20"/>
              </w:rPr>
            </w:pPr>
          </w:p>
        </w:tc>
        <w:tc>
          <w:tcPr>
            <w:tcW w:w="2321" w:type="dxa"/>
          </w:tcPr>
          <w:p w14:paraId="1C2324C7" w14:textId="77777777" w:rsidR="002D5756" w:rsidRPr="006A64EE" w:rsidRDefault="009C2544" w:rsidP="004255F8">
            <w:pPr>
              <w:pStyle w:val="TableParagraph"/>
              <w:widowControl/>
              <w:suppressAutoHyphens/>
              <w:rPr>
                <w:sz w:val="20"/>
                <w:szCs w:val="20"/>
              </w:rPr>
            </w:pPr>
            <w:r w:rsidRPr="006A64EE">
              <w:rPr>
                <w:sz w:val="20"/>
                <w:szCs w:val="20"/>
              </w:rPr>
              <w:t>Hypokaliämie</w:t>
            </w:r>
          </w:p>
        </w:tc>
      </w:tr>
      <w:tr w:rsidR="00593482" w:rsidRPr="006A64EE" w14:paraId="2CFE98C0" w14:textId="77777777" w:rsidTr="00517106">
        <w:trPr>
          <w:cantSplit/>
        </w:trPr>
        <w:tc>
          <w:tcPr>
            <w:tcW w:w="2551" w:type="dxa"/>
          </w:tcPr>
          <w:p w14:paraId="6A220F97" w14:textId="6399B8D9" w:rsidR="002D5756" w:rsidRPr="006A64EE" w:rsidRDefault="009C2544" w:rsidP="004255F8">
            <w:pPr>
              <w:pStyle w:val="TableParagraph"/>
              <w:widowControl/>
              <w:suppressAutoHyphens/>
              <w:rPr>
                <w:sz w:val="20"/>
                <w:szCs w:val="20"/>
              </w:rPr>
            </w:pPr>
            <w:r w:rsidRPr="006A64EE">
              <w:rPr>
                <w:sz w:val="20"/>
                <w:szCs w:val="20"/>
              </w:rPr>
              <w:t>Psychiatrische</w:t>
            </w:r>
            <w:r w:rsidR="00902F78" w:rsidRPr="006A64EE">
              <w:rPr>
                <w:sz w:val="20"/>
                <w:szCs w:val="20"/>
              </w:rPr>
              <w:t xml:space="preserve"> </w:t>
            </w:r>
            <w:r w:rsidRPr="006A64EE">
              <w:rPr>
                <w:sz w:val="20"/>
                <w:szCs w:val="20"/>
              </w:rPr>
              <w:t>Erkrankungen</w:t>
            </w:r>
          </w:p>
        </w:tc>
        <w:tc>
          <w:tcPr>
            <w:tcW w:w="1932" w:type="dxa"/>
          </w:tcPr>
          <w:p w14:paraId="37BCFC02" w14:textId="77777777" w:rsidR="002D5756" w:rsidRPr="006A64EE" w:rsidRDefault="002D5756" w:rsidP="004255F8">
            <w:pPr>
              <w:pStyle w:val="TableParagraph"/>
              <w:widowControl/>
              <w:suppressAutoHyphens/>
              <w:rPr>
                <w:sz w:val="20"/>
                <w:szCs w:val="20"/>
              </w:rPr>
            </w:pPr>
          </w:p>
        </w:tc>
        <w:tc>
          <w:tcPr>
            <w:tcW w:w="2321" w:type="dxa"/>
          </w:tcPr>
          <w:p w14:paraId="681C9EA2" w14:textId="77777777" w:rsidR="002D5756" w:rsidRPr="006A64EE" w:rsidRDefault="009C2544" w:rsidP="004255F8">
            <w:pPr>
              <w:pStyle w:val="TableParagraph"/>
              <w:widowControl/>
              <w:suppressAutoHyphens/>
              <w:rPr>
                <w:sz w:val="20"/>
                <w:szCs w:val="20"/>
              </w:rPr>
            </w:pPr>
            <w:r w:rsidRPr="006A64EE">
              <w:rPr>
                <w:sz w:val="20"/>
                <w:szCs w:val="20"/>
              </w:rPr>
              <w:t>Angst, Schlaflosigkeit</w:t>
            </w:r>
          </w:p>
        </w:tc>
      </w:tr>
      <w:tr w:rsidR="00593482" w:rsidRPr="006A64EE" w14:paraId="485C3C21" w14:textId="77777777" w:rsidTr="00517106">
        <w:trPr>
          <w:cantSplit/>
        </w:trPr>
        <w:tc>
          <w:tcPr>
            <w:tcW w:w="2551" w:type="dxa"/>
          </w:tcPr>
          <w:p w14:paraId="3E36C6CE" w14:textId="77777777" w:rsidR="002D5756" w:rsidRPr="006A64EE" w:rsidRDefault="009C2544" w:rsidP="004255F8">
            <w:pPr>
              <w:pStyle w:val="TableParagraph"/>
              <w:widowControl/>
              <w:suppressAutoHyphens/>
              <w:rPr>
                <w:sz w:val="20"/>
                <w:szCs w:val="20"/>
              </w:rPr>
            </w:pPr>
            <w:r w:rsidRPr="006A64EE">
              <w:rPr>
                <w:sz w:val="20"/>
                <w:szCs w:val="20"/>
              </w:rPr>
              <w:t>Gefäßerkrankungen</w:t>
            </w:r>
          </w:p>
        </w:tc>
        <w:tc>
          <w:tcPr>
            <w:tcW w:w="1932" w:type="dxa"/>
          </w:tcPr>
          <w:p w14:paraId="5675AA7F" w14:textId="77777777" w:rsidR="002D5756" w:rsidRPr="006A64EE" w:rsidRDefault="002D5756" w:rsidP="004255F8">
            <w:pPr>
              <w:pStyle w:val="TableParagraph"/>
              <w:widowControl/>
              <w:suppressAutoHyphens/>
              <w:rPr>
                <w:sz w:val="20"/>
                <w:szCs w:val="20"/>
              </w:rPr>
            </w:pPr>
          </w:p>
        </w:tc>
        <w:tc>
          <w:tcPr>
            <w:tcW w:w="2321" w:type="dxa"/>
          </w:tcPr>
          <w:p w14:paraId="7B1AA5EC" w14:textId="77777777" w:rsidR="002D5756" w:rsidRPr="006A64EE" w:rsidRDefault="009C2544" w:rsidP="004255F8">
            <w:pPr>
              <w:pStyle w:val="TableParagraph"/>
              <w:widowControl/>
              <w:suppressAutoHyphens/>
              <w:rPr>
                <w:sz w:val="20"/>
                <w:szCs w:val="20"/>
              </w:rPr>
            </w:pPr>
            <w:r w:rsidRPr="006A64EE">
              <w:rPr>
                <w:sz w:val="20"/>
                <w:szCs w:val="20"/>
              </w:rPr>
              <w:t>Hypertonie</w:t>
            </w:r>
          </w:p>
        </w:tc>
      </w:tr>
      <w:tr w:rsidR="00593482" w:rsidRPr="006A64EE" w14:paraId="525156EA" w14:textId="77777777" w:rsidTr="00517106">
        <w:trPr>
          <w:cantSplit/>
        </w:trPr>
        <w:tc>
          <w:tcPr>
            <w:tcW w:w="2551" w:type="dxa"/>
          </w:tcPr>
          <w:p w14:paraId="429BE4C1" w14:textId="20E72558" w:rsidR="002D5756" w:rsidRPr="006A64EE" w:rsidRDefault="009C2544" w:rsidP="004255F8">
            <w:pPr>
              <w:pStyle w:val="TableParagraph"/>
              <w:widowControl/>
              <w:suppressAutoHyphens/>
              <w:rPr>
                <w:sz w:val="20"/>
                <w:szCs w:val="20"/>
              </w:rPr>
            </w:pPr>
            <w:r w:rsidRPr="006A64EE">
              <w:rPr>
                <w:sz w:val="20"/>
                <w:szCs w:val="20"/>
              </w:rPr>
              <w:t>Erkrankungen des</w:t>
            </w:r>
            <w:r w:rsidR="00902F78" w:rsidRPr="006A64EE">
              <w:rPr>
                <w:sz w:val="20"/>
                <w:szCs w:val="20"/>
              </w:rPr>
              <w:t xml:space="preserve"> </w:t>
            </w:r>
            <w:r w:rsidRPr="006A64EE">
              <w:rPr>
                <w:sz w:val="20"/>
                <w:szCs w:val="20"/>
              </w:rPr>
              <w:t>Gastrointestinaltrakts</w:t>
            </w:r>
          </w:p>
        </w:tc>
        <w:tc>
          <w:tcPr>
            <w:tcW w:w="1932" w:type="dxa"/>
          </w:tcPr>
          <w:p w14:paraId="71A3A364" w14:textId="77777777" w:rsidR="002D5756" w:rsidRPr="006A64EE" w:rsidRDefault="002D5756" w:rsidP="004255F8">
            <w:pPr>
              <w:pStyle w:val="TableParagraph"/>
              <w:widowControl/>
              <w:suppressAutoHyphens/>
              <w:rPr>
                <w:sz w:val="20"/>
                <w:szCs w:val="20"/>
              </w:rPr>
            </w:pPr>
          </w:p>
        </w:tc>
        <w:tc>
          <w:tcPr>
            <w:tcW w:w="2321" w:type="dxa"/>
          </w:tcPr>
          <w:p w14:paraId="3FA5AFAD" w14:textId="60016AE0" w:rsidR="002D5756" w:rsidRPr="006A64EE" w:rsidRDefault="009C2544" w:rsidP="004255F8">
            <w:pPr>
              <w:pStyle w:val="TableParagraph"/>
              <w:widowControl/>
              <w:suppressAutoHyphens/>
              <w:rPr>
                <w:sz w:val="20"/>
                <w:szCs w:val="20"/>
              </w:rPr>
            </w:pPr>
            <w:r w:rsidRPr="006A64EE">
              <w:rPr>
                <w:sz w:val="20"/>
                <w:szCs w:val="20"/>
              </w:rPr>
              <w:t>Obstipation, Diarrhö,</w:t>
            </w:r>
            <w:r w:rsidR="00902F78" w:rsidRPr="006A64EE">
              <w:rPr>
                <w:sz w:val="20"/>
                <w:szCs w:val="20"/>
              </w:rPr>
              <w:t xml:space="preserve"> </w:t>
            </w:r>
            <w:r w:rsidRPr="006A64EE">
              <w:rPr>
                <w:sz w:val="20"/>
                <w:szCs w:val="20"/>
              </w:rPr>
              <w:t>Übelkeit</w:t>
            </w:r>
          </w:p>
        </w:tc>
      </w:tr>
      <w:tr w:rsidR="00593482" w:rsidRPr="006A64EE" w14:paraId="4B5A6E9C" w14:textId="77777777" w:rsidTr="00517106">
        <w:trPr>
          <w:cantSplit/>
        </w:trPr>
        <w:tc>
          <w:tcPr>
            <w:tcW w:w="2551" w:type="dxa"/>
          </w:tcPr>
          <w:p w14:paraId="710D9A1B" w14:textId="33F61E6B" w:rsidR="002D5756" w:rsidRPr="006A64EE" w:rsidRDefault="009C2544" w:rsidP="004255F8">
            <w:pPr>
              <w:pStyle w:val="TableParagraph"/>
              <w:widowControl/>
              <w:suppressAutoHyphens/>
              <w:rPr>
                <w:sz w:val="20"/>
                <w:szCs w:val="20"/>
              </w:rPr>
            </w:pPr>
            <w:r w:rsidRPr="006A64EE">
              <w:rPr>
                <w:sz w:val="20"/>
                <w:szCs w:val="20"/>
              </w:rPr>
              <w:t>Leber- und</w:t>
            </w:r>
            <w:r w:rsidR="00902F78" w:rsidRPr="006A64EE">
              <w:rPr>
                <w:sz w:val="20"/>
                <w:szCs w:val="20"/>
              </w:rPr>
              <w:t xml:space="preserve"> </w:t>
            </w:r>
            <w:r w:rsidRPr="006A64EE">
              <w:rPr>
                <w:sz w:val="20"/>
                <w:szCs w:val="20"/>
              </w:rPr>
              <w:t>Gallenerkrankungen</w:t>
            </w:r>
          </w:p>
        </w:tc>
        <w:tc>
          <w:tcPr>
            <w:tcW w:w="1932" w:type="dxa"/>
          </w:tcPr>
          <w:p w14:paraId="31DDE489" w14:textId="77777777" w:rsidR="002D5756" w:rsidRPr="006A64EE" w:rsidRDefault="002D5756" w:rsidP="004255F8">
            <w:pPr>
              <w:pStyle w:val="TableParagraph"/>
              <w:widowControl/>
              <w:suppressAutoHyphens/>
              <w:rPr>
                <w:sz w:val="20"/>
                <w:szCs w:val="20"/>
              </w:rPr>
            </w:pPr>
          </w:p>
        </w:tc>
        <w:tc>
          <w:tcPr>
            <w:tcW w:w="2321" w:type="dxa"/>
          </w:tcPr>
          <w:p w14:paraId="7F647145" w14:textId="787886E9" w:rsidR="002D5756" w:rsidRPr="006A64EE" w:rsidRDefault="00902F78" w:rsidP="004255F8">
            <w:pPr>
              <w:pStyle w:val="TableParagraph"/>
              <w:widowControl/>
              <w:suppressAutoHyphens/>
              <w:rPr>
                <w:sz w:val="20"/>
                <w:szCs w:val="20"/>
              </w:rPr>
            </w:pPr>
            <w:r w:rsidRPr="006A64EE">
              <w:rPr>
                <w:sz w:val="20"/>
                <w:szCs w:val="20"/>
              </w:rPr>
              <w:t>Erhöhte Lebertransaminasen</w:t>
            </w:r>
          </w:p>
        </w:tc>
      </w:tr>
    </w:tbl>
    <w:p w14:paraId="2BBC65B1" w14:textId="0A1FFDDE" w:rsidR="00093A5E" w:rsidRPr="006A64EE" w:rsidRDefault="009B76B2" w:rsidP="004255F8">
      <w:pPr>
        <w:widowControl/>
        <w:rPr>
          <w:sz w:val="18"/>
          <w:szCs w:val="18"/>
        </w:rPr>
      </w:pPr>
      <w:r w:rsidRPr="006A64EE">
        <w:rPr>
          <w:sz w:val="18"/>
          <w:szCs w:val="18"/>
          <w:vertAlign w:val="superscript"/>
        </w:rPr>
        <w:t>1</w:t>
      </w:r>
      <w:r w:rsidRPr="006A64EE">
        <w:rPr>
          <w:sz w:val="18"/>
          <w:szCs w:val="18"/>
        </w:rPr>
        <w:t xml:space="preserve"> Patienten werden einmal pro Kategorie gezählt, unabhängig von der Anzahl der Nebenwirkungen.</w:t>
      </w:r>
    </w:p>
    <w:p w14:paraId="16C95E86" w14:textId="77777777" w:rsidR="00093A5E" w:rsidRPr="006A64EE" w:rsidRDefault="009C2544" w:rsidP="004255F8">
      <w:pPr>
        <w:widowControl/>
        <w:rPr>
          <w:sz w:val="18"/>
          <w:szCs w:val="18"/>
        </w:rPr>
      </w:pPr>
      <w:r w:rsidRPr="006A64EE">
        <w:rPr>
          <w:sz w:val="18"/>
          <w:szCs w:val="18"/>
          <w:vertAlign w:val="superscript"/>
        </w:rPr>
        <w:t>2</w:t>
      </w:r>
      <w:r w:rsidRPr="006A64EE">
        <w:rPr>
          <w:sz w:val="18"/>
          <w:szCs w:val="18"/>
        </w:rPr>
        <w:t xml:space="preserve"> Einschließlich bestätigter Nebenwirkungen, die in den Studien WA42511, WA42380 und ML42528 berichtet wurden.</w:t>
      </w:r>
    </w:p>
    <w:p w14:paraId="463BF6D9" w14:textId="77777777" w:rsidR="00093A5E" w:rsidRPr="006A64EE" w:rsidRDefault="00093A5E" w:rsidP="004255F8">
      <w:pPr>
        <w:pStyle w:val="a3"/>
        <w:widowControl/>
      </w:pPr>
    </w:p>
    <w:p w14:paraId="29760D99" w14:textId="77777777" w:rsidR="00093A5E" w:rsidRPr="006A64EE" w:rsidRDefault="009C2544" w:rsidP="004255F8">
      <w:pPr>
        <w:pStyle w:val="a3"/>
        <w:keepNext/>
        <w:widowControl/>
        <w:rPr>
          <w:u w:val="single"/>
        </w:rPr>
      </w:pPr>
      <w:r w:rsidRPr="006A64EE">
        <w:rPr>
          <w:u w:val="single"/>
        </w:rPr>
        <w:t>Beschreibung ausgewählter Nebenwirkungen</w:t>
      </w:r>
    </w:p>
    <w:p w14:paraId="30F479E7" w14:textId="77777777" w:rsidR="00093A5E" w:rsidRPr="006A64EE" w:rsidRDefault="00093A5E" w:rsidP="004255F8">
      <w:pPr>
        <w:pStyle w:val="a3"/>
        <w:keepNext/>
        <w:widowControl/>
      </w:pPr>
    </w:p>
    <w:p w14:paraId="3B43212F" w14:textId="77777777" w:rsidR="00093A5E" w:rsidRPr="006A64EE" w:rsidRDefault="009C2544" w:rsidP="004255F8">
      <w:pPr>
        <w:widowControl/>
        <w:rPr>
          <w:i/>
        </w:rPr>
      </w:pPr>
      <w:r w:rsidRPr="006A64EE">
        <w:rPr>
          <w:i/>
          <w:u w:val="single"/>
        </w:rPr>
        <w:t>Infektionen</w:t>
      </w:r>
    </w:p>
    <w:p w14:paraId="1A7369C5" w14:textId="74E1E7BA" w:rsidR="00093A5E" w:rsidRPr="006A64EE" w:rsidRDefault="009C2544" w:rsidP="004255F8">
      <w:pPr>
        <w:pStyle w:val="a3"/>
        <w:widowControl/>
      </w:pPr>
      <w:r w:rsidRPr="006A64EE">
        <w:t>In der gepoolten, bezüglich der Sicherheit auswertbaren Population aus den Studien ML42528,</w:t>
      </w:r>
      <w:r w:rsidR="007319EC" w:rsidRPr="006A64EE">
        <w:t xml:space="preserve"> </w:t>
      </w:r>
      <w:r w:rsidRPr="006A64EE">
        <w:t xml:space="preserve">WA42380 und WA42511 waren die Infektionsraten/schwerwiegenden Infektionsereignisse zwischen COVID-19-Patienten, die Tocilizumab (30,3 %/18,6 %, n = 974) </w:t>
      </w:r>
      <w:r w:rsidRPr="006A64EE">
        <w:rPr>
          <w:i/>
        </w:rPr>
        <w:t xml:space="preserve">versus </w:t>
      </w:r>
      <w:r w:rsidRPr="006A64EE">
        <w:t>Placebo erhielten</w:t>
      </w:r>
      <w:r w:rsidR="007319EC" w:rsidRPr="006A64EE">
        <w:t xml:space="preserve"> </w:t>
      </w:r>
      <w:r w:rsidRPr="006A64EE">
        <w:t>(32,1</w:t>
      </w:r>
      <w:r w:rsidR="00D67EC0">
        <w:t> </w:t>
      </w:r>
      <w:r w:rsidRPr="006A64EE">
        <w:t>%/22,8 %, n = 483), ausgeglichen.</w:t>
      </w:r>
    </w:p>
    <w:p w14:paraId="58AD6C21" w14:textId="77777777" w:rsidR="00093A5E" w:rsidRPr="006A64EE" w:rsidRDefault="00093A5E" w:rsidP="004255F8">
      <w:pPr>
        <w:pStyle w:val="a3"/>
        <w:widowControl/>
      </w:pPr>
    </w:p>
    <w:p w14:paraId="514C45F4" w14:textId="77777777" w:rsidR="00093A5E" w:rsidRPr="006A64EE" w:rsidRDefault="009C2544" w:rsidP="004255F8">
      <w:pPr>
        <w:pStyle w:val="a3"/>
        <w:widowControl/>
      </w:pPr>
      <w:r w:rsidRPr="006A64EE">
        <w:t xml:space="preserve">Das beobachtete Sicherheitsprofil in der zu Beginn der Behandlung mit systemischen Corticosteroiden behandelten Gruppe stimmte mit dem in Tabelle 2 dargestellten Sicherheitsprofil von Tocilizumab in der Gesamtpopulation überein. In dieser Subgruppe traten Infektionen bzw. schwerwiegende </w:t>
      </w:r>
      <w:r w:rsidRPr="006A64EE">
        <w:lastRenderedPageBreak/>
        <w:t>Infektionen bei 27,8 % bzw. 18,1 % der mit intravenösem Tocilizumab behandelten Patienten und bei 30,5 % bzw. 22,9 % der mit Placebo behandelten Patienten auf.</w:t>
      </w:r>
    </w:p>
    <w:p w14:paraId="76248FEF" w14:textId="77777777" w:rsidR="00093A5E" w:rsidRPr="006A64EE" w:rsidRDefault="00093A5E" w:rsidP="004255F8">
      <w:pPr>
        <w:pStyle w:val="a3"/>
        <w:widowControl/>
      </w:pPr>
    </w:p>
    <w:p w14:paraId="287F3BAD" w14:textId="77777777" w:rsidR="00093A5E" w:rsidRPr="006A64EE" w:rsidRDefault="009C2544" w:rsidP="004255F8">
      <w:pPr>
        <w:widowControl/>
        <w:rPr>
          <w:i/>
        </w:rPr>
      </w:pPr>
      <w:r w:rsidRPr="006A64EE">
        <w:rPr>
          <w:i/>
          <w:u w:val="single"/>
        </w:rPr>
        <w:t>Laborwertveränderungen</w:t>
      </w:r>
    </w:p>
    <w:p w14:paraId="767A909C" w14:textId="7B5AC4BA" w:rsidR="00093A5E" w:rsidRPr="006A64EE" w:rsidRDefault="009C2544" w:rsidP="004255F8">
      <w:pPr>
        <w:pStyle w:val="a3"/>
        <w:widowControl/>
      </w:pPr>
      <w:r w:rsidRPr="006A64EE">
        <w:t xml:space="preserve">Die Häufigkeit von Laborwertveränderungen war bei Patienten mit COVID-19, die eine oder zwei Dosen </w:t>
      </w:r>
      <w:r w:rsidR="00383DD8">
        <w:t>Tocilizumab</w:t>
      </w:r>
      <w:r w:rsidR="00383DD8" w:rsidRPr="006A64EE">
        <w:t xml:space="preserve"> </w:t>
      </w:r>
      <w:r w:rsidRPr="006A64EE">
        <w:t xml:space="preserve">i.v. erhielten, mit wenigen Ausnahmen, im Allgemeinen vergleichbar zu den Patienten, die in den randomisierten, doppelblinden, placebokontrollierten Studien mit Placebo behandelt wurden. Verminderte Thrombozyten- und Neutrophilenzahlen sowie erhöhte ALAT- und ASAT-Werte traten bei Patienten, die </w:t>
      </w:r>
      <w:r w:rsidR="00383DD8">
        <w:t>Tocilizumab</w:t>
      </w:r>
      <w:r w:rsidR="00383DD8" w:rsidRPr="006A64EE">
        <w:t xml:space="preserve"> </w:t>
      </w:r>
      <w:r w:rsidRPr="006A64EE">
        <w:t>i.v. erhielten, häufiger als bei Placebo-Patienten auf (siehe Abschnitte 4.2 und 4.4).</w:t>
      </w:r>
    </w:p>
    <w:p w14:paraId="570AAD6D" w14:textId="77777777" w:rsidR="00093A5E" w:rsidRPr="006A64EE" w:rsidRDefault="00093A5E" w:rsidP="004255F8">
      <w:pPr>
        <w:pStyle w:val="a3"/>
        <w:widowControl/>
      </w:pPr>
    </w:p>
    <w:p w14:paraId="184AA5A7" w14:textId="77777777" w:rsidR="00093A5E" w:rsidRPr="006A64EE" w:rsidRDefault="009C2544" w:rsidP="004255F8">
      <w:pPr>
        <w:pStyle w:val="a3"/>
        <w:keepNext/>
        <w:keepLines/>
        <w:widowControl/>
      </w:pPr>
      <w:r w:rsidRPr="006A64EE">
        <w:rPr>
          <w:u w:val="single"/>
        </w:rPr>
        <w:t>Patienten mit sJIA oder pJIA</w:t>
      </w:r>
    </w:p>
    <w:p w14:paraId="02C1B08B" w14:textId="77777777" w:rsidR="00093A5E" w:rsidRPr="006A64EE" w:rsidRDefault="00093A5E" w:rsidP="004255F8">
      <w:pPr>
        <w:pStyle w:val="a3"/>
        <w:keepNext/>
        <w:keepLines/>
        <w:widowControl/>
      </w:pPr>
    </w:p>
    <w:p w14:paraId="68A7060D" w14:textId="60EC7C8C" w:rsidR="00093A5E" w:rsidRPr="006A64EE" w:rsidRDefault="009C2544" w:rsidP="004255F8">
      <w:pPr>
        <w:pStyle w:val="a3"/>
        <w:keepNext/>
        <w:keepLines/>
        <w:widowControl/>
      </w:pPr>
      <w:r w:rsidRPr="006A64EE">
        <w:t>Das Sicherheitsprofil von Tocilizumab bei Kindern und Jugendlichen wird in den unten stehenden Abschnitten zu pJIA und sJIA zusammengefasst. Im Allgemeinen waren die Nebenwirkungen bei Patienten mit pJIA und sJIA vergleichbar mit denen, die bei Patienten mit RA beobachtet wurden, siehe Abschnitt</w:t>
      </w:r>
      <w:r w:rsidR="007121D6">
        <w:t> </w:t>
      </w:r>
      <w:r w:rsidRPr="006A64EE">
        <w:t>4.8.</w:t>
      </w:r>
    </w:p>
    <w:p w14:paraId="6AA020EC" w14:textId="77777777" w:rsidR="00093A5E" w:rsidRPr="006A64EE" w:rsidRDefault="00093A5E" w:rsidP="004255F8">
      <w:pPr>
        <w:pStyle w:val="a3"/>
        <w:widowControl/>
      </w:pPr>
    </w:p>
    <w:p w14:paraId="77B05FF4" w14:textId="282E7F17" w:rsidR="00093A5E" w:rsidRPr="006A64EE" w:rsidRDefault="009C2544" w:rsidP="004255F8">
      <w:pPr>
        <w:pStyle w:val="a3"/>
        <w:widowControl/>
      </w:pPr>
      <w:r w:rsidRPr="006A64EE">
        <w:t>Die Nebenwirkungen von pJIA- und sJIA-Patienten, die mit Tocilizumab behandelt wurden, sind in Tabelle</w:t>
      </w:r>
      <w:r w:rsidR="007121D6">
        <w:t> </w:t>
      </w:r>
      <w:r w:rsidRPr="006A64EE">
        <w:t>3 aufgelistet und werden nach MedDRA-Systemorganklasse aufgeführt. Die entsprechende Häufigkeitskategorie für jede Nebenwirkung basiert auf folgender Vereinbarung: Sehr häufig (≥</w:t>
      </w:r>
      <w:r w:rsidR="007121D6">
        <w:t> </w:t>
      </w:r>
      <w:r w:rsidRPr="006A64EE">
        <w:t>1/10), häufig (≥</w:t>
      </w:r>
      <w:r w:rsidR="007121D6">
        <w:t> </w:t>
      </w:r>
      <w:r w:rsidRPr="006A64EE">
        <w:t>1/100 bis &lt;</w:t>
      </w:r>
      <w:r w:rsidR="007121D6">
        <w:t> </w:t>
      </w:r>
      <w:r w:rsidRPr="006A64EE">
        <w:t>1/10) oder gelegentlich (≥</w:t>
      </w:r>
      <w:r w:rsidR="007121D6">
        <w:t> </w:t>
      </w:r>
      <w:r w:rsidRPr="006A64EE">
        <w:t>1/1</w:t>
      </w:r>
      <w:r w:rsidR="007121D6">
        <w:t> </w:t>
      </w:r>
      <w:r w:rsidRPr="006A64EE">
        <w:t>000 bis &lt;</w:t>
      </w:r>
      <w:r w:rsidR="007121D6">
        <w:t> </w:t>
      </w:r>
      <w:r w:rsidRPr="006A64EE">
        <w:t>1/100).</w:t>
      </w:r>
    </w:p>
    <w:p w14:paraId="445E083B" w14:textId="77777777" w:rsidR="00093A5E" w:rsidRPr="006A64EE" w:rsidRDefault="00093A5E" w:rsidP="004255F8">
      <w:pPr>
        <w:widowControl/>
      </w:pPr>
    </w:p>
    <w:p w14:paraId="39DE7C6A" w14:textId="1ACE5400" w:rsidR="00093A5E" w:rsidRPr="006A64EE" w:rsidRDefault="007D680A" w:rsidP="004255F8">
      <w:pPr>
        <w:pStyle w:val="Tabletittle"/>
      </w:pPr>
      <w:r w:rsidRPr="006A64EE">
        <w:t>Tabelle</w:t>
      </w:r>
      <w:r w:rsidR="007121D6">
        <w:t> </w:t>
      </w:r>
      <w:r w:rsidRPr="006A64EE">
        <w:t>3:</w:t>
      </w:r>
      <w:r w:rsidR="00902F78" w:rsidRPr="006A64EE">
        <w:tab/>
      </w:r>
      <w:r w:rsidRPr="006A64EE">
        <w:t>Auflistung der Nebenwirkungen, die in klinischen Studien bei Patienten mit sJIA oder pJIA auftraten, welche Tocilizumab als Monotherapie oder in Kombination mit MTX erhielten.</w:t>
      </w:r>
    </w:p>
    <w:p w14:paraId="0893D589" w14:textId="666E8B2F" w:rsidR="002D5756" w:rsidRPr="006A64EE" w:rsidRDefault="002D5756" w:rsidP="004255F8">
      <w:pPr>
        <w:pStyle w:val="a3"/>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002"/>
        <w:gridCol w:w="2360"/>
        <w:gridCol w:w="1834"/>
        <w:gridCol w:w="1332"/>
        <w:gridCol w:w="1339"/>
      </w:tblGrid>
      <w:tr w:rsidR="00593482" w:rsidRPr="006A64EE" w14:paraId="2A4FE260" w14:textId="77777777" w:rsidTr="00902F78">
        <w:trPr>
          <w:cantSplit/>
        </w:trPr>
        <w:tc>
          <w:tcPr>
            <w:tcW w:w="2002" w:type="dxa"/>
          </w:tcPr>
          <w:p w14:paraId="6EBC03D8" w14:textId="77777777" w:rsidR="00093A5E" w:rsidRPr="006A64EE" w:rsidRDefault="009C2544" w:rsidP="004255F8">
            <w:pPr>
              <w:pStyle w:val="TableParagraph"/>
              <w:widowControl/>
              <w:suppressAutoHyphens/>
              <w:rPr>
                <w:b/>
                <w:sz w:val="20"/>
                <w:szCs w:val="20"/>
              </w:rPr>
            </w:pPr>
            <w:r w:rsidRPr="006A64EE">
              <w:rPr>
                <w:b/>
                <w:sz w:val="20"/>
                <w:szCs w:val="20"/>
              </w:rPr>
              <w:t>MedDRA-</w:t>
            </w:r>
          </w:p>
          <w:p w14:paraId="31E47B8D" w14:textId="2757CF64" w:rsidR="002D5756" w:rsidRPr="006A64EE" w:rsidRDefault="009C2544" w:rsidP="004255F8">
            <w:pPr>
              <w:pStyle w:val="TableParagraph"/>
              <w:widowControl/>
              <w:suppressAutoHyphens/>
              <w:rPr>
                <w:b/>
                <w:sz w:val="20"/>
                <w:szCs w:val="20"/>
              </w:rPr>
            </w:pPr>
            <w:r w:rsidRPr="006A64EE">
              <w:rPr>
                <w:b/>
                <w:sz w:val="20"/>
                <w:szCs w:val="20"/>
              </w:rPr>
              <w:t>Systemorganklasse (SOC)</w:t>
            </w:r>
          </w:p>
        </w:tc>
        <w:tc>
          <w:tcPr>
            <w:tcW w:w="2360" w:type="dxa"/>
          </w:tcPr>
          <w:p w14:paraId="25648B45" w14:textId="77777777" w:rsidR="002D5756" w:rsidRPr="006A64EE" w:rsidRDefault="009C2544" w:rsidP="004255F8">
            <w:pPr>
              <w:pStyle w:val="TableParagraph"/>
              <w:widowControl/>
              <w:suppressAutoHyphens/>
              <w:rPr>
                <w:b/>
                <w:sz w:val="20"/>
                <w:szCs w:val="20"/>
              </w:rPr>
            </w:pPr>
            <w:r w:rsidRPr="006A64EE">
              <w:rPr>
                <w:b/>
                <w:sz w:val="20"/>
                <w:szCs w:val="20"/>
              </w:rPr>
              <w:t>Bevorzugte Bezeichnung (PT)</w:t>
            </w:r>
          </w:p>
        </w:tc>
        <w:tc>
          <w:tcPr>
            <w:tcW w:w="4505" w:type="dxa"/>
            <w:gridSpan w:val="3"/>
          </w:tcPr>
          <w:p w14:paraId="1D3F8EA4" w14:textId="77777777" w:rsidR="002D5756" w:rsidRPr="006A64EE" w:rsidRDefault="009C2544" w:rsidP="004255F8">
            <w:pPr>
              <w:pStyle w:val="TableParagraph"/>
              <w:widowControl/>
              <w:suppressAutoHyphens/>
              <w:jc w:val="center"/>
              <w:rPr>
                <w:b/>
                <w:sz w:val="20"/>
                <w:szCs w:val="20"/>
              </w:rPr>
            </w:pPr>
            <w:r w:rsidRPr="006A64EE">
              <w:rPr>
                <w:b/>
                <w:sz w:val="20"/>
                <w:szCs w:val="20"/>
              </w:rPr>
              <w:t>Häufigkeit</w:t>
            </w:r>
          </w:p>
        </w:tc>
      </w:tr>
      <w:tr w:rsidR="00593482" w:rsidRPr="006A64EE" w14:paraId="11827153" w14:textId="77777777" w:rsidTr="00902F78">
        <w:trPr>
          <w:cantSplit/>
        </w:trPr>
        <w:tc>
          <w:tcPr>
            <w:tcW w:w="4362" w:type="dxa"/>
            <w:gridSpan w:val="2"/>
          </w:tcPr>
          <w:p w14:paraId="55AC4A93" w14:textId="77777777" w:rsidR="002D5756" w:rsidRPr="006A64EE" w:rsidRDefault="009C2544" w:rsidP="004255F8">
            <w:pPr>
              <w:pStyle w:val="TableParagraph"/>
              <w:widowControl/>
              <w:suppressAutoHyphens/>
              <w:rPr>
                <w:sz w:val="20"/>
                <w:szCs w:val="20"/>
              </w:rPr>
            </w:pPr>
            <w:r w:rsidRPr="006A64EE">
              <w:rPr>
                <w:sz w:val="20"/>
                <w:szCs w:val="20"/>
              </w:rPr>
              <w:t>Infektionen und parasitäre Erkrankungen</w:t>
            </w:r>
          </w:p>
        </w:tc>
        <w:tc>
          <w:tcPr>
            <w:tcW w:w="1834" w:type="dxa"/>
          </w:tcPr>
          <w:p w14:paraId="4DB5D11A" w14:textId="77777777" w:rsidR="002D5756" w:rsidRPr="006A64EE" w:rsidRDefault="009C2544" w:rsidP="004255F8">
            <w:pPr>
              <w:pStyle w:val="TableParagraph"/>
              <w:widowControl/>
              <w:suppressAutoHyphens/>
              <w:rPr>
                <w:sz w:val="20"/>
                <w:szCs w:val="20"/>
              </w:rPr>
            </w:pPr>
            <w:r w:rsidRPr="006A64EE">
              <w:rPr>
                <w:sz w:val="20"/>
                <w:szCs w:val="20"/>
              </w:rPr>
              <w:t>Sehr häufig</w:t>
            </w:r>
          </w:p>
        </w:tc>
        <w:tc>
          <w:tcPr>
            <w:tcW w:w="1332" w:type="dxa"/>
          </w:tcPr>
          <w:p w14:paraId="5323BB45" w14:textId="77777777" w:rsidR="002D5756" w:rsidRPr="006A64EE" w:rsidRDefault="009C2544" w:rsidP="004255F8">
            <w:pPr>
              <w:pStyle w:val="TableParagraph"/>
              <w:widowControl/>
              <w:suppressAutoHyphens/>
              <w:rPr>
                <w:sz w:val="20"/>
                <w:szCs w:val="20"/>
              </w:rPr>
            </w:pPr>
            <w:r w:rsidRPr="006A64EE">
              <w:rPr>
                <w:sz w:val="20"/>
                <w:szCs w:val="20"/>
              </w:rPr>
              <w:t>Häufig</w:t>
            </w:r>
          </w:p>
        </w:tc>
        <w:tc>
          <w:tcPr>
            <w:tcW w:w="1339" w:type="dxa"/>
          </w:tcPr>
          <w:p w14:paraId="1CD42454" w14:textId="77777777" w:rsidR="002D5756" w:rsidRPr="006A64EE" w:rsidRDefault="009C2544" w:rsidP="004255F8">
            <w:pPr>
              <w:pStyle w:val="TableParagraph"/>
              <w:widowControl/>
              <w:suppressAutoHyphens/>
              <w:rPr>
                <w:sz w:val="20"/>
                <w:szCs w:val="20"/>
              </w:rPr>
            </w:pPr>
            <w:r w:rsidRPr="006A64EE">
              <w:rPr>
                <w:sz w:val="20"/>
                <w:szCs w:val="20"/>
              </w:rPr>
              <w:t>Gelegentlich</w:t>
            </w:r>
          </w:p>
        </w:tc>
      </w:tr>
      <w:tr w:rsidR="00593482" w:rsidRPr="006A64EE" w14:paraId="576F8B67" w14:textId="77777777" w:rsidTr="00902F78">
        <w:trPr>
          <w:cantSplit/>
        </w:trPr>
        <w:tc>
          <w:tcPr>
            <w:tcW w:w="2002" w:type="dxa"/>
          </w:tcPr>
          <w:p w14:paraId="54424994" w14:textId="77777777" w:rsidR="002D5756" w:rsidRPr="006A64EE" w:rsidRDefault="002D5756" w:rsidP="004255F8">
            <w:pPr>
              <w:pStyle w:val="TableParagraph"/>
              <w:widowControl/>
              <w:suppressAutoHyphens/>
              <w:rPr>
                <w:sz w:val="20"/>
                <w:szCs w:val="20"/>
              </w:rPr>
            </w:pPr>
          </w:p>
        </w:tc>
        <w:tc>
          <w:tcPr>
            <w:tcW w:w="2360" w:type="dxa"/>
          </w:tcPr>
          <w:p w14:paraId="3A6A55E0" w14:textId="5E22FCD1" w:rsidR="002D5756" w:rsidRPr="006A64EE" w:rsidRDefault="009C2544" w:rsidP="004255F8">
            <w:pPr>
              <w:pStyle w:val="TableParagraph"/>
              <w:widowControl/>
              <w:suppressAutoHyphens/>
              <w:rPr>
                <w:sz w:val="20"/>
                <w:szCs w:val="20"/>
              </w:rPr>
            </w:pPr>
            <w:r w:rsidRPr="006A64EE">
              <w:rPr>
                <w:sz w:val="20"/>
                <w:szCs w:val="20"/>
              </w:rPr>
              <w:t>Infektionen des oberen</w:t>
            </w:r>
            <w:r w:rsidR="009302FF" w:rsidRPr="006A64EE">
              <w:rPr>
                <w:sz w:val="20"/>
                <w:szCs w:val="20"/>
              </w:rPr>
              <w:t xml:space="preserve"> </w:t>
            </w:r>
            <w:r w:rsidRPr="006A64EE">
              <w:rPr>
                <w:sz w:val="20"/>
                <w:szCs w:val="20"/>
              </w:rPr>
              <w:t>Respirationstrakts</w:t>
            </w:r>
          </w:p>
        </w:tc>
        <w:tc>
          <w:tcPr>
            <w:tcW w:w="1834" w:type="dxa"/>
          </w:tcPr>
          <w:p w14:paraId="1C6D4A45" w14:textId="77777777" w:rsidR="002D5756" w:rsidRPr="006A64EE" w:rsidRDefault="009C2544" w:rsidP="004255F8">
            <w:pPr>
              <w:pStyle w:val="TableParagraph"/>
              <w:widowControl/>
              <w:suppressAutoHyphens/>
              <w:rPr>
                <w:sz w:val="20"/>
                <w:szCs w:val="20"/>
              </w:rPr>
            </w:pPr>
            <w:r w:rsidRPr="006A64EE">
              <w:rPr>
                <w:sz w:val="20"/>
                <w:szCs w:val="20"/>
              </w:rPr>
              <w:t>pJIA, sJIA</w:t>
            </w:r>
          </w:p>
        </w:tc>
        <w:tc>
          <w:tcPr>
            <w:tcW w:w="1332" w:type="dxa"/>
          </w:tcPr>
          <w:p w14:paraId="27C6EF04" w14:textId="77777777" w:rsidR="002D5756" w:rsidRPr="006A64EE" w:rsidRDefault="002D5756" w:rsidP="004255F8">
            <w:pPr>
              <w:pStyle w:val="TableParagraph"/>
              <w:widowControl/>
              <w:suppressAutoHyphens/>
              <w:rPr>
                <w:sz w:val="20"/>
                <w:szCs w:val="20"/>
              </w:rPr>
            </w:pPr>
          </w:p>
        </w:tc>
        <w:tc>
          <w:tcPr>
            <w:tcW w:w="1339" w:type="dxa"/>
          </w:tcPr>
          <w:p w14:paraId="15CC3DE7" w14:textId="77777777" w:rsidR="002D5756" w:rsidRPr="006A64EE" w:rsidRDefault="002D5756" w:rsidP="004255F8">
            <w:pPr>
              <w:pStyle w:val="TableParagraph"/>
              <w:widowControl/>
              <w:suppressAutoHyphens/>
              <w:rPr>
                <w:sz w:val="20"/>
                <w:szCs w:val="20"/>
              </w:rPr>
            </w:pPr>
          </w:p>
        </w:tc>
      </w:tr>
      <w:tr w:rsidR="00593482" w:rsidRPr="006A64EE" w14:paraId="7F076F2B" w14:textId="77777777" w:rsidTr="00902F78">
        <w:trPr>
          <w:cantSplit/>
        </w:trPr>
        <w:tc>
          <w:tcPr>
            <w:tcW w:w="2002" w:type="dxa"/>
          </w:tcPr>
          <w:p w14:paraId="6D43C901" w14:textId="77777777" w:rsidR="002D5756" w:rsidRPr="006A64EE" w:rsidRDefault="002D5756" w:rsidP="004255F8">
            <w:pPr>
              <w:pStyle w:val="TableParagraph"/>
              <w:widowControl/>
              <w:suppressAutoHyphens/>
              <w:rPr>
                <w:sz w:val="20"/>
                <w:szCs w:val="20"/>
              </w:rPr>
            </w:pPr>
          </w:p>
        </w:tc>
        <w:tc>
          <w:tcPr>
            <w:tcW w:w="2360" w:type="dxa"/>
          </w:tcPr>
          <w:p w14:paraId="5C831C5B" w14:textId="77777777" w:rsidR="002D5756" w:rsidRPr="006A64EE" w:rsidRDefault="009C2544" w:rsidP="004255F8">
            <w:pPr>
              <w:pStyle w:val="TableParagraph"/>
              <w:widowControl/>
              <w:suppressAutoHyphens/>
              <w:rPr>
                <w:sz w:val="20"/>
                <w:szCs w:val="20"/>
              </w:rPr>
            </w:pPr>
            <w:r w:rsidRPr="006A64EE">
              <w:rPr>
                <w:sz w:val="20"/>
                <w:szCs w:val="20"/>
              </w:rPr>
              <w:t>Nasopharyngitis</w:t>
            </w:r>
          </w:p>
        </w:tc>
        <w:tc>
          <w:tcPr>
            <w:tcW w:w="1834" w:type="dxa"/>
          </w:tcPr>
          <w:p w14:paraId="2CE3A59A" w14:textId="77777777" w:rsidR="002D5756" w:rsidRPr="006A64EE" w:rsidRDefault="009C2544" w:rsidP="004255F8">
            <w:pPr>
              <w:pStyle w:val="TableParagraph"/>
              <w:widowControl/>
              <w:suppressAutoHyphens/>
              <w:rPr>
                <w:sz w:val="20"/>
                <w:szCs w:val="20"/>
              </w:rPr>
            </w:pPr>
            <w:r w:rsidRPr="006A64EE">
              <w:rPr>
                <w:sz w:val="20"/>
                <w:szCs w:val="20"/>
              </w:rPr>
              <w:t>pJIA, sJIA</w:t>
            </w:r>
          </w:p>
        </w:tc>
        <w:tc>
          <w:tcPr>
            <w:tcW w:w="1332" w:type="dxa"/>
          </w:tcPr>
          <w:p w14:paraId="3454D6EB" w14:textId="77777777" w:rsidR="002D5756" w:rsidRPr="006A64EE" w:rsidRDefault="002D5756" w:rsidP="004255F8">
            <w:pPr>
              <w:pStyle w:val="TableParagraph"/>
              <w:widowControl/>
              <w:suppressAutoHyphens/>
              <w:rPr>
                <w:sz w:val="20"/>
                <w:szCs w:val="20"/>
              </w:rPr>
            </w:pPr>
          </w:p>
        </w:tc>
        <w:tc>
          <w:tcPr>
            <w:tcW w:w="1339" w:type="dxa"/>
          </w:tcPr>
          <w:p w14:paraId="35C5C446" w14:textId="77777777" w:rsidR="002D5756" w:rsidRPr="006A64EE" w:rsidRDefault="002D5756" w:rsidP="004255F8">
            <w:pPr>
              <w:pStyle w:val="TableParagraph"/>
              <w:widowControl/>
              <w:suppressAutoHyphens/>
              <w:rPr>
                <w:sz w:val="20"/>
                <w:szCs w:val="20"/>
              </w:rPr>
            </w:pPr>
          </w:p>
        </w:tc>
      </w:tr>
      <w:tr w:rsidR="00593482" w:rsidRPr="006A64EE" w14:paraId="5CE8BA20" w14:textId="77777777" w:rsidTr="00902F78">
        <w:trPr>
          <w:cantSplit/>
        </w:trPr>
        <w:tc>
          <w:tcPr>
            <w:tcW w:w="8867" w:type="dxa"/>
            <w:gridSpan w:val="5"/>
          </w:tcPr>
          <w:p w14:paraId="5B40B83C" w14:textId="77777777" w:rsidR="002D5756" w:rsidRPr="006A64EE" w:rsidRDefault="009C2544" w:rsidP="004255F8">
            <w:pPr>
              <w:pStyle w:val="TableParagraph"/>
              <w:widowControl/>
              <w:suppressAutoHyphens/>
              <w:rPr>
                <w:sz w:val="20"/>
                <w:szCs w:val="20"/>
              </w:rPr>
            </w:pPr>
            <w:r w:rsidRPr="006A64EE">
              <w:rPr>
                <w:sz w:val="20"/>
                <w:szCs w:val="20"/>
              </w:rPr>
              <w:t>Erkrankungen des Nervensystems</w:t>
            </w:r>
          </w:p>
        </w:tc>
      </w:tr>
      <w:tr w:rsidR="00593482" w:rsidRPr="006A64EE" w14:paraId="4048B4CA" w14:textId="77777777" w:rsidTr="00902F78">
        <w:trPr>
          <w:cantSplit/>
        </w:trPr>
        <w:tc>
          <w:tcPr>
            <w:tcW w:w="2002" w:type="dxa"/>
          </w:tcPr>
          <w:p w14:paraId="67393FC7" w14:textId="77777777" w:rsidR="002D5756" w:rsidRPr="006A64EE" w:rsidRDefault="002D5756" w:rsidP="004255F8">
            <w:pPr>
              <w:pStyle w:val="TableParagraph"/>
              <w:widowControl/>
              <w:suppressAutoHyphens/>
              <w:rPr>
                <w:sz w:val="20"/>
                <w:szCs w:val="20"/>
              </w:rPr>
            </w:pPr>
          </w:p>
        </w:tc>
        <w:tc>
          <w:tcPr>
            <w:tcW w:w="2360" w:type="dxa"/>
          </w:tcPr>
          <w:p w14:paraId="1A50B38D" w14:textId="77777777" w:rsidR="002D5756" w:rsidRPr="006A64EE" w:rsidRDefault="009C2544" w:rsidP="004255F8">
            <w:pPr>
              <w:pStyle w:val="TableParagraph"/>
              <w:widowControl/>
              <w:suppressAutoHyphens/>
              <w:rPr>
                <w:sz w:val="20"/>
                <w:szCs w:val="20"/>
              </w:rPr>
            </w:pPr>
            <w:r w:rsidRPr="006A64EE">
              <w:rPr>
                <w:sz w:val="20"/>
                <w:szCs w:val="20"/>
              </w:rPr>
              <w:t>Kopfschmerzen</w:t>
            </w:r>
          </w:p>
        </w:tc>
        <w:tc>
          <w:tcPr>
            <w:tcW w:w="1834" w:type="dxa"/>
          </w:tcPr>
          <w:p w14:paraId="2504DE2C" w14:textId="77777777" w:rsidR="002D5756" w:rsidRPr="006A64EE" w:rsidRDefault="009C2544" w:rsidP="004255F8">
            <w:pPr>
              <w:pStyle w:val="TableParagraph"/>
              <w:widowControl/>
              <w:suppressAutoHyphens/>
              <w:rPr>
                <w:sz w:val="20"/>
                <w:szCs w:val="20"/>
              </w:rPr>
            </w:pPr>
            <w:r w:rsidRPr="006A64EE">
              <w:rPr>
                <w:sz w:val="20"/>
                <w:szCs w:val="20"/>
              </w:rPr>
              <w:t>pJIA</w:t>
            </w:r>
          </w:p>
        </w:tc>
        <w:tc>
          <w:tcPr>
            <w:tcW w:w="1332" w:type="dxa"/>
          </w:tcPr>
          <w:p w14:paraId="46CC0F6E" w14:textId="77777777" w:rsidR="002D5756" w:rsidRPr="006A64EE" w:rsidRDefault="009C2544" w:rsidP="004255F8">
            <w:pPr>
              <w:pStyle w:val="TableParagraph"/>
              <w:widowControl/>
              <w:suppressAutoHyphens/>
              <w:rPr>
                <w:sz w:val="20"/>
                <w:szCs w:val="20"/>
              </w:rPr>
            </w:pPr>
            <w:r w:rsidRPr="006A64EE">
              <w:rPr>
                <w:sz w:val="20"/>
                <w:szCs w:val="20"/>
              </w:rPr>
              <w:t>sJIA</w:t>
            </w:r>
          </w:p>
        </w:tc>
        <w:tc>
          <w:tcPr>
            <w:tcW w:w="1339" w:type="dxa"/>
          </w:tcPr>
          <w:p w14:paraId="1D78D9D0" w14:textId="77777777" w:rsidR="002D5756" w:rsidRPr="006A64EE" w:rsidRDefault="002D5756" w:rsidP="004255F8">
            <w:pPr>
              <w:pStyle w:val="TableParagraph"/>
              <w:widowControl/>
              <w:suppressAutoHyphens/>
              <w:rPr>
                <w:sz w:val="20"/>
                <w:szCs w:val="20"/>
              </w:rPr>
            </w:pPr>
          </w:p>
        </w:tc>
      </w:tr>
      <w:tr w:rsidR="00593482" w:rsidRPr="006A64EE" w14:paraId="01AC9755" w14:textId="77777777" w:rsidTr="00902F78">
        <w:trPr>
          <w:cantSplit/>
        </w:trPr>
        <w:tc>
          <w:tcPr>
            <w:tcW w:w="4362" w:type="dxa"/>
            <w:gridSpan w:val="2"/>
          </w:tcPr>
          <w:p w14:paraId="404C7403" w14:textId="77777777" w:rsidR="002D5756" w:rsidRPr="006A64EE" w:rsidRDefault="009C2544" w:rsidP="004255F8">
            <w:pPr>
              <w:pStyle w:val="TableParagraph"/>
              <w:widowControl/>
              <w:suppressAutoHyphens/>
              <w:rPr>
                <w:sz w:val="20"/>
                <w:szCs w:val="20"/>
              </w:rPr>
            </w:pPr>
            <w:r w:rsidRPr="006A64EE">
              <w:rPr>
                <w:sz w:val="20"/>
                <w:szCs w:val="20"/>
              </w:rPr>
              <w:t>Erkrankungen des Gastrointestinaltrakts</w:t>
            </w:r>
          </w:p>
        </w:tc>
        <w:tc>
          <w:tcPr>
            <w:tcW w:w="1834" w:type="dxa"/>
          </w:tcPr>
          <w:p w14:paraId="500B6DA2" w14:textId="77777777" w:rsidR="002D5756" w:rsidRPr="006A64EE" w:rsidRDefault="002D5756" w:rsidP="004255F8">
            <w:pPr>
              <w:pStyle w:val="TableParagraph"/>
              <w:widowControl/>
              <w:suppressAutoHyphens/>
              <w:rPr>
                <w:sz w:val="20"/>
                <w:szCs w:val="20"/>
              </w:rPr>
            </w:pPr>
          </w:p>
        </w:tc>
        <w:tc>
          <w:tcPr>
            <w:tcW w:w="1332" w:type="dxa"/>
          </w:tcPr>
          <w:p w14:paraId="6179B1D2" w14:textId="77777777" w:rsidR="002D5756" w:rsidRPr="006A64EE" w:rsidRDefault="002D5756" w:rsidP="004255F8">
            <w:pPr>
              <w:pStyle w:val="TableParagraph"/>
              <w:widowControl/>
              <w:suppressAutoHyphens/>
              <w:rPr>
                <w:sz w:val="20"/>
                <w:szCs w:val="20"/>
              </w:rPr>
            </w:pPr>
          </w:p>
        </w:tc>
        <w:tc>
          <w:tcPr>
            <w:tcW w:w="1339" w:type="dxa"/>
          </w:tcPr>
          <w:p w14:paraId="14A7BA8E" w14:textId="77777777" w:rsidR="002D5756" w:rsidRPr="006A64EE" w:rsidRDefault="002D5756" w:rsidP="004255F8">
            <w:pPr>
              <w:pStyle w:val="TableParagraph"/>
              <w:widowControl/>
              <w:suppressAutoHyphens/>
              <w:rPr>
                <w:sz w:val="20"/>
                <w:szCs w:val="20"/>
              </w:rPr>
            </w:pPr>
          </w:p>
        </w:tc>
      </w:tr>
      <w:tr w:rsidR="00593482" w:rsidRPr="006A64EE" w14:paraId="643BB216" w14:textId="77777777" w:rsidTr="00902F78">
        <w:trPr>
          <w:cantSplit/>
        </w:trPr>
        <w:tc>
          <w:tcPr>
            <w:tcW w:w="2002" w:type="dxa"/>
          </w:tcPr>
          <w:p w14:paraId="55363EC4" w14:textId="77777777" w:rsidR="002D5756" w:rsidRPr="006A64EE" w:rsidRDefault="002D5756" w:rsidP="004255F8">
            <w:pPr>
              <w:pStyle w:val="TableParagraph"/>
              <w:widowControl/>
              <w:suppressAutoHyphens/>
              <w:rPr>
                <w:sz w:val="20"/>
                <w:szCs w:val="20"/>
              </w:rPr>
            </w:pPr>
          </w:p>
        </w:tc>
        <w:tc>
          <w:tcPr>
            <w:tcW w:w="2360" w:type="dxa"/>
          </w:tcPr>
          <w:p w14:paraId="1D12C976" w14:textId="77777777" w:rsidR="002D5756" w:rsidRPr="006A64EE" w:rsidRDefault="009C2544" w:rsidP="004255F8">
            <w:pPr>
              <w:pStyle w:val="TableParagraph"/>
              <w:widowControl/>
              <w:suppressAutoHyphens/>
              <w:rPr>
                <w:sz w:val="20"/>
                <w:szCs w:val="20"/>
              </w:rPr>
            </w:pPr>
            <w:r w:rsidRPr="006A64EE">
              <w:rPr>
                <w:sz w:val="20"/>
                <w:szCs w:val="20"/>
              </w:rPr>
              <w:t>Übelkeit</w:t>
            </w:r>
          </w:p>
        </w:tc>
        <w:tc>
          <w:tcPr>
            <w:tcW w:w="1834" w:type="dxa"/>
          </w:tcPr>
          <w:p w14:paraId="74C77FB1" w14:textId="77777777" w:rsidR="002D5756" w:rsidRPr="006A64EE" w:rsidRDefault="002D5756" w:rsidP="004255F8">
            <w:pPr>
              <w:pStyle w:val="TableParagraph"/>
              <w:widowControl/>
              <w:suppressAutoHyphens/>
              <w:rPr>
                <w:sz w:val="20"/>
                <w:szCs w:val="20"/>
              </w:rPr>
            </w:pPr>
          </w:p>
        </w:tc>
        <w:tc>
          <w:tcPr>
            <w:tcW w:w="1332" w:type="dxa"/>
          </w:tcPr>
          <w:p w14:paraId="247AA29D" w14:textId="77777777" w:rsidR="002D5756" w:rsidRPr="006A64EE" w:rsidRDefault="009C2544" w:rsidP="004255F8">
            <w:pPr>
              <w:pStyle w:val="TableParagraph"/>
              <w:widowControl/>
              <w:suppressAutoHyphens/>
              <w:rPr>
                <w:sz w:val="20"/>
                <w:szCs w:val="20"/>
              </w:rPr>
            </w:pPr>
            <w:r w:rsidRPr="006A64EE">
              <w:rPr>
                <w:sz w:val="20"/>
                <w:szCs w:val="20"/>
              </w:rPr>
              <w:t>pJIA</w:t>
            </w:r>
          </w:p>
        </w:tc>
        <w:tc>
          <w:tcPr>
            <w:tcW w:w="1339" w:type="dxa"/>
          </w:tcPr>
          <w:p w14:paraId="0FBD1783" w14:textId="77777777" w:rsidR="002D5756" w:rsidRPr="006A64EE" w:rsidRDefault="002D5756" w:rsidP="004255F8">
            <w:pPr>
              <w:pStyle w:val="TableParagraph"/>
              <w:widowControl/>
              <w:suppressAutoHyphens/>
              <w:rPr>
                <w:sz w:val="20"/>
                <w:szCs w:val="20"/>
              </w:rPr>
            </w:pPr>
          </w:p>
        </w:tc>
      </w:tr>
      <w:tr w:rsidR="00593482" w:rsidRPr="006A64EE" w14:paraId="6300B7F7" w14:textId="77777777" w:rsidTr="00902F78">
        <w:trPr>
          <w:cantSplit/>
        </w:trPr>
        <w:tc>
          <w:tcPr>
            <w:tcW w:w="2002" w:type="dxa"/>
          </w:tcPr>
          <w:p w14:paraId="612BEA5B" w14:textId="77777777" w:rsidR="002D5756" w:rsidRPr="006A64EE" w:rsidRDefault="002D5756" w:rsidP="004255F8">
            <w:pPr>
              <w:pStyle w:val="TableParagraph"/>
              <w:widowControl/>
              <w:suppressAutoHyphens/>
              <w:rPr>
                <w:sz w:val="20"/>
                <w:szCs w:val="20"/>
              </w:rPr>
            </w:pPr>
          </w:p>
        </w:tc>
        <w:tc>
          <w:tcPr>
            <w:tcW w:w="2360" w:type="dxa"/>
          </w:tcPr>
          <w:p w14:paraId="6CCA8244" w14:textId="77777777" w:rsidR="002D5756" w:rsidRPr="006A64EE" w:rsidRDefault="009C2544" w:rsidP="004255F8">
            <w:pPr>
              <w:pStyle w:val="TableParagraph"/>
              <w:widowControl/>
              <w:suppressAutoHyphens/>
              <w:rPr>
                <w:sz w:val="20"/>
                <w:szCs w:val="20"/>
              </w:rPr>
            </w:pPr>
            <w:r w:rsidRPr="006A64EE">
              <w:rPr>
                <w:sz w:val="20"/>
                <w:szCs w:val="20"/>
              </w:rPr>
              <w:t>Diarrhoe</w:t>
            </w:r>
          </w:p>
        </w:tc>
        <w:tc>
          <w:tcPr>
            <w:tcW w:w="1834" w:type="dxa"/>
          </w:tcPr>
          <w:p w14:paraId="2FF46968" w14:textId="77777777" w:rsidR="002D5756" w:rsidRPr="006A64EE" w:rsidRDefault="002D5756" w:rsidP="004255F8">
            <w:pPr>
              <w:pStyle w:val="TableParagraph"/>
              <w:widowControl/>
              <w:suppressAutoHyphens/>
              <w:rPr>
                <w:sz w:val="20"/>
                <w:szCs w:val="20"/>
              </w:rPr>
            </w:pPr>
          </w:p>
        </w:tc>
        <w:tc>
          <w:tcPr>
            <w:tcW w:w="1332" w:type="dxa"/>
          </w:tcPr>
          <w:p w14:paraId="4E7C9A9D" w14:textId="77777777" w:rsidR="002D5756" w:rsidRPr="006A64EE" w:rsidRDefault="009C2544" w:rsidP="004255F8">
            <w:pPr>
              <w:pStyle w:val="TableParagraph"/>
              <w:widowControl/>
              <w:suppressAutoHyphens/>
              <w:rPr>
                <w:sz w:val="20"/>
                <w:szCs w:val="20"/>
              </w:rPr>
            </w:pPr>
            <w:r w:rsidRPr="006A64EE">
              <w:rPr>
                <w:sz w:val="20"/>
                <w:szCs w:val="20"/>
              </w:rPr>
              <w:t>pJIA, sJIA</w:t>
            </w:r>
          </w:p>
        </w:tc>
        <w:tc>
          <w:tcPr>
            <w:tcW w:w="1339" w:type="dxa"/>
          </w:tcPr>
          <w:p w14:paraId="1D445F17" w14:textId="77777777" w:rsidR="002D5756" w:rsidRPr="006A64EE" w:rsidRDefault="002D5756" w:rsidP="004255F8">
            <w:pPr>
              <w:pStyle w:val="TableParagraph"/>
              <w:widowControl/>
              <w:suppressAutoHyphens/>
              <w:rPr>
                <w:sz w:val="20"/>
                <w:szCs w:val="20"/>
              </w:rPr>
            </w:pPr>
          </w:p>
        </w:tc>
      </w:tr>
      <w:tr w:rsidR="00593482" w:rsidRPr="006A64EE" w14:paraId="7119343E" w14:textId="77777777" w:rsidTr="00902F78">
        <w:trPr>
          <w:cantSplit/>
        </w:trPr>
        <w:tc>
          <w:tcPr>
            <w:tcW w:w="4362" w:type="dxa"/>
            <w:gridSpan w:val="2"/>
          </w:tcPr>
          <w:p w14:paraId="3178EB07" w14:textId="60BE99BB" w:rsidR="002D5756" w:rsidRPr="006A64EE" w:rsidRDefault="009C2544" w:rsidP="004255F8">
            <w:pPr>
              <w:pStyle w:val="TableParagraph"/>
              <w:widowControl/>
              <w:suppressAutoHyphens/>
              <w:rPr>
                <w:sz w:val="20"/>
                <w:szCs w:val="20"/>
              </w:rPr>
            </w:pPr>
            <w:r w:rsidRPr="006A64EE">
              <w:rPr>
                <w:sz w:val="20"/>
                <w:szCs w:val="20"/>
              </w:rPr>
              <w:t>Allgemeine Erkrankungen und Beschwerden</w:t>
            </w:r>
            <w:r w:rsidR="009302FF" w:rsidRPr="006A64EE">
              <w:rPr>
                <w:sz w:val="20"/>
                <w:szCs w:val="20"/>
              </w:rPr>
              <w:t xml:space="preserve"> </w:t>
            </w:r>
            <w:r w:rsidRPr="006A64EE">
              <w:rPr>
                <w:sz w:val="20"/>
                <w:szCs w:val="20"/>
              </w:rPr>
              <w:t>am Verabreichungsort</w:t>
            </w:r>
          </w:p>
        </w:tc>
        <w:tc>
          <w:tcPr>
            <w:tcW w:w="1834" w:type="dxa"/>
          </w:tcPr>
          <w:p w14:paraId="06DD38B9" w14:textId="77777777" w:rsidR="002D5756" w:rsidRPr="006A64EE" w:rsidRDefault="002D5756" w:rsidP="004255F8">
            <w:pPr>
              <w:pStyle w:val="TableParagraph"/>
              <w:widowControl/>
              <w:suppressAutoHyphens/>
              <w:rPr>
                <w:sz w:val="20"/>
                <w:szCs w:val="20"/>
              </w:rPr>
            </w:pPr>
          </w:p>
        </w:tc>
        <w:tc>
          <w:tcPr>
            <w:tcW w:w="1332" w:type="dxa"/>
          </w:tcPr>
          <w:p w14:paraId="6FD5C820" w14:textId="77777777" w:rsidR="002D5756" w:rsidRPr="006A64EE" w:rsidRDefault="002D5756" w:rsidP="004255F8">
            <w:pPr>
              <w:pStyle w:val="TableParagraph"/>
              <w:widowControl/>
              <w:suppressAutoHyphens/>
              <w:rPr>
                <w:sz w:val="20"/>
                <w:szCs w:val="20"/>
              </w:rPr>
            </w:pPr>
          </w:p>
        </w:tc>
        <w:tc>
          <w:tcPr>
            <w:tcW w:w="1339" w:type="dxa"/>
          </w:tcPr>
          <w:p w14:paraId="776B794B" w14:textId="77777777" w:rsidR="002D5756" w:rsidRPr="006A64EE" w:rsidRDefault="002D5756" w:rsidP="004255F8">
            <w:pPr>
              <w:pStyle w:val="TableParagraph"/>
              <w:widowControl/>
              <w:suppressAutoHyphens/>
              <w:rPr>
                <w:sz w:val="20"/>
                <w:szCs w:val="20"/>
              </w:rPr>
            </w:pPr>
          </w:p>
        </w:tc>
      </w:tr>
      <w:tr w:rsidR="00593482" w:rsidRPr="006A64EE" w14:paraId="513C7863" w14:textId="77777777" w:rsidTr="00902F78">
        <w:trPr>
          <w:cantSplit/>
        </w:trPr>
        <w:tc>
          <w:tcPr>
            <w:tcW w:w="2002" w:type="dxa"/>
          </w:tcPr>
          <w:p w14:paraId="6EF6346B" w14:textId="77777777" w:rsidR="002D5756" w:rsidRPr="006A64EE" w:rsidRDefault="002D5756" w:rsidP="004255F8">
            <w:pPr>
              <w:pStyle w:val="TableParagraph"/>
              <w:widowControl/>
              <w:suppressAutoHyphens/>
              <w:rPr>
                <w:sz w:val="20"/>
                <w:szCs w:val="20"/>
              </w:rPr>
            </w:pPr>
          </w:p>
        </w:tc>
        <w:tc>
          <w:tcPr>
            <w:tcW w:w="2360" w:type="dxa"/>
          </w:tcPr>
          <w:p w14:paraId="32CA2079" w14:textId="77777777" w:rsidR="00093A5E" w:rsidRPr="006A64EE" w:rsidRDefault="009C2544" w:rsidP="004255F8">
            <w:pPr>
              <w:pStyle w:val="TableParagraph"/>
              <w:widowControl/>
              <w:suppressAutoHyphens/>
              <w:rPr>
                <w:sz w:val="20"/>
                <w:szCs w:val="20"/>
              </w:rPr>
            </w:pPr>
            <w:r w:rsidRPr="006A64EE">
              <w:rPr>
                <w:sz w:val="20"/>
                <w:szCs w:val="20"/>
              </w:rPr>
              <w:t>Infusionsbedingte</w:t>
            </w:r>
          </w:p>
          <w:p w14:paraId="714EDE8C" w14:textId="3DEC717A" w:rsidR="002D5756" w:rsidRPr="006A64EE" w:rsidRDefault="009C2544" w:rsidP="004255F8">
            <w:pPr>
              <w:pStyle w:val="TableParagraph"/>
              <w:widowControl/>
              <w:suppressAutoHyphens/>
              <w:rPr>
                <w:sz w:val="20"/>
                <w:szCs w:val="20"/>
              </w:rPr>
            </w:pPr>
            <w:r w:rsidRPr="006A64EE">
              <w:rPr>
                <w:sz w:val="20"/>
                <w:szCs w:val="20"/>
              </w:rPr>
              <w:t>Reaktionen</w:t>
            </w:r>
          </w:p>
        </w:tc>
        <w:tc>
          <w:tcPr>
            <w:tcW w:w="1834" w:type="dxa"/>
          </w:tcPr>
          <w:p w14:paraId="79BC8E7A" w14:textId="77777777" w:rsidR="002D5756" w:rsidRPr="006A64EE" w:rsidRDefault="002D5756" w:rsidP="004255F8">
            <w:pPr>
              <w:pStyle w:val="TableParagraph"/>
              <w:widowControl/>
              <w:suppressAutoHyphens/>
              <w:rPr>
                <w:sz w:val="20"/>
                <w:szCs w:val="20"/>
              </w:rPr>
            </w:pPr>
          </w:p>
        </w:tc>
        <w:tc>
          <w:tcPr>
            <w:tcW w:w="1332" w:type="dxa"/>
          </w:tcPr>
          <w:p w14:paraId="51B2D4A2" w14:textId="77777777" w:rsidR="002D5756" w:rsidRPr="006A64EE" w:rsidRDefault="009C2544" w:rsidP="004255F8">
            <w:pPr>
              <w:pStyle w:val="TableParagraph"/>
              <w:widowControl/>
              <w:suppressAutoHyphens/>
              <w:rPr>
                <w:sz w:val="20"/>
                <w:szCs w:val="20"/>
              </w:rPr>
            </w:pPr>
            <w:r w:rsidRPr="006A64EE">
              <w:rPr>
                <w:sz w:val="20"/>
                <w:szCs w:val="20"/>
              </w:rPr>
              <w:t>pJIA</w:t>
            </w:r>
            <w:r w:rsidRPr="006A64EE">
              <w:rPr>
                <w:sz w:val="20"/>
                <w:szCs w:val="20"/>
                <w:vertAlign w:val="superscript"/>
              </w:rPr>
              <w:t>1</w:t>
            </w:r>
            <w:r w:rsidRPr="006A64EE">
              <w:rPr>
                <w:sz w:val="20"/>
                <w:szCs w:val="20"/>
              </w:rPr>
              <w:t>, sJIA</w:t>
            </w:r>
            <w:r w:rsidRPr="006A64EE">
              <w:rPr>
                <w:sz w:val="20"/>
                <w:szCs w:val="20"/>
                <w:vertAlign w:val="superscript"/>
              </w:rPr>
              <w:t>2</w:t>
            </w:r>
          </w:p>
        </w:tc>
        <w:tc>
          <w:tcPr>
            <w:tcW w:w="1339" w:type="dxa"/>
          </w:tcPr>
          <w:p w14:paraId="54941D7F" w14:textId="77777777" w:rsidR="002D5756" w:rsidRPr="006A64EE" w:rsidRDefault="002D5756" w:rsidP="004255F8">
            <w:pPr>
              <w:pStyle w:val="TableParagraph"/>
              <w:widowControl/>
              <w:suppressAutoHyphens/>
              <w:rPr>
                <w:sz w:val="20"/>
                <w:szCs w:val="20"/>
              </w:rPr>
            </w:pPr>
          </w:p>
        </w:tc>
      </w:tr>
      <w:tr w:rsidR="00593482" w:rsidRPr="006A64EE" w14:paraId="40475EB4" w14:textId="77777777" w:rsidTr="00902F78">
        <w:trPr>
          <w:cantSplit/>
        </w:trPr>
        <w:tc>
          <w:tcPr>
            <w:tcW w:w="4362" w:type="dxa"/>
            <w:gridSpan w:val="2"/>
          </w:tcPr>
          <w:p w14:paraId="17E35358" w14:textId="77777777" w:rsidR="002D5756" w:rsidRPr="006A64EE" w:rsidRDefault="009C2544" w:rsidP="004255F8">
            <w:pPr>
              <w:pStyle w:val="TableParagraph"/>
              <w:widowControl/>
              <w:suppressAutoHyphens/>
              <w:rPr>
                <w:sz w:val="20"/>
                <w:szCs w:val="20"/>
              </w:rPr>
            </w:pPr>
            <w:r w:rsidRPr="006A64EE">
              <w:rPr>
                <w:sz w:val="20"/>
                <w:szCs w:val="20"/>
              </w:rPr>
              <w:t>Untersuchungen</w:t>
            </w:r>
          </w:p>
        </w:tc>
        <w:tc>
          <w:tcPr>
            <w:tcW w:w="1834" w:type="dxa"/>
          </w:tcPr>
          <w:p w14:paraId="07012798" w14:textId="77777777" w:rsidR="002D5756" w:rsidRPr="006A64EE" w:rsidRDefault="002D5756" w:rsidP="004255F8">
            <w:pPr>
              <w:pStyle w:val="TableParagraph"/>
              <w:widowControl/>
              <w:suppressAutoHyphens/>
              <w:rPr>
                <w:sz w:val="20"/>
                <w:szCs w:val="20"/>
              </w:rPr>
            </w:pPr>
          </w:p>
        </w:tc>
        <w:tc>
          <w:tcPr>
            <w:tcW w:w="1332" w:type="dxa"/>
          </w:tcPr>
          <w:p w14:paraId="5258B6C7" w14:textId="77777777" w:rsidR="002D5756" w:rsidRPr="006A64EE" w:rsidRDefault="002D5756" w:rsidP="004255F8">
            <w:pPr>
              <w:pStyle w:val="TableParagraph"/>
              <w:widowControl/>
              <w:suppressAutoHyphens/>
              <w:rPr>
                <w:sz w:val="20"/>
                <w:szCs w:val="20"/>
              </w:rPr>
            </w:pPr>
          </w:p>
        </w:tc>
        <w:tc>
          <w:tcPr>
            <w:tcW w:w="1339" w:type="dxa"/>
          </w:tcPr>
          <w:p w14:paraId="3068D1DA" w14:textId="77777777" w:rsidR="002D5756" w:rsidRPr="006A64EE" w:rsidRDefault="002D5756" w:rsidP="004255F8">
            <w:pPr>
              <w:pStyle w:val="TableParagraph"/>
              <w:widowControl/>
              <w:suppressAutoHyphens/>
              <w:rPr>
                <w:sz w:val="20"/>
                <w:szCs w:val="20"/>
              </w:rPr>
            </w:pPr>
          </w:p>
        </w:tc>
      </w:tr>
      <w:tr w:rsidR="00593482" w:rsidRPr="006A64EE" w14:paraId="69F772DF" w14:textId="77777777" w:rsidTr="00902F78">
        <w:trPr>
          <w:cantSplit/>
        </w:trPr>
        <w:tc>
          <w:tcPr>
            <w:tcW w:w="2002" w:type="dxa"/>
          </w:tcPr>
          <w:p w14:paraId="0D08F650" w14:textId="77777777" w:rsidR="002D5756" w:rsidRPr="006A64EE" w:rsidRDefault="002D5756" w:rsidP="004255F8">
            <w:pPr>
              <w:pStyle w:val="TableParagraph"/>
              <w:widowControl/>
              <w:suppressAutoHyphens/>
              <w:rPr>
                <w:sz w:val="20"/>
                <w:szCs w:val="20"/>
              </w:rPr>
            </w:pPr>
          </w:p>
        </w:tc>
        <w:tc>
          <w:tcPr>
            <w:tcW w:w="2360" w:type="dxa"/>
          </w:tcPr>
          <w:p w14:paraId="0A12C680" w14:textId="77777777" w:rsidR="00093A5E" w:rsidRPr="006A64EE" w:rsidRDefault="009C2544" w:rsidP="004255F8">
            <w:pPr>
              <w:pStyle w:val="TableParagraph"/>
              <w:widowControl/>
              <w:suppressAutoHyphens/>
              <w:rPr>
                <w:sz w:val="20"/>
                <w:szCs w:val="20"/>
              </w:rPr>
            </w:pPr>
            <w:r w:rsidRPr="006A64EE">
              <w:rPr>
                <w:sz w:val="20"/>
                <w:szCs w:val="20"/>
              </w:rPr>
              <w:t>Erhöhung der</w:t>
            </w:r>
          </w:p>
          <w:p w14:paraId="7F2BA975" w14:textId="0F4CA2EB" w:rsidR="002D5756" w:rsidRPr="006A64EE" w:rsidRDefault="009C2544" w:rsidP="004255F8">
            <w:pPr>
              <w:pStyle w:val="TableParagraph"/>
              <w:widowControl/>
              <w:suppressAutoHyphens/>
              <w:rPr>
                <w:sz w:val="20"/>
                <w:szCs w:val="20"/>
              </w:rPr>
            </w:pPr>
            <w:r w:rsidRPr="006A64EE">
              <w:rPr>
                <w:sz w:val="20"/>
                <w:szCs w:val="20"/>
              </w:rPr>
              <w:t>Lebertransaminasen</w:t>
            </w:r>
          </w:p>
        </w:tc>
        <w:tc>
          <w:tcPr>
            <w:tcW w:w="1834" w:type="dxa"/>
          </w:tcPr>
          <w:p w14:paraId="4910F9D8" w14:textId="77777777" w:rsidR="002D5756" w:rsidRPr="006A64EE" w:rsidRDefault="002D5756" w:rsidP="004255F8">
            <w:pPr>
              <w:pStyle w:val="TableParagraph"/>
              <w:widowControl/>
              <w:suppressAutoHyphens/>
              <w:rPr>
                <w:sz w:val="20"/>
                <w:szCs w:val="20"/>
              </w:rPr>
            </w:pPr>
          </w:p>
        </w:tc>
        <w:tc>
          <w:tcPr>
            <w:tcW w:w="1332" w:type="dxa"/>
          </w:tcPr>
          <w:p w14:paraId="2B4DB58D" w14:textId="77777777" w:rsidR="002D5756" w:rsidRPr="006A64EE" w:rsidRDefault="009C2544" w:rsidP="004255F8">
            <w:pPr>
              <w:pStyle w:val="TableParagraph"/>
              <w:widowControl/>
              <w:suppressAutoHyphens/>
              <w:rPr>
                <w:sz w:val="20"/>
                <w:szCs w:val="20"/>
              </w:rPr>
            </w:pPr>
            <w:r w:rsidRPr="006A64EE">
              <w:rPr>
                <w:sz w:val="20"/>
                <w:szCs w:val="20"/>
              </w:rPr>
              <w:t>pJIA</w:t>
            </w:r>
          </w:p>
        </w:tc>
        <w:tc>
          <w:tcPr>
            <w:tcW w:w="1339" w:type="dxa"/>
          </w:tcPr>
          <w:p w14:paraId="5F3AB325" w14:textId="77777777" w:rsidR="002D5756" w:rsidRPr="006A64EE" w:rsidRDefault="002D5756" w:rsidP="004255F8">
            <w:pPr>
              <w:pStyle w:val="TableParagraph"/>
              <w:widowControl/>
              <w:suppressAutoHyphens/>
              <w:rPr>
                <w:sz w:val="20"/>
                <w:szCs w:val="20"/>
              </w:rPr>
            </w:pPr>
          </w:p>
        </w:tc>
      </w:tr>
      <w:tr w:rsidR="00593482" w:rsidRPr="006A64EE" w14:paraId="4D502296" w14:textId="77777777" w:rsidTr="00902F78">
        <w:trPr>
          <w:cantSplit/>
        </w:trPr>
        <w:tc>
          <w:tcPr>
            <w:tcW w:w="2002" w:type="dxa"/>
          </w:tcPr>
          <w:p w14:paraId="54FECC72" w14:textId="77777777" w:rsidR="002D5756" w:rsidRPr="006A64EE" w:rsidRDefault="002D5756" w:rsidP="004255F8">
            <w:pPr>
              <w:pStyle w:val="TableParagraph"/>
              <w:widowControl/>
              <w:suppressAutoHyphens/>
              <w:rPr>
                <w:sz w:val="20"/>
                <w:szCs w:val="20"/>
              </w:rPr>
            </w:pPr>
          </w:p>
        </w:tc>
        <w:tc>
          <w:tcPr>
            <w:tcW w:w="2360" w:type="dxa"/>
          </w:tcPr>
          <w:p w14:paraId="2ED969D9" w14:textId="77777777" w:rsidR="00093A5E" w:rsidRPr="006A64EE" w:rsidRDefault="009C2544" w:rsidP="004255F8">
            <w:pPr>
              <w:pStyle w:val="TableParagraph"/>
              <w:widowControl/>
              <w:suppressAutoHyphens/>
              <w:rPr>
                <w:sz w:val="20"/>
                <w:szCs w:val="20"/>
              </w:rPr>
            </w:pPr>
            <w:r w:rsidRPr="006A64EE">
              <w:rPr>
                <w:sz w:val="20"/>
                <w:szCs w:val="20"/>
              </w:rPr>
              <w:t>Rückgang der Anzahl der neutrophilen</w:t>
            </w:r>
          </w:p>
          <w:p w14:paraId="762E2AD9" w14:textId="0D55C7AA" w:rsidR="002D5756" w:rsidRPr="006A64EE" w:rsidRDefault="009C2544" w:rsidP="004255F8">
            <w:pPr>
              <w:pStyle w:val="TableParagraph"/>
              <w:widowControl/>
              <w:suppressAutoHyphens/>
              <w:rPr>
                <w:sz w:val="20"/>
                <w:szCs w:val="20"/>
              </w:rPr>
            </w:pPr>
            <w:r w:rsidRPr="006A64EE">
              <w:rPr>
                <w:sz w:val="20"/>
                <w:szCs w:val="20"/>
              </w:rPr>
              <w:t>Granulozyten</w:t>
            </w:r>
          </w:p>
        </w:tc>
        <w:tc>
          <w:tcPr>
            <w:tcW w:w="1834" w:type="dxa"/>
          </w:tcPr>
          <w:p w14:paraId="642EB5F3" w14:textId="77777777" w:rsidR="002D5756" w:rsidRPr="006A64EE" w:rsidRDefault="009C2544" w:rsidP="004255F8">
            <w:pPr>
              <w:pStyle w:val="TableParagraph"/>
              <w:widowControl/>
              <w:suppressAutoHyphens/>
              <w:rPr>
                <w:sz w:val="20"/>
                <w:szCs w:val="20"/>
              </w:rPr>
            </w:pPr>
            <w:r w:rsidRPr="006A64EE">
              <w:rPr>
                <w:sz w:val="20"/>
                <w:szCs w:val="20"/>
              </w:rPr>
              <w:t>sJIA</w:t>
            </w:r>
          </w:p>
        </w:tc>
        <w:tc>
          <w:tcPr>
            <w:tcW w:w="1332" w:type="dxa"/>
          </w:tcPr>
          <w:p w14:paraId="6F071380" w14:textId="77777777" w:rsidR="002D5756" w:rsidRPr="006A64EE" w:rsidRDefault="009C2544" w:rsidP="004255F8">
            <w:pPr>
              <w:pStyle w:val="TableParagraph"/>
              <w:widowControl/>
              <w:suppressAutoHyphens/>
              <w:rPr>
                <w:sz w:val="20"/>
                <w:szCs w:val="20"/>
              </w:rPr>
            </w:pPr>
            <w:r w:rsidRPr="006A64EE">
              <w:rPr>
                <w:sz w:val="20"/>
                <w:szCs w:val="20"/>
              </w:rPr>
              <w:t>pJIA</w:t>
            </w:r>
          </w:p>
        </w:tc>
        <w:tc>
          <w:tcPr>
            <w:tcW w:w="1339" w:type="dxa"/>
          </w:tcPr>
          <w:p w14:paraId="7D8408BC" w14:textId="77777777" w:rsidR="002D5756" w:rsidRPr="006A64EE" w:rsidRDefault="002D5756" w:rsidP="004255F8">
            <w:pPr>
              <w:pStyle w:val="TableParagraph"/>
              <w:widowControl/>
              <w:suppressAutoHyphens/>
              <w:rPr>
                <w:sz w:val="20"/>
                <w:szCs w:val="20"/>
              </w:rPr>
            </w:pPr>
          </w:p>
        </w:tc>
      </w:tr>
      <w:tr w:rsidR="00593482" w:rsidRPr="006A64EE" w14:paraId="45B969CE" w14:textId="77777777" w:rsidTr="00902F78">
        <w:trPr>
          <w:cantSplit/>
        </w:trPr>
        <w:tc>
          <w:tcPr>
            <w:tcW w:w="2002" w:type="dxa"/>
          </w:tcPr>
          <w:p w14:paraId="164BABF0" w14:textId="77777777" w:rsidR="002D5756" w:rsidRPr="006A64EE" w:rsidRDefault="002D5756" w:rsidP="004255F8">
            <w:pPr>
              <w:pStyle w:val="TableParagraph"/>
              <w:widowControl/>
              <w:suppressAutoHyphens/>
              <w:rPr>
                <w:sz w:val="20"/>
                <w:szCs w:val="20"/>
              </w:rPr>
            </w:pPr>
          </w:p>
        </w:tc>
        <w:tc>
          <w:tcPr>
            <w:tcW w:w="2360" w:type="dxa"/>
          </w:tcPr>
          <w:p w14:paraId="2892F21D" w14:textId="1F7311B5" w:rsidR="002D5756" w:rsidRPr="006A64EE" w:rsidRDefault="009C2544" w:rsidP="009B76B2">
            <w:pPr>
              <w:pStyle w:val="TableParagraph"/>
              <w:widowControl/>
              <w:suppressAutoHyphens/>
              <w:rPr>
                <w:sz w:val="20"/>
                <w:szCs w:val="20"/>
              </w:rPr>
            </w:pPr>
            <w:r w:rsidRPr="006A64EE">
              <w:rPr>
                <w:sz w:val="20"/>
                <w:szCs w:val="20"/>
              </w:rPr>
              <w:t>Thrombozytenzahl</w:t>
            </w:r>
            <w:r w:rsidR="009B76B2" w:rsidRPr="006A64EE">
              <w:rPr>
                <w:sz w:val="20"/>
                <w:szCs w:val="20"/>
              </w:rPr>
              <w:t xml:space="preserve"> </w:t>
            </w:r>
            <w:r w:rsidRPr="006A64EE">
              <w:rPr>
                <w:sz w:val="20"/>
                <w:szCs w:val="20"/>
              </w:rPr>
              <w:t>vermindert</w:t>
            </w:r>
          </w:p>
        </w:tc>
        <w:tc>
          <w:tcPr>
            <w:tcW w:w="1834" w:type="dxa"/>
          </w:tcPr>
          <w:p w14:paraId="285F04D9" w14:textId="77777777" w:rsidR="002D5756" w:rsidRPr="006A64EE" w:rsidRDefault="002D5756" w:rsidP="004255F8">
            <w:pPr>
              <w:pStyle w:val="TableParagraph"/>
              <w:widowControl/>
              <w:suppressAutoHyphens/>
              <w:rPr>
                <w:sz w:val="20"/>
                <w:szCs w:val="20"/>
              </w:rPr>
            </w:pPr>
          </w:p>
        </w:tc>
        <w:tc>
          <w:tcPr>
            <w:tcW w:w="1332" w:type="dxa"/>
          </w:tcPr>
          <w:p w14:paraId="6049C927" w14:textId="77777777" w:rsidR="002D5756" w:rsidRPr="006A64EE" w:rsidRDefault="009C2544" w:rsidP="004255F8">
            <w:pPr>
              <w:pStyle w:val="TableParagraph"/>
              <w:widowControl/>
              <w:suppressAutoHyphens/>
              <w:rPr>
                <w:sz w:val="20"/>
                <w:szCs w:val="20"/>
              </w:rPr>
            </w:pPr>
            <w:r w:rsidRPr="006A64EE">
              <w:rPr>
                <w:sz w:val="20"/>
                <w:szCs w:val="20"/>
              </w:rPr>
              <w:t>sJIA</w:t>
            </w:r>
          </w:p>
        </w:tc>
        <w:tc>
          <w:tcPr>
            <w:tcW w:w="1339" w:type="dxa"/>
          </w:tcPr>
          <w:p w14:paraId="09B6D296" w14:textId="77777777" w:rsidR="002D5756" w:rsidRPr="006A64EE" w:rsidRDefault="009C2544" w:rsidP="004255F8">
            <w:pPr>
              <w:pStyle w:val="TableParagraph"/>
              <w:widowControl/>
              <w:suppressAutoHyphens/>
              <w:rPr>
                <w:sz w:val="20"/>
                <w:szCs w:val="20"/>
              </w:rPr>
            </w:pPr>
            <w:r w:rsidRPr="006A64EE">
              <w:rPr>
                <w:sz w:val="20"/>
                <w:szCs w:val="20"/>
              </w:rPr>
              <w:t>pJIA</w:t>
            </w:r>
          </w:p>
        </w:tc>
      </w:tr>
      <w:tr w:rsidR="00593482" w:rsidRPr="006A64EE" w14:paraId="3035CC2B" w14:textId="77777777" w:rsidTr="00902F78">
        <w:trPr>
          <w:cantSplit/>
        </w:trPr>
        <w:tc>
          <w:tcPr>
            <w:tcW w:w="2002" w:type="dxa"/>
          </w:tcPr>
          <w:p w14:paraId="751CEF35" w14:textId="77777777" w:rsidR="002D5756" w:rsidRPr="006A64EE" w:rsidRDefault="002D5756" w:rsidP="004255F8">
            <w:pPr>
              <w:pStyle w:val="TableParagraph"/>
              <w:widowControl/>
              <w:suppressAutoHyphens/>
              <w:rPr>
                <w:sz w:val="20"/>
                <w:szCs w:val="20"/>
              </w:rPr>
            </w:pPr>
          </w:p>
        </w:tc>
        <w:tc>
          <w:tcPr>
            <w:tcW w:w="2360" w:type="dxa"/>
          </w:tcPr>
          <w:p w14:paraId="7211A941" w14:textId="77777777" w:rsidR="002D5756" w:rsidRPr="006A64EE" w:rsidRDefault="009C2544" w:rsidP="004255F8">
            <w:pPr>
              <w:pStyle w:val="TableParagraph"/>
              <w:widowControl/>
              <w:suppressAutoHyphens/>
              <w:rPr>
                <w:sz w:val="20"/>
                <w:szCs w:val="20"/>
              </w:rPr>
            </w:pPr>
            <w:r w:rsidRPr="006A64EE">
              <w:rPr>
                <w:sz w:val="20"/>
                <w:szCs w:val="20"/>
              </w:rPr>
              <w:t>Cholesterin erhöht</w:t>
            </w:r>
          </w:p>
        </w:tc>
        <w:tc>
          <w:tcPr>
            <w:tcW w:w="1834" w:type="dxa"/>
          </w:tcPr>
          <w:p w14:paraId="2A971D1F" w14:textId="77777777" w:rsidR="002D5756" w:rsidRPr="006A64EE" w:rsidRDefault="002D5756" w:rsidP="004255F8">
            <w:pPr>
              <w:pStyle w:val="TableParagraph"/>
              <w:widowControl/>
              <w:suppressAutoHyphens/>
              <w:rPr>
                <w:sz w:val="20"/>
                <w:szCs w:val="20"/>
              </w:rPr>
            </w:pPr>
          </w:p>
        </w:tc>
        <w:tc>
          <w:tcPr>
            <w:tcW w:w="1332" w:type="dxa"/>
          </w:tcPr>
          <w:p w14:paraId="02450781" w14:textId="77777777" w:rsidR="002D5756" w:rsidRPr="006A64EE" w:rsidRDefault="009C2544" w:rsidP="004255F8">
            <w:pPr>
              <w:pStyle w:val="TableParagraph"/>
              <w:widowControl/>
              <w:suppressAutoHyphens/>
              <w:rPr>
                <w:sz w:val="20"/>
                <w:szCs w:val="20"/>
              </w:rPr>
            </w:pPr>
            <w:r w:rsidRPr="006A64EE">
              <w:rPr>
                <w:sz w:val="20"/>
                <w:szCs w:val="20"/>
              </w:rPr>
              <w:t>sJIA</w:t>
            </w:r>
          </w:p>
        </w:tc>
        <w:tc>
          <w:tcPr>
            <w:tcW w:w="1339" w:type="dxa"/>
          </w:tcPr>
          <w:p w14:paraId="2D3DA027" w14:textId="77777777" w:rsidR="002D5756" w:rsidRPr="006A64EE" w:rsidRDefault="009C2544" w:rsidP="004255F8">
            <w:pPr>
              <w:pStyle w:val="TableParagraph"/>
              <w:widowControl/>
              <w:suppressAutoHyphens/>
              <w:rPr>
                <w:sz w:val="20"/>
                <w:szCs w:val="20"/>
              </w:rPr>
            </w:pPr>
            <w:r w:rsidRPr="006A64EE">
              <w:rPr>
                <w:sz w:val="20"/>
                <w:szCs w:val="20"/>
              </w:rPr>
              <w:t>pJIA</w:t>
            </w:r>
          </w:p>
        </w:tc>
      </w:tr>
    </w:tbl>
    <w:p w14:paraId="2C1E14D6" w14:textId="383FEC86" w:rsidR="00093A5E" w:rsidRPr="006A64EE" w:rsidRDefault="009C2544" w:rsidP="009B76B2">
      <w:pPr>
        <w:widowControl/>
        <w:ind w:left="284" w:hanging="284"/>
        <w:rPr>
          <w:sz w:val="18"/>
          <w:szCs w:val="18"/>
        </w:rPr>
      </w:pPr>
      <w:r w:rsidRPr="006A64EE">
        <w:rPr>
          <w:sz w:val="18"/>
          <w:szCs w:val="18"/>
        </w:rPr>
        <w:t>1</w:t>
      </w:r>
      <w:r w:rsidR="009B76B2" w:rsidRPr="006A64EE">
        <w:rPr>
          <w:sz w:val="18"/>
          <w:szCs w:val="18"/>
        </w:rPr>
        <w:tab/>
      </w:r>
      <w:r w:rsidRPr="006A64EE">
        <w:rPr>
          <w:sz w:val="18"/>
          <w:szCs w:val="18"/>
        </w:rPr>
        <w:t>Infusionsbedingte Reaktionen bei pJIA-Patienten beinhalteten unter anderem Kopfschmerzen, Übelkeit und Hypotonie</w:t>
      </w:r>
    </w:p>
    <w:p w14:paraId="685C6872" w14:textId="4A449190" w:rsidR="00093A5E" w:rsidRPr="006A64EE" w:rsidRDefault="009C2544" w:rsidP="009B76B2">
      <w:pPr>
        <w:widowControl/>
        <w:ind w:left="284" w:hanging="284"/>
        <w:rPr>
          <w:sz w:val="18"/>
          <w:szCs w:val="18"/>
        </w:rPr>
      </w:pPr>
      <w:r w:rsidRPr="006A64EE">
        <w:rPr>
          <w:sz w:val="18"/>
          <w:szCs w:val="18"/>
        </w:rPr>
        <w:t>2</w:t>
      </w:r>
      <w:r w:rsidR="009B76B2" w:rsidRPr="006A64EE">
        <w:rPr>
          <w:sz w:val="18"/>
          <w:szCs w:val="18"/>
        </w:rPr>
        <w:tab/>
      </w:r>
      <w:r w:rsidRPr="006A64EE">
        <w:rPr>
          <w:sz w:val="18"/>
          <w:szCs w:val="18"/>
        </w:rPr>
        <w:t>Infusionsbedingte Reaktionen bei sJIA-Patienten beinhalteten unter anderem Exanthem, Urtikaria, Diarrhoe, epigastrische Beschwerden, Arthralgie und Kopfschmerzen</w:t>
      </w:r>
    </w:p>
    <w:p w14:paraId="3C1FDD18" w14:textId="77777777" w:rsidR="00093A5E" w:rsidRPr="006A64EE" w:rsidRDefault="00093A5E" w:rsidP="004255F8">
      <w:pPr>
        <w:pStyle w:val="a3"/>
        <w:widowControl/>
      </w:pPr>
    </w:p>
    <w:p w14:paraId="7C6C4EB1" w14:textId="77777777" w:rsidR="00093A5E" w:rsidRPr="006A64EE" w:rsidRDefault="009C2544" w:rsidP="00AD15E0">
      <w:pPr>
        <w:keepNext/>
        <w:widowControl/>
        <w:rPr>
          <w:i/>
        </w:rPr>
      </w:pPr>
      <w:r w:rsidRPr="006A64EE">
        <w:rPr>
          <w:i/>
        </w:rPr>
        <w:t>Patienten mit pJIA</w:t>
      </w:r>
    </w:p>
    <w:p w14:paraId="2CDCEB2F" w14:textId="6439FC9E" w:rsidR="00093A5E" w:rsidRPr="006A64EE" w:rsidRDefault="009C2544" w:rsidP="004255F8">
      <w:pPr>
        <w:pStyle w:val="a3"/>
        <w:widowControl/>
      </w:pPr>
      <w:r w:rsidRPr="006A64EE">
        <w:t xml:space="preserve">Das Sicherheitsprofil von intravenös verabreichtem </w:t>
      </w:r>
      <w:r w:rsidR="00E33697">
        <w:t>Tocilizumab</w:t>
      </w:r>
      <w:r w:rsidR="00E33697" w:rsidRPr="006A64EE">
        <w:t xml:space="preserve"> </w:t>
      </w:r>
      <w:r w:rsidRPr="006A64EE">
        <w:t>bei der Behandlung der pJIA wurde bei 188 Patienten im Alter von 2 bis 17 Jahren untersucht. Die Patientenexposition lag insgesamt bei 184,4 Patientenjahren. Die Häufigkeit der Nebenwirkungen bei pJIA-Patienten kann Tabelle 3 entnommen werden. Die Nebenwirkungen waren bei Patienten mit pJIA vergleichbar mit denen, die bei Patienten mit RA und sJIA beobachtet wurden, siehe Abschnitt 4.8. Im Vergleich zu erwachsenen RA-Patienten traten Nasopharyngitis, Kopfschmerzen, Übelkeit und Verringerung der Anzahl an Neutrophilen bei pJIA-Patienten häufiger auf. Erhöhte Cholesterinwerte wurden bei pJIA-Patienten im Vergleich zu erwachsenen RA-Patienten seltener berichtet.</w:t>
      </w:r>
    </w:p>
    <w:p w14:paraId="323733CE" w14:textId="77777777" w:rsidR="00093A5E" w:rsidRPr="006A64EE" w:rsidRDefault="00093A5E" w:rsidP="004255F8">
      <w:pPr>
        <w:pStyle w:val="a3"/>
        <w:widowControl/>
      </w:pPr>
    </w:p>
    <w:p w14:paraId="30CFB31C" w14:textId="77777777" w:rsidR="00093A5E" w:rsidRPr="006A64EE" w:rsidRDefault="009C2544" w:rsidP="004255F8">
      <w:pPr>
        <w:widowControl/>
        <w:rPr>
          <w:i/>
        </w:rPr>
      </w:pPr>
      <w:r w:rsidRPr="006A64EE">
        <w:rPr>
          <w:i/>
        </w:rPr>
        <w:t>Infektionen</w:t>
      </w:r>
    </w:p>
    <w:p w14:paraId="2CF10668" w14:textId="5ACE9150" w:rsidR="00093A5E" w:rsidRPr="006A64EE" w:rsidRDefault="009C2544" w:rsidP="004255F8">
      <w:pPr>
        <w:pStyle w:val="a3"/>
        <w:widowControl/>
      </w:pPr>
      <w:r w:rsidRPr="006A64EE">
        <w:t>In der gesamten mit Tocilizumab behandelten Population (all-exposure population) betrug die Anzahl der Infektionen 163,7 pro 100 Patientenjahren. Die am häufigsten beobachteten Ereignisse waren Nasopharyngitis und Infektionen der oberen Atemwege. Die Anzahl schwerwiegender Infektionen lag bei Patienten mit einem Gewicht von &lt; 30 kg, die mit 10</w:t>
      </w:r>
      <w:r w:rsidR="002870CF">
        <w:t> </w:t>
      </w:r>
      <w:r w:rsidRPr="006A64EE">
        <w:t>mg/kg Tocilizumab behandelt wurden</w:t>
      </w:r>
      <w:r w:rsidR="009302FF" w:rsidRPr="006A64EE">
        <w:t xml:space="preserve"> </w:t>
      </w:r>
      <w:r w:rsidRPr="006A64EE">
        <w:t>(12,2 pro 100 Patientenjahren), numerisch höher als bei Patienten mit einem Gewicht von ≥ 30 kg, die mit 8</w:t>
      </w:r>
      <w:r w:rsidR="009574AF">
        <w:t> </w:t>
      </w:r>
      <w:r w:rsidRPr="006A64EE">
        <w:t>mg/kg Tocilizumab behandelt wurden (4,0 pro 100 Patientenjahren). Die Inzidenz von Infektionen, die zu Dosisunterbrechungen führten, lag ebenfalls bei Patienten mit einem Gewicht von</w:t>
      </w:r>
      <w:r w:rsidR="009302FF" w:rsidRPr="006A64EE">
        <w:t xml:space="preserve"> </w:t>
      </w:r>
      <w:r w:rsidRPr="006A64EE">
        <w:t>&lt; 30 kg, die mit 10</w:t>
      </w:r>
      <w:r w:rsidR="002870CF">
        <w:t> </w:t>
      </w:r>
      <w:r w:rsidRPr="006A64EE">
        <w:t>mg/kg Tocilizumab behandelt wurden (21,4 %), numerisch höher als bei Patienten</w:t>
      </w:r>
      <w:r w:rsidR="009302FF" w:rsidRPr="006A64EE">
        <w:t xml:space="preserve"> </w:t>
      </w:r>
      <w:r w:rsidRPr="006A64EE">
        <w:t>mit einem Gewicht von ≥ 30 kg, die mit 8</w:t>
      </w:r>
      <w:r w:rsidR="002870CF">
        <w:t> </w:t>
      </w:r>
      <w:r w:rsidRPr="006A64EE">
        <w:t>mg/kg Tocilizumab behandelt wurden (7,6 %).</w:t>
      </w:r>
    </w:p>
    <w:p w14:paraId="358F7BC1" w14:textId="77777777" w:rsidR="00093A5E" w:rsidRPr="006A64EE" w:rsidRDefault="00093A5E" w:rsidP="004255F8">
      <w:pPr>
        <w:pStyle w:val="a3"/>
        <w:widowControl/>
      </w:pPr>
    </w:p>
    <w:p w14:paraId="6B43BB22" w14:textId="77777777" w:rsidR="00093A5E" w:rsidRPr="006A64EE" w:rsidRDefault="009C2544" w:rsidP="004255F8">
      <w:pPr>
        <w:widowControl/>
        <w:rPr>
          <w:i/>
        </w:rPr>
      </w:pPr>
      <w:r w:rsidRPr="006A64EE">
        <w:rPr>
          <w:i/>
        </w:rPr>
        <w:t>Infusionsbedingte Reaktionen</w:t>
      </w:r>
    </w:p>
    <w:p w14:paraId="5A62B3B8" w14:textId="77777777" w:rsidR="00093A5E" w:rsidRPr="006A64EE" w:rsidRDefault="009C2544" w:rsidP="004255F8">
      <w:pPr>
        <w:pStyle w:val="a3"/>
        <w:widowControl/>
      </w:pPr>
      <w:r w:rsidRPr="006A64EE">
        <w:t>Bei Patienten mit pJIA werden infusionsbedingte Reaktionen definiert als Ereignisse, die während oder innerhalb von 24 Stunden nach einer Infusion auftreten. In der gesamten mit Tocilizumab behandelten Population traten bei 11 Patienten (5,9 %) infusionsbedingte Reaktionen während der</w:t>
      </w:r>
      <w:r w:rsidR="009302FF" w:rsidRPr="006A64EE">
        <w:t xml:space="preserve"> </w:t>
      </w:r>
      <w:r w:rsidRPr="006A64EE">
        <w:t>Infusion und bei 38 Patienten (20,2 %) innerhalb von 24 Stunden nach der Infusion auf. Die häufigsten Ereignisse, die während der Infusion auftraten, waren Kopfschmerzen, Übelkeit und Hypotonie und diejenigen, die innerhalb von 24 Stunden nach der Infusion auftraten, waren Schwindel und Hypotonie. Im Allgemeinen waren die Nebenwirkungen, die während oder innerhalb von 24 Stunden nach einer Infusion auftraten, vergleichbar zu den bei RA- oder sJIA-Patienten beobachteten, siehe Abschnitt 4.8.</w:t>
      </w:r>
    </w:p>
    <w:p w14:paraId="1795837F" w14:textId="77777777" w:rsidR="00093A5E" w:rsidRPr="006A64EE" w:rsidRDefault="00093A5E" w:rsidP="004255F8">
      <w:pPr>
        <w:pStyle w:val="a3"/>
        <w:widowControl/>
      </w:pPr>
    </w:p>
    <w:p w14:paraId="4F2EDB35" w14:textId="77777777" w:rsidR="00093A5E" w:rsidRPr="006A64EE" w:rsidRDefault="009C2544" w:rsidP="004255F8">
      <w:pPr>
        <w:pStyle w:val="a3"/>
        <w:widowControl/>
      </w:pPr>
      <w:r w:rsidRPr="006A64EE">
        <w:t>Es wurden keine klinisch signifikanten Überempfindlichkeitsreaktionen, die mit Tocilizumab verbunden waren und eine Unterbrechung der Behandlung erforderlich machten, beobachtet.</w:t>
      </w:r>
    </w:p>
    <w:p w14:paraId="5A0C94D3" w14:textId="77777777" w:rsidR="00093A5E" w:rsidRPr="006A64EE" w:rsidRDefault="00093A5E" w:rsidP="004255F8">
      <w:pPr>
        <w:pStyle w:val="a3"/>
        <w:widowControl/>
      </w:pPr>
    </w:p>
    <w:p w14:paraId="7DF936E8" w14:textId="77777777" w:rsidR="00093A5E" w:rsidRPr="006A64EE" w:rsidRDefault="009C2544" w:rsidP="004255F8">
      <w:pPr>
        <w:widowControl/>
        <w:rPr>
          <w:i/>
        </w:rPr>
      </w:pPr>
      <w:r w:rsidRPr="006A64EE">
        <w:rPr>
          <w:i/>
        </w:rPr>
        <w:t>Neutrophile Granulozyten</w:t>
      </w:r>
    </w:p>
    <w:p w14:paraId="41858785" w14:textId="77777777" w:rsidR="00093A5E" w:rsidRPr="006A64EE" w:rsidRDefault="009C2544" w:rsidP="004255F8">
      <w:pPr>
        <w:pStyle w:val="a3"/>
        <w:widowControl/>
      </w:pPr>
      <w:r w:rsidRPr="006A64EE">
        <w:t>Während routinemäßiger Laboruntersuchungen wurde in der mit Tocilizumab behandelten Population bei 3,7 % der Patienten eine Verringerung der neutrophilen Granulozyten auf unter 1 x 10</w:t>
      </w:r>
      <w:r w:rsidRPr="006A64EE">
        <w:rPr>
          <w:vertAlign w:val="superscript"/>
        </w:rPr>
        <w:t>9</w:t>
      </w:r>
      <w:r w:rsidRPr="006A64EE">
        <w:t>/l beobachtet.</w:t>
      </w:r>
    </w:p>
    <w:p w14:paraId="3AACC9CA" w14:textId="77777777" w:rsidR="00093A5E" w:rsidRPr="006A64EE" w:rsidRDefault="00093A5E" w:rsidP="004255F8">
      <w:pPr>
        <w:pStyle w:val="a3"/>
        <w:widowControl/>
      </w:pPr>
    </w:p>
    <w:p w14:paraId="79E12AF2" w14:textId="77777777" w:rsidR="00093A5E" w:rsidRPr="006A64EE" w:rsidRDefault="009C2544" w:rsidP="004255F8">
      <w:pPr>
        <w:widowControl/>
        <w:rPr>
          <w:i/>
        </w:rPr>
      </w:pPr>
      <w:r w:rsidRPr="006A64EE">
        <w:rPr>
          <w:i/>
        </w:rPr>
        <w:t>Thrombozyten</w:t>
      </w:r>
    </w:p>
    <w:p w14:paraId="0CD8A14F" w14:textId="77777777" w:rsidR="00093A5E" w:rsidRPr="006A64EE" w:rsidRDefault="009C2544" w:rsidP="004255F8">
      <w:pPr>
        <w:pStyle w:val="a3"/>
        <w:widowControl/>
      </w:pPr>
      <w:r w:rsidRPr="006A64EE">
        <w:t>Während routinemäßiger Laboruntersuchungen sank in der mit Tocilizumab behandelten Population bei 1 % der Patienten die Thrombozytenzahl auf ≤ 50 x 10</w:t>
      </w:r>
      <w:r w:rsidRPr="006A64EE">
        <w:rPr>
          <w:vertAlign w:val="superscript"/>
        </w:rPr>
        <w:t>3</w:t>
      </w:r>
      <w:r w:rsidRPr="006A64EE">
        <w:t>/µl, ohne dass damit in Zusammenhang stehende Blutungen auftraten.</w:t>
      </w:r>
    </w:p>
    <w:p w14:paraId="6DB10599" w14:textId="77777777" w:rsidR="00093A5E" w:rsidRPr="006A64EE" w:rsidRDefault="00093A5E" w:rsidP="004255F8">
      <w:pPr>
        <w:pStyle w:val="a3"/>
        <w:widowControl/>
      </w:pPr>
    </w:p>
    <w:p w14:paraId="57EBB893" w14:textId="77777777" w:rsidR="00093A5E" w:rsidRPr="006A64EE" w:rsidRDefault="009C2544" w:rsidP="004255F8">
      <w:pPr>
        <w:widowControl/>
        <w:rPr>
          <w:i/>
        </w:rPr>
      </w:pPr>
      <w:r w:rsidRPr="006A64EE">
        <w:rPr>
          <w:i/>
        </w:rPr>
        <w:t>Erhöhung der Lebertransaminasen</w:t>
      </w:r>
    </w:p>
    <w:p w14:paraId="7EF30493" w14:textId="77777777" w:rsidR="00093A5E" w:rsidRPr="006A64EE" w:rsidRDefault="009C2544" w:rsidP="004255F8">
      <w:pPr>
        <w:pStyle w:val="a3"/>
        <w:widowControl/>
      </w:pPr>
      <w:r w:rsidRPr="006A64EE">
        <w:t>Während routinemäßiger Laboruntersuchungen traten in der mit Tocilizumab behandelten Population bei 3,7 % der Patienten Erhöhungen der ALAT auf ≥ 3 x ULN und bei &lt; 1 % der Patienten Erhöhungen der ASAT auf ≥ 3 x ULN auf.</w:t>
      </w:r>
    </w:p>
    <w:p w14:paraId="4C0378D5" w14:textId="77777777" w:rsidR="00093A5E" w:rsidRPr="006A64EE" w:rsidRDefault="00093A5E" w:rsidP="004255F8">
      <w:pPr>
        <w:pStyle w:val="a3"/>
        <w:widowControl/>
      </w:pPr>
    </w:p>
    <w:p w14:paraId="664F7A5C" w14:textId="77777777" w:rsidR="00093A5E" w:rsidRPr="006A64EE" w:rsidRDefault="009C2544" w:rsidP="004255F8">
      <w:pPr>
        <w:widowControl/>
        <w:rPr>
          <w:i/>
        </w:rPr>
      </w:pPr>
      <w:r w:rsidRPr="006A64EE">
        <w:rPr>
          <w:i/>
        </w:rPr>
        <w:t>Lipidwerte</w:t>
      </w:r>
    </w:p>
    <w:p w14:paraId="702114FE" w14:textId="56C409F0" w:rsidR="00093A5E" w:rsidRPr="006A64EE" w:rsidRDefault="009C2544" w:rsidP="004255F8">
      <w:pPr>
        <w:pStyle w:val="a3"/>
        <w:widowControl/>
      </w:pPr>
      <w:r w:rsidRPr="006A64EE">
        <w:t xml:space="preserve">Während routinemäßiger Laboruntersuchungen in Studie WA19977 mit intravenös verabreichtem </w:t>
      </w:r>
      <w:r w:rsidR="00417CE2">
        <w:t>Tocilizumab</w:t>
      </w:r>
      <w:r w:rsidR="00417CE2" w:rsidRPr="006A64EE">
        <w:t xml:space="preserve"> </w:t>
      </w:r>
      <w:r w:rsidRPr="006A64EE">
        <w:t>trat nach Baseline bei 3,4 % der Patienten eine Erhöhung des LDL-Cholesterinwertes auf</w:t>
      </w:r>
      <w:r w:rsidR="00F66A30" w:rsidRPr="006A64EE">
        <w:t xml:space="preserve"> </w:t>
      </w:r>
      <w:r w:rsidRPr="006A64EE">
        <w:t>≥</w:t>
      </w:r>
      <w:r w:rsidR="002870CF">
        <w:t> </w:t>
      </w:r>
      <w:r w:rsidRPr="006A64EE">
        <w:t>130</w:t>
      </w:r>
      <w:r w:rsidR="002870CF">
        <w:t> </w:t>
      </w:r>
      <w:r w:rsidRPr="006A64EE">
        <w:t>mg/dl und bei 10,4 % der Patienten eine Erhöhung des Gesamtcholesterinwertes auf</w:t>
      </w:r>
      <w:r w:rsidR="00F66A30" w:rsidRPr="006A64EE">
        <w:t xml:space="preserve"> </w:t>
      </w:r>
      <w:r w:rsidRPr="006A64EE">
        <w:t>≥</w:t>
      </w:r>
      <w:r w:rsidR="009574AF">
        <w:t> </w:t>
      </w:r>
      <w:r w:rsidRPr="006A64EE">
        <w:t>200</w:t>
      </w:r>
      <w:r w:rsidR="00E96F6A">
        <w:t> </w:t>
      </w:r>
      <w:r w:rsidRPr="006A64EE">
        <w:t>mg/dl auf, jeweils zu jedem Zeitpunkt der Studienbehandlung.</w:t>
      </w:r>
    </w:p>
    <w:p w14:paraId="402F3AB3" w14:textId="77777777" w:rsidR="00093A5E" w:rsidRPr="006A64EE" w:rsidRDefault="00093A5E" w:rsidP="004255F8">
      <w:pPr>
        <w:pStyle w:val="a3"/>
        <w:widowControl/>
      </w:pPr>
    </w:p>
    <w:p w14:paraId="66C68825" w14:textId="77777777" w:rsidR="00093A5E" w:rsidRPr="006A64EE" w:rsidRDefault="009C2544" w:rsidP="004255F8">
      <w:pPr>
        <w:widowControl/>
        <w:rPr>
          <w:i/>
        </w:rPr>
      </w:pPr>
      <w:r w:rsidRPr="006A64EE">
        <w:rPr>
          <w:i/>
        </w:rPr>
        <w:t>Patienten mit sJIA</w:t>
      </w:r>
    </w:p>
    <w:p w14:paraId="6966054F" w14:textId="50568E90" w:rsidR="00093A5E" w:rsidRPr="006A64EE" w:rsidRDefault="009C2544" w:rsidP="004255F8">
      <w:pPr>
        <w:pStyle w:val="a3"/>
        <w:widowControl/>
      </w:pPr>
      <w:r w:rsidRPr="006A64EE">
        <w:t xml:space="preserve">Das Sicherheitsprofil von intravenös verabreichtem </w:t>
      </w:r>
      <w:r w:rsidR="00417CE2">
        <w:t>Tocilizumab</w:t>
      </w:r>
      <w:r w:rsidR="00417CE2" w:rsidRPr="006A64EE">
        <w:t xml:space="preserve"> </w:t>
      </w:r>
      <w:r w:rsidRPr="006A64EE">
        <w:t xml:space="preserve">bei der Behandlung der sJIA wurde bei 112 Patienten im Alter von 2 bis 17 Jahren untersucht. In der 12-wöchigen, doppelblinden, kontrollierten Phase erhielten 75 Patienten eine Behandlung mit </w:t>
      </w:r>
      <w:r w:rsidR="00417CE2">
        <w:t>Tocilizumab</w:t>
      </w:r>
      <w:r w:rsidR="00417CE2" w:rsidRPr="006A64EE">
        <w:t xml:space="preserve"> </w:t>
      </w:r>
      <w:r w:rsidRPr="006A64EE">
        <w:t>(8</w:t>
      </w:r>
      <w:r w:rsidR="002870CF">
        <w:t> </w:t>
      </w:r>
      <w:r w:rsidRPr="006A64EE">
        <w:t>mg/kg oder 12</w:t>
      </w:r>
      <w:r w:rsidR="002870CF">
        <w:t> </w:t>
      </w:r>
      <w:r w:rsidRPr="006A64EE">
        <w:t>mg/kg, je nach Körpergewicht). Nach 12 Wochen oder zum Zeitpunkt der Umstellung auf Tocilizumab, die aufgrund einer Verschlimmerung der Erkrankung notwendig war, wurden Patienten in der offenen Verlängerungsphase behandelt.</w:t>
      </w:r>
    </w:p>
    <w:p w14:paraId="09E6854A" w14:textId="77777777" w:rsidR="00093A5E" w:rsidRPr="006A64EE" w:rsidRDefault="00093A5E" w:rsidP="004255F8">
      <w:pPr>
        <w:pStyle w:val="a3"/>
        <w:widowControl/>
      </w:pPr>
    </w:p>
    <w:p w14:paraId="2B29D2C3" w14:textId="77777777" w:rsidR="00093A5E" w:rsidRPr="006A64EE" w:rsidRDefault="009C2544" w:rsidP="004255F8">
      <w:pPr>
        <w:pStyle w:val="a3"/>
        <w:widowControl/>
      </w:pPr>
      <w:r w:rsidRPr="006A64EE">
        <w:t>Im Allgemeinen waren die Nebenwirkungen bei Patienten mit sJIA vergleichbar mit denen, die bei Patienten mit RA beobachtet wurden, siehe Abschnitt 4.8. Die Häufigkeit der Nebenwirkungen bei Patienten mit sJIA kann Tabelle 3 entnommen werden. Im Vergleich zu erwachsenen Patienten mit RA traten Nasopharyngitis, Verringerung der Anzahl neutrophiler Granulozyten, Erhöhung der Lebertransaminasen und Diarrhoe bei Patienten mit sJIA häufiger auf. Erhöhte Cholesterinwerte wurden bei Patienten mit sJIA im Vergleich zu erwachsenen Patienten mit RA seltener berichtet.</w:t>
      </w:r>
    </w:p>
    <w:p w14:paraId="7E873D81" w14:textId="77777777" w:rsidR="00093A5E" w:rsidRPr="006A64EE" w:rsidRDefault="00093A5E" w:rsidP="004255F8">
      <w:pPr>
        <w:pStyle w:val="a3"/>
        <w:widowControl/>
      </w:pPr>
    </w:p>
    <w:p w14:paraId="76EEB51F" w14:textId="77777777" w:rsidR="00093A5E" w:rsidRPr="006A64EE" w:rsidRDefault="009C2544" w:rsidP="004255F8">
      <w:pPr>
        <w:widowControl/>
        <w:rPr>
          <w:i/>
        </w:rPr>
      </w:pPr>
      <w:r w:rsidRPr="006A64EE">
        <w:rPr>
          <w:i/>
        </w:rPr>
        <w:t>Infektionen</w:t>
      </w:r>
    </w:p>
    <w:p w14:paraId="370FD52F" w14:textId="2274D68F" w:rsidR="00093A5E" w:rsidRPr="006A64EE" w:rsidRDefault="009C2544" w:rsidP="004255F8">
      <w:pPr>
        <w:pStyle w:val="a3"/>
        <w:widowControl/>
      </w:pPr>
      <w:r w:rsidRPr="006A64EE">
        <w:t xml:space="preserve">In der 12-wöchigen kontrollierten Phase lag die Anzahl aller Infektionen in der Gruppe mit intravenös verabreichtem </w:t>
      </w:r>
      <w:r w:rsidR="00417CE2">
        <w:t>Tocilizumab</w:t>
      </w:r>
      <w:r w:rsidR="00417CE2" w:rsidRPr="006A64EE">
        <w:t xml:space="preserve"> </w:t>
      </w:r>
      <w:r w:rsidRPr="006A64EE">
        <w:t>bei 344,7 pro 100 Patientenjahren und bei 287,0 pro 100 Patientenjahren in der Placebo-Gruppe. In der laufenden offenen Verlängerungsphase (Teil II), blieb die Gesamtrate der Infektionen vergleichbar bei 306,6 pro 100 Patientenjahren.</w:t>
      </w:r>
    </w:p>
    <w:p w14:paraId="75723128" w14:textId="77777777" w:rsidR="00093A5E" w:rsidRPr="006A64EE" w:rsidRDefault="00093A5E" w:rsidP="004255F8">
      <w:pPr>
        <w:pStyle w:val="a3"/>
        <w:widowControl/>
      </w:pPr>
    </w:p>
    <w:p w14:paraId="53909FF6" w14:textId="7757FDEB" w:rsidR="00093A5E" w:rsidRPr="006A64EE" w:rsidRDefault="009C2544" w:rsidP="004255F8">
      <w:pPr>
        <w:pStyle w:val="a3"/>
        <w:widowControl/>
      </w:pPr>
      <w:r w:rsidRPr="006A64EE">
        <w:t xml:space="preserve">In der 12-wöchigen kontrollierten Phase lag die Anzahl der schwerwiegenden Infektionen in der </w:t>
      </w:r>
      <w:r w:rsidR="00417CE2">
        <w:t>Tocilizumab-</w:t>
      </w:r>
      <w:r w:rsidRPr="006A64EE">
        <w:t>Gruppe bei 11,5 pro 100 Patientenjahren. In der offenen Verlängerungsphase blieb die Gesamtrate schwerwiegender Infektionen nach einem Jahr stabil bei 11,3 pro 100 Patientenjahren. Die berichteten schwerwiegenden Infektionen waren vergleichbar mit den bei Patienten mit RA beobachteten, aber zusätzlich traten noch Windpocken und Otitis media auf.</w:t>
      </w:r>
    </w:p>
    <w:p w14:paraId="6E5580DF" w14:textId="77777777" w:rsidR="00093A5E" w:rsidRPr="006A64EE" w:rsidRDefault="00093A5E" w:rsidP="004255F8">
      <w:pPr>
        <w:pStyle w:val="a3"/>
        <w:widowControl/>
      </w:pPr>
    </w:p>
    <w:p w14:paraId="1F3071D5" w14:textId="77777777" w:rsidR="00093A5E" w:rsidRPr="006A64EE" w:rsidRDefault="009C2544" w:rsidP="004255F8">
      <w:pPr>
        <w:widowControl/>
        <w:rPr>
          <w:i/>
        </w:rPr>
      </w:pPr>
      <w:r w:rsidRPr="006A64EE">
        <w:rPr>
          <w:i/>
        </w:rPr>
        <w:t>Infusionsbedingte Reaktionen</w:t>
      </w:r>
    </w:p>
    <w:p w14:paraId="6FD7AC89" w14:textId="23A806C7" w:rsidR="00093A5E" w:rsidRPr="006A64EE" w:rsidRDefault="009C2544" w:rsidP="00AD15E0">
      <w:pPr>
        <w:pStyle w:val="a3"/>
        <w:widowControl/>
      </w:pPr>
      <w:r w:rsidRPr="006A64EE">
        <w:t>Infusionsbedingte Reaktionen werden definiert als Ereignisse, die während oder innerhalb von</w:t>
      </w:r>
      <w:r w:rsidR="00AD15E0">
        <w:t xml:space="preserve"> </w:t>
      </w:r>
      <w:r w:rsidRPr="006A64EE">
        <w:t>24</w:t>
      </w:r>
      <w:r w:rsidR="004D07A5">
        <w:t> </w:t>
      </w:r>
      <w:r w:rsidRPr="006A64EE">
        <w:t>Stunden nach einer Infusion auftreten. In der 12-wöchigen kontrollierten Phase traten bei 4 % der Patienten aus der Tocilizumab-Gruppe während der Infusion Ereignisse auf. Ein Ereignis (Angioödem) wurde als schwerwiegend und lebensbedrohlich eingestuft und der Patient wurde von der Behandlung in der Studie ausgeschlossen.</w:t>
      </w:r>
    </w:p>
    <w:p w14:paraId="4002EFE4" w14:textId="77777777" w:rsidR="00093A5E" w:rsidRPr="006A64EE" w:rsidRDefault="00093A5E" w:rsidP="004255F8">
      <w:pPr>
        <w:pStyle w:val="a3"/>
        <w:widowControl/>
      </w:pPr>
    </w:p>
    <w:p w14:paraId="3434858D" w14:textId="77777777" w:rsidR="00093A5E" w:rsidRPr="006A64EE" w:rsidRDefault="009C2544" w:rsidP="004255F8">
      <w:pPr>
        <w:pStyle w:val="a3"/>
        <w:widowControl/>
      </w:pPr>
      <w:r w:rsidRPr="006A64EE">
        <w:t>In der 12-wöchigen kontrollierten Phase kam es bei 16 % der Patienten in der Tocilizumab-Gruppe und 5,4 % der Patienten in der Placebo-Gruppe innerhalb von 24 Stunden nach einer Infusion zu einem Ereignis. In der Tocilizumab-Gruppe traten unter anderem Ereignisse wie Exanthem, Urtikaria, Diarrhoe, epigastrische Beschwerden, Arthralgie und Kopfschmerzen auf. Eines dieser Ereignisse, die Urtikaria, wurde als schwerwiegend eingestuft.</w:t>
      </w:r>
    </w:p>
    <w:p w14:paraId="5DF44B03" w14:textId="77777777" w:rsidR="00093A5E" w:rsidRPr="006A64EE" w:rsidRDefault="00093A5E" w:rsidP="004255F8">
      <w:pPr>
        <w:pStyle w:val="a3"/>
        <w:widowControl/>
      </w:pPr>
    </w:p>
    <w:p w14:paraId="7EE24AF7" w14:textId="77777777" w:rsidR="00093A5E" w:rsidRPr="006A64EE" w:rsidRDefault="009C2544" w:rsidP="004255F8">
      <w:pPr>
        <w:pStyle w:val="a3"/>
        <w:widowControl/>
      </w:pPr>
      <w:r w:rsidRPr="006A64EE">
        <w:t>Klinisch signifikante Überempfindlichkeitsreaktionen, die mit Tocilizumab verbunden waren und eine Unterbrechung der Behandlung erforderlich machten, wurden bei 1 von 112 Patienten (&lt; 1 %) beobachtet, die während der kontrollierten und bis zur und während der offenen klinischen Studie mit Tocilizumab behandelt wurden.</w:t>
      </w:r>
    </w:p>
    <w:p w14:paraId="00618378" w14:textId="77777777" w:rsidR="00093A5E" w:rsidRPr="006A64EE" w:rsidRDefault="00093A5E" w:rsidP="004255F8">
      <w:pPr>
        <w:pStyle w:val="a3"/>
        <w:widowControl/>
      </w:pPr>
    </w:p>
    <w:p w14:paraId="082B8C99" w14:textId="77777777" w:rsidR="00093A5E" w:rsidRPr="006A64EE" w:rsidRDefault="009C2544" w:rsidP="004255F8">
      <w:pPr>
        <w:widowControl/>
        <w:jc w:val="both"/>
        <w:rPr>
          <w:i/>
        </w:rPr>
      </w:pPr>
      <w:r w:rsidRPr="006A64EE">
        <w:rPr>
          <w:i/>
        </w:rPr>
        <w:t>Neutrophile Granulozyten</w:t>
      </w:r>
    </w:p>
    <w:p w14:paraId="470BA7C2" w14:textId="77777777" w:rsidR="00093A5E" w:rsidRPr="006A64EE" w:rsidRDefault="009C2544" w:rsidP="004255F8">
      <w:pPr>
        <w:pStyle w:val="a3"/>
        <w:widowControl/>
        <w:jc w:val="both"/>
      </w:pPr>
      <w:r w:rsidRPr="006A64EE">
        <w:t>Während routinemäßiger Laboruntersuchungen sank in der 12-wöchigen kontrollierten Phase bei 7 % der Patienten in der Tocilizumab-Gruppe die Anzahl neutrophiler Granulozyten auf unter 1 x 10</w:t>
      </w:r>
      <w:r w:rsidRPr="006A64EE">
        <w:rPr>
          <w:vertAlign w:val="superscript"/>
        </w:rPr>
        <w:t>9</w:t>
      </w:r>
      <w:r w:rsidRPr="006A64EE">
        <w:t>/l. In der Placebo-Gruppe sank die Anzahl nicht.</w:t>
      </w:r>
    </w:p>
    <w:p w14:paraId="252F8D21" w14:textId="77777777" w:rsidR="00093A5E" w:rsidRPr="006A64EE" w:rsidRDefault="00093A5E" w:rsidP="004255F8">
      <w:pPr>
        <w:pStyle w:val="a3"/>
        <w:widowControl/>
      </w:pPr>
    </w:p>
    <w:p w14:paraId="0FEFE758" w14:textId="77777777" w:rsidR="00093A5E" w:rsidRPr="006A64EE" w:rsidRDefault="009C2544" w:rsidP="004255F8">
      <w:pPr>
        <w:pStyle w:val="a3"/>
        <w:widowControl/>
        <w:jc w:val="both"/>
      </w:pPr>
      <w:r w:rsidRPr="006A64EE">
        <w:t>In der offenen Verlängerungsphase kam es bei 15 % der Patienten in der Tocilizumab-Gruppe zu einer Verringerung der Anzahl neutrophiler Granulozyten auf unter 1 x 10</w:t>
      </w:r>
      <w:r w:rsidRPr="006A64EE">
        <w:rPr>
          <w:vertAlign w:val="superscript"/>
        </w:rPr>
        <w:t>9</w:t>
      </w:r>
      <w:r w:rsidRPr="006A64EE">
        <w:t>/l.</w:t>
      </w:r>
    </w:p>
    <w:p w14:paraId="018ADC9C" w14:textId="77777777" w:rsidR="00093A5E" w:rsidRPr="006A64EE" w:rsidRDefault="00093A5E" w:rsidP="004255F8">
      <w:pPr>
        <w:pStyle w:val="a3"/>
        <w:widowControl/>
        <w:jc w:val="both"/>
      </w:pPr>
    </w:p>
    <w:p w14:paraId="3144FBB8" w14:textId="77777777" w:rsidR="00093A5E" w:rsidRPr="006A64EE" w:rsidRDefault="009C2544" w:rsidP="00B320E1">
      <w:pPr>
        <w:keepNext/>
        <w:widowControl/>
        <w:rPr>
          <w:i/>
        </w:rPr>
      </w:pPr>
      <w:r w:rsidRPr="006A64EE">
        <w:rPr>
          <w:i/>
        </w:rPr>
        <w:lastRenderedPageBreak/>
        <w:t>Thrombozyten</w:t>
      </w:r>
    </w:p>
    <w:p w14:paraId="596D84B8" w14:textId="77777777" w:rsidR="00093A5E" w:rsidRPr="006A64EE" w:rsidRDefault="009C2544" w:rsidP="004255F8">
      <w:pPr>
        <w:pStyle w:val="a3"/>
        <w:widowControl/>
      </w:pPr>
      <w:r w:rsidRPr="006A64EE">
        <w:t>Während routinemäßiger Laboruntersuchungen sank in der 12-wöchigen kontrollierten Phase bei 3 % der Patienten in der Placebo-Gruppe und bei 1 % der Patienten in der Tocilizumab-Gruppe die Thrombozytenzahl auf ≤ 100 x 10</w:t>
      </w:r>
      <w:r w:rsidRPr="006A64EE">
        <w:rPr>
          <w:vertAlign w:val="superscript"/>
        </w:rPr>
        <w:t>3</w:t>
      </w:r>
      <w:r w:rsidRPr="006A64EE">
        <w:t>/µl.</w:t>
      </w:r>
    </w:p>
    <w:p w14:paraId="59897B22" w14:textId="77777777" w:rsidR="00093A5E" w:rsidRPr="006A64EE" w:rsidRDefault="00093A5E" w:rsidP="004255F8">
      <w:pPr>
        <w:pStyle w:val="a3"/>
        <w:widowControl/>
      </w:pPr>
    </w:p>
    <w:p w14:paraId="2BBBACAF" w14:textId="77777777" w:rsidR="00093A5E" w:rsidRPr="006A64EE" w:rsidRDefault="009C2544" w:rsidP="004255F8">
      <w:pPr>
        <w:pStyle w:val="a3"/>
        <w:widowControl/>
      </w:pPr>
      <w:r w:rsidRPr="006A64EE">
        <w:t>In der offenen Verlängerungsphase kam es bei 3 % der Patienten in der Tocilizumab-Gruppe zu einer Verringerung der Thrombozytenzahl auf unter 100 x 10</w:t>
      </w:r>
      <w:r w:rsidRPr="006A64EE">
        <w:rPr>
          <w:vertAlign w:val="superscript"/>
        </w:rPr>
        <w:t>3</w:t>
      </w:r>
      <w:r w:rsidRPr="006A64EE">
        <w:t>/µl, ohne dass damit in Zusammenhang stehende Blutungen auftraten.</w:t>
      </w:r>
    </w:p>
    <w:p w14:paraId="59DC6E98" w14:textId="77777777" w:rsidR="00093A5E" w:rsidRPr="006A64EE" w:rsidRDefault="00093A5E" w:rsidP="004255F8">
      <w:pPr>
        <w:pStyle w:val="a3"/>
        <w:widowControl/>
      </w:pPr>
    </w:p>
    <w:p w14:paraId="1F7F3CFE" w14:textId="77777777" w:rsidR="00093A5E" w:rsidRPr="006A64EE" w:rsidRDefault="009C2544" w:rsidP="004255F8">
      <w:pPr>
        <w:keepNext/>
        <w:widowControl/>
        <w:rPr>
          <w:i/>
        </w:rPr>
      </w:pPr>
      <w:r w:rsidRPr="006A64EE">
        <w:rPr>
          <w:i/>
        </w:rPr>
        <w:t>Erhöhung der Lebertransaminasen</w:t>
      </w:r>
    </w:p>
    <w:p w14:paraId="762B6E7C" w14:textId="77777777" w:rsidR="00093A5E" w:rsidRPr="006A64EE" w:rsidRDefault="009C2544" w:rsidP="004255F8">
      <w:pPr>
        <w:pStyle w:val="a3"/>
        <w:keepNext/>
        <w:widowControl/>
      </w:pPr>
      <w:r w:rsidRPr="006A64EE">
        <w:t>Während routinemäßiger Laboruntersuchungen traten in der 12-wöchigen kontrollierten Phase bei 5 % der Patienten in der Tocilizumab-Gruppe Erhöhungen der ALAT und bei 3 % der Patienten Erhöhungen der ASAT auf ≥ 3 x ULN auf. In der Placebo-Gruppe kam es zu keiner Erhöhung.</w:t>
      </w:r>
    </w:p>
    <w:p w14:paraId="7B3A8327" w14:textId="77777777" w:rsidR="00093A5E" w:rsidRPr="006A64EE" w:rsidRDefault="00093A5E" w:rsidP="004255F8">
      <w:pPr>
        <w:pStyle w:val="a3"/>
        <w:widowControl/>
      </w:pPr>
    </w:p>
    <w:p w14:paraId="6EA855E0" w14:textId="77777777" w:rsidR="00093A5E" w:rsidRPr="006A64EE" w:rsidRDefault="009C2544" w:rsidP="004255F8">
      <w:pPr>
        <w:pStyle w:val="a3"/>
        <w:widowControl/>
        <w:jc w:val="both"/>
      </w:pPr>
      <w:r w:rsidRPr="006A64EE">
        <w:t>In der offenen Verlängerungsphase kam es bei 12 % der Patienten in der Tocilizumab-Gruppe zu einer Erhöhung der ALAT und bei 4 % zu einer Erhöhung der ASAT auf ≥ 3 x ULN.</w:t>
      </w:r>
    </w:p>
    <w:p w14:paraId="4AF367B6" w14:textId="77777777" w:rsidR="00093A5E" w:rsidRPr="006A64EE" w:rsidRDefault="00093A5E" w:rsidP="004255F8">
      <w:pPr>
        <w:widowControl/>
        <w:jc w:val="both"/>
      </w:pPr>
    </w:p>
    <w:p w14:paraId="55208CAC" w14:textId="77777777" w:rsidR="00093A5E" w:rsidRPr="006A64EE" w:rsidRDefault="007D680A" w:rsidP="004255F8">
      <w:pPr>
        <w:widowControl/>
        <w:jc w:val="both"/>
      </w:pPr>
      <w:r w:rsidRPr="006A64EE">
        <w:rPr>
          <w:i/>
        </w:rPr>
        <w:t>Immunglobulin G</w:t>
      </w:r>
    </w:p>
    <w:p w14:paraId="0632C92C" w14:textId="77777777" w:rsidR="00093A5E" w:rsidRPr="006A64EE" w:rsidRDefault="009C2544" w:rsidP="004255F8">
      <w:pPr>
        <w:pStyle w:val="a3"/>
        <w:widowControl/>
      </w:pPr>
      <w:r w:rsidRPr="006A64EE">
        <w:t>Die IgG-Spiegel fallen während der Behandlung ab. Bei 15 Patienten kam es zu einem gewissen Zeitpunkt während der Studie zu einem Rückgang auf den unteren Normalwert.</w:t>
      </w:r>
    </w:p>
    <w:p w14:paraId="655C551B" w14:textId="77777777" w:rsidR="00093A5E" w:rsidRPr="006A64EE" w:rsidRDefault="00093A5E" w:rsidP="004255F8">
      <w:pPr>
        <w:pStyle w:val="a3"/>
        <w:widowControl/>
      </w:pPr>
    </w:p>
    <w:p w14:paraId="1DCE7CBF" w14:textId="77777777" w:rsidR="00093A5E" w:rsidRPr="006A64EE" w:rsidRDefault="009C2544" w:rsidP="004255F8">
      <w:pPr>
        <w:widowControl/>
        <w:rPr>
          <w:i/>
        </w:rPr>
      </w:pPr>
      <w:r w:rsidRPr="006A64EE">
        <w:rPr>
          <w:i/>
        </w:rPr>
        <w:t>Lipidwerte</w:t>
      </w:r>
    </w:p>
    <w:p w14:paraId="79C5A1E9" w14:textId="4F8A14AB" w:rsidR="00093A5E" w:rsidRPr="006A64EE" w:rsidRDefault="009C2544" w:rsidP="004255F8">
      <w:pPr>
        <w:pStyle w:val="a3"/>
        <w:widowControl/>
      </w:pPr>
      <w:r w:rsidRPr="006A64EE">
        <w:t>Während routinemäßiger Laboruntersuchungen trat in der 12-wöchigen kontrollierten Phase (Studie WA18221) nach Baseline bei 13,4 % der Patienten eine Erhöhung des LDL-Cholesterinwertes auf</w:t>
      </w:r>
      <w:r w:rsidR="00F640B9" w:rsidRPr="006A64EE">
        <w:t xml:space="preserve"> </w:t>
      </w:r>
      <w:r w:rsidRPr="006A64EE">
        <w:t>≥</w:t>
      </w:r>
      <w:r w:rsidR="007F0AFC">
        <w:t> </w:t>
      </w:r>
      <w:r w:rsidRPr="006A64EE">
        <w:t>130</w:t>
      </w:r>
      <w:r w:rsidR="002870CF">
        <w:t> </w:t>
      </w:r>
      <w:r w:rsidRPr="006A64EE">
        <w:t>mg/dl und bei 33,3 % der Patienten eine Erhöhung des Gesamtcholesterinwertes auf</w:t>
      </w:r>
      <w:r w:rsidR="00F640B9" w:rsidRPr="006A64EE">
        <w:t xml:space="preserve"> </w:t>
      </w:r>
      <w:r w:rsidRPr="006A64EE">
        <w:t>≥</w:t>
      </w:r>
      <w:r w:rsidR="004D07A5">
        <w:t> </w:t>
      </w:r>
      <w:r w:rsidRPr="006A64EE">
        <w:t>200</w:t>
      </w:r>
      <w:r w:rsidR="007F0AFC">
        <w:t> </w:t>
      </w:r>
      <w:r w:rsidRPr="006A64EE">
        <w:t>mg/dl auf, jeweils zu jedem Zeitpunkt der Studienbehandlung.</w:t>
      </w:r>
    </w:p>
    <w:p w14:paraId="2DE14E73" w14:textId="77777777" w:rsidR="00093A5E" w:rsidRPr="006A64EE" w:rsidRDefault="00093A5E" w:rsidP="004255F8">
      <w:pPr>
        <w:pStyle w:val="a3"/>
        <w:widowControl/>
      </w:pPr>
    </w:p>
    <w:p w14:paraId="76231251" w14:textId="20C3ADA3" w:rsidR="00093A5E" w:rsidRPr="006A64EE" w:rsidRDefault="009C2544" w:rsidP="004255F8">
      <w:pPr>
        <w:pStyle w:val="a3"/>
        <w:widowControl/>
      </w:pPr>
      <w:r w:rsidRPr="006A64EE">
        <w:t>In der offenen Verlängerungsphase (Studie WA18221) trat nach Baseline bei 13,2 % der Patienten eine Erhöhung des LDL-Cholesterinwertes auf ≥</w:t>
      </w:r>
      <w:r w:rsidR="002870CF">
        <w:t> </w:t>
      </w:r>
      <w:r w:rsidRPr="006A64EE">
        <w:t>130</w:t>
      </w:r>
      <w:r w:rsidR="002870CF">
        <w:t> </w:t>
      </w:r>
      <w:r w:rsidRPr="006A64EE">
        <w:t>mg/dl und bei 27,7 % der Patienten eine Erhöhung des Gesamtcholesterinwertes auf ≥</w:t>
      </w:r>
      <w:r w:rsidR="002870CF">
        <w:t> </w:t>
      </w:r>
      <w:r w:rsidRPr="006A64EE">
        <w:t>200</w:t>
      </w:r>
      <w:r w:rsidR="002870CF">
        <w:t> </w:t>
      </w:r>
      <w:r w:rsidRPr="006A64EE">
        <w:t>mg/dl auf, jeweils zu jedem Zeitpunkt der Studienbehandlung.</w:t>
      </w:r>
    </w:p>
    <w:p w14:paraId="3A82961A" w14:textId="77777777" w:rsidR="00093A5E" w:rsidRPr="006A64EE" w:rsidRDefault="00093A5E" w:rsidP="004255F8">
      <w:pPr>
        <w:pStyle w:val="a3"/>
        <w:widowControl/>
      </w:pPr>
    </w:p>
    <w:p w14:paraId="2E62BB7D" w14:textId="77777777" w:rsidR="00093A5E" w:rsidRPr="006A64EE" w:rsidRDefault="009C2544" w:rsidP="004255F8">
      <w:pPr>
        <w:pStyle w:val="a3"/>
        <w:widowControl/>
      </w:pPr>
      <w:r w:rsidRPr="006A64EE">
        <w:rPr>
          <w:u w:val="single"/>
        </w:rPr>
        <w:t>Patienten mit CRS</w:t>
      </w:r>
    </w:p>
    <w:p w14:paraId="7783FC79" w14:textId="42183AEC" w:rsidR="00093A5E" w:rsidRPr="006A64EE" w:rsidRDefault="009C2544" w:rsidP="004255F8">
      <w:pPr>
        <w:pStyle w:val="a3"/>
        <w:widowControl/>
      </w:pPr>
      <w:r w:rsidRPr="006A64EE">
        <w:t>Die Sicherheit von Tocilizumab bei CRS wurde in einer retrospektiven Analyse von Daten klinischer Prüfungen beurteilt, in denen 51 Patienten intravenös mit Tocilizumab 8</w:t>
      </w:r>
      <w:r w:rsidR="002870CF">
        <w:t> </w:t>
      </w:r>
      <w:r w:rsidRPr="006A64EE">
        <w:t>mg/kg (12</w:t>
      </w:r>
      <w:r w:rsidR="002870CF">
        <w:t> </w:t>
      </w:r>
      <w:r w:rsidRPr="006A64EE">
        <w:t>mg/kg bei Patienten, die weniger als 30 kg w</w:t>
      </w:r>
      <w:r w:rsidR="007F0AFC">
        <w:t>o</w:t>
      </w:r>
      <w:r w:rsidRPr="006A64EE">
        <w:t>gen) zusammen mit oder ohne zusätzliche hochdosierte Corticosteroide wegen schwerem oder lebensbedrohlichem CAR-T-Zell-induziertem CRS behandelt wurden. Im Mittel wurde 1 Dosis Tocilizumab (Bereich 1 – 4 Dosen) verabreicht.</w:t>
      </w:r>
    </w:p>
    <w:p w14:paraId="54B86678" w14:textId="77777777" w:rsidR="00D92CE6" w:rsidRPr="00890245" w:rsidRDefault="00D92CE6" w:rsidP="00D92CE6"/>
    <w:p w14:paraId="12F959A6" w14:textId="77777777" w:rsidR="00011F17" w:rsidRPr="00890245" w:rsidRDefault="00011F17" w:rsidP="00011F17">
      <w:pPr>
        <w:keepNext/>
        <w:rPr>
          <w:u w:val="single"/>
        </w:rPr>
      </w:pPr>
      <w:r w:rsidRPr="00890245">
        <w:rPr>
          <w:u w:val="single"/>
        </w:rPr>
        <w:t>Immunogenität</w:t>
      </w:r>
    </w:p>
    <w:p w14:paraId="02F0FC91" w14:textId="07B32D82" w:rsidR="00011F17" w:rsidRPr="00890245" w:rsidRDefault="00011F17" w:rsidP="00011F17">
      <w:r w:rsidRPr="00890245">
        <w:t xml:space="preserve">Während der Behandlung mit Tocilizumab können sich Antikörper gegen Tocilizumab entwickeln. Es </w:t>
      </w:r>
      <w:r w:rsidR="00471796">
        <w:t>kann ein</w:t>
      </w:r>
      <w:r w:rsidRPr="00890245">
        <w:t xml:space="preserve"> Zusammenhang zwischen der Entwicklung von Antikörpern und dem klinischen Ansprechen oder unerwünschten Ereignissen beobachtet</w:t>
      </w:r>
      <w:r w:rsidR="00471796">
        <w:t xml:space="preserve"> werden</w:t>
      </w:r>
      <w:r w:rsidRPr="00890245">
        <w:t>.</w:t>
      </w:r>
    </w:p>
    <w:p w14:paraId="1D79B5CE" w14:textId="77777777" w:rsidR="00093A5E" w:rsidRPr="006A64EE" w:rsidRDefault="00093A5E" w:rsidP="004255F8">
      <w:pPr>
        <w:pStyle w:val="a3"/>
        <w:widowControl/>
      </w:pPr>
    </w:p>
    <w:p w14:paraId="7D9AA0C8" w14:textId="77777777" w:rsidR="00093A5E" w:rsidRPr="006A64EE" w:rsidRDefault="009C2544" w:rsidP="004255F8">
      <w:pPr>
        <w:pStyle w:val="a3"/>
        <w:widowControl/>
      </w:pPr>
      <w:r w:rsidRPr="006A64EE">
        <w:rPr>
          <w:u w:val="single"/>
        </w:rPr>
        <w:t>Meldung des Verdachts auf Nebenwirkungen</w:t>
      </w:r>
    </w:p>
    <w:p w14:paraId="7EC01D15" w14:textId="77777777" w:rsidR="00093A5E" w:rsidRPr="006A64EE" w:rsidRDefault="009C2544" w:rsidP="004255F8">
      <w:pPr>
        <w:pStyle w:val="a3"/>
        <w:widowControl/>
      </w:pPr>
      <w:r w:rsidRPr="006A64EE">
        <w:t>Die Meldung des Verdachts auf Nebenwirkungen nach der Zulassung ist von großer Wichtigkeit. Sie ermöglicht eine kontinuierliche Überwachung des Nutzen-Risiko-Verhältnisses des Arzneimittels.</w:t>
      </w:r>
    </w:p>
    <w:p w14:paraId="527496F3" w14:textId="3C534911" w:rsidR="00093A5E" w:rsidRPr="006A64EE" w:rsidRDefault="009C2544" w:rsidP="004255F8">
      <w:pPr>
        <w:pStyle w:val="a3"/>
        <w:widowControl/>
      </w:pPr>
      <w:r w:rsidRPr="006A64EE">
        <w:t xml:space="preserve">Angehörige von Gesundheitsberufen sind aufgefordert, jeden Verdachtsfall einer Nebenwirkung über </w:t>
      </w:r>
      <w:r w:rsidRPr="00F0391F">
        <w:rPr>
          <w:shd w:val="pct15" w:color="auto" w:fill="FFFFFF"/>
        </w:rPr>
        <w:t xml:space="preserve">das in </w:t>
      </w:r>
      <w:r w:rsidR="002D5756">
        <w:fldChar w:fldCharType="begin"/>
      </w:r>
      <w:r w:rsidR="002D5756">
        <w:instrText>HYPERLINK "https://www.ema.europa.eu/documents/template-form/appendix-v-adverse-drug-reaction-reporting-details_en.doc"</w:instrText>
      </w:r>
      <w:r w:rsidR="002D5756">
        <w:fldChar w:fldCharType="separate"/>
      </w:r>
      <w:r w:rsidR="002D5756" w:rsidRPr="00F0391F">
        <w:rPr>
          <w:rStyle w:val="a8"/>
          <w:shd w:val="pct15" w:color="auto" w:fill="FFFFFF"/>
        </w:rPr>
        <w:t>Anhang V</w:t>
      </w:r>
      <w:r w:rsidR="002D5756">
        <w:fldChar w:fldCharType="end"/>
      </w:r>
      <w:r w:rsidRPr="00F0391F">
        <w:rPr>
          <w:shd w:val="pct15" w:color="auto" w:fill="FFFFFF"/>
        </w:rPr>
        <w:t xml:space="preserve"> aufgeführte nationale Meldesystem anzuzeigen</w:t>
      </w:r>
      <w:r w:rsidRPr="006A64EE">
        <w:t>.</w:t>
      </w:r>
    </w:p>
    <w:p w14:paraId="5DCFD406" w14:textId="77777777" w:rsidR="00093A5E" w:rsidRPr="006A64EE" w:rsidRDefault="00093A5E" w:rsidP="004255F8">
      <w:pPr>
        <w:pStyle w:val="a3"/>
        <w:widowControl/>
      </w:pPr>
    </w:p>
    <w:p w14:paraId="3E62F84C" w14:textId="77777777" w:rsidR="00093A5E" w:rsidRPr="006A64EE" w:rsidRDefault="0059713A" w:rsidP="004255F8">
      <w:pPr>
        <w:pStyle w:val="2"/>
      </w:pPr>
      <w:r w:rsidRPr="006A64EE">
        <w:t>4.9</w:t>
      </w:r>
      <w:r w:rsidRPr="006A64EE">
        <w:tab/>
        <w:t>Überdosierung</w:t>
      </w:r>
    </w:p>
    <w:p w14:paraId="75DC56A5" w14:textId="77777777" w:rsidR="00093A5E" w:rsidRPr="006A64EE" w:rsidRDefault="00093A5E" w:rsidP="004255F8">
      <w:pPr>
        <w:pStyle w:val="a3"/>
        <w:widowControl/>
        <w:jc w:val="both"/>
      </w:pPr>
    </w:p>
    <w:p w14:paraId="6F1D2991" w14:textId="36995989" w:rsidR="00093A5E" w:rsidRPr="006A64EE" w:rsidRDefault="009C2544" w:rsidP="004255F8">
      <w:pPr>
        <w:pStyle w:val="a3"/>
        <w:widowControl/>
        <w:jc w:val="both"/>
      </w:pPr>
      <w:r w:rsidRPr="006A64EE">
        <w:t xml:space="preserve">Es liegen nur limitierte Daten zu Überdosierungen mit </w:t>
      </w:r>
      <w:r w:rsidR="00011F17">
        <w:t>Tocilizumab</w:t>
      </w:r>
      <w:r w:rsidR="00011F17" w:rsidRPr="006A64EE">
        <w:t xml:space="preserve"> </w:t>
      </w:r>
      <w:r w:rsidRPr="006A64EE">
        <w:t>vor. Ein Fall einer versehentlichen Überdosierung wurde bei einer Patientin mit multiplem Myelom beobachtet, die eine einmalige Dosis von 40</w:t>
      </w:r>
      <w:r w:rsidR="002870CF">
        <w:t> </w:t>
      </w:r>
      <w:r w:rsidRPr="006A64EE">
        <w:t>mg/kg erhielt. Es wurden keine Nebenwirkungen beobachtet.</w:t>
      </w:r>
    </w:p>
    <w:p w14:paraId="7611A06B" w14:textId="340CA287" w:rsidR="00093A5E" w:rsidRPr="006A64EE" w:rsidRDefault="009C2544" w:rsidP="004255F8">
      <w:pPr>
        <w:pStyle w:val="a3"/>
        <w:widowControl/>
        <w:jc w:val="both"/>
      </w:pPr>
      <w:r w:rsidRPr="006A64EE">
        <w:lastRenderedPageBreak/>
        <w:t>Bei gesunden Freiwilligen, die Dosen von bis zu 28</w:t>
      </w:r>
      <w:r w:rsidR="002870CF">
        <w:t> </w:t>
      </w:r>
      <w:r w:rsidRPr="006A64EE">
        <w:t>mg/kg erhielten, wurden keine schwerwiegenden Nebenwirkungen beobachtet, wenngleich dosislimitierende Neutropenie beobachtet wurde.</w:t>
      </w:r>
    </w:p>
    <w:p w14:paraId="1D44131F" w14:textId="77777777" w:rsidR="00093A5E" w:rsidRPr="006A64EE" w:rsidRDefault="00093A5E" w:rsidP="004255F8">
      <w:pPr>
        <w:pStyle w:val="a3"/>
        <w:widowControl/>
      </w:pPr>
    </w:p>
    <w:p w14:paraId="70476191" w14:textId="77777777" w:rsidR="00093A5E" w:rsidRPr="006A64EE" w:rsidRDefault="009C2544" w:rsidP="004255F8">
      <w:pPr>
        <w:pStyle w:val="a3"/>
        <w:widowControl/>
        <w:jc w:val="both"/>
      </w:pPr>
      <w:r w:rsidRPr="006A64EE">
        <w:rPr>
          <w:u w:val="single"/>
        </w:rPr>
        <w:t>Kinder und Jugendliche</w:t>
      </w:r>
    </w:p>
    <w:p w14:paraId="55E29D93" w14:textId="77777777" w:rsidR="00093A5E" w:rsidRPr="006A64EE" w:rsidRDefault="009C2544" w:rsidP="004255F8">
      <w:pPr>
        <w:pStyle w:val="a3"/>
        <w:widowControl/>
      </w:pPr>
      <w:r w:rsidRPr="006A64EE">
        <w:t>Bei Kindern und Jugendlichen wurde kein Fall von Überdosierung beobachtet.</w:t>
      </w:r>
    </w:p>
    <w:p w14:paraId="71C3EAB0" w14:textId="77777777" w:rsidR="00093A5E" w:rsidRPr="006A64EE" w:rsidRDefault="00093A5E" w:rsidP="004255F8">
      <w:pPr>
        <w:pStyle w:val="a3"/>
        <w:widowControl/>
      </w:pPr>
    </w:p>
    <w:p w14:paraId="040F5D6C" w14:textId="77777777" w:rsidR="00093A5E" w:rsidRPr="006A64EE" w:rsidRDefault="00093A5E" w:rsidP="004255F8">
      <w:pPr>
        <w:pStyle w:val="a3"/>
        <w:widowControl/>
      </w:pPr>
    </w:p>
    <w:p w14:paraId="2AE52007" w14:textId="77777777" w:rsidR="00093A5E" w:rsidRPr="006A64EE" w:rsidRDefault="0059713A" w:rsidP="004255F8">
      <w:pPr>
        <w:pStyle w:val="1"/>
      </w:pPr>
      <w:r w:rsidRPr="006A64EE">
        <w:t>5.</w:t>
      </w:r>
      <w:r w:rsidRPr="006A64EE">
        <w:tab/>
        <w:t>PHARMAKOLOGISCHE EIGENSCHAFTEN</w:t>
      </w:r>
    </w:p>
    <w:p w14:paraId="330A8988" w14:textId="77777777" w:rsidR="00093A5E" w:rsidRPr="006A64EE" w:rsidRDefault="00093A5E" w:rsidP="00D0274D"/>
    <w:p w14:paraId="72F9C939" w14:textId="77777777" w:rsidR="00093A5E" w:rsidRPr="006A64EE" w:rsidRDefault="0059713A" w:rsidP="004255F8">
      <w:pPr>
        <w:pStyle w:val="2"/>
      </w:pPr>
      <w:r w:rsidRPr="006A64EE">
        <w:t>5.1</w:t>
      </w:r>
      <w:r w:rsidRPr="006A64EE">
        <w:tab/>
        <w:t>Pharmakodynamische Eigenschaften</w:t>
      </w:r>
    </w:p>
    <w:p w14:paraId="73A99407" w14:textId="77777777" w:rsidR="00093A5E" w:rsidRPr="006A64EE" w:rsidRDefault="00093A5E" w:rsidP="00D0274D"/>
    <w:p w14:paraId="72330F9E" w14:textId="63C3F300" w:rsidR="00093A5E" w:rsidRPr="006A64EE" w:rsidRDefault="009C2544" w:rsidP="004255F8">
      <w:pPr>
        <w:pStyle w:val="a3"/>
        <w:widowControl/>
      </w:pPr>
      <w:r w:rsidRPr="006A64EE">
        <w:t>Pharmakotherapeutische Gruppe: Immunsuppressiva, Interleukin-Inhibitoren; ATC-Code: L04AC07.</w:t>
      </w:r>
    </w:p>
    <w:p w14:paraId="6FBA54EF" w14:textId="77777777" w:rsidR="00011F17" w:rsidRDefault="00011F17" w:rsidP="00011F17"/>
    <w:p w14:paraId="48FC7BD6" w14:textId="154AC027" w:rsidR="00011F17" w:rsidRPr="00890245" w:rsidRDefault="00011F17" w:rsidP="00011F17">
      <w:r w:rsidRPr="00890245">
        <w:t xml:space="preserve">Avtozma ist ein Biosimilar-Arzneimittel. Ausführliche Informationen sind auf den Internetseiten der Europäischen Arzneimittel-Agentur </w:t>
      </w:r>
      <w:r>
        <w:fldChar w:fldCharType="begin"/>
      </w:r>
      <w:r>
        <w:instrText>HYPERLINK "https://www.ema.europa.eu"</w:instrText>
      </w:r>
      <w:r>
        <w:fldChar w:fldCharType="separate"/>
      </w:r>
      <w:r w:rsidRPr="00890245">
        <w:rPr>
          <w:rStyle w:val="a8"/>
        </w:rPr>
        <w:t>https://www.ema.europa.eu</w:t>
      </w:r>
      <w:r>
        <w:fldChar w:fldCharType="end"/>
      </w:r>
      <w:r w:rsidRPr="00890245">
        <w:t xml:space="preserve"> verfügbar.</w:t>
      </w:r>
    </w:p>
    <w:p w14:paraId="2BEB01F5" w14:textId="77777777" w:rsidR="00093A5E" w:rsidRPr="006A64EE" w:rsidRDefault="00093A5E" w:rsidP="004255F8">
      <w:pPr>
        <w:pStyle w:val="a3"/>
        <w:widowControl/>
      </w:pPr>
    </w:p>
    <w:p w14:paraId="0EEF6A40" w14:textId="77777777" w:rsidR="00093A5E" w:rsidRPr="006A64EE" w:rsidRDefault="009C2544" w:rsidP="004255F8">
      <w:pPr>
        <w:pStyle w:val="a3"/>
        <w:widowControl/>
      </w:pPr>
      <w:r w:rsidRPr="006A64EE">
        <w:rPr>
          <w:u w:val="single"/>
        </w:rPr>
        <w:t>Wirkmechanismus</w:t>
      </w:r>
    </w:p>
    <w:p w14:paraId="554E2CA7" w14:textId="77777777" w:rsidR="00093A5E" w:rsidRPr="006A64EE" w:rsidRDefault="009C2544" w:rsidP="004255F8">
      <w:pPr>
        <w:pStyle w:val="a3"/>
        <w:widowControl/>
      </w:pPr>
      <w:r w:rsidRPr="006A64EE">
        <w:t>Tocilizumab bindet spezifisch sowohl an lösliche als auch an membrangebundene IL-6-Rezeptoren</w:t>
      </w:r>
      <w:r w:rsidR="001703E8" w:rsidRPr="006A64EE">
        <w:t xml:space="preserve"> </w:t>
      </w:r>
      <w:r w:rsidRPr="006A64EE">
        <w:t>(sIL-6R und mIL-6R). Es wurde gezeigt, dass Tocilizumab die sIL-6R- und mIL-6R-vermittelte Signaltransduktion inhibiert. IL-6 ist ein pleiotropes, proinflammatorisches Zytokin, das von einer Vielzahl verschiedener Zelltypen, wie T- und B-Zellen, Monozyten und Fibroblasten, produziert wird. IL-6 ist an verschiedenen physiologischen Prozessen, wie der T-Zell-Aktivierung, Induktion der Sekretion von Immunglobulinen, Induktion der Synthese von hepatischen Akut-Phase-Proteinen und Stimulation der Hämatopoese, beteiligt. IL-6 wird mit der Entstehung von Krankheiten in Verbindung gebracht, einschließlich entzündlicher Erkrankungen, Osteoporose und Neoplasien.</w:t>
      </w:r>
    </w:p>
    <w:p w14:paraId="3313D95C" w14:textId="77777777" w:rsidR="00093A5E" w:rsidRPr="006A64EE" w:rsidRDefault="00093A5E" w:rsidP="004255F8">
      <w:pPr>
        <w:widowControl/>
      </w:pPr>
    </w:p>
    <w:p w14:paraId="11A9498A" w14:textId="77777777" w:rsidR="00093A5E" w:rsidRPr="006A64EE" w:rsidRDefault="007D680A" w:rsidP="004255F8">
      <w:pPr>
        <w:keepNext/>
        <w:widowControl/>
      </w:pPr>
      <w:r w:rsidRPr="006A64EE">
        <w:rPr>
          <w:u w:val="single"/>
        </w:rPr>
        <w:t>Pharmakodynamische Wirkungen</w:t>
      </w:r>
    </w:p>
    <w:p w14:paraId="3C204D55" w14:textId="77777777" w:rsidR="00093A5E" w:rsidRPr="006A64EE" w:rsidRDefault="009C2544" w:rsidP="004255F8">
      <w:pPr>
        <w:pStyle w:val="a3"/>
        <w:widowControl/>
      </w:pPr>
      <w:r w:rsidRPr="006A64EE">
        <w:t>In klinischen Prüfungen mit Tocilizumab bei Patienten mit RA wurde eine rasche Abnahme des CRP, der Blutsenkungsgeschwindigkeit (BSG), des Serum-Amyloid-Proteins A (SAA) und des Fibrinogens beobachtet. Entsprechend der Wirkung auf die Akut-Phase-Reaktanten wurde eine Reduktion der Thrombozytenanzahl, die innerhalb der normalen Grenzen lag, mit Tocilizumab in Verbindung gebracht. Aufgrund der durch Tocilizumab induzierten verminderten Wirkung von IL-6 auf die Hepcidin-Produktion, die zu einer erhöhten Verfügbarkeit von Eisen führt, wurde ein Anstieg der Hämoglobinwerte beobachtet. Bei den mit Tocilizumab behandelten Patienten zeigte sich bereits nach 2 Wochen ein Rückgang der CRP-Werte auf Werte innerhalb des Normalbereichs, der während der Behandlung andauerte.</w:t>
      </w:r>
    </w:p>
    <w:p w14:paraId="3E439749" w14:textId="77777777" w:rsidR="00093A5E" w:rsidRPr="006A64EE" w:rsidRDefault="00093A5E" w:rsidP="004255F8">
      <w:pPr>
        <w:pStyle w:val="a3"/>
        <w:widowControl/>
      </w:pPr>
    </w:p>
    <w:p w14:paraId="6E0B034C" w14:textId="27C6B64F" w:rsidR="00093A5E" w:rsidRPr="006A64EE" w:rsidRDefault="009C2544" w:rsidP="004255F8">
      <w:pPr>
        <w:pStyle w:val="a3"/>
        <w:widowControl/>
      </w:pPr>
      <w:r w:rsidRPr="006A64EE">
        <w:t>Bei gesunden Freiwilligen, denen 2</w:t>
      </w:r>
      <w:r w:rsidR="002870CF">
        <w:t> </w:t>
      </w:r>
      <w:r w:rsidRPr="006A64EE">
        <w:t>mg/kg bis 28</w:t>
      </w:r>
      <w:r w:rsidR="002870CF">
        <w:t> </w:t>
      </w:r>
      <w:r w:rsidRPr="006A64EE">
        <w:t>mg/kg Tocilizumab verabreicht wurden, fiel die absolute Anzahl der neutrophilen Granulozyten 3 bis 5 Tage nach der Verabreichung auf den niedrigsten Wert ab. Danach stieg die Anzahl neutrophiler Granulozyten dosisabhängig wieder auf den Ausgangswert an. Patienten mit rheumatoider Arthritis zeigten nach Verabreichung von Tocilizumab ein ähnliches Verhalten hinsichtlich der Anzahl neutrophiler Granulozyten (siehe Abschnitt 4.8).</w:t>
      </w:r>
    </w:p>
    <w:p w14:paraId="378A6EAD" w14:textId="77777777" w:rsidR="00093A5E" w:rsidRPr="006A64EE" w:rsidRDefault="00093A5E" w:rsidP="004255F8">
      <w:pPr>
        <w:pStyle w:val="a3"/>
        <w:widowControl/>
      </w:pPr>
    </w:p>
    <w:p w14:paraId="16DE67C6" w14:textId="0D4CB12B" w:rsidR="00093A5E" w:rsidRPr="006A64EE" w:rsidRDefault="009C2544" w:rsidP="004255F8">
      <w:pPr>
        <w:pStyle w:val="a3"/>
        <w:widowControl/>
      </w:pPr>
      <w:r w:rsidRPr="006A64EE">
        <w:t>Bei COVID-19-Patienten, die mit einer Dosis Tocilizumab 8</w:t>
      </w:r>
      <w:r w:rsidR="002870CF">
        <w:t> </w:t>
      </w:r>
      <w:r w:rsidRPr="006A64EE">
        <w:t>mg/kg intravenös behandelt wurden, wurde bereits an Tag 7 ein Rückgang der CRP-Werte auf Werte innerhalb des Normalbereichs beobachtet.</w:t>
      </w:r>
    </w:p>
    <w:p w14:paraId="6D3FCAB4" w14:textId="77777777" w:rsidR="00093A5E" w:rsidRPr="006A64EE" w:rsidRDefault="00093A5E" w:rsidP="004255F8">
      <w:pPr>
        <w:pStyle w:val="a3"/>
        <w:widowControl/>
      </w:pPr>
    </w:p>
    <w:p w14:paraId="7A0AE83D" w14:textId="77777777" w:rsidR="00093A5E" w:rsidRPr="006A64EE" w:rsidRDefault="009C2544" w:rsidP="004255F8">
      <w:pPr>
        <w:pStyle w:val="a3"/>
        <w:widowControl/>
      </w:pPr>
      <w:r w:rsidRPr="006A64EE">
        <w:rPr>
          <w:u w:val="single"/>
        </w:rPr>
        <w:t>Patienten mit RA</w:t>
      </w:r>
    </w:p>
    <w:p w14:paraId="0F7C7030" w14:textId="77777777" w:rsidR="00093A5E" w:rsidRPr="006A64EE" w:rsidRDefault="00093A5E" w:rsidP="004255F8">
      <w:pPr>
        <w:pStyle w:val="a3"/>
        <w:widowControl/>
      </w:pPr>
    </w:p>
    <w:p w14:paraId="7CF6230E" w14:textId="77777777" w:rsidR="00093A5E" w:rsidRPr="006A64EE" w:rsidRDefault="009C2544" w:rsidP="004255F8">
      <w:pPr>
        <w:pStyle w:val="a3"/>
        <w:widowControl/>
      </w:pPr>
      <w:r w:rsidRPr="006A64EE">
        <w:rPr>
          <w:u w:val="single"/>
        </w:rPr>
        <w:t>Klinische Wirksamkeit und Sicherheit</w:t>
      </w:r>
    </w:p>
    <w:p w14:paraId="1F45B9ED" w14:textId="77777777" w:rsidR="00093A5E" w:rsidRPr="006A64EE" w:rsidRDefault="009C2544" w:rsidP="004255F8">
      <w:pPr>
        <w:pStyle w:val="a3"/>
        <w:widowControl/>
      </w:pPr>
      <w:r w:rsidRPr="006A64EE">
        <w:t>Die Wirksamkeit von Tocilizumab in Hinblick auf eine Linderung von Anzeichen und Symptomen einer RA wurde in fünf randomisierten, doppelblinden, multizentrischen Studien untersucht. In die Studien I – V wurden Patienten im Alter von ≥ 18 Jahren mit aktiver RA eingeschlossen, die auf der Basis der Kriterien des American College of Rheumatology (ACR) diagnostiziert wurden und die zum Zeitpunkt des Einschlusses mindestens acht druckschmerzempfindliche und sechs geschwollene Gelenke aufwiesen.</w:t>
      </w:r>
    </w:p>
    <w:p w14:paraId="50FA75F0" w14:textId="77777777" w:rsidR="00093A5E" w:rsidRPr="006A64EE" w:rsidRDefault="00093A5E" w:rsidP="004255F8">
      <w:pPr>
        <w:pStyle w:val="a3"/>
        <w:widowControl/>
      </w:pPr>
    </w:p>
    <w:p w14:paraId="05AB07A1" w14:textId="40EC44D0" w:rsidR="00093A5E" w:rsidRPr="006A64EE" w:rsidRDefault="009C2544" w:rsidP="004255F8">
      <w:pPr>
        <w:pStyle w:val="a3"/>
        <w:widowControl/>
      </w:pPr>
      <w:r w:rsidRPr="006A64EE">
        <w:t xml:space="preserve">In Studie I wurde Tocilizumab alle vier Wochen intravenös als Monotherapie verabreicht. In den Studien II, III und V wurde Tocilizumab intravenös alle vier Wochen in Kombination mit MTX </w:t>
      </w:r>
      <w:r w:rsidRPr="006A64EE">
        <w:rPr>
          <w:i/>
        </w:rPr>
        <w:t xml:space="preserve">vs. </w:t>
      </w:r>
      <w:r w:rsidRPr="006A64EE">
        <w:t>Placebo und MTX verabreicht. In Studie IV wurde Tocilizumab intravenös alle 4</w:t>
      </w:r>
      <w:r w:rsidR="00490D48">
        <w:t> </w:t>
      </w:r>
      <w:r w:rsidRPr="006A64EE">
        <w:t xml:space="preserve">Wochen in Kombination mit anderen DMARDs </w:t>
      </w:r>
      <w:r w:rsidRPr="006A64EE">
        <w:rPr>
          <w:i/>
        </w:rPr>
        <w:t xml:space="preserve">vs. </w:t>
      </w:r>
      <w:r w:rsidRPr="006A64EE">
        <w:t>Placebo und andere DMARDs verabreicht. Der primäre Endpunkt für jede dieser fünf Studien war der Anteil der Patienten, die in Woche</w:t>
      </w:r>
      <w:r w:rsidR="00490D48">
        <w:t> </w:t>
      </w:r>
      <w:r w:rsidRPr="006A64EE">
        <w:t>24 ein ACR-20-Ansprechen erreichten.</w:t>
      </w:r>
    </w:p>
    <w:p w14:paraId="0D505BD2" w14:textId="77777777" w:rsidR="00093A5E" w:rsidRPr="006A64EE" w:rsidRDefault="00093A5E" w:rsidP="004255F8">
      <w:pPr>
        <w:pStyle w:val="a3"/>
        <w:widowControl/>
      </w:pPr>
    </w:p>
    <w:p w14:paraId="35C71867" w14:textId="2E0F172D" w:rsidR="00093A5E" w:rsidRPr="006A64EE" w:rsidRDefault="009C2544" w:rsidP="004255F8">
      <w:pPr>
        <w:pStyle w:val="a3"/>
        <w:widowControl/>
      </w:pPr>
      <w:r w:rsidRPr="006A64EE">
        <w:t>In der Studie I wurden 673 Patienten untersucht, die während 6 Monaten vor der Randomisierung nicht mit MTX behandelt worden waren und die eine vorangegangene Behandlung mit MTX nicht aufgrund klinisch bedeutender toxischer Wirkungen oder mangelndem Ansprechen abgebrochen hatten. Die Mehrzahl der Patienten (67 %) war MTX-naiv. Tocilizumab wurde in Dosen von 8</w:t>
      </w:r>
      <w:r w:rsidR="002870CF">
        <w:t> </w:t>
      </w:r>
      <w:r w:rsidRPr="006A64EE">
        <w:t>mg/kg alle vier Wochen als Monotherapie verabreicht. Die Vergleichsgruppe erhielt wöchentlich MTX (dosistitriert von 7,5</w:t>
      </w:r>
      <w:r w:rsidR="002870CF">
        <w:t> </w:t>
      </w:r>
      <w:r w:rsidRPr="006A64EE">
        <w:t>mg bis zu einem Maximum von 20</w:t>
      </w:r>
      <w:r w:rsidR="002870CF">
        <w:t> </w:t>
      </w:r>
      <w:r w:rsidRPr="006A64EE">
        <w:t>mg wöchentlich, über einen Zeitraum von acht Wochen).</w:t>
      </w:r>
    </w:p>
    <w:p w14:paraId="31FFE5E9" w14:textId="77777777" w:rsidR="00093A5E" w:rsidRPr="006A64EE" w:rsidRDefault="00093A5E" w:rsidP="004255F8">
      <w:pPr>
        <w:pStyle w:val="a3"/>
        <w:widowControl/>
      </w:pPr>
    </w:p>
    <w:p w14:paraId="189C499B" w14:textId="25F80050" w:rsidR="00093A5E" w:rsidRPr="006A64EE" w:rsidRDefault="009C2544" w:rsidP="004255F8">
      <w:pPr>
        <w:pStyle w:val="a3"/>
        <w:widowControl/>
      </w:pPr>
      <w:r w:rsidRPr="006A64EE">
        <w:t>In Studie II, einer 2-Jahresstudie mit geplanten Analysen in Woche</w:t>
      </w:r>
      <w:r w:rsidR="007121D6">
        <w:t> </w:t>
      </w:r>
      <w:r w:rsidRPr="006A64EE">
        <w:t>24, Woche</w:t>
      </w:r>
      <w:r w:rsidR="007121D6">
        <w:t> </w:t>
      </w:r>
      <w:r w:rsidRPr="006A64EE">
        <w:t>52 und Woche</w:t>
      </w:r>
      <w:r w:rsidR="007121D6">
        <w:t> </w:t>
      </w:r>
      <w:r w:rsidRPr="006A64EE">
        <w:t>104, wurden 1</w:t>
      </w:r>
      <w:r w:rsidR="007121D6">
        <w:t> </w:t>
      </w:r>
      <w:r w:rsidRPr="006A64EE">
        <w:t>196 Patienten, die ein unzureichendes Ansprechen auf MTX hatten, untersucht. Tocilizumab in Dosen von 4</w:t>
      </w:r>
      <w:r w:rsidR="007121D6">
        <w:t> </w:t>
      </w:r>
      <w:r w:rsidRPr="006A64EE">
        <w:t>mg/kg oder 8</w:t>
      </w:r>
      <w:r w:rsidR="007121D6">
        <w:t> </w:t>
      </w:r>
      <w:r w:rsidRPr="006A64EE">
        <w:t>mg/kg oder Placebo wurden während 52</w:t>
      </w:r>
      <w:r w:rsidR="007121D6">
        <w:t> </w:t>
      </w:r>
      <w:r w:rsidRPr="006A64EE">
        <w:t>Wochen alle vier Wochen als verblindete Therapie in Kombination mit einer stabilen MTX-Dosis (10</w:t>
      </w:r>
      <w:r w:rsidR="007121D6">
        <w:t> </w:t>
      </w:r>
      <w:r w:rsidRPr="006A64EE">
        <w:t>mg – 25</w:t>
      </w:r>
      <w:r w:rsidR="007121D6">
        <w:t> </w:t>
      </w:r>
      <w:r w:rsidRPr="006A64EE">
        <w:t>mg wöchentlich) verabreicht. Nach Woche</w:t>
      </w:r>
      <w:r w:rsidR="007121D6">
        <w:t> </w:t>
      </w:r>
      <w:r w:rsidRPr="006A64EE">
        <w:t>52 konnten alle Patienten eine unverblindete Behandlung mit 8</w:t>
      </w:r>
      <w:r w:rsidR="007121D6">
        <w:t> </w:t>
      </w:r>
      <w:r w:rsidRPr="006A64EE">
        <w:t>mg/kg Tocilizumab erhalten. Von jenen Patienten, die die Studie beendeten und die ursprünglich in die Placebo + MTX-Gruppe randomisiert worden waren, erhielten 86</w:t>
      </w:r>
      <w:r w:rsidR="007121D6">
        <w:t> </w:t>
      </w:r>
      <w:r w:rsidRPr="006A64EE">
        <w:t>% im Jahr</w:t>
      </w:r>
      <w:r w:rsidR="007121D6">
        <w:t> </w:t>
      </w:r>
      <w:r w:rsidRPr="006A64EE">
        <w:t>2 unverblindet 8</w:t>
      </w:r>
      <w:r w:rsidR="007121D6">
        <w:t> </w:t>
      </w:r>
      <w:r w:rsidRPr="006A64EE">
        <w:t>mg/kg Tocilizumab. Der primäre Endpunkt in Woche</w:t>
      </w:r>
      <w:r w:rsidR="001D77D5">
        <w:t> </w:t>
      </w:r>
      <w:r w:rsidRPr="006A64EE">
        <w:t>24 war der Anteil von Patienten, die die Kriterien eines ACR-20-Ansprechens erfüllten. Zusätzliche primäre Endpunkte waren die Prävention von Gelenkschädigungen und die Verbesserung der körperlichen Funktionsfähigkeit in Woche</w:t>
      </w:r>
      <w:r w:rsidR="001D77D5">
        <w:t> </w:t>
      </w:r>
      <w:r w:rsidRPr="006A64EE">
        <w:t>52 und</w:t>
      </w:r>
      <w:r w:rsidR="001703E8" w:rsidRPr="006A64EE">
        <w:t xml:space="preserve"> </w:t>
      </w:r>
      <w:r w:rsidR="007D680A" w:rsidRPr="006A64EE">
        <w:t>Woche</w:t>
      </w:r>
      <w:r w:rsidR="001D77D5">
        <w:t> </w:t>
      </w:r>
      <w:r w:rsidR="007D680A" w:rsidRPr="006A64EE">
        <w:t>104.</w:t>
      </w:r>
    </w:p>
    <w:p w14:paraId="3EC077E1" w14:textId="77777777" w:rsidR="00093A5E" w:rsidRPr="006A64EE" w:rsidRDefault="00093A5E" w:rsidP="004255F8">
      <w:pPr>
        <w:pStyle w:val="a3"/>
        <w:widowControl/>
      </w:pPr>
    </w:p>
    <w:p w14:paraId="0B583242" w14:textId="1FC1B528" w:rsidR="00093A5E" w:rsidRPr="006A64EE" w:rsidRDefault="009C2544" w:rsidP="004255F8">
      <w:pPr>
        <w:pStyle w:val="a3"/>
        <w:widowControl/>
      </w:pPr>
      <w:r w:rsidRPr="006A64EE">
        <w:t>In Studie III wurden 623 Patienten untersucht, die ein unzureichendes klinisches Ansprechen auf MTX hatten. Dosen von 4</w:t>
      </w:r>
      <w:r w:rsidR="002870CF">
        <w:t> </w:t>
      </w:r>
      <w:r w:rsidRPr="006A64EE">
        <w:t>mg/kg oder 8</w:t>
      </w:r>
      <w:r w:rsidR="002870CF">
        <w:t> </w:t>
      </w:r>
      <w:r w:rsidRPr="006A64EE">
        <w:t>mg/kg Tocilizumab oder Placebo wurden alle 4 Wochen in Kombination mit einer stabilen MTX-Dosis (10</w:t>
      </w:r>
      <w:r w:rsidR="002870CF">
        <w:t> </w:t>
      </w:r>
      <w:r w:rsidRPr="006A64EE">
        <w:t>mg bis 25</w:t>
      </w:r>
      <w:r w:rsidR="002870CF">
        <w:t> </w:t>
      </w:r>
      <w:r w:rsidRPr="006A64EE">
        <w:t>mg wöchentlich) verabreicht.</w:t>
      </w:r>
    </w:p>
    <w:p w14:paraId="518CCF63" w14:textId="77777777" w:rsidR="00093A5E" w:rsidRPr="006A64EE" w:rsidRDefault="00093A5E" w:rsidP="004255F8">
      <w:pPr>
        <w:pStyle w:val="a3"/>
        <w:widowControl/>
      </w:pPr>
    </w:p>
    <w:p w14:paraId="00E0049F" w14:textId="34749FF8" w:rsidR="00093A5E" w:rsidRPr="006A64EE" w:rsidRDefault="009C2544" w:rsidP="004255F8">
      <w:pPr>
        <w:pStyle w:val="a3"/>
        <w:widowControl/>
      </w:pPr>
      <w:r w:rsidRPr="006A64EE">
        <w:t>In Studie IV wurden 1</w:t>
      </w:r>
      <w:r w:rsidR="008478E2">
        <w:t> </w:t>
      </w:r>
      <w:r w:rsidRPr="006A64EE">
        <w:t>220 Patienten untersucht, die ein unzureichendes Ansprechen auf ihre bestehende Rheumatherapie mit einem oder mehreren DMARDs hatten. Dosen von 8</w:t>
      </w:r>
      <w:r w:rsidR="008478E2">
        <w:t> </w:t>
      </w:r>
      <w:r w:rsidRPr="006A64EE">
        <w:t>mg/kg Tocilizumab oder Placebo wurden alle vier Wochen in Kombination mit einer stabilen Therapie mit DMARDs verabreicht.</w:t>
      </w:r>
    </w:p>
    <w:p w14:paraId="2D1DE895" w14:textId="77777777" w:rsidR="00093A5E" w:rsidRPr="006A64EE" w:rsidRDefault="00093A5E" w:rsidP="004255F8">
      <w:pPr>
        <w:pStyle w:val="a3"/>
        <w:widowControl/>
      </w:pPr>
    </w:p>
    <w:p w14:paraId="45E0E57F" w14:textId="5822F97C" w:rsidR="00093A5E" w:rsidRPr="006A64EE" w:rsidRDefault="009C2544" w:rsidP="004255F8">
      <w:pPr>
        <w:pStyle w:val="a3"/>
        <w:widowControl/>
      </w:pPr>
      <w:r w:rsidRPr="006A64EE">
        <w:t>In Studie V wurden 499</w:t>
      </w:r>
      <w:r w:rsidR="00925AB0">
        <w:t> </w:t>
      </w:r>
      <w:r w:rsidRPr="006A64EE">
        <w:t>Patienten untersucht, die ein unzureichendes klinisches Ansprechen auf eine oder mehrere Behandlungen mit TNF-Inhibitoren hatten oder diese nicht vertragen haben. Die Therapie mit dem TNF-Inhibitor wurde vor der Randomisierung abgesetzt. Dosen von 4</w:t>
      </w:r>
      <w:r w:rsidR="00925AB0">
        <w:t> </w:t>
      </w:r>
      <w:r w:rsidRPr="006A64EE">
        <w:t>mg/kg oder</w:t>
      </w:r>
      <w:r w:rsidR="001703E8" w:rsidRPr="006A64EE">
        <w:t xml:space="preserve"> </w:t>
      </w:r>
      <w:r w:rsidRPr="006A64EE">
        <w:t>8</w:t>
      </w:r>
      <w:r w:rsidR="00925AB0">
        <w:t> </w:t>
      </w:r>
      <w:r w:rsidRPr="006A64EE">
        <w:t>mg/kg Tocilizumab oder Placebo wurden alle vier Wochen in Kombination mit einer stabilen MTX-Dosis (10</w:t>
      </w:r>
      <w:r w:rsidR="00925AB0">
        <w:t> </w:t>
      </w:r>
      <w:r w:rsidRPr="006A64EE">
        <w:t>mg bis 25</w:t>
      </w:r>
      <w:r w:rsidR="00925AB0">
        <w:t> </w:t>
      </w:r>
      <w:r w:rsidRPr="006A64EE">
        <w:t>mg wöchentlich) verabreicht.</w:t>
      </w:r>
    </w:p>
    <w:p w14:paraId="5FD1057D" w14:textId="77777777" w:rsidR="00093A5E" w:rsidRPr="006A64EE" w:rsidRDefault="00093A5E" w:rsidP="004255F8">
      <w:pPr>
        <w:pStyle w:val="a3"/>
        <w:widowControl/>
      </w:pPr>
    </w:p>
    <w:p w14:paraId="6D0290D7" w14:textId="77777777" w:rsidR="00093A5E" w:rsidRPr="006A64EE" w:rsidRDefault="009C2544" w:rsidP="004255F8">
      <w:pPr>
        <w:widowControl/>
        <w:rPr>
          <w:i/>
        </w:rPr>
      </w:pPr>
      <w:r w:rsidRPr="006A64EE">
        <w:rPr>
          <w:i/>
        </w:rPr>
        <w:t>Klinisches Ansprechen</w:t>
      </w:r>
    </w:p>
    <w:p w14:paraId="1BD2D454" w14:textId="703D5ED6" w:rsidR="00093A5E" w:rsidRPr="006A64EE" w:rsidRDefault="009C2544" w:rsidP="004255F8">
      <w:pPr>
        <w:pStyle w:val="a3"/>
        <w:widowControl/>
      </w:pPr>
      <w:r w:rsidRPr="006A64EE">
        <w:t>In allen Studien hatten Patienten, die mit 8</w:t>
      </w:r>
      <w:r w:rsidR="002870CF">
        <w:t> </w:t>
      </w:r>
      <w:r w:rsidRPr="006A64EE">
        <w:t>mg/kg Tocilizumab behandelt wurden, nach 6 Monaten ein statistisch signifikant höheres ACR 20-, -50-, -70-Ansprechen im Vergleich zu denen in den Kontrollgruppen (Tabelle 4). In Studie I wurde die Überlegenheit von 8</w:t>
      </w:r>
      <w:r w:rsidR="002870CF">
        <w:t> </w:t>
      </w:r>
      <w:r w:rsidRPr="006A64EE">
        <w:t>mg/kg Tocilizumab gegenüber der aktiven Vergleichssubstanz MTX bestätigt.</w:t>
      </w:r>
    </w:p>
    <w:p w14:paraId="02285D0E" w14:textId="77777777" w:rsidR="00093A5E" w:rsidRPr="006A64EE" w:rsidRDefault="00093A5E" w:rsidP="004255F8">
      <w:pPr>
        <w:pStyle w:val="a3"/>
        <w:widowControl/>
      </w:pPr>
    </w:p>
    <w:p w14:paraId="04D97355" w14:textId="77777777" w:rsidR="00093A5E" w:rsidRPr="006A64EE" w:rsidRDefault="009C2544" w:rsidP="004255F8">
      <w:pPr>
        <w:pStyle w:val="a3"/>
        <w:widowControl/>
      </w:pPr>
      <w:r w:rsidRPr="006A64EE">
        <w:t>Unabhängig vom Status des Rheumafaktors, dem Alter, dem Geschlecht, der Rasse, der Anzahl der vorangegangenen Behandlungen oder dem Status der Erkrankung war der Behandlungserfolg bei den Patienten vergleichbar. Die Zeit bis zum Eintreten einer Wirkung war kurz (nur 2 Wochen) und das Ausmaß des Ansprechens nahm während der Dauer der Behandlung weiter zu. Fortgesetztes, dauerhaftes Ansprechen wurde während mehr als 3 Jahren in den offenen Verlängerungsstudien I - V gesehen.</w:t>
      </w:r>
    </w:p>
    <w:p w14:paraId="252A4152" w14:textId="77777777" w:rsidR="00093A5E" w:rsidRPr="006A64EE" w:rsidRDefault="00093A5E" w:rsidP="004255F8">
      <w:pPr>
        <w:pStyle w:val="a3"/>
        <w:widowControl/>
      </w:pPr>
    </w:p>
    <w:p w14:paraId="0D5235C9" w14:textId="7D6C25F5" w:rsidR="00093A5E" w:rsidRPr="006A64EE" w:rsidRDefault="009C2544" w:rsidP="004255F8">
      <w:pPr>
        <w:pStyle w:val="a3"/>
        <w:widowControl/>
      </w:pPr>
      <w:r w:rsidRPr="006A64EE">
        <w:lastRenderedPageBreak/>
        <w:t>Bei Patienten, die mit 8</w:t>
      </w:r>
      <w:r w:rsidR="002870CF">
        <w:t> </w:t>
      </w:r>
      <w:r w:rsidRPr="006A64EE">
        <w:t>mg/kg Tocilizumab behandelt wurden, wurden im Vergleich zu Patienten, die Placebo plus MTX oder andere DMARDs erhielten, in allen Studien signifikante Verbesserungen aller einzelnen Komponenten des ACR-Ansprechens gesehen: der Anzahl der druckschmerzempfindlichen und geschwollenen Gelenke, der allgemeinen Beurteilung durch den Patienten und den Arzt, dem Ausmaß körperlicher Funktionseinschränkungen anhand des Index-Scores, der Schmerzbeurteilung und dem CRP.</w:t>
      </w:r>
    </w:p>
    <w:p w14:paraId="25E61359" w14:textId="77777777" w:rsidR="00093A5E" w:rsidRPr="006A64EE" w:rsidRDefault="00093A5E" w:rsidP="004255F8">
      <w:pPr>
        <w:pStyle w:val="a3"/>
        <w:widowControl/>
      </w:pPr>
    </w:p>
    <w:p w14:paraId="1E12CACF" w14:textId="101B6F29" w:rsidR="00093A5E" w:rsidRPr="006A64EE" w:rsidRDefault="009C2544" w:rsidP="004255F8">
      <w:pPr>
        <w:pStyle w:val="a3"/>
        <w:widowControl/>
      </w:pPr>
      <w:r w:rsidRPr="006A64EE">
        <w:t>Die Patienten in den Studien I – V hatten zu Beginn der Behandlung einen mittleren Disease Activity Score (DAS28) um 6,5 – 6,8. Bei den Patienten, die mit Tocilizumab behandelt wurden, wurden signifikante Reduktionen von 3,1 – 3,4 des zu Beginn der Behandlung bestimmten DAS28 (durchschnittliche Verbesserung) beobachtet, verglichen mit denen bei den Patienten in der Kontrollgruppe (1,3 - 2,1). Der Anteil der Patienten, die in Woche 24 eine DAS28-Remission (DAS28</w:t>
      </w:r>
      <w:r w:rsidR="000E4D99">
        <w:t> </w:t>
      </w:r>
      <w:r w:rsidRPr="006A64EE">
        <w:t>&lt; 2,6) erreichten, war bei den Patienten, die Tocilizumab erhielten, signifikant höher</w:t>
      </w:r>
      <w:r w:rsidR="001703E8" w:rsidRPr="006A64EE">
        <w:t xml:space="preserve"> </w:t>
      </w:r>
      <w:r w:rsidRPr="006A64EE">
        <w:t>(28 % - 34 %), verglichen mit 1 % – 12 % der Patienten in der Kontrollgruppe. In Studie II erreichten 65 % der Patienten in Woche 104 einen DAS28 von &lt; 2,6 verglichen mit 48 % der Patienten in Woche 52 und 33 % der Patienten in Woche 24.</w:t>
      </w:r>
    </w:p>
    <w:p w14:paraId="51FB34AD" w14:textId="77777777" w:rsidR="00093A5E" w:rsidRPr="006A64EE" w:rsidRDefault="00093A5E" w:rsidP="004255F8">
      <w:pPr>
        <w:pStyle w:val="a3"/>
        <w:widowControl/>
      </w:pPr>
    </w:p>
    <w:p w14:paraId="5832BFC4" w14:textId="72392ACD" w:rsidR="00093A5E" w:rsidRPr="006A64EE" w:rsidRDefault="009C2544" w:rsidP="004255F8">
      <w:pPr>
        <w:pStyle w:val="a3"/>
        <w:widowControl/>
      </w:pPr>
      <w:r w:rsidRPr="006A64EE">
        <w:t>In den zusammengefassten Daten aus den Studien II, III und IV lag der Anteil der Patienten, die ein ACR 20, 50 und 70 Ansprechen erreichten, in der Gruppe, die mit 8</w:t>
      </w:r>
      <w:r w:rsidR="002870CF">
        <w:t> </w:t>
      </w:r>
      <w:r w:rsidRPr="006A64EE">
        <w:t xml:space="preserve">mg/kg Tocilizumab plus DMARD behandelt wurde, signifikant höher (59 % </w:t>
      </w:r>
      <w:r w:rsidRPr="006A64EE">
        <w:rPr>
          <w:i/>
        </w:rPr>
        <w:t xml:space="preserve">vs. </w:t>
      </w:r>
      <w:r w:rsidRPr="006A64EE">
        <w:t xml:space="preserve">50 %, 37 % </w:t>
      </w:r>
      <w:r w:rsidRPr="006A64EE">
        <w:rPr>
          <w:i/>
        </w:rPr>
        <w:t xml:space="preserve">vs. </w:t>
      </w:r>
      <w:r w:rsidRPr="006A64EE">
        <w:t xml:space="preserve">27 %, 18 % </w:t>
      </w:r>
      <w:r w:rsidRPr="006A64EE">
        <w:rPr>
          <w:i/>
        </w:rPr>
        <w:t xml:space="preserve">vs. </w:t>
      </w:r>
      <w:r w:rsidRPr="006A64EE">
        <w:t>11 %) als bei der, die mit 4</w:t>
      </w:r>
      <w:r w:rsidR="002870CF">
        <w:t> </w:t>
      </w:r>
      <w:r w:rsidRPr="006A64EE">
        <w:t>mg/kg Tocilizumab plus DMARD behandelt wurde (p &lt; 0,03). Der Anteil der Patienten, die eine DAS28-Remission (DAS28 &lt; 2,6) erreichten, lag bei Patienten, die Tocilizumab 8</w:t>
      </w:r>
      <w:r w:rsidR="002870CF">
        <w:t> </w:t>
      </w:r>
      <w:r w:rsidRPr="006A64EE">
        <w:t xml:space="preserve">mg/kg plus DMARD erhielten, ebenso signifikant höher (31 % </w:t>
      </w:r>
      <w:r w:rsidRPr="006A64EE">
        <w:rPr>
          <w:i/>
        </w:rPr>
        <w:t xml:space="preserve">vs. </w:t>
      </w:r>
      <w:r w:rsidRPr="006A64EE">
        <w:t>16 %) als bei Patienten, die Tocilizumab</w:t>
      </w:r>
      <w:r w:rsidR="001703E8" w:rsidRPr="006A64EE">
        <w:t xml:space="preserve"> </w:t>
      </w:r>
      <w:r w:rsidRPr="006A64EE">
        <w:t>4</w:t>
      </w:r>
      <w:r w:rsidR="004D07A5">
        <w:t> </w:t>
      </w:r>
      <w:r w:rsidRPr="006A64EE">
        <w:t>mg/kg plus DMARD erhielten (p &lt; 0,0001).</w:t>
      </w:r>
    </w:p>
    <w:p w14:paraId="2DF39F57" w14:textId="77777777" w:rsidR="00093A5E" w:rsidRPr="006A64EE" w:rsidRDefault="00093A5E" w:rsidP="004255F8">
      <w:pPr>
        <w:widowControl/>
      </w:pPr>
    </w:p>
    <w:p w14:paraId="5B9D63B3" w14:textId="77777777" w:rsidR="00093A5E" w:rsidRPr="006A64EE" w:rsidRDefault="007D680A" w:rsidP="004255F8">
      <w:pPr>
        <w:pStyle w:val="Tabletittle"/>
      </w:pPr>
      <w:r w:rsidRPr="006A64EE">
        <w:t>Tabelle 4:</w:t>
      </w:r>
      <w:r w:rsidR="00902F78" w:rsidRPr="006A64EE">
        <w:tab/>
      </w:r>
      <w:r w:rsidRPr="006A64EE">
        <w:t>ACR-Ansprechen in kontrollierten Studien mit Placebo/MTX/DMARD (% Patienten)</w:t>
      </w:r>
    </w:p>
    <w:p w14:paraId="6AF36A99" w14:textId="76349DFA" w:rsidR="002D5756" w:rsidRPr="006A64EE" w:rsidRDefault="002D5756" w:rsidP="004255F8">
      <w:pPr>
        <w:pStyle w:val="a3"/>
        <w:widowControl/>
        <w:rPr>
          <w:i/>
        </w:rPr>
      </w:pPr>
    </w:p>
    <w:tbl>
      <w:tblPr>
        <w:tblW w:w="9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778"/>
        <w:gridCol w:w="893"/>
        <w:gridCol w:w="881"/>
        <w:gridCol w:w="1041"/>
        <w:gridCol w:w="707"/>
        <w:gridCol w:w="990"/>
        <w:gridCol w:w="750"/>
        <w:gridCol w:w="990"/>
        <w:gridCol w:w="992"/>
        <w:gridCol w:w="990"/>
        <w:gridCol w:w="716"/>
      </w:tblGrid>
      <w:tr w:rsidR="00593482" w:rsidRPr="006A64EE" w14:paraId="7787D8FC" w14:textId="77777777" w:rsidTr="00DD1688">
        <w:trPr>
          <w:cantSplit/>
        </w:trPr>
        <w:tc>
          <w:tcPr>
            <w:tcW w:w="778" w:type="dxa"/>
          </w:tcPr>
          <w:p w14:paraId="174D5A0F" w14:textId="77777777" w:rsidR="002D5756" w:rsidRPr="006A64EE" w:rsidRDefault="002D5756" w:rsidP="004255F8">
            <w:pPr>
              <w:pStyle w:val="TableParagraph"/>
              <w:widowControl/>
              <w:suppressAutoHyphens/>
              <w:jc w:val="center"/>
              <w:rPr>
                <w:sz w:val="20"/>
                <w:szCs w:val="20"/>
              </w:rPr>
            </w:pPr>
          </w:p>
        </w:tc>
        <w:tc>
          <w:tcPr>
            <w:tcW w:w="1774" w:type="dxa"/>
            <w:gridSpan w:val="2"/>
          </w:tcPr>
          <w:p w14:paraId="5A8704C9" w14:textId="77777777" w:rsidR="00093A5E" w:rsidRPr="006A64EE" w:rsidRDefault="009C2544" w:rsidP="004255F8">
            <w:pPr>
              <w:pStyle w:val="TableParagraph"/>
              <w:widowControl/>
              <w:suppressAutoHyphens/>
              <w:jc w:val="center"/>
              <w:rPr>
                <w:b/>
                <w:sz w:val="20"/>
                <w:szCs w:val="20"/>
              </w:rPr>
            </w:pPr>
            <w:r w:rsidRPr="006A64EE">
              <w:rPr>
                <w:b/>
                <w:sz w:val="20"/>
                <w:szCs w:val="20"/>
              </w:rPr>
              <w:t>Studie I</w:t>
            </w:r>
          </w:p>
          <w:p w14:paraId="0D84A946" w14:textId="4006A8D0" w:rsidR="002D5756" w:rsidRPr="006A64EE" w:rsidRDefault="009C2544" w:rsidP="004255F8">
            <w:pPr>
              <w:pStyle w:val="TableParagraph"/>
              <w:widowControl/>
              <w:suppressAutoHyphens/>
              <w:jc w:val="center"/>
              <w:rPr>
                <w:b/>
                <w:sz w:val="20"/>
                <w:szCs w:val="20"/>
              </w:rPr>
            </w:pPr>
            <w:r w:rsidRPr="006A64EE">
              <w:rPr>
                <w:b/>
                <w:sz w:val="20"/>
                <w:szCs w:val="20"/>
              </w:rPr>
              <w:t>AMBITION</w:t>
            </w:r>
          </w:p>
        </w:tc>
        <w:tc>
          <w:tcPr>
            <w:tcW w:w="1748" w:type="dxa"/>
            <w:gridSpan w:val="2"/>
          </w:tcPr>
          <w:p w14:paraId="17FA8C52" w14:textId="77777777" w:rsidR="00093A5E" w:rsidRPr="006A64EE" w:rsidRDefault="009C2544" w:rsidP="004255F8">
            <w:pPr>
              <w:pStyle w:val="TableParagraph"/>
              <w:widowControl/>
              <w:suppressAutoHyphens/>
              <w:jc w:val="center"/>
              <w:rPr>
                <w:b/>
                <w:sz w:val="20"/>
                <w:szCs w:val="20"/>
              </w:rPr>
            </w:pPr>
            <w:r w:rsidRPr="006A64EE">
              <w:rPr>
                <w:b/>
                <w:sz w:val="20"/>
                <w:szCs w:val="20"/>
              </w:rPr>
              <w:t>Studie II</w:t>
            </w:r>
          </w:p>
          <w:p w14:paraId="355EA245" w14:textId="08CF68F7" w:rsidR="002D5756" w:rsidRPr="006A64EE" w:rsidRDefault="009C2544" w:rsidP="004255F8">
            <w:pPr>
              <w:pStyle w:val="TableParagraph"/>
              <w:widowControl/>
              <w:suppressAutoHyphens/>
              <w:jc w:val="center"/>
              <w:rPr>
                <w:b/>
                <w:sz w:val="20"/>
                <w:szCs w:val="20"/>
              </w:rPr>
            </w:pPr>
            <w:r w:rsidRPr="006A64EE">
              <w:rPr>
                <w:b/>
                <w:sz w:val="20"/>
                <w:szCs w:val="20"/>
              </w:rPr>
              <w:t>LITHE</w:t>
            </w:r>
          </w:p>
        </w:tc>
        <w:tc>
          <w:tcPr>
            <w:tcW w:w="1740" w:type="dxa"/>
            <w:gridSpan w:val="2"/>
          </w:tcPr>
          <w:p w14:paraId="6D19F15A" w14:textId="77777777" w:rsidR="00093A5E" w:rsidRPr="006A64EE" w:rsidRDefault="009C2544" w:rsidP="004255F8">
            <w:pPr>
              <w:pStyle w:val="TableParagraph"/>
              <w:widowControl/>
              <w:suppressAutoHyphens/>
              <w:jc w:val="center"/>
              <w:rPr>
                <w:b/>
                <w:sz w:val="20"/>
                <w:szCs w:val="20"/>
              </w:rPr>
            </w:pPr>
            <w:r w:rsidRPr="006A64EE">
              <w:rPr>
                <w:b/>
                <w:sz w:val="20"/>
                <w:szCs w:val="20"/>
              </w:rPr>
              <w:t>Studie III</w:t>
            </w:r>
          </w:p>
          <w:p w14:paraId="0A84019E" w14:textId="01E5EF4C" w:rsidR="002D5756" w:rsidRPr="006A64EE" w:rsidRDefault="009C2544" w:rsidP="004255F8">
            <w:pPr>
              <w:pStyle w:val="TableParagraph"/>
              <w:widowControl/>
              <w:suppressAutoHyphens/>
              <w:jc w:val="center"/>
              <w:rPr>
                <w:b/>
                <w:sz w:val="20"/>
                <w:szCs w:val="20"/>
              </w:rPr>
            </w:pPr>
            <w:r w:rsidRPr="006A64EE">
              <w:rPr>
                <w:b/>
                <w:sz w:val="20"/>
                <w:szCs w:val="20"/>
              </w:rPr>
              <w:t>OPTION</w:t>
            </w:r>
          </w:p>
        </w:tc>
        <w:tc>
          <w:tcPr>
            <w:tcW w:w="1982" w:type="dxa"/>
            <w:gridSpan w:val="2"/>
          </w:tcPr>
          <w:p w14:paraId="7E17CC8B" w14:textId="77777777" w:rsidR="00093A5E" w:rsidRPr="006A64EE" w:rsidRDefault="009C2544" w:rsidP="004255F8">
            <w:pPr>
              <w:pStyle w:val="TableParagraph"/>
              <w:widowControl/>
              <w:suppressAutoHyphens/>
              <w:jc w:val="center"/>
              <w:rPr>
                <w:b/>
                <w:sz w:val="20"/>
                <w:szCs w:val="20"/>
              </w:rPr>
            </w:pPr>
            <w:r w:rsidRPr="006A64EE">
              <w:rPr>
                <w:b/>
                <w:sz w:val="20"/>
                <w:szCs w:val="20"/>
              </w:rPr>
              <w:t>Studie IV</w:t>
            </w:r>
          </w:p>
          <w:p w14:paraId="053EC7FE" w14:textId="174CF320" w:rsidR="002D5756" w:rsidRPr="006A64EE" w:rsidRDefault="009C2544" w:rsidP="004255F8">
            <w:pPr>
              <w:pStyle w:val="TableParagraph"/>
              <w:widowControl/>
              <w:suppressAutoHyphens/>
              <w:jc w:val="center"/>
              <w:rPr>
                <w:b/>
                <w:sz w:val="20"/>
                <w:szCs w:val="20"/>
              </w:rPr>
            </w:pPr>
            <w:r w:rsidRPr="006A64EE">
              <w:rPr>
                <w:b/>
                <w:sz w:val="20"/>
                <w:szCs w:val="20"/>
              </w:rPr>
              <w:t>TOWARD</w:t>
            </w:r>
          </w:p>
        </w:tc>
        <w:tc>
          <w:tcPr>
            <w:tcW w:w="1706" w:type="dxa"/>
            <w:gridSpan w:val="2"/>
          </w:tcPr>
          <w:p w14:paraId="3ECDDBE3" w14:textId="77777777" w:rsidR="00093A5E" w:rsidRPr="006A64EE" w:rsidRDefault="009C2544" w:rsidP="004255F8">
            <w:pPr>
              <w:pStyle w:val="TableParagraph"/>
              <w:widowControl/>
              <w:suppressAutoHyphens/>
              <w:jc w:val="center"/>
              <w:rPr>
                <w:b/>
                <w:sz w:val="20"/>
                <w:szCs w:val="20"/>
              </w:rPr>
            </w:pPr>
            <w:r w:rsidRPr="006A64EE">
              <w:rPr>
                <w:b/>
                <w:sz w:val="20"/>
                <w:szCs w:val="20"/>
              </w:rPr>
              <w:t>Studie V</w:t>
            </w:r>
          </w:p>
          <w:p w14:paraId="548B1A96" w14:textId="720ED9FE" w:rsidR="002D5756" w:rsidRPr="006A64EE" w:rsidRDefault="009C2544" w:rsidP="004255F8">
            <w:pPr>
              <w:pStyle w:val="TableParagraph"/>
              <w:widowControl/>
              <w:suppressAutoHyphens/>
              <w:jc w:val="center"/>
              <w:rPr>
                <w:b/>
                <w:sz w:val="20"/>
                <w:szCs w:val="20"/>
              </w:rPr>
            </w:pPr>
            <w:r w:rsidRPr="006A64EE">
              <w:rPr>
                <w:b/>
                <w:sz w:val="20"/>
                <w:szCs w:val="20"/>
              </w:rPr>
              <w:t>RADIATE</w:t>
            </w:r>
          </w:p>
        </w:tc>
      </w:tr>
      <w:tr w:rsidR="00593482" w:rsidRPr="006A64EE" w14:paraId="75E535EB" w14:textId="77777777" w:rsidTr="00DD1688">
        <w:trPr>
          <w:cantSplit/>
        </w:trPr>
        <w:tc>
          <w:tcPr>
            <w:tcW w:w="778" w:type="dxa"/>
          </w:tcPr>
          <w:p w14:paraId="319C3C5A" w14:textId="77777777" w:rsidR="002D5756" w:rsidRPr="006A64EE" w:rsidRDefault="009C2544" w:rsidP="004255F8">
            <w:pPr>
              <w:pStyle w:val="TableParagraph"/>
              <w:widowControl/>
              <w:suppressAutoHyphens/>
              <w:jc w:val="center"/>
              <w:rPr>
                <w:sz w:val="20"/>
                <w:szCs w:val="20"/>
              </w:rPr>
            </w:pPr>
            <w:r w:rsidRPr="006A64EE">
              <w:rPr>
                <w:sz w:val="20"/>
                <w:szCs w:val="20"/>
              </w:rPr>
              <w:t>Woche</w:t>
            </w:r>
          </w:p>
        </w:tc>
        <w:tc>
          <w:tcPr>
            <w:tcW w:w="893" w:type="dxa"/>
            <w:vAlign w:val="center"/>
          </w:tcPr>
          <w:p w14:paraId="1CBCB988"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6812659E" w14:textId="162BE613" w:rsidR="002D5756" w:rsidRPr="006A64EE" w:rsidRDefault="009C2544" w:rsidP="004255F8">
            <w:pPr>
              <w:pStyle w:val="TableParagraph"/>
              <w:widowControl/>
              <w:suppressAutoHyphens/>
              <w:jc w:val="center"/>
              <w:rPr>
                <w:b/>
                <w:sz w:val="20"/>
                <w:szCs w:val="20"/>
              </w:rPr>
            </w:pPr>
            <w:r w:rsidRPr="006A64EE">
              <w:rPr>
                <w:b/>
                <w:sz w:val="20"/>
                <w:szCs w:val="20"/>
              </w:rPr>
              <w:t>8</w:t>
            </w:r>
            <w:r w:rsidR="002870CF">
              <w:rPr>
                <w:b/>
                <w:sz w:val="20"/>
                <w:szCs w:val="20"/>
              </w:rPr>
              <w:t> </w:t>
            </w:r>
            <w:r w:rsidRPr="006A64EE">
              <w:rPr>
                <w:b/>
                <w:sz w:val="20"/>
                <w:szCs w:val="20"/>
              </w:rPr>
              <w:t>mg/kg</w:t>
            </w:r>
          </w:p>
        </w:tc>
        <w:tc>
          <w:tcPr>
            <w:tcW w:w="881" w:type="dxa"/>
            <w:vAlign w:val="center"/>
          </w:tcPr>
          <w:p w14:paraId="24D151DD" w14:textId="77777777" w:rsidR="002D5756" w:rsidRPr="006A64EE" w:rsidRDefault="009C2544" w:rsidP="004255F8">
            <w:pPr>
              <w:pStyle w:val="TableParagraph"/>
              <w:widowControl/>
              <w:suppressAutoHyphens/>
              <w:jc w:val="center"/>
              <w:rPr>
                <w:b/>
                <w:sz w:val="20"/>
                <w:szCs w:val="20"/>
              </w:rPr>
            </w:pPr>
            <w:r w:rsidRPr="006A64EE">
              <w:rPr>
                <w:b/>
                <w:sz w:val="20"/>
                <w:szCs w:val="20"/>
              </w:rPr>
              <w:t>MTX</w:t>
            </w:r>
          </w:p>
        </w:tc>
        <w:tc>
          <w:tcPr>
            <w:tcW w:w="1041" w:type="dxa"/>
            <w:vAlign w:val="center"/>
          </w:tcPr>
          <w:p w14:paraId="4CE71E03"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2D333460" w14:textId="2D261416" w:rsidR="002D5756" w:rsidRPr="006A64EE" w:rsidRDefault="009C2544" w:rsidP="004255F8">
            <w:pPr>
              <w:pStyle w:val="TableParagraph"/>
              <w:widowControl/>
              <w:suppressAutoHyphens/>
              <w:jc w:val="center"/>
              <w:rPr>
                <w:b/>
                <w:sz w:val="20"/>
                <w:szCs w:val="20"/>
              </w:rPr>
            </w:pPr>
            <w:r w:rsidRPr="006A64EE">
              <w:rPr>
                <w:b/>
                <w:sz w:val="20"/>
                <w:szCs w:val="20"/>
              </w:rPr>
              <w:t>8</w:t>
            </w:r>
            <w:r w:rsidR="002870CF">
              <w:rPr>
                <w:b/>
                <w:sz w:val="20"/>
                <w:szCs w:val="20"/>
              </w:rPr>
              <w:t> </w:t>
            </w:r>
            <w:r w:rsidRPr="006A64EE">
              <w:rPr>
                <w:b/>
                <w:sz w:val="20"/>
                <w:szCs w:val="20"/>
              </w:rPr>
              <w:t>mg/kg + MTX</w:t>
            </w:r>
          </w:p>
        </w:tc>
        <w:tc>
          <w:tcPr>
            <w:tcW w:w="707" w:type="dxa"/>
            <w:vAlign w:val="center"/>
          </w:tcPr>
          <w:p w14:paraId="206D2224" w14:textId="77777777" w:rsidR="002D5756" w:rsidRPr="006A64EE" w:rsidRDefault="009C2544" w:rsidP="004255F8">
            <w:pPr>
              <w:pStyle w:val="TableParagraph"/>
              <w:widowControl/>
              <w:suppressAutoHyphens/>
              <w:jc w:val="center"/>
              <w:rPr>
                <w:b/>
                <w:sz w:val="20"/>
                <w:szCs w:val="20"/>
              </w:rPr>
            </w:pPr>
            <w:r w:rsidRPr="006A64EE">
              <w:rPr>
                <w:b/>
                <w:sz w:val="20"/>
                <w:szCs w:val="20"/>
              </w:rPr>
              <w:t>PBO + MTX</w:t>
            </w:r>
          </w:p>
        </w:tc>
        <w:tc>
          <w:tcPr>
            <w:tcW w:w="990" w:type="dxa"/>
            <w:vAlign w:val="center"/>
          </w:tcPr>
          <w:p w14:paraId="4D6260B3"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076D337C" w14:textId="28DD57C6" w:rsidR="002D5756" w:rsidRPr="006A64EE" w:rsidRDefault="009C2544" w:rsidP="004255F8">
            <w:pPr>
              <w:pStyle w:val="TableParagraph"/>
              <w:widowControl/>
              <w:suppressAutoHyphens/>
              <w:jc w:val="center"/>
              <w:rPr>
                <w:b/>
                <w:sz w:val="20"/>
                <w:szCs w:val="20"/>
              </w:rPr>
            </w:pPr>
            <w:r w:rsidRPr="006A64EE">
              <w:rPr>
                <w:b/>
                <w:sz w:val="20"/>
                <w:szCs w:val="20"/>
              </w:rPr>
              <w:t>8</w:t>
            </w:r>
            <w:r w:rsidR="002870CF">
              <w:rPr>
                <w:b/>
                <w:sz w:val="20"/>
                <w:szCs w:val="20"/>
              </w:rPr>
              <w:t> </w:t>
            </w:r>
            <w:r w:rsidRPr="006A64EE">
              <w:rPr>
                <w:b/>
                <w:sz w:val="20"/>
                <w:szCs w:val="20"/>
              </w:rPr>
              <w:t>mg/kg + MTX</w:t>
            </w:r>
          </w:p>
        </w:tc>
        <w:tc>
          <w:tcPr>
            <w:tcW w:w="750" w:type="dxa"/>
            <w:vAlign w:val="center"/>
          </w:tcPr>
          <w:p w14:paraId="61FA52C3" w14:textId="77777777" w:rsidR="00093A5E" w:rsidRPr="006A64EE" w:rsidRDefault="009C2544" w:rsidP="004255F8">
            <w:pPr>
              <w:pStyle w:val="TableParagraph"/>
              <w:widowControl/>
              <w:suppressAutoHyphens/>
              <w:jc w:val="center"/>
              <w:rPr>
                <w:b/>
                <w:sz w:val="20"/>
                <w:szCs w:val="20"/>
              </w:rPr>
            </w:pPr>
            <w:r w:rsidRPr="006A64EE">
              <w:rPr>
                <w:b/>
                <w:sz w:val="20"/>
                <w:szCs w:val="20"/>
              </w:rPr>
              <w:t>PBO</w:t>
            </w:r>
          </w:p>
          <w:p w14:paraId="19E5A11D" w14:textId="52249F26" w:rsidR="002D5756" w:rsidRPr="006A64EE" w:rsidRDefault="009C2544" w:rsidP="004255F8">
            <w:pPr>
              <w:pStyle w:val="TableParagraph"/>
              <w:widowControl/>
              <w:suppressAutoHyphens/>
              <w:jc w:val="center"/>
              <w:rPr>
                <w:b/>
                <w:sz w:val="20"/>
                <w:szCs w:val="20"/>
              </w:rPr>
            </w:pPr>
            <w:r w:rsidRPr="006A64EE">
              <w:rPr>
                <w:b/>
                <w:sz w:val="20"/>
                <w:szCs w:val="20"/>
              </w:rPr>
              <w:t>+ MTX</w:t>
            </w:r>
          </w:p>
        </w:tc>
        <w:tc>
          <w:tcPr>
            <w:tcW w:w="990" w:type="dxa"/>
            <w:vAlign w:val="center"/>
          </w:tcPr>
          <w:p w14:paraId="26A7DD6A"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76AD2D0C" w14:textId="4E7D2138" w:rsidR="002D5756" w:rsidRPr="006A64EE" w:rsidRDefault="009C2544" w:rsidP="004255F8">
            <w:pPr>
              <w:pStyle w:val="TableParagraph"/>
              <w:widowControl/>
              <w:suppressAutoHyphens/>
              <w:jc w:val="center"/>
              <w:rPr>
                <w:b/>
                <w:sz w:val="20"/>
                <w:szCs w:val="20"/>
              </w:rPr>
            </w:pPr>
            <w:r w:rsidRPr="006A64EE">
              <w:rPr>
                <w:b/>
                <w:sz w:val="20"/>
                <w:szCs w:val="20"/>
              </w:rPr>
              <w:t>8</w:t>
            </w:r>
            <w:r w:rsidR="002870CF">
              <w:rPr>
                <w:b/>
                <w:sz w:val="20"/>
                <w:szCs w:val="20"/>
              </w:rPr>
              <w:t> </w:t>
            </w:r>
            <w:r w:rsidRPr="006A64EE">
              <w:rPr>
                <w:b/>
                <w:sz w:val="20"/>
                <w:szCs w:val="20"/>
              </w:rPr>
              <w:t>mg/kg + DMARD</w:t>
            </w:r>
          </w:p>
        </w:tc>
        <w:tc>
          <w:tcPr>
            <w:tcW w:w="992" w:type="dxa"/>
            <w:vAlign w:val="center"/>
          </w:tcPr>
          <w:p w14:paraId="6CA62AF4" w14:textId="77777777" w:rsidR="002D5756" w:rsidRPr="006A64EE" w:rsidRDefault="009C2544" w:rsidP="004255F8">
            <w:pPr>
              <w:pStyle w:val="TableParagraph"/>
              <w:widowControl/>
              <w:suppressAutoHyphens/>
              <w:jc w:val="center"/>
              <w:rPr>
                <w:b/>
                <w:sz w:val="20"/>
                <w:szCs w:val="20"/>
              </w:rPr>
            </w:pPr>
            <w:r w:rsidRPr="006A64EE">
              <w:rPr>
                <w:b/>
                <w:sz w:val="20"/>
                <w:szCs w:val="20"/>
              </w:rPr>
              <w:t>PBO + DMARD</w:t>
            </w:r>
          </w:p>
        </w:tc>
        <w:tc>
          <w:tcPr>
            <w:tcW w:w="990" w:type="dxa"/>
            <w:vAlign w:val="center"/>
          </w:tcPr>
          <w:p w14:paraId="5F012BB3"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28440303" w14:textId="31703677" w:rsidR="002D5756" w:rsidRPr="006A64EE" w:rsidRDefault="009C2544" w:rsidP="004255F8">
            <w:pPr>
              <w:pStyle w:val="TableParagraph"/>
              <w:widowControl/>
              <w:suppressAutoHyphens/>
              <w:jc w:val="center"/>
              <w:rPr>
                <w:b/>
                <w:sz w:val="20"/>
                <w:szCs w:val="20"/>
              </w:rPr>
            </w:pPr>
            <w:r w:rsidRPr="006A64EE">
              <w:rPr>
                <w:b/>
                <w:sz w:val="20"/>
                <w:szCs w:val="20"/>
              </w:rPr>
              <w:t>8</w:t>
            </w:r>
            <w:r w:rsidR="002870CF">
              <w:rPr>
                <w:b/>
                <w:sz w:val="20"/>
                <w:szCs w:val="20"/>
              </w:rPr>
              <w:t> </w:t>
            </w:r>
            <w:r w:rsidRPr="006A64EE">
              <w:rPr>
                <w:b/>
                <w:sz w:val="20"/>
                <w:szCs w:val="20"/>
              </w:rPr>
              <w:t>mg/kg + MTX</w:t>
            </w:r>
          </w:p>
        </w:tc>
        <w:tc>
          <w:tcPr>
            <w:tcW w:w="716" w:type="dxa"/>
            <w:vAlign w:val="center"/>
          </w:tcPr>
          <w:p w14:paraId="54344FC6" w14:textId="77777777" w:rsidR="002D5756" w:rsidRPr="006A64EE" w:rsidRDefault="009C2544" w:rsidP="004255F8">
            <w:pPr>
              <w:pStyle w:val="TableParagraph"/>
              <w:widowControl/>
              <w:suppressAutoHyphens/>
              <w:jc w:val="center"/>
              <w:rPr>
                <w:b/>
                <w:sz w:val="20"/>
                <w:szCs w:val="20"/>
              </w:rPr>
            </w:pPr>
            <w:r w:rsidRPr="006A64EE">
              <w:rPr>
                <w:b/>
                <w:sz w:val="20"/>
                <w:szCs w:val="20"/>
              </w:rPr>
              <w:t>PBO + MTX</w:t>
            </w:r>
          </w:p>
        </w:tc>
      </w:tr>
      <w:tr w:rsidR="00593482" w:rsidRPr="006A64EE" w14:paraId="292E2E27" w14:textId="77777777" w:rsidTr="00DD1688">
        <w:trPr>
          <w:cantSplit/>
        </w:trPr>
        <w:tc>
          <w:tcPr>
            <w:tcW w:w="778" w:type="dxa"/>
          </w:tcPr>
          <w:p w14:paraId="75527426" w14:textId="77777777" w:rsidR="002D5756" w:rsidRPr="006A64EE" w:rsidRDefault="002D5756" w:rsidP="004255F8">
            <w:pPr>
              <w:pStyle w:val="TableParagraph"/>
              <w:widowControl/>
              <w:suppressAutoHyphens/>
              <w:jc w:val="center"/>
              <w:rPr>
                <w:sz w:val="20"/>
                <w:szCs w:val="20"/>
              </w:rPr>
            </w:pPr>
          </w:p>
        </w:tc>
        <w:tc>
          <w:tcPr>
            <w:tcW w:w="893" w:type="dxa"/>
            <w:vAlign w:val="center"/>
          </w:tcPr>
          <w:p w14:paraId="773ED8B4" w14:textId="77777777" w:rsidR="002D5756" w:rsidRPr="006A64EE" w:rsidRDefault="009C2544" w:rsidP="004255F8">
            <w:pPr>
              <w:pStyle w:val="TableParagraph"/>
              <w:widowControl/>
              <w:suppressAutoHyphens/>
              <w:jc w:val="center"/>
              <w:rPr>
                <w:b/>
                <w:sz w:val="20"/>
                <w:szCs w:val="20"/>
              </w:rPr>
            </w:pPr>
            <w:r w:rsidRPr="006A64EE">
              <w:rPr>
                <w:b/>
                <w:sz w:val="20"/>
                <w:szCs w:val="20"/>
              </w:rPr>
              <w:t>n = 286</w:t>
            </w:r>
          </w:p>
        </w:tc>
        <w:tc>
          <w:tcPr>
            <w:tcW w:w="881" w:type="dxa"/>
            <w:vAlign w:val="center"/>
          </w:tcPr>
          <w:p w14:paraId="410C57D1" w14:textId="77777777" w:rsidR="002D5756" w:rsidRPr="006A64EE" w:rsidRDefault="009C2544" w:rsidP="004255F8">
            <w:pPr>
              <w:pStyle w:val="TableParagraph"/>
              <w:widowControl/>
              <w:suppressAutoHyphens/>
              <w:jc w:val="center"/>
              <w:rPr>
                <w:b/>
                <w:sz w:val="20"/>
                <w:szCs w:val="20"/>
              </w:rPr>
            </w:pPr>
            <w:r w:rsidRPr="006A64EE">
              <w:rPr>
                <w:b/>
                <w:sz w:val="20"/>
                <w:szCs w:val="20"/>
              </w:rPr>
              <w:t>n = 284</w:t>
            </w:r>
          </w:p>
        </w:tc>
        <w:tc>
          <w:tcPr>
            <w:tcW w:w="1041" w:type="dxa"/>
            <w:vAlign w:val="center"/>
          </w:tcPr>
          <w:p w14:paraId="1191D275" w14:textId="77777777" w:rsidR="002D5756" w:rsidRPr="006A64EE" w:rsidRDefault="009C2544" w:rsidP="004255F8">
            <w:pPr>
              <w:pStyle w:val="TableParagraph"/>
              <w:widowControl/>
              <w:suppressAutoHyphens/>
              <w:jc w:val="center"/>
              <w:rPr>
                <w:b/>
                <w:sz w:val="20"/>
                <w:szCs w:val="20"/>
              </w:rPr>
            </w:pPr>
            <w:r w:rsidRPr="006A64EE">
              <w:rPr>
                <w:b/>
                <w:sz w:val="20"/>
                <w:szCs w:val="20"/>
              </w:rPr>
              <w:t>n = 398</w:t>
            </w:r>
          </w:p>
        </w:tc>
        <w:tc>
          <w:tcPr>
            <w:tcW w:w="707" w:type="dxa"/>
            <w:vAlign w:val="center"/>
          </w:tcPr>
          <w:p w14:paraId="22438AB4" w14:textId="77777777" w:rsidR="002D5756" w:rsidRPr="006A64EE" w:rsidRDefault="009C2544" w:rsidP="004255F8">
            <w:pPr>
              <w:pStyle w:val="TableParagraph"/>
              <w:widowControl/>
              <w:suppressAutoHyphens/>
              <w:jc w:val="center"/>
              <w:rPr>
                <w:b/>
                <w:sz w:val="20"/>
                <w:szCs w:val="20"/>
              </w:rPr>
            </w:pPr>
            <w:r w:rsidRPr="006A64EE">
              <w:rPr>
                <w:b/>
                <w:sz w:val="20"/>
                <w:szCs w:val="20"/>
              </w:rPr>
              <w:t>n = 393</w:t>
            </w:r>
          </w:p>
        </w:tc>
        <w:tc>
          <w:tcPr>
            <w:tcW w:w="990" w:type="dxa"/>
            <w:vAlign w:val="center"/>
          </w:tcPr>
          <w:p w14:paraId="142CD7B6" w14:textId="77777777" w:rsidR="002D5756" w:rsidRPr="006A64EE" w:rsidRDefault="009C2544" w:rsidP="004255F8">
            <w:pPr>
              <w:pStyle w:val="TableParagraph"/>
              <w:widowControl/>
              <w:suppressAutoHyphens/>
              <w:jc w:val="center"/>
              <w:rPr>
                <w:b/>
                <w:sz w:val="20"/>
                <w:szCs w:val="20"/>
              </w:rPr>
            </w:pPr>
            <w:r w:rsidRPr="006A64EE">
              <w:rPr>
                <w:b/>
                <w:sz w:val="20"/>
                <w:szCs w:val="20"/>
              </w:rPr>
              <w:t>n = 205</w:t>
            </w:r>
          </w:p>
        </w:tc>
        <w:tc>
          <w:tcPr>
            <w:tcW w:w="750" w:type="dxa"/>
            <w:vAlign w:val="center"/>
          </w:tcPr>
          <w:p w14:paraId="175C1D10" w14:textId="77777777" w:rsidR="002D5756" w:rsidRPr="006A64EE" w:rsidRDefault="009C2544" w:rsidP="004255F8">
            <w:pPr>
              <w:pStyle w:val="TableParagraph"/>
              <w:widowControl/>
              <w:suppressAutoHyphens/>
              <w:jc w:val="center"/>
              <w:rPr>
                <w:b/>
                <w:sz w:val="20"/>
                <w:szCs w:val="20"/>
              </w:rPr>
            </w:pPr>
            <w:r w:rsidRPr="006A64EE">
              <w:rPr>
                <w:b/>
                <w:sz w:val="20"/>
                <w:szCs w:val="20"/>
              </w:rPr>
              <w:t>n = 204</w:t>
            </w:r>
          </w:p>
        </w:tc>
        <w:tc>
          <w:tcPr>
            <w:tcW w:w="990" w:type="dxa"/>
            <w:vAlign w:val="center"/>
          </w:tcPr>
          <w:p w14:paraId="43D3AE47" w14:textId="77777777" w:rsidR="002D5756" w:rsidRPr="006A64EE" w:rsidRDefault="009C2544" w:rsidP="004255F8">
            <w:pPr>
              <w:pStyle w:val="TableParagraph"/>
              <w:widowControl/>
              <w:suppressAutoHyphens/>
              <w:jc w:val="center"/>
              <w:rPr>
                <w:b/>
                <w:sz w:val="20"/>
                <w:szCs w:val="20"/>
              </w:rPr>
            </w:pPr>
            <w:r w:rsidRPr="006A64EE">
              <w:rPr>
                <w:b/>
                <w:sz w:val="20"/>
                <w:szCs w:val="20"/>
              </w:rPr>
              <w:t>n = 803</w:t>
            </w:r>
          </w:p>
        </w:tc>
        <w:tc>
          <w:tcPr>
            <w:tcW w:w="992" w:type="dxa"/>
            <w:vAlign w:val="center"/>
          </w:tcPr>
          <w:p w14:paraId="2AD1ADDD" w14:textId="77777777" w:rsidR="002D5756" w:rsidRPr="006A64EE" w:rsidRDefault="009C2544" w:rsidP="004255F8">
            <w:pPr>
              <w:pStyle w:val="TableParagraph"/>
              <w:widowControl/>
              <w:suppressAutoHyphens/>
              <w:jc w:val="center"/>
              <w:rPr>
                <w:b/>
                <w:sz w:val="20"/>
                <w:szCs w:val="20"/>
              </w:rPr>
            </w:pPr>
            <w:r w:rsidRPr="006A64EE">
              <w:rPr>
                <w:b/>
                <w:sz w:val="20"/>
                <w:szCs w:val="20"/>
              </w:rPr>
              <w:t>n = 413</w:t>
            </w:r>
          </w:p>
        </w:tc>
        <w:tc>
          <w:tcPr>
            <w:tcW w:w="990" w:type="dxa"/>
            <w:vAlign w:val="center"/>
          </w:tcPr>
          <w:p w14:paraId="4907C97B" w14:textId="77777777" w:rsidR="002D5756" w:rsidRPr="006A64EE" w:rsidRDefault="009C2544" w:rsidP="004255F8">
            <w:pPr>
              <w:pStyle w:val="TableParagraph"/>
              <w:widowControl/>
              <w:suppressAutoHyphens/>
              <w:jc w:val="center"/>
              <w:rPr>
                <w:b/>
                <w:sz w:val="20"/>
                <w:szCs w:val="20"/>
              </w:rPr>
            </w:pPr>
            <w:r w:rsidRPr="006A64EE">
              <w:rPr>
                <w:b/>
                <w:sz w:val="20"/>
                <w:szCs w:val="20"/>
              </w:rPr>
              <w:t>n = 170</w:t>
            </w:r>
          </w:p>
        </w:tc>
        <w:tc>
          <w:tcPr>
            <w:tcW w:w="716" w:type="dxa"/>
            <w:vAlign w:val="center"/>
          </w:tcPr>
          <w:p w14:paraId="4AC9577D" w14:textId="77777777" w:rsidR="002D5756" w:rsidRPr="006A64EE" w:rsidRDefault="009C2544" w:rsidP="004255F8">
            <w:pPr>
              <w:pStyle w:val="TableParagraph"/>
              <w:widowControl/>
              <w:suppressAutoHyphens/>
              <w:jc w:val="center"/>
              <w:rPr>
                <w:b/>
                <w:sz w:val="20"/>
                <w:szCs w:val="20"/>
              </w:rPr>
            </w:pPr>
            <w:r w:rsidRPr="006A64EE">
              <w:rPr>
                <w:b/>
                <w:sz w:val="20"/>
                <w:szCs w:val="20"/>
              </w:rPr>
              <w:t>n = 158</w:t>
            </w:r>
          </w:p>
        </w:tc>
      </w:tr>
      <w:tr w:rsidR="00593482" w:rsidRPr="006A64EE" w14:paraId="74C41A2F" w14:textId="77777777" w:rsidTr="00DD1688">
        <w:trPr>
          <w:cantSplit/>
        </w:trPr>
        <w:tc>
          <w:tcPr>
            <w:tcW w:w="9728" w:type="dxa"/>
            <w:gridSpan w:val="11"/>
          </w:tcPr>
          <w:p w14:paraId="6BAD5C8A" w14:textId="77777777" w:rsidR="002D5756" w:rsidRPr="006A64EE" w:rsidRDefault="009C2544" w:rsidP="004255F8">
            <w:pPr>
              <w:pStyle w:val="TableParagraph"/>
              <w:widowControl/>
              <w:suppressAutoHyphens/>
              <w:jc w:val="center"/>
              <w:rPr>
                <w:b/>
                <w:sz w:val="20"/>
                <w:szCs w:val="20"/>
              </w:rPr>
            </w:pPr>
            <w:r w:rsidRPr="006A64EE">
              <w:rPr>
                <w:b/>
                <w:sz w:val="20"/>
                <w:szCs w:val="20"/>
              </w:rPr>
              <w:t>ACR 20</w:t>
            </w:r>
          </w:p>
        </w:tc>
      </w:tr>
      <w:tr w:rsidR="00593482" w:rsidRPr="006A64EE" w14:paraId="21E577BB" w14:textId="77777777" w:rsidTr="00DD1688">
        <w:trPr>
          <w:cantSplit/>
        </w:trPr>
        <w:tc>
          <w:tcPr>
            <w:tcW w:w="778" w:type="dxa"/>
          </w:tcPr>
          <w:p w14:paraId="222D6740" w14:textId="77777777" w:rsidR="002D5756" w:rsidRPr="006A64EE" w:rsidRDefault="009C2544" w:rsidP="004255F8">
            <w:pPr>
              <w:pStyle w:val="TableParagraph"/>
              <w:widowControl/>
              <w:suppressAutoHyphens/>
              <w:jc w:val="center"/>
              <w:rPr>
                <w:sz w:val="20"/>
                <w:szCs w:val="20"/>
              </w:rPr>
            </w:pPr>
            <w:r w:rsidRPr="006A64EE">
              <w:rPr>
                <w:sz w:val="20"/>
                <w:szCs w:val="20"/>
              </w:rPr>
              <w:t>24</w:t>
            </w:r>
          </w:p>
        </w:tc>
        <w:tc>
          <w:tcPr>
            <w:tcW w:w="893" w:type="dxa"/>
          </w:tcPr>
          <w:p w14:paraId="42DEC490" w14:textId="77777777" w:rsidR="002D5756" w:rsidRPr="006A64EE" w:rsidRDefault="009C2544" w:rsidP="004255F8">
            <w:pPr>
              <w:pStyle w:val="TableParagraph"/>
              <w:widowControl/>
              <w:suppressAutoHyphens/>
              <w:jc w:val="center"/>
              <w:rPr>
                <w:sz w:val="20"/>
                <w:szCs w:val="20"/>
              </w:rPr>
            </w:pPr>
            <w:r w:rsidRPr="006A64EE">
              <w:rPr>
                <w:sz w:val="20"/>
                <w:szCs w:val="20"/>
              </w:rPr>
              <w:t>70 %***</w:t>
            </w:r>
          </w:p>
        </w:tc>
        <w:tc>
          <w:tcPr>
            <w:tcW w:w="881" w:type="dxa"/>
          </w:tcPr>
          <w:p w14:paraId="772798A2" w14:textId="77777777" w:rsidR="002D5756" w:rsidRPr="006A64EE" w:rsidRDefault="009C2544" w:rsidP="004255F8">
            <w:pPr>
              <w:pStyle w:val="TableParagraph"/>
              <w:widowControl/>
              <w:suppressAutoHyphens/>
              <w:jc w:val="center"/>
              <w:rPr>
                <w:sz w:val="20"/>
                <w:szCs w:val="20"/>
              </w:rPr>
            </w:pPr>
            <w:r w:rsidRPr="006A64EE">
              <w:rPr>
                <w:sz w:val="20"/>
                <w:szCs w:val="20"/>
              </w:rPr>
              <w:t>52 %</w:t>
            </w:r>
          </w:p>
        </w:tc>
        <w:tc>
          <w:tcPr>
            <w:tcW w:w="1041" w:type="dxa"/>
          </w:tcPr>
          <w:p w14:paraId="45177444" w14:textId="77777777" w:rsidR="002D5756" w:rsidRPr="006A64EE" w:rsidRDefault="009C2544" w:rsidP="004255F8">
            <w:pPr>
              <w:pStyle w:val="TableParagraph"/>
              <w:widowControl/>
              <w:suppressAutoHyphens/>
              <w:jc w:val="center"/>
              <w:rPr>
                <w:sz w:val="20"/>
                <w:szCs w:val="20"/>
              </w:rPr>
            </w:pPr>
            <w:r w:rsidRPr="006A64EE">
              <w:rPr>
                <w:sz w:val="20"/>
                <w:szCs w:val="20"/>
              </w:rPr>
              <w:t>56 %***</w:t>
            </w:r>
          </w:p>
        </w:tc>
        <w:tc>
          <w:tcPr>
            <w:tcW w:w="707" w:type="dxa"/>
          </w:tcPr>
          <w:p w14:paraId="2FD42075" w14:textId="77777777" w:rsidR="002D5756" w:rsidRPr="006A64EE" w:rsidRDefault="009C2544" w:rsidP="004255F8">
            <w:pPr>
              <w:pStyle w:val="TableParagraph"/>
              <w:widowControl/>
              <w:suppressAutoHyphens/>
              <w:jc w:val="center"/>
              <w:rPr>
                <w:sz w:val="20"/>
                <w:szCs w:val="20"/>
              </w:rPr>
            </w:pPr>
            <w:r w:rsidRPr="006A64EE">
              <w:rPr>
                <w:sz w:val="20"/>
                <w:szCs w:val="20"/>
              </w:rPr>
              <w:t>27 %</w:t>
            </w:r>
          </w:p>
        </w:tc>
        <w:tc>
          <w:tcPr>
            <w:tcW w:w="990" w:type="dxa"/>
          </w:tcPr>
          <w:p w14:paraId="77EDF47A" w14:textId="77777777" w:rsidR="002D5756" w:rsidRPr="006A64EE" w:rsidRDefault="009C2544" w:rsidP="004255F8">
            <w:pPr>
              <w:pStyle w:val="TableParagraph"/>
              <w:widowControl/>
              <w:suppressAutoHyphens/>
              <w:jc w:val="center"/>
              <w:rPr>
                <w:sz w:val="20"/>
                <w:szCs w:val="20"/>
              </w:rPr>
            </w:pPr>
            <w:r w:rsidRPr="006A64EE">
              <w:rPr>
                <w:sz w:val="20"/>
                <w:szCs w:val="20"/>
              </w:rPr>
              <w:t>59 %***</w:t>
            </w:r>
          </w:p>
        </w:tc>
        <w:tc>
          <w:tcPr>
            <w:tcW w:w="750" w:type="dxa"/>
          </w:tcPr>
          <w:p w14:paraId="7EC8F390" w14:textId="77777777" w:rsidR="002D5756" w:rsidRPr="006A64EE" w:rsidRDefault="009C2544" w:rsidP="004255F8">
            <w:pPr>
              <w:pStyle w:val="TableParagraph"/>
              <w:widowControl/>
              <w:suppressAutoHyphens/>
              <w:jc w:val="center"/>
              <w:rPr>
                <w:sz w:val="20"/>
                <w:szCs w:val="20"/>
              </w:rPr>
            </w:pPr>
            <w:r w:rsidRPr="006A64EE">
              <w:rPr>
                <w:sz w:val="20"/>
                <w:szCs w:val="20"/>
              </w:rPr>
              <w:t>26 %</w:t>
            </w:r>
          </w:p>
        </w:tc>
        <w:tc>
          <w:tcPr>
            <w:tcW w:w="990" w:type="dxa"/>
          </w:tcPr>
          <w:p w14:paraId="7E34D644" w14:textId="77777777" w:rsidR="002D5756" w:rsidRPr="006A64EE" w:rsidRDefault="009C2544" w:rsidP="004255F8">
            <w:pPr>
              <w:pStyle w:val="TableParagraph"/>
              <w:widowControl/>
              <w:suppressAutoHyphens/>
              <w:jc w:val="center"/>
              <w:rPr>
                <w:sz w:val="20"/>
                <w:szCs w:val="20"/>
              </w:rPr>
            </w:pPr>
            <w:r w:rsidRPr="006A64EE">
              <w:rPr>
                <w:sz w:val="20"/>
                <w:szCs w:val="20"/>
              </w:rPr>
              <w:t>61 %***</w:t>
            </w:r>
          </w:p>
        </w:tc>
        <w:tc>
          <w:tcPr>
            <w:tcW w:w="992" w:type="dxa"/>
          </w:tcPr>
          <w:p w14:paraId="4C0CF1C1" w14:textId="77777777" w:rsidR="002D5756" w:rsidRPr="006A64EE" w:rsidRDefault="009C2544" w:rsidP="004255F8">
            <w:pPr>
              <w:pStyle w:val="TableParagraph"/>
              <w:widowControl/>
              <w:suppressAutoHyphens/>
              <w:jc w:val="center"/>
              <w:rPr>
                <w:sz w:val="20"/>
                <w:szCs w:val="20"/>
              </w:rPr>
            </w:pPr>
            <w:r w:rsidRPr="006A64EE">
              <w:rPr>
                <w:sz w:val="20"/>
                <w:szCs w:val="20"/>
              </w:rPr>
              <w:t>24 %</w:t>
            </w:r>
          </w:p>
        </w:tc>
        <w:tc>
          <w:tcPr>
            <w:tcW w:w="990" w:type="dxa"/>
          </w:tcPr>
          <w:p w14:paraId="27A3471E" w14:textId="77777777" w:rsidR="002D5756" w:rsidRPr="006A64EE" w:rsidRDefault="009C2544" w:rsidP="004255F8">
            <w:pPr>
              <w:pStyle w:val="TableParagraph"/>
              <w:widowControl/>
              <w:suppressAutoHyphens/>
              <w:jc w:val="center"/>
              <w:rPr>
                <w:sz w:val="20"/>
                <w:szCs w:val="20"/>
              </w:rPr>
            </w:pPr>
            <w:r w:rsidRPr="006A64EE">
              <w:rPr>
                <w:sz w:val="20"/>
                <w:szCs w:val="20"/>
              </w:rPr>
              <w:t>50 %***</w:t>
            </w:r>
          </w:p>
        </w:tc>
        <w:tc>
          <w:tcPr>
            <w:tcW w:w="716" w:type="dxa"/>
          </w:tcPr>
          <w:p w14:paraId="3DEC00BF" w14:textId="77777777" w:rsidR="002D5756" w:rsidRPr="006A64EE" w:rsidRDefault="009C2544" w:rsidP="004255F8">
            <w:pPr>
              <w:pStyle w:val="TableParagraph"/>
              <w:widowControl/>
              <w:suppressAutoHyphens/>
              <w:jc w:val="center"/>
              <w:rPr>
                <w:sz w:val="20"/>
                <w:szCs w:val="20"/>
              </w:rPr>
            </w:pPr>
            <w:r w:rsidRPr="006A64EE">
              <w:rPr>
                <w:sz w:val="20"/>
                <w:szCs w:val="20"/>
              </w:rPr>
              <w:t>10 %</w:t>
            </w:r>
          </w:p>
        </w:tc>
      </w:tr>
      <w:tr w:rsidR="00593482" w:rsidRPr="006A64EE" w14:paraId="2BD00280" w14:textId="77777777" w:rsidTr="00DD1688">
        <w:trPr>
          <w:cantSplit/>
        </w:trPr>
        <w:tc>
          <w:tcPr>
            <w:tcW w:w="778" w:type="dxa"/>
          </w:tcPr>
          <w:p w14:paraId="7B2EFA53" w14:textId="77777777" w:rsidR="002D5756" w:rsidRPr="006A64EE" w:rsidRDefault="009C2544" w:rsidP="004255F8">
            <w:pPr>
              <w:pStyle w:val="TableParagraph"/>
              <w:widowControl/>
              <w:suppressAutoHyphens/>
              <w:jc w:val="center"/>
              <w:rPr>
                <w:sz w:val="20"/>
                <w:szCs w:val="20"/>
              </w:rPr>
            </w:pPr>
            <w:r w:rsidRPr="006A64EE">
              <w:rPr>
                <w:sz w:val="20"/>
                <w:szCs w:val="20"/>
              </w:rPr>
              <w:t>52</w:t>
            </w:r>
          </w:p>
        </w:tc>
        <w:tc>
          <w:tcPr>
            <w:tcW w:w="893" w:type="dxa"/>
          </w:tcPr>
          <w:p w14:paraId="54464799" w14:textId="77777777" w:rsidR="002D5756" w:rsidRPr="006A64EE" w:rsidRDefault="002D5756" w:rsidP="004255F8">
            <w:pPr>
              <w:pStyle w:val="TableParagraph"/>
              <w:widowControl/>
              <w:suppressAutoHyphens/>
              <w:jc w:val="center"/>
              <w:rPr>
                <w:sz w:val="20"/>
                <w:szCs w:val="20"/>
              </w:rPr>
            </w:pPr>
          </w:p>
        </w:tc>
        <w:tc>
          <w:tcPr>
            <w:tcW w:w="881" w:type="dxa"/>
          </w:tcPr>
          <w:p w14:paraId="2735A5C1" w14:textId="77777777" w:rsidR="002D5756" w:rsidRPr="006A64EE" w:rsidRDefault="002D5756" w:rsidP="004255F8">
            <w:pPr>
              <w:pStyle w:val="TableParagraph"/>
              <w:widowControl/>
              <w:suppressAutoHyphens/>
              <w:jc w:val="center"/>
              <w:rPr>
                <w:sz w:val="20"/>
                <w:szCs w:val="20"/>
              </w:rPr>
            </w:pPr>
          </w:p>
        </w:tc>
        <w:tc>
          <w:tcPr>
            <w:tcW w:w="1041" w:type="dxa"/>
          </w:tcPr>
          <w:p w14:paraId="5024A98A" w14:textId="77777777" w:rsidR="002D5756" w:rsidRPr="006A64EE" w:rsidRDefault="009C2544" w:rsidP="004255F8">
            <w:pPr>
              <w:pStyle w:val="TableParagraph"/>
              <w:widowControl/>
              <w:suppressAutoHyphens/>
              <w:jc w:val="center"/>
              <w:rPr>
                <w:sz w:val="20"/>
                <w:szCs w:val="20"/>
              </w:rPr>
            </w:pPr>
            <w:r w:rsidRPr="006A64EE">
              <w:rPr>
                <w:sz w:val="20"/>
                <w:szCs w:val="20"/>
              </w:rPr>
              <w:t>56 %***</w:t>
            </w:r>
          </w:p>
        </w:tc>
        <w:tc>
          <w:tcPr>
            <w:tcW w:w="707" w:type="dxa"/>
          </w:tcPr>
          <w:p w14:paraId="2988F777" w14:textId="77777777" w:rsidR="002D5756" w:rsidRPr="006A64EE" w:rsidRDefault="009C2544" w:rsidP="004255F8">
            <w:pPr>
              <w:pStyle w:val="TableParagraph"/>
              <w:widowControl/>
              <w:suppressAutoHyphens/>
              <w:jc w:val="center"/>
              <w:rPr>
                <w:sz w:val="20"/>
                <w:szCs w:val="20"/>
              </w:rPr>
            </w:pPr>
            <w:r w:rsidRPr="006A64EE">
              <w:rPr>
                <w:sz w:val="20"/>
                <w:szCs w:val="20"/>
              </w:rPr>
              <w:t>25 %</w:t>
            </w:r>
          </w:p>
        </w:tc>
        <w:tc>
          <w:tcPr>
            <w:tcW w:w="990" w:type="dxa"/>
          </w:tcPr>
          <w:p w14:paraId="068A4C07" w14:textId="77777777" w:rsidR="002D5756" w:rsidRPr="006A64EE" w:rsidRDefault="002D5756" w:rsidP="004255F8">
            <w:pPr>
              <w:pStyle w:val="TableParagraph"/>
              <w:widowControl/>
              <w:suppressAutoHyphens/>
              <w:jc w:val="center"/>
              <w:rPr>
                <w:sz w:val="20"/>
                <w:szCs w:val="20"/>
              </w:rPr>
            </w:pPr>
          </w:p>
        </w:tc>
        <w:tc>
          <w:tcPr>
            <w:tcW w:w="750" w:type="dxa"/>
          </w:tcPr>
          <w:p w14:paraId="02935A13" w14:textId="77777777" w:rsidR="002D5756" w:rsidRPr="006A64EE" w:rsidRDefault="002D5756" w:rsidP="004255F8">
            <w:pPr>
              <w:pStyle w:val="TableParagraph"/>
              <w:widowControl/>
              <w:suppressAutoHyphens/>
              <w:jc w:val="center"/>
              <w:rPr>
                <w:sz w:val="20"/>
                <w:szCs w:val="20"/>
              </w:rPr>
            </w:pPr>
          </w:p>
        </w:tc>
        <w:tc>
          <w:tcPr>
            <w:tcW w:w="990" w:type="dxa"/>
          </w:tcPr>
          <w:p w14:paraId="69F340D9" w14:textId="77777777" w:rsidR="002D5756" w:rsidRPr="006A64EE" w:rsidRDefault="002D5756" w:rsidP="004255F8">
            <w:pPr>
              <w:pStyle w:val="TableParagraph"/>
              <w:widowControl/>
              <w:suppressAutoHyphens/>
              <w:jc w:val="center"/>
              <w:rPr>
                <w:sz w:val="20"/>
                <w:szCs w:val="20"/>
              </w:rPr>
            </w:pPr>
          </w:p>
        </w:tc>
        <w:tc>
          <w:tcPr>
            <w:tcW w:w="992" w:type="dxa"/>
          </w:tcPr>
          <w:p w14:paraId="340BBCA5" w14:textId="77777777" w:rsidR="002D5756" w:rsidRPr="006A64EE" w:rsidRDefault="002D5756" w:rsidP="004255F8">
            <w:pPr>
              <w:pStyle w:val="TableParagraph"/>
              <w:widowControl/>
              <w:suppressAutoHyphens/>
              <w:jc w:val="center"/>
              <w:rPr>
                <w:sz w:val="20"/>
                <w:szCs w:val="20"/>
              </w:rPr>
            </w:pPr>
          </w:p>
        </w:tc>
        <w:tc>
          <w:tcPr>
            <w:tcW w:w="990" w:type="dxa"/>
          </w:tcPr>
          <w:p w14:paraId="4150E16E" w14:textId="77777777" w:rsidR="002D5756" w:rsidRPr="006A64EE" w:rsidRDefault="002D5756" w:rsidP="004255F8">
            <w:pPr>
              <w:pStyle w:val="TableParagraph"/>
              <w:widowControl/>
              <w:suppressAutoHyphens/>
              <w:jc w:val="center"/>
              <w:rPr>
                <w:sz w:val="20"/>
                <w:szCs w:val="20"/>
              </w:rPr>
            </w:pPr>
          </w:p>
        </w:tc>
        <w:tc>
          <w:tcPr>
            <w:tcW w:w="716" w:type="dxa"/>
          </w:tcPr>
          <w:p w14:paraId="56E50A7B" w14:textId="77777777" w:rsidR="002D5756" w:rsidRPr="006A64EE" w:rsidRDefault="002D5756" w:rsidP="004255F8">
            <w:pPr>
              <w:pStyle w:val="TableParagraph"/>
              <w:widowControl/>
              <w:suppressAutoHyphens/>
              <w:jc w:val="center"/>
              <w:rPr>
                <w:sz w:val="20"/>
                <w:szCs w:val="20"/>
              </w:rPr>
            </w:pPr>
          </w:p>
        </w:tc>
      </w:tr>
      <w:tr w:rsidR="00593482" w:rsidRPr="006A64EE" w14:paraId="2C36FB19" w14:textId="77777777" w:rsidTr="00DD1688">
        <w:trPr>
          <w:cantSplit/>
        </w:trPr>
        <w:tc>
          <w:tcPr>
            <w:tcW w:w="9728" w:type="dxa"/>
            <w:gridSpan w:val="11"/>
          </w:tcPr>
          <w:p w14:paraId="65FCBEF7" w14:textId="77777777" w:rsidR="002D5756" w:rsidRPr="006A64EE" w:rsidRDefault="009C2544" w:rsidP="004255F8">
            <w:pPr>
              <w:pStyle w:val="TableParagraph"/>
              <w:widowControl/>
              <w:suppressAutoHyphens/>
              <w:jc w:val="center"/>
              <w:rPr>
                <w:b/>
                <w:sz w:val="20"/>
                <w:szCs w:val="20"/>
              </w:rPr>
            </w:pPr>
            <w:r w:rsidRPr="006A64EE">
              <w:rPr>
                <w:b/>
                <w:sz w:val="20"/>
                <w:szCs w:val="20"/>
              </w:rPr>
              <w:t>ACR 50</w:t>
            </w:r>
          </w:p>
        </w:tc>
      </w:tr>
      <w:tr w:rsidR="00593482" w:rsidRPr="006A64EE" w14:paraId="49D5A02F" w14:textId="77777777" w:rsidTr="00DD1688">
        <w:trPr>
          <w:cantSplit/>
        </w:trPr>
        <w:tc>
          <w:tcPr>
            <w:tcW w:w="778" w:type="dxa"/>
          </w:tcPr>
          <w:p w14:paraId="544BC11A" w14:textId="77777777" w:rsidR="002D5756" w:rsidRPr="006A64EE" w:rsidRDefault="009C2544" w:rsidP="004255F8">
            <w:pPr>
              <w:pStyle w:val="TableParagraph"/>
              <w:widowControl/>
              <w:suppressAutoHyphens/>
              <w:jc w:val="center"/>
              <w:rPr>
                <w:sz w:val="20"/>
                <w:szCs w:val="20"/>
              </w:rPr>
            </w:pPr>
            <w:r w:rsidRPr="006A64EE">
              <w:rPr>
                <w:sz w:val="20"/>
                <w:szCs w:val="20"/>
              </w:rPr>
              <w:t>24</w:t>
            </w:r>
          </w:p>
        </w:tc>
        <w:tc>
          <w:tcPr>
            <w:tcW w:w="893" w:type="dxa"/>
          </w:tcPr>
          <w:p w14:paraId="793BE62C" w14:textId="77777777" w:rsidR="002D5756" w:rsidRPr="006A64EE" w:rsidRDefault="009C2544" w:rsidP="004255F8">
            <w:pPr>
              <w:pStyle w:val="TableParagraph"/>
              <w:widowControl/>
              <w:suppressAutoHyphens/>
              <w:jc w:val="center"/>
              <w:rPr>
                <w:sz w:val="20"/>
                <w:szCs w:val="20"/>
              </w:rPr>
            </w:pPr>
            <w:r w:rsidRPr="006A64EE">
              <w:rPr>
                <w:sz w:val="20"/>
                <w:szCs w:val="20"/>
              </w:rPr>
              <w:t>44 %**</w:t>
            </w:r>
          </w:p>
        </w:tc>
        <w:tc>
          <w:tcPr>
            <w:tcW w:w="881" w:type="dxa"/>
          </w:tcPr>
          <w:p w14:paraId="09FA1D20" w14:textId="77777777" w:rsidR="002D5756" w:rsidRPr="006A64EE" w:rsidRDefault="009C2544" w:rsidP="004255F8">
            <w:pPr>
              <w:pStyle w:val="TableParagraph"/>
              <w:widowControl/>
              <w:suppressAutoHyphens/>
              <w:jc w:val="center"/>
              <w:rPr>
                <w:sz w:val="20"/>
                <w:szCs w:val="20"/>
              </w:rPr>
            </w:pPr>
            <w:r w:rsidRPr="006A64EE">
              <w:rPr>
                <w:sz w:val="20"/>
                <w:szCs w:val="20"/>
              </w:rPr>
              <w:t>33 %</w:t>
            </w:r>
          </w:p>
        </w:tc>
        <w:tc>
          <w:tcPr>
            <w:tcW w:w="1041" w:type="dxa"/>
          </w:tcPr>
          <w:p w14:paraId="5B3C00E8" w14:textId="77777777" w:rsidR="002D5756" w:rsidRPr="006A64EE" w:rsidRDefault="009C2544" w:rsidP="004255F8">
            <w:pPr>
              <w:pStyle w:val="TableParagraph"/>
              <w:widowControl/>
              <w:suppressAutoHyphens/>
              <w:jc w:val="center"/>
              <w:rPr>
                <w:sz w:val="20"/>
                <w:szCs w:val="20"/>
              </w:rPr>
            </w:pPr>
            <w:r w:rsidRPr="006A64EE">
              <w:rPr>
                <w:sz w:val="20"/>
                <w:szCs w:val="20"/>
              </w:rPr>
              <w:t>32 %***</w:t>
            </w:r>
          </w:p>
        </w:tc>
        <w:tc>
          <w:tcPr>
            <w:tcW w:w="707" w:type="dxa"/>
          </w:tcPr>
          <w:p w14:paraId="27FBAB89" w14:textId="77777777" w:rsidR="002D5756" w:rsidRPr="006A64EE" w:rsidRDefault="009C2544" w:rsidP="004255F8">
            <w:pPr>
              <w:pStyle w:val="TableParagraph"/>
              <w:widowControl/>
              <w:suppressAutoHyphens/>
              <w:jc w:val="center"/>
              <w:rPr>
                <w:sz w:val="20"/>
                <w:szCs w:val="20"/>
              </w:rPr>
            </w:pPr>
            <w:r w:rsidRPr="006A64EE">
              <w:rPr>
                <w:sz w:val="20"/>
                <w:szCs w:val="20"/>
              </w:rPr>
              <w:t>10 %</w:t>
            </w:r>
          </w:p>
        </w:tc>
        <w:tc>
          <w:tcPr>
            <w:tcW w:w="990" w:type="dxa"/>
          </w:tcPr>
          <w:p w14:paraId="7CF065C8" w14:textId="77777777" w:rsidR="002D5756" w:rsidRPr="006A64EE" w:rsidRDefault="009C2544" w:rsidP="004255F8">
            <w:pPr>
              <w:pStyle w:val="TableParagraph"/>
              <w:widowControl/>
              <w:suppressAutoHyphens/>
              <w:jc w:val="center"/>
              <w:rPr>
                <w:sz w:val="20"/>
                <w:szCs w:val="20"/>
              </w:rPr>
            </w:pPr>
            <w:r w:rsidRPr="006A64EE">
              <w:rPr>
                <w:sz w:val="20"/>
                <w:szCs w:val="20"/>
              </w:rPr>
              <w:t>44 %***</w:t>
            </w:r>
          </w:p>
        </w:tc>
        <w:tc>
          <w:tcPr>
            <w:tcW w:w="750" w:type="dxa"/>
          </w:tcPr>
          <w:p w14:paraId="2D7DA0A5" w14:textId="77777777" w:rsidR="002D5756" w:rsidRPr="006A64EE" w:rsidRDefault="009C2544" w:rsidP="004255F8">
            <w:pPr>
              <w:pStyle w:val="TableParagraph"/>
              <w:widowControl/>
              <w:suppressAutoHyphens/>
              <w:jc w:val="center"/>
              <w:rPr>
                <w:sz w:val="20"/>
                <w:szCs w:val="20"/>
              </w:rPr>
            </w:pPr>
            <w:r w:rsidRPr="006A64EE">
              <w:rPr>
                <w:sz w:val="20"/>
                <w:szCs w:val="20"/>
              </w:rPr>
              <w:t>11 %</w:t>
            </w:r>
          </w:p>
        </w:tc>
        <w:tc>
          <w:tcPr>
            <w:tcW w:w="990" w:type="dxa"/>
          </w:tcPr>
          <w:p w14:paraId="47889E80" w14:textId="77777777" w:rsidR="002D5756" w:rsidRPr="006A64EE" w:rsidRDefault="009C2544" w:rsidP="004255F8">
            <w:pPr>
              <w:pStyle w:val="TableParagraph"/>
              <w:widowControl/>
              <w:suppressAutoHyphens/>
              <w:jc w:val="center"/>
              <w:rPr>
                <w:sz w:val="20"/>
                <w:szCs w:val="20"/>
              </w:rPr>
            </w:pPr>
            <w:r w:rsidRPr="006A64EE">
              <w:rPr>
                <w:sz w:val="20"/>
                <w:szCs w:val="20"/>
              </w:rPr>
              <w:t>38 %***</w:t>
            </w:r>
          </w:p>
        </w:tc>
        <w:tc>
          <w:tcPr>
            <w:tcW w:w="992" w:type="dxa"/>
          </w:tcPr>
          <w:p w14:paraId="5F35760E" w14:textId="77777777" w:rsidR="002D5756" w:rsidRPr="006A64EE" w:rsidRDefault="009C2544" w:rsidP="004255F8">
            <w:pPr>
              <w:pStyle w:val="TableParagraph"/>
              <w:widowControl/>
              <w:suppressAutoHyphens/>
              <w:jc w:val="center"/>
              <w:rPr>
                <w:sz w:val="20"/>
                <w:szCs w:val="20"/>
              </w:rPr>
            </w:pPr>
            <w:r w:rsidRPr="006A64EE">
              <w:rPr>
                <w:sz w:val="20"/>
                <w:szCs w:val="20"/>
              </w:rPr>
              <w:t>9 %</w:t>
            </w:r>
          </w:p>
        </w:tc>
        <w:tc>
          <w:tcPr>
            <w:tcW w:w="990" w:type="dxa"/>
          </w:tcPr>
          <w:p w14:paraId="20FEE3F5" w14:textId="77777777" w:rsidR="002D5756" w:rsidRPr="006A64EE" w:rsidRDefault="009C2544" w:rsidP="004255F8">
            <w:pPr>
              <w:pStyle w:val="TableParagraph"/>
              <w:widowControl/>
              <w:suppressAutoHyphens/>
              <w:jc w:val="center"/>
              <w:rPr>
                <w:sz w:val="20"/>
                <w:szCs w:val="20"/>
              </w:rPr>
            </w:pPr>
            <w:r w:rsidRPr="006A64EE">
              <w:rPr>
                <w:sz w:val="20"/>
                <w:szCs w:val="20"/>
              </w:rPr>
              <w:t>29 %***</w:t>
            </w:r>
          </w:p>
        </w:tc>
        <w:tc>
          <w:tcPr>
            <w:tcW w:w="716" w:type="dxa"/>
          </w:tcPr>
          <w:p w14:paraId="6D7C04EB" w14:textId="77777777" w:rsidR="002D5756" w:rsidRPr="006A64EE" w:rsidRDefault="009C2544" w:rsidP="004255F8">
            <w:pPr>
              <w:pStyle w:val="TableParagraph"/>
              <w:widowControl/>
              <w:suppressAutoHyphens/>
              <w:jc w:val="center"/>
              <w:rPr>
                <w:sz w:val="20"/>
                <w:szCs w:val="20"/>
              </w:rPr>
            </w:pPr>
            <w:r w:rsidRPr="006A64EE">
              <w:rPr>
                <w:sz w:val="20"/>
                <w:szCs w:val="20"/>
              </w:rPr>
              <w:t>4 %</w:t>
            </w:r>
          </w:p>
        </w:tc>
      </w:tr>
      <w:tr w:rsidR="00593482" w:rsidRPr="006A64EE" w14:paraId="506AEA3D" w14:textId="77777777" w:rsidTr="00DD1688">
        <w:trPr>
          <w:cantSplit/>
        </w:trPr>
        <w:tc>
          <w:tcPr>
            <w:tcW w:w="778" w:type="dxa"/>
          </w:tcPr>
          <w:p w14:paraId="236F0BCF" w14:textId="77777777" w:rsidR="002D5756" w:rsidRPr="006A64EE" w:rsidRDefault="009C2544" w:rsidP="004255F8">
            <w:pPr>
              <w:pStyle w:val="TableParagraph"/>
              <w:widowControl/>
              <w:suppressAutoHyphens/>
              <w:jc w:val="center"/>
              <w:rPr>
                <w:sz w:val="20"/>
                <w:szCs w:val="20"/>
              </w:rPr>
            </w:pPr>
            <w:r w:rsidRPr="006A64EE">
              <w:rPr>
                <w:sz w:val="20"/>
                <w:szCs w:val="20"/>
              </w:rPr>
              <w:t>52</w:t>
            </w:r>
          </w:p>
        </w:tc>
        <w:tc>
          <w:tcPr>
            <w:tcW w:w="893" w:type="dxa"/>
          </w:tcPr>
          <w:p w14:paraId="7624CAC7" w14:textId="77777777" w:rsidR="002D5756" w:rsidRPr="006A64EE" w:rsidRDefault="002D5756" w:rsidP="004255F8">
            <w:pPr>
              <w:pStyle w:val="TableParagraph"/>
              <w:widowControl/>
              <w:suppressAutoHyphens/>
              <w:jc w:val="center"/>
              <w:rPr>
                <w:sz w:val="20"/>
                <w:szCs w:val="20"/>
              </w:rPr>
            </w:pPr>
          </w:p>
        </w:tc>
        <w:tc>
          <w:tcPr>
            <w:tcW w:w="881" w:type="dxa"/>
          </w:tcPr>
          <w:p w14:paraId="7C84388A" w14:textId="77777777" w:rsidR="002D5756" w:rsidRPr="006A64EE" w:rsidRDefault="002D5756" w:rsidP="004255F8">
            <w:pPr>
              <w:pStyle w:val="TableParagraph"/>
              <w:widowControl/>
              <w:suppressAutoHyphens/>
              <w:jc w:val="center"/>
              <w:rPr>
                <w:sz w:val="20"/>
                <w:szCs w:val="20"/>
              </w:rPr>
            </w:pPr>
          </w:p>
        </w:tc>
        <w:tc>
          <w:tcPr>
            <w:tcW w:w="1041" w:type="dxa"/>
          </w:tcPr>
          <w:p w14:paraId="7779F6E6" w14:textId="77777777" w:rsidR="002D5756" w:rsidRPr="006A64EE" w:rsidRDefault="009C2544" w:rsidP="004255F8">
            <w:pPr>
              <w:pStyle w:val="TableParagraph"/>
              <w:widowControl/>
              <w:suppressAutoHyphens/>
              <w:jc w:val="center"/>
              <w:rPr>
                <w:sz w:val="20"/>
                <w:szCs w:val="20"/>
              </w:rPr>
            </w:pPr>
            <w:r w:rsidRPr="006A64EE">
              <w:rPr>
                <w:sz w:val="20"/>
                <w:szCs w:val="20"/>
              </w:rPr>
              <w:t>36 %***</w:t>
            </w:r>
          </w:p>
        </w:tc>
        <w:tc>
          <w:tcPr>
            <w:tcW w:w="707" w:type="dxa"/>
          </w:tcPr>
          <w:p w14:paraId="1D01BDA2" w14:textId="77777777" w:rsidR="002D5756" w:rsidRPr="006A64EE" w:rsidRDefault="009C2544" w:rsidP="004255F8">
            <w:pPr>
              <w:pStyle w:val="TableParagraph"/>
              <w:widowControl/>
              <w:suppressAutoHyphens/>
              <w:jc w:val="center"/>
              <w:rPr>
                <w:sz w:val="20"/>
                <w:szCs w:val="20"/>
              </w:rPr>
            </w:pPr>
            <w:r w:rsidRPr="006A64EE">
              <w:rPr>
                <w:sz w:val="20"/>
                <w:szCs w:val="20"/>
              </w:rPr>
              <w:t>10 %</w:t>
            </w:r>
          </w:p>
        </w:tc>
        <w:tc>
          <w:tcPr>
            <w:tcW w:w="990" w:type="dxa"/>
          </w:tcPr>
          <w:p w14:paraId="66D4AEDD" w14:textId="77777777" w:rsidR="002D5756" w:rsidRPr="006A64EE" w:rsidRDefault="002D5756" w:rsidP="004255F8">
            <w:pPr>
              <w:pStyle w:val="TableParagraph"/>
              <w:widowControl/>
              <w:suppressAutoHyphens/>
              <w:jc w:val="center"/>
              <w:rPr>
                <w:sz w:val="20"/>
                <w:szCs w:val="20"/>
              </w:rPr>
            </w:pPr>
          </w:p>
        </w:tc>
        <w:tc>
          <w:tcPr>
            <w:tcW w:w="750" w:type="dxa"/>
          </w:tcPr>
          <w:p w14:paraId="08454B46" w14:textId="77777777" w:rsidR="002D5756" w:rsidRPr="006A64EE" w:rsidRDefault="002D5756" w:rsidP="004255F8">
            <w:pPr>
              <w:pStyle w:val="TableParagraph"/>
              <w:widowControl/>
              <w:suppressAutoHyphens/>
              <w:jc w:val="center"/>
              <w:rPr>
                <w:sz w:val="20"/>
                <w:szCs w:val="20"/>
              </w:rPr>
            </w:pPr>
          </w:p>
        </w:tc>
        <w:tc>
          <w:tcPr>
            <w:tcW w:w="990" w:type="dxa"/>
          </w:tcPr>
          <w:p w14:paraId="656580FD" w14:textId="77777777" w:rsidR="002D5756" w:rsidRPr="006A64EE" w:rsidRDefault="002D5756" w:rsidP="004255F8">
            <w:pPr>
              <w:pStyle w:val="TableParagraph"/>
              <w:widowControl/>
              <w:suppressAutoHyphens/>
              <w:jc w:val="center"/>
              <w:rPr>
                <w:sz w:val="20"/>
                <w:szCs w:val="20"/>
              </w:rPr>
            </w:pPr>
          </w:p>
        </w:tc>
        <w:tc>
          <w:tcPr>
            <w:tcW w:w="992" w:type="dxa"/>
          </w:tcPr>
          <w:p w14:paraId="02124B79" w14:textId="77777777" w:rsidR="002D5756" w:rsidRPr="006A64EE" w:rsidRDefault="002D5756" w:rsidP="004255F8">
            <w:pPr>
              <w:pStyle w:val="TableParagraph"/>
              <w:widowControl/>
              <w:suppressAutoHyphens/>
              <w:jc w:val="center"/>
              <w:rPr>
                <w:sz w:val="20"/>
                <w:szCs w:val="20"/>
              </w:rPr>
            </w:pPr>
          </w:p>
        </w:tc>
        <w:tc>
          <w:tcPr>
            <w:tcW w:w="990" w:type="dxa"/>
          </w:tcPr>
          <w:p w14:paraId="12E6011B" w14:textId="77777777" w:rsidR="002D5756" w:rsidRPr="006A64EE" w:rsidRDefault="002D5756" w:rsidP="004255F8">
            <w:pPr>
              <w:pStyle w:val="TableParagraph"/>
              <w:widowControl/>
              <w:suppressAutoHyphens/>
              <w:jc w:val="center"/>
              <w:rPr>
                <w:sz w:val="20"/>
                <w:szCs w:val="20"/>
              </w:rPr>
            </w:pPr>
          </w:p>
        </w:tc>
        <w:tc>
          <w:tcPr>
            <w:tcW w:w="716" w:type="dxa"/>
          </w:tcPr>
          <w:p w14:paraId="1CC5195E" w14:textId="77777777" w:rsidR="002D5756" w:rsidRPr="006A64EE" w:rsidRDefault="002D5756" w:rsidP="004255F8">
            <w:pPr>
              <w:pStyle w:val="TableParagraph"/>
              <w:widowControl/>
              <w:suppressAutoHyphens/>
              <w:jc w:val="center"/>
              <w:rPr>
                <w:sz w:val="20"/>
                <w:szCs w:val="20"/>
              </w:rPr>
            </w:pPr>
          </w:p>
        </w:tc>
      </w:tr>
      <w:tr w:rsidR="00593482" w:rsidRPr="006A64EE" w14:paraId="5E1B958D" w14:textId="77777777" w:rsidTr="00DD1688">
        <w:trPr>
          <w:cantSplit/>
        </w:trPr>
        <w:tc>
          <w:tcPr>
            <w:tcW w:w="9728" w:type="dxa"/>
            <w:gridSpan w:val="11"/>
          </w:tcPr>
          <w:p w14:paraId="30A8FDC1" w14:textId="77777777" w:rsidR="002D5756" w:rsidRPr="006A64EE" w:rsidRDefault="009C2544" w:rsidP="004255F8">
            <w:pPr>
              <w:pStyle w:val="TableParagraph"/>
              <w:widowControl/>
              <w:suppressAutoHyphens/>
              <w:jc w:val="center"/>
              <w:rPr>
                <w:b/>
                <w:sz w:val="20"/>
                <w:szCs w:val="20"/>
              </w:rPr>
            </w:pPr>
            <w:r w:rsidRPr="006A64EE">
              <w:rPr>
                <w:b/>
                <w:sz w:val="20"/>
                <w:szCs w:val="20"/>
              </w:rPr>
              <w:t>ACR 70</w:t>
            </w:r>
          </w:p>
        </w:tc>
      </w:tr>
      <w:tr w:rsidR="00593482" w:rsidRPr="006A64EE" w14:paraId="50C52599" w14:textId="77777777" w:rsidTr="00DD1688">
        <w:trPr>
          <w:cantSplit/>
        </w:trPr>
        <w:tc>
          <w:tcPr>
            <w:tcW w:w="778" w:type="dxa"/>
          </w:tcPr>
          <w:p w14:paraId="63452427" w14:textId="77777777" w:rsidR="002D5756" w:rsidRPr="006A64EE" w:rsidRDefault="009C2544" w:rsidP="004255F8">
            <w:pPr>
              <w:pStyle w:val="TableParagraph"/>
              <w:widowControl/>
              <w:suppressAutoHyphens/>
              <w:jc w:val="center"/>
              <w:rPr>
                <w:sz w:val="20"/>
                <w:szCs w:val="20"/>
              </w:rPr>
            </w:pPr>
            <w:r w:rsidRPr="006A64EE">
              <w:rPr>
                <w:sz w:val="20"/>
                <w:szCs w:val="20"/>
              </w:rPr>
              <w:t>24</w:t>
            </w:r>
          </w:p>
        </w:tc>
        <w:tc>
          <w:tcPr>
            <w:tcW w:w="893" w:type="dxa"/>
          </w:tcPr>
          <w:p w14:paraId="6E88D584" w14:textId="77777777" w:rsidR="002D5756" w:rsidRPr="006A64EE" w:rsidRDefault="009C2544" w:rsidP="004255F8">
            <w:pPr>
              <w:pStyle w:val="TableParagraph"/>
              <w:widowControl/>
              <w:suppressAutoHyphens/>
              <w:jc w:val="center"/>
              <w:rPr>
                <w:sz w:val="20"/>
                <w:szCs w:val="20"/>
              </w:rPr>
            </w:pPr>
            <w:r w:rsidRPr="006A64EE">
              <w:rPr>
                <w:sz w:val="20"/>
                <w:szCs w:val="20"/>
              </w:rPr>
              <w:t>28 %**</w:t>
            </w:r>
          </w:p>
        </w:tc>
        <w:tc>
          <w:tcPr>
            <w:tcW w:w="881" w:type="dxa"/>
          </w:tcPr>
          <w:p w14:paraId="127411A2" w14:textId="77777777" w:rsidR="002D5756" w:rsidRPr="006A64EE" w:rsidRDefault="009C2544" w:rsidP="004255F8">
            <w:pPr>
              <w:pStyle w:val="TableParagraph"/>
              <w:widowControl/>
              <w:suppressAutoHyphens/>
              <w:jc w:val="center"/>
              <w:rPr>
                <w:sz w:val="20"/>
                <w:szCs w:val="20"/>
              </w:rPr>
            </w:pPr>
            <w:r w:rsidRPr="006A64EE">
              <w:rPr>
                <w:sz w:val="20"/>
                <w:szCs w:val="20"/>
              </w:rPr>
              <w:t>15 %</w:t>
            </w:r>
          </w:p>
        </w:tc>
        <w:tc>
          <w:tcPr>
            <w:tcW w:w="1041" w:type="dxa"/>
          </w:tcPr>
          <w:p w14:paraId="09D51DE4" w14:textId="77777777" w:rsidR="002D5756" w:rsidRPr="006A64EE" w:rsidRDefault="009C2544" w:rsidP="004255F8">
            <w:pPr>
              <w:pStyle w:val="TableParagraph"/>
              <w:widowControl/>
              <w:suppressAutoHyphens/>
              <w:jc w:val="center"/>
              <w:rPr>
                <w:sz w:val="20"/>
                <w:szCs w:val="20"/>
              </w:rPr>
            </w:pPr>
            <w:r w:rsidRPr="006A64EE">
              <w:rPr>
                <w:sz w:val="20"/>
                <w:szCs w:val="20"/>
              </w:rPr>
              <w:t>13 %***</w:t>
            </w:r>
          </w:p>
        </w:tc>
        <w:tc>
          <w:tcPr>
            <w:tcW w:w="707" w:type="dxa"/>
          </w:tcPr>
          <w:p w14:paraId="4FE8637B" w14:textId="77777777" w:rsidR="002D5756" w:rsidRPr="006A64EE" w:rsidRDefault="009C2544" w:rsidP="004255F8">
            <w:pPr>
              <w:pStyle w:val="TableParagraph"/>
              <w:widowControl/>
              <w:suppressAutoHyphens/>
              <w:jc w:val="center"/>
              <w:rPr>
                <w:sz w:val="20"/>
                <w:szCs w:val="20"/>
              </w:rPr>
            </w:pPr>
            <w:r w:rsidRPr="006A64EE">
              <w:rPr>
                <w:sz w:val="20"/>
                <w:szCs w:val="20"/>
              </w:rPr>
              <w:t>2 %</w:t>
            </w:r>
          </w:p>
        </w:tc>
        <w:tc>
          <w:tcPr>
            <w:tcW w:w="990" w:type="dxa"/>
          </w:tcPr>
          <w:p w14:paraId="213D539B" w14:textId="77777777" w:rsidR="002D5756" w:rsidRPr="006A64EE" w:rsidRDefault="009C2544" w:rsidP="004255F8">
            <w:pPr>
              <w:pStyle w:val="TableParagraph"/>
              <w:widowControl/>
              <w:suppressAutoHyphens/>
              <w:jc w:val="center"/>
              <w:rPr>
                <w:sz w:val="20"/>
                <w:szCs w:val="20"/>
              </w:rPr>
            </w:pPr>
            <w:r w:rsidRPr="006A64EE">
              <w:rPr>
                <w:sz w:val="20"/>
                <w:szCs w:val="20"/>
              </w:rPr>
              <w:t>22 %***</w:t>
            </w:r>
          </w:p>
        </w:tc>
        <w:tc>
          <w:tcPr>
            <w:tcW w:w="750" w:type="dxa"/>
          </w:tcPr>
          <w:p w14:paraId="48BD26B1" w14:textId="77777777" w:rsidR="002D5756" w:rsidRPr="006A64EE" w:rsidRDefault="009C2544" w:rsidP="004255F8">
            <w:pPr>
              <w:pStyle w:val="TableParagraph"/>
              <w:widowControl/>
              <w:suppressAutoHyphens/>
              <w:jc w:val="center"/>
              <w:rPr>
                <w:sz w:val="20"/>
                <w:szCs w:val="20"/>
              </w:rPr>
            </w:pPr>
            <w:r w:rsidRPr="006A64EE">
              <w:rPr>
                <w:sz w:val="20"/>
                <w:szCs w:val="20"/>
              </w:rPr>
              <w:t>2 %</w:t>
            </w:r>
          </w:p>
        </w:tc>
        <w:tc>
          <w:tcPr>
            <w:tcW w:w="990" w:type="dxa"/>
          </w:tcPr>
          <w:p w14:paraId="1B8235C9" w14:textId="77777777" w:rsidR="002D5756" w:rsidRPr="006A64EE" w:rsidRDefault="009C2544" w:rsidP="004255F8">
            <w:pPr>
              <w:pStyle w:val="TableParagraph"/>
              <w:widowControl/>
              <w:suppressAutoHyphens/>
              <w:jc w:val="center"/>
              <w:rPr>
                <w:sz w:val="20"/>
                <w:szCs w:val="20"/>
              </w:rPr>
            </w:pPr>
            <w:r w:rsidRPr="006A64EE">
              <w:rPr>
                <w:sz w:val="20"/>
                <w:szCs w:val="20"/>
              </w:rPr>
              <w:t>21 %***</w:t>
            </w:r>
          </w:p>
        </w:tc>
        <w:tc>
          <w:tcPr>
            <w:tcW w:w="992" w:type="dxa"/>
          </w:tcPr>
          <w:p w14:paraId="6D561F8E" w14:textId="77777777" w:rsidR="002D5756" w:rsidRPr="006A64EE" w:rsidRDefault="009C2544" w:rsidP="004255F8">
            <w:pPr>
              <w:pStyle w:val="TableParagraph"/>
              <w:widowControl/>
              <w:suppressAutoHyphens/>
              <w:jc w:val="center"/>
              <w:rPr>
                <w:sz w:val="20"/>
                <w:szCs w:val="20"/>
              </w:rPr>
            </w:pPr>
            <w:r w:rsidRPr="006A64EE">
              <w:rPr>
                <w:sz w:val="20"/>
                <w:szCs w:val="20"/>
              </w:rPr>
              <w:t>3 %</w:t>
            </w:r>
          </w:p>
        </w:tc>
        <w:tc>
          <w:tcPr>
            <w:tcW w:w="990" w:type="dxa"/>
          </w:tcPr>
          <w:p w14:paraId="1C058BFD" w14:textId="77777777" w:rsidR="002D5756" w:rsidRPr="006A64EE" w:rsidRDefault="009C2544" w:rsidP="004255F8">
            <w:pPr>
              <w:pStyle w:val="TableParagraph"/>
              <w:widowControl/>
              <w:suppressAutoHyphens/>
              <w:jc w:val="center"/>
              <w:rPr>
                <w:sz w:val="20"/>
                <w:szCs w:val="20"/>
              </w:rPr>
            </w:pPr>
            <w:r w:rsidRPr="006A64EE">
              <w:rPr>
                <w:sz w:val="20"/>
                <w:szCs w:val="20"/>
              </w:rPr>
              <w:t>12 %**</w:t>
            </w:r>
          </w:p>
        </w:tc>
        <w:tc>
          <w:tcPr>
            <w:tcW w:w="716" w:type="dxa"/>
          </w:tcPr>
          <w:p w14:paraId="1BD83710" w14:textId="77777777" w:rsidR="002D5756" w:rsidRPr="006A64EE" w:rsidRDefault="009C2544" w:rsidP="004255F8">
            <w:pPr>
              <w:pStyle w:val="TableParagraph"/>
              <w:widowControl/>
              <w:suppressAutoHyphens/>
              <w:jc w:val="center"/>
              <w:rPr>
                <w:sz w:val="20"/>
                <w:szCs w:val="20"/>
              </w:rPr>
            </w:pPr>
            <w:r w:rsidRPr="006A64EE">
              <w:rPr>
                <w:sz w:val="20"/>
                <w:szCs w:val="20"/>
              </w:rPr>
              <w:t>1 %</w:t>
            </w:r>
          </w:p>
        </w:tc>
      </w:tr>
      <w:tr w:rsidR="00593482" w:rsidRPr="006A64EE" w14:paraId="67A10320" w14:textId="77777777" w:rsidTr="00DD1688">
        <w:trPr>
          <w:cantSplit/>
        </w:trPr>
        <w:tc>
          <w:tcPr>
            <w:tcW w:w="778" w:type="dxa"/>
          </w:tcPr>
          <w:p w14:paraId="36402EAE" w14:textId="77777777" w:rsidR="002D5756" w:rsidRPr="006A64EE" w:rsidRDefault="009C2544" w:rsidP="004255F8">
            <w:pPr>
              <w:pStyle w:val="TableParagraph"/>
              <w:widowControl/>
              <w:suppressAutoHyphens/>
              <w:jc w:val="center"/>
              <w:rPr>
                <w:sz w:val="20"/>
                <w:szCs w:val="20"/>
              </w:rPr>
            </w:pPr>
            <w:r w:rsidRPr="006A64EE">
              <w:rPr>
                <w:sz w:val="20"/>
                <w:szCs w:val="20"/>
              </w:rPr>
              <w:t>52</w:t>
            </w:r>
          </w:p>
        </w:tc>
        <w:tc>
          <w:tcPr>
            <w:tcW w:w="1774" w:type="dxa"/>
            <w:gridSpan w:val="2"/>
          </w:tcPr>
          <w:p w14:paraId="574BA9B8" w14:textId="77777777" w:rsidR="002D5756" w:rsidRPr="006A64EE" w:rsidRDefault="002D5756" w:rsidP="004255F8">
            <w:pPr>
              <w:pStyle w:val="TableParagraph"/>
              <w:widowControl/>
              <w:suppressAutoHyphens/>
              <w:jc w:val="center"/>
              <w:rPr>
                <w:sz w:val="20"/>
                <w:szCs w:val="20"/>
              </w:rPr>
            </w:pPr>
          </w:p>
        </w:tc>
        <w:tc>
          <w:tcPr>
            <w:tcW w:w="1041" w:type="dxa"/>
          </w:tcPr>
          <w:p w14:paraId="0CBACFE3" w14:textId="77777777" w:rsidR="002D5756" w:rsidRPr="006A64EE" w:rsidRDefault="009C2544" w:rsidP="004255F8">
            <w:pPr>
              <w:pStyle w:val="TableParagraph"/>
              <w:widowControl/>
              <w:suppressAutoHyphens/>
              <w:jc w:val="center"/>
              <w:rPr>
                <w:sz w:val="20"/>
                <w:szCs w:val="20"/>
              </w:rPr>
            </w:pPr>
            <w:r w:rsidRPr="006A64EE">
              <w:rPr>
                <w:sz w:val="20"/>
                <w:szCs w:val="20"/>
              </w:rPr>
              <w:t>20 %***</w:t>
            </w:r>
          </w:p>
        </w:tc>
        <w:tc>
          <w:tcPr>
            <w:tcW w:w="707" w:type="dxa"/>
          </w:tcPr>
          <w:p w14:paraId="75C5FB59" w14:textId="77777777" w:rsidR="002D5756" w:rsidRPr="006A64EE" w:rsidRDefault="009C2544" w:rsidP="004255F8">
            <w:pPr>
              <w:pStyle w:val="TableParagraph"/>
              <w:widowControl/>
              <w:suppressAutoHyphens/>
              <w:jc w:val="center"/>
              <w:rPr>
                <w:sz w:val="20"/>
                <w:szCs w:val="20"/>
              </w:rPr>
            </w:pPr>
            <w:r w:rsidRPr="006A64EE">
              <w:rPr>
                <w:sz w:val="20"/>
                <w:szCs w:val="20"/>
              </w:rPr>
              <w:t>4 %</w:t>
            </w:r>
          </w:p>
        </w:tc>
        <w:tc>
          <w:tcPr>
            <w:tcW w:w="1740" w:type="dxa"/>
            <w:gridSpan w:val="2"/>
          </w:tcPr>
          <w:p w14:paraId="474874E6" w14:textId="77777777" w:rsidR="002D5756" w:rsidRPr="006A64EE" w:rsidRDefault="002D5756" w:rsidP="004255F8">
            <w:pPr>
              <w:pStyle w:val="TableParagraph"/>
              <w:widowControl/>
              <w:suppressAutoHyphens/>
              <w:jc w:val="center"/>
              <w:rPr>
                <w:sz w:val="20"/>
                <w:szCs w:val="20"/>
              </w:rPr>
            </w:pPr>
          </w:p>
        </w:tc>
        <w:tc>
          <w:tcPr>
            <w:tcW w:w="990" w:type="dxa"/>
          </w:tcPr>
          <w:p w14:paraId="41B9873A" w14:textId="77777777" w:rsidR="002D5756" w:rsidRPr="006A64EE" w:rsidRDefault="002D5756" w:rsidP="004255F8">
            <w:pPr>
              <w:pStyle w:val="TableParagraph"/>
              <w:widowControl/>
              <w:suppressAutoHyphens/>
              <w:jc w:val="center"/>
              <w:rPr>
                <w:sz w:val="20"/>
                <w:szCs w:val="20"/>
              </w:rPr>
            </w:pPr>
          </w:p>
        </w:tc>
        <w:tc>
          <w:tcPr>
            <w:tcW w:w="992" w:type="dxa"/>
          </w:tcPr>
          <w:p w14:paraId="05859696" w14:textId="77777777" w:rsidR="002D5756" w:rsidRPr="006A64EE" w:rsidRDefault="002D5756" w:rsidP="004255F8">
            <w:pPr>
              <w:pStyle w:val="TableParagraph"/>
              <w:widowControl/>
              <w:suppressAutoHyphens/>
              <w:jc w:val="center"/>
              <w:rPr>
                <w:sz w:val="20"/>
                <w:szCs w:val="20"/>
              </w:rPr>
            </w:pPr>
          </w:p>
        </w:tc>
        <w:tc>
          <w:tcPr>
            <w:tcW w:w="990" w:type="dxa"/>
          </w:tcPr>
          <w:p w14:paraId="70EEBC26" w14:textId="77777777" w:rsidR="002D5756" w:rsidRPr="006A64EE" w:rsidRDefault="002D5756" w:rsidP="004255F8">
            <w:pPr>
              <w:pStyle w:val="TableParagraph"/>
              <w:widowControl/>
              <w:suppressAutoHyphens/>
              <w:jc w:val="center"/>
              <w:rPr>
                <w:sz w:val="20"/>
                <w:szCs w:val="20"/>
              </w:rPr>
            </w:pPr>
          </w:p>
        </w:tc>
        <w:tc>
          <w:tcPr>
            <w:tcW w:w="716" w:type="dxa"/>
          </w:tcPr>
          <w:p w14:paraId="11B4FED6" w14:textId="77777777" w:rsidR="002D5756" w:rsidRPr="006A64EE" w:rsidRDefault="002D5756" w:rsidP="004255F8">
            <w:pPr>
              <w:pStyle w:val="TableParagraph"/>
              <w:widowControl/>
              <w:suppressAutoHyphens/>
              <w:jc w:val="center"/>
              <w:rPr>
                <w:sz w:val="20"/>
                <w:szCs w:val="20"/>
              </w:rPr>
            </w:pPr>
          </w:p>
        </w:tc>
      </w:tr>
    </w:tbl>
    <w:p w14:paraId="66590EDA" w14:textId="77777777" w:rsidR="00093A5E" w:rsidRPr="006A64EE" w:rsidRDefault="009C2544" w:rsidP="004255F8">
      <w:pPr>
        <w:widowControl/>
        <w:tabs>
          <w:tab w:val="left" w:pos="709"/>
        </w:tabs>
        <w:rPr>
          <w:i/>
          <w:sz w:val="18"/>
          <w:szCs w:val="18"/>
        </w:rPr>
      </w:pPr>
      <w:r w:rsidRPr="006A64EE">
        <w:rPr>
          <w:i/>
          <w:sz w:val="18"/>
          <w:szCs w:val="18"/>
        </w:rPr>
        <w:t>TCZ</w:t>
      </w:r>
      <w:r w:rsidRPr="006A64EE">
        <w:rPr>
          <w:i/>
          <w:sz w:val="18"/>
          <w:szCs w:val="18"/>
        </w:rPr>
        <w:tab/>
        <w:t>- Tocilizumab</w:t>
      </w:r>
    </w:p>
    <w:p w14:paraId="4D23D113" w14:textId="77777777" w:rsidR="00093A5E" w:rsidRPr="006A64EE" w:rsidRDefault="009C2544" w:rsidP="004255F8">
      <w:pPr>
        <w:widowControl/>
        <w:tabs>
          <w:tab w:val="left" w:pos="709"/>
        </w:tabs>
        <w:rPr>
          <w:i/>
          <w:sz w:val="18"/>
          <w:szCs w:val="18"/>
        </w:rPr>
      </w:pPr>
      <w:r w:rsidRPr="006A64EE">
        <w:rPr>
          <w:i/>
          <w:sz w:val="18"/>
          <w:szCs w:val="18"/>
        </w:rPr>
        <w:t>MTX</w:t>
      </w:r>
      <w:r w:rsidRPr="006A64EE">
        <w:rPr>
          <w:i/>
          <w:sz w:val="18"/>
          <w:szCs w:val="18"/>
        </w:rPr>
        <w:tab/>
        <w:t>- Methotrexat</w:t>
      </w:r>
    </w:p>
    <w:p w14:paraId="35F45651" w14:textId="77777777" w:rsidR="00093A5E" w:rsidRPr="006A64EE" w:rsidRDefault="009C2544" w:rsidP="004255F8">
      <w:pPr>
        <w:widowControl/>
        <w:tabs>
          <w:tab w:val="left" w:pos="709"/>
        </w:tabs>
        <w:rPr>
          <w:i/>
          <w:sz w:val="18"/>
          <w:szCs w:val="18"/>
        </w:rPr>
      </w:pPr>
      <w:r w:rsidRPr="006A64EE">
        <w:rPr>
          <w:i/>
          <w:sz w:val="18"/>
          <w:szCs w:val="18"/>
        </w:rPr>
        <w:t>PBO</w:t>
      </w:r>
      <w:r w:rsidRPr="006A64EE">
        <w:rPr>
          <w:i/>
          <w:sz w:val="18"/>
          <w:szCs w:val="18"/>
        </w:rPr>
        <w:tab/>
        <w:t>- Placebo</w:t>
      </w:r>
    </w:p>
    <w:p w14:paraId="0FB5D7EB" w14:textId="09E9C946" w:rsidR="00093A5E" w:rsidRPr="00D75764" w:rsidRDefault="009C2544" w:rsidP="004255F8">
      <w:pPr>
        <w:widowControl/>
        <w:tabs>
          <w:tab w:val="left" w:pos="709"/>
        </w:tabs>
        <w:rPr>
          <w:i/>
          <w:sz w:val="18"/>
          <w:szCs w:val="18"/>
          <w:lang w:val="en-US"/>
        </w:rPr>
      </w:pPr>
      <w:r w:rsidRPr="00D75764">
        <w:rPr>
          <w:i/>
          <w:sz w:val="18"/>
          <w:szCs w:val="18"/>
          <w:lang w:val="en-US"/>
        </w:rPr>
        <w:t>DMARD</w:t>
      </w:r>
      <w:r w:rsidR="00705269" w:rsidRPr="00D75764">
        <w:rPr>
          <w:i/>
          <w:sz w:val="18"/>
          <w:szCs w:val="18"/>
          <w:lang w:val="en-US"/>
        </w:rPr>
        <w:tab/>
      </w:r>
      <w:r w:rsidRPr="00D75764">
        <w:rPr>
          <w:i/>
          <w:sz w:val="18"/>
          <w:szCs w:val="18"/>
          <w:lang w:val="en-US"/>
        </w:rPr>
        <w:t>- Disease modifying anti-rheumatic drug</w:t>
      </w:r>
    </w:p>
    <w:p w14:paraId="16D22782" w14:textId="77777777" w:rsidR="00093A5E" w:rsidRPr="00D75764" w:rsidRDefault="009C2544" w:rsidP="004255F8">
      <w:pPr>
        <w:widowControl/>
        <w:tabs>
          <w:tab w:val="left" w:pos="709"/>
        </w:tabs>
        <w:rPr>
          <w:i/>
          <w:sz w:val="18"/>
          <w:szCs w:val="18"/>
          <w:lang w:val="en-US"/>
        </w:rPr>
      </w:pPr>
      <w:r w:rsidRPr="00D75764">
        <w:rPr>
          <w:i/>
          <w:sz w:val="18"/>
          <w:szCs w:val="18"/>
          <w:lang w:val="en-US"/>
        </w:rPr>
        <w:t>**</w:t>
      </w:r>
      <w:r w:rsidRPr="00D75764">
        <w:rPr>
          <w:i/>
          <w:sz w:val="18"/>
          <w:szCs w:val="18"/>
          <w:lang w:val="en-US"/>
        </w:rPr>
        <w:tab/>
        <w:t>- p &lt; 0,01, TCZ vs. PBO + MTX/DMARD</w:t>
      </w:r>
    </w:p>
    <w:p w14:paraId="6766E0D6" w14:textId="77777777" w:rsidR="00093A5E" w:rsidRPr="00D75764" w:rsidRDefault="009C2544" w:rsidP="004255F8">
      <w:pPr>
        <w:widowControl/>
        <w:tabs>
          <w:tab w:val="left" w:pos="709"/>
        </w:tabs>
        <w:rPr>
          <w:i/>
          <w:sz w:val="18"/>
          <w:szCs w:val="18"/>
          <w:lang w:val="en-US"/>
        </w:rPr>
      </w:pPr>
      <w:r w:rsidRPr="00D75764">
        <w:rPr>
          <w:i/>
          <w:sz w:val="18"/>
          <w:szCs w:val="18"/>
          <w:lang w:val="en-US"/>
        </w:rPr>
        <w:t>***</w:t>
      </w:r>
      <w:r w:rsidRPr="00D75764">
        <w:rPr>
          <w:i/>
          <w:sz w:val="18"/>
          <w:szCs w:val="18"/>
          <w:lang w:val="en-US"/>
        </w:rPr>
        <w:tab/>
        <w:t>- p &lt; 0,0001, TCZ vs. PBO + MTX/DMARD</w:t>
      </w:r>
    </w:p>
    <w:p w14:paraId="70CC63DB" w14:textId="77777777" w:rsidR="00093A5E" w:rsidRPr="00D75764" w:rsidRDefault="00093A5E" w:rsidP="004255F8">
      <w:pPr>
        <w:pStyle w:val="a3"/>
        <w:widowControl/>
        <w:rPr>
          <w:i/>
          <w:lang w:val="en-US"/>
        </w:rPr>
      </w:pPr>
    </w:p>
    <w:p w14:paraId="1851EA97" w14:textId="77777777" w:rsidR="00093A5E" w:rsidRPr="006A64EE" w:rsidRDefault="009C2544" w:rsidP="004255F8">
      <w:pPr>
        <w:widowControl/>
        <w:rPr>
          <w:i/>
        </w:rPr>
      </w:pPr>
      <w:r w:rsidRPr="006A64EE">
        <w:rPr>
          <w:i/>
        </w:rPr>
        <w:t>Bedeutendes klinisches Ansprechen</w:t>
      </w:r>
    </w:p>
    <w:p w14:paraId="5EC73D8C" w14:textId="77777777" w:rsidR="00093A5E" w:rsidRPr="006A64EE" w:rsidRDefault="009C2544" w:rsidP="004255F8">
      <w:pPr>
        <w:pStyle w:val="a3"/>
        <w:widowControl/>
      </w:pPr>
      <w:r w:rsidRPr="006A64EE">
        <w:t>2 Jahre nach der Behandlung mit Tocilizumab plus MTX erreichten 14 % der Patienten ein bedeutendes klinisches Ansprechen (Erhaltung eines ACR-70-Ansprechens für 24 Wochen oder länger).</w:t>
      </w:r>
    </w:p>
    <w:p w14:paraId="1C9111EE" w14:textId="77777777" w:rsidR="00093A5E" w:rsidRPr="006A64EE" w:rsidRDefault="00093A5E" w:rsidP="004255F8">
      <w:pPr>
        <w:pStyle w:val="a3"/>
        <w:widowControl/>
      </w:pPr>
    </w:p>
    <w:p w14:paraId="64C993E5" w14:textId="77777777" w:rsidR="00093A5E" w:rsidRPr="006A64EE" w:rsidRDefault="009C2544" w:rsidP="00B320E1">
      <w:pPr>
        <w:keepNext/>
        <w:widowControl/>
        <w:rPr>
          <w:i/>
        </w:rPr>
      </w:pPr>
      <w:r w:rsidRPr="006A64EE">
        <w:rPr>
          <w:i/>
        </w:rPr>
        <w:lastRenderedPageBreak/>
        <w:t>Radiologisches Ansprechen</w:t>
      </w:r>
    </w:p>
    <w:p w14:paraId="1E499877" w14:textId="77777777" w:rsidR="00093A5E" w:rsidRPr="006A64EE" w:rsidRDefault="009C2544" w:rsidP="004255F8">
      <w:pPr>
        <w:pStyle w:val="a3"/>
        <w:widowControl/>
      </w:pPr>
      <w:r w:rsidRPr="006A64EE">
        <w:t>In Studie II wurde die Verhinderung von Gelenkschädigungen bei Patienten mit unzureichendem Ansprechen auf MTX radiologisch bewertet und anhand der Veränderung des modifizierten Sharp Scores und seiner Komponenten, dem Ausmaß der Erosionen und der Gelenkspaltverengung dargestellt. Die Verhinderung der Gelenkstrukturschäden wurde bei Patienten, die Tocilizumab erhielten, im Vergleich zur Kontrollgruppe durch eine signifikant geringere radiologische Progression nachgewiesen (Tabelle 5).</w:t>
      </w:r>
    </w:p>
    <w:p w14:paraId="086AD876" w14:textId="77777777" w:rsidR="00093A5E" w:rsidRPr="006A64EE" w:rsidRDefault="00093A5E" w:rsidP="004255F8">
      <w:pPr>
        <w:pStyle w:val="a3"/>
        <w:widowControl/>
      </w:pPr>
    </w:p>
    <w:p w14:paraId="1F279B54" w14:textId="6583AC47" w:rsidR="00093A5E" w:rsidRPr="006A64EE" w:rsidRDefault="009C2544" w:rsidP="004255F8">
      <w:pPr>
        <w:pStyle w:val="a3"/>
        <w:widowControl/>
      </w:pPr>
      <w:r w:rsidRPr="006A64EE">
        <w:t>In der offenen Verlängerung der Studie II wurde die Hemmung der Progression struktureller Gelenkschäden bei Patienten, die Tocilizumab plus MTX erhielten, während des 2.</w:t>
      </w:r>
      <w:r w:rsidR="006B5972">
        <w:t> </w:t>
      </w:r>
      <w:r w:rsidRPr="006A64EE">
        <w:t>Behandlungsjahres aufrechterhalten. Verglichen mit dem Ausgangswert war der Mittelwert der Veränderung in Woche</w:t>
      </w:r>
      <w:r w:rsidR="006B5972">
        <w:t> </w:t>
      </w:r>
      <w:r w:rsidRPr="006A64EE">
        <w:t>104 gemäß Gesamt-Sharp-Genant-Score signifikant geringer bei Patienten, die 8</w:t>
      </w:r>
      <w:r w:rsidR="006B5972">
        <w:t> </w:t>
      </w:r>
      <w:r w:rsidRPr="006A64EE">
        <w:t>mg/kg Tocilizumab plus MTX erhalten hatten (p</w:t>
      </w:r>
      <w:r w:rsidR="006B5972">
        <w:t> </w:t>
      </w:r>
      <w:r w:rsidRPr="006A64EE">
        <w:t>&lt;</w:t>
      </w:r>
      <w:r w:rsidR="006B5972">
        <w:t> </w:t>
      </w:r>
      <w:r w:rsidRPr="006A64EE">
        <w:t>0,0001), als bei Patienten, die in die Placebo plus MTX-Gruppe randomisiert worden waren.</w:t>
      </w:r>
    </w:p>
    <w:p w14:paraId="4D7EB769" w14:textId="77777777" w:rsidR="00093A5E" w:rsidRPr="006A64EE" w:rsidRDefault="00093A5E" w:rsidP="004255F8">
      <w:pPr>
        <w:pStyle w:val="a3"/>
        <w:widowControl/>
      </w:pPr>
    </w:p>
    <w:p w14:paraId="245C21EA" w14:textId="77777777" w:rsidR="00093A5E" w:rsidRPr="006A64EE" w:rsidRDefault="009C2544" w:rsidP="004255F8">
      <w:pPr>
        <w:pStyle w:val="Tabletittle"/>
      </w:pPr>
      <w:r w:rsidRPr="006A64EE">
        <w:t>Tabelle 5:</w:t>
      </w:r>
      <w:r w:rsidR="00902F78" w:rsidRPr="006A64EE">
        <w:tab/>
      </w:r>
      <w:r w:rsidRPr="006A64EE">
        <w:t>Mittelwerte der radiologischen Veränderungen während 52 Wochen in Studie II</w:t>
      </w:r>
    </w:p>
    <w:p w14:paraId="122EA142" w14:textId="114F2571" w:rsidR="002D5756" w:rsidRPr="006A64EE" w:rsidRDefault="002D5756" w:rsidP="004255F8">
      <w:pPr>
        <w:pStyle w:val="a3"/>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316"/>
        <w:gridCol w:w="2804"/>
        <w:gridCol w:w="2941"/>
      </w:tblGrid>
      <w:tr w:rsidR="00593482" w:rsidRPr="006A64EE" w14:paraId="7F5B4BE8" w14:textId="77777777" w:rsidTr="0011146A">
        <w:trPr>
          <w:cantSplit/>
        </w:trPr>
        <w:tc>
          <w:tcPr>
            <w:tcW w:w="2942" w:type="dxa"/>
          </w:tcPr>
          <w:p w14:paraId="21ED0DA3" w14:textId="77777777" w:rsidR="002D5756" w:rsidRPr="006A64EE" w:rsidRDefault="002D5756" w:rsidP="004255F8">
            <w:pPr>
              <w:pStyle w:val="TableParagraph"/>
              <w:widowControl/>
              <w:suppressAutoHyphens/>
              <w:rPr>
                <w:sz w:val="20"/>
                <w:szCs w:val="20"/>
              </w:rPr>
            </w:pPr>
          </w:p>
        </w:tc>
        <w:tc>
          <w:tcPr>
            <w:tcW w:w="2488" w:type="dxa"/>
          </w:tcPr>
          <w:p w14:paraId="4612F7E1" w14:textId="77777777" w:rsidR="00093A5E" w:rsidRPr="006A64EE" w:rsidRDefault="009C2544" w:rsidP="004255F8">
            <w:pPr>
              <w:pStyle w:val="TableParagraph"/>
              <w:widowControl/>
              <w:suppressAutoHyphens/>
              <w:jc w:val="center"/>
              <w:rPr>
                <w:b/>
                <w:sz w:val="20"/>
                <w:szCs w:val="20"/>
              </w:rPr>
            </w:pPr>
            <w:r w:rsidRPr="006A64EE">
              <w:rPr>
                <w:b/>
                <w:sz w:val="20"/>
                <w:szCs w:val="20"/>
              </w:rPr>
              <w:t>PBO + MTX</w:t>
            </w:r>
          </w:p>
          <w:p w14:paraId="305FF7A2" w14:textId="07752000" w:rsidR="00093A5E" w:rsidRPr="006A64EE" w:rsidRDefault="009C2544" w:rsidP="004255F8">
            <w:pPr>
              <w:pStyle w:val="TableParagraph"/>
              <w:widowControl/>
              <w:suppressAutoHyphens/>
              <w:jc w:val="center"/>
              <w:rPr>
                <w:b/>
                <w:sz w:val="20"/>
                <w:szCs w:val="20"/>
              </w:rPr>
            </w:pPr>
            <w:r w:rsidRPr="006A64EE">
              <w:rPr>
                <w:b/>
                <w:sz w:val="20"/>
                <w:szCs w:val="20"/>
              </w:rPr>
              <w:t>(+ TCZ ab Woche 24)</w:t>
            </w:r>
          </w:p>
          <w:p w14:paraId="54979BE7" w14:textId="60BC3C3E" w:rsidR="002D5756" w:rsidRPr="006A64EE" w:rsidRDefault="009C2544" w:rsidP="004255F8">
            <w:pPr>
              <w:pStyle w:val="TableParagraph"/>
              <w:widowControl/>
              <w:suppressAutoHyphens/>
              <w:jc w:val="center"/>
              <w:rPr>
                <w:b/>
                <w:sz w:val="20"/>
                <w:szCs w:val="20"/>
              </w:rPr>
            </w:pPr>
            <w:r w:rsidRPr="006A64EE">
              <w:rPr>
                <w:b/>
                <w:sz w:val="20"/>
                <w:szCs w:val="20"/>
              </w:rPr>
              <w:t>n = 393</w:t>
            </w:r>
          </w:p>
        </w:tc>
        <w:tc>
          <w:tcPr>
            <w:tcW w:w="2610" w:type="dxa"/>
          </w:tcPr>
          <w:p w14:paraId="14AE0E4A" w14:textId="33594B4F" w:rsidR="00093A5E" w:rsidRPr="006A64EE" w:rsidRDefault="009C2544" w:rsidP="004255F8">
            <w:pPr>
              <w:pStyle w:val="TableParagraph"/>
              <w:widowControl/>
              <w:suppressAutoHyphens/>
              <w:jc w:val="center"/>
              <w:rPr>
                <w:b/>
                <w:sz w:val="20"/>
                <w:szCs w:val="20"/>
              </w:rPr>
            </w:pPr>
            <w:r w:rsidRPr="006A64EE">
              <w:rPr>
                <w:b/>
                <w:sz w:val="20"/>
                <w:szCs w:val="20"/>
              </w:rPr>
              <w:t>TCZ 8</w:t>
            </w:r>
            <w:r w:rsidR="002870CF">
              <w:rPr>
                <w:b/>
                <w:sz w:val="20"/>
                <w:szCs w:val="20"/>
              </w:rPr>
              <w:t> </w:t>
            </w:r>
            <w:r w:rsidRPr="006A64EE">
              <w:rPr>
                <w:b/>
                <w:sz w:val="20"/>
                <w:szCs w:val="20"/>
              </w:rPr>
              <w:t>mg/kg + MTX</w:t>
            </w:r>
          </w:p>
          <w:p w14:paraId="03701ED4" w14:textId="6CABC4E9" w:rsidR="002D5756" w:rsidRPr="006A64EE" w:rsidRDefault="009C2544" w:rsidP="004255F8">
            <w:pPr>
              <w:pStyle w:val="TableParagraph"/>
              <w:widowControl/>
              <w:suppressAutoHyphens/>
              <w:jc w:val="center"/>
              <w:rPr>
                <w:b/>
                <w:sz w:val="20"/>
                <w:szCs w:val="20"/>
              </w:rPr>
            </w:pPr>
            <w:r w:rsidRPr="006A64EE">
              <w:rPr>
                <w:b/>
                <w:sz w:val="20"/>
                <w:szCs w:val="20"/>
              </w:rPr>
              <w:t>n = 398</w:t>
            </w:r>
          </w:p>
        </w:tc>
      </w:tr>
      <w:tr w:rsidR="00593482" w:rsidRPr="006A64EE" w14:paraId="2C7035C8" w14:textId="77777777" w:rsidTr="0011146A">
        <w:trPr>
          <w:cantSplit/>
        </w:trPr>
        <w:tc>
          <w:tcPr>
            <w:tcW w:w="2942" w:type="dxa"/>
          </w:tcPr>
          <w:p w14:paraId="6C7BF984" w14:textId="77777777" w:rsidR="002D5756" w:rsidRPr="006A64EE" w:rsidRDefault="009C2544" w:rsidP="004255F8">
            <w:pPr>
              <w:pStyle w:val="TableParagraph"/>
              <w:widowControl/>
              <w:suppressAutoHyphens/>
              <w:rPr>
                <w:sz w:val="20"/>
                <w:szCs w:val="20"/>
              </w:rPr>
            </w:pPr>
            <w:r w:rsidRPr="006A64EE">
              <w:rPr>
                <w:sz w:val="20"/>
                <w:szCs w:val="20"/>
              </w:rPr>
              <w:t>Gesamt-Sharp-Genant-Score</w:t>
            </w:r>
          </w:p>
        </w:tc>
        <w:tc>
          <w:tcPr>
            <w:tcW w:w="2488" w:type="dxa"/>
          </w:tcPr>
          <w:p w14:paraId="6B202F11" w14:textId="77777777" w:rsidR="002D5756" w:rsidRPr="006A64EE" w:rsidRDefault="009C2544" w:rsidP="004255F8">
            <w:pPr>
              <w:pStyle w:val="TableParagraph"/>
              <w:widowControl/>
              <w:suppressAutoHyphens/>
              <w:jc w:val="center"/>
              <w:rPr>
                <w:sz w:val="20"/>
                <w:szCs w:val="20"/>
              </w:rPr>
            </w:pPr>
            <w:r w:rsidRPr="006A64EE">
              <w:rPr>
                <w:sz w:val="20"/>
                <w:szCs w:val="20"/>
              </w:rPr>
              <w:t>1,13</w:t>
            </w:r>
          </w:p>
        </w:tc>
        <w:tc>
          <w:tcPr>
            <w:tcW w:w="2610" w:type="dxa"/>
          </w:tcPr>
          <w:p w14:paraId="4CBA9197" w14:textId="77777777" w:rsidR="002D5756" w:rsidRPr="006A64EE" w:rsidRDefault="009C2544" w:rsidP="004255F8">
            <w:pPr>
              <w:pStyle w:val="TableParagraph"/>
              <w:widowControl/>
              <w:suppressAutoHyphens/>
              <w:jc w:val="center"/>
              <w:rPr>
                <w:sz w:val="20"/>
                <w:szCs w:val="20"/>
              </w:rPr>
            </w:pPr>
            <w:r w:rsidRPr="006A64EE">
              <w:rPr>
                <w:sz w:val="20"/>
                <w:szCs w:val="20"/>
              </w:rPr>
              <w:t>0,29*</w:t>
            </w:r>
          </w:p>
        </w:tc>
      </w:tr>
      <w:tr w:rsidR="00593482" w:rsidRPr="006A64EE" w14:paraId="653B7E63" w14:textId="77777777" w:rsidTr="0011146A">
        <w:trPr>
          <w:cantSplit/>
        </w:trPr>
        <w:tc>
          <w:tcPr>
            <w:tcW w:w="2942" w:type="dxa"/>
          </w:tcPr>
          <w:p w14:paraId="67CC1105" w14:textId="77777777" w:rsidR="002D5756" w:rsidRPr="006A64EE" w:rsidRDefault="009C2544" w:rsidP="004255F8">
            <w:pPr>
              <w:pStyle w:val="TableParagraph"/>
              <w:widowControl/>
              <w:suppressAutoHyphens/>
              <w:rPr>
                <w:sz w:val="20"/>
                <w:szCs w:val="20"/>
              </w:rPr>
            </w:pPr>
            <w:r w:rsidRPr="006A64EE">
              <w:rPr>
                <w:sz w:val="20"/>
                <w:szCs w:val="20"/>
              </w:rPr>
              <w:t>Erosion Score</w:t>
            </w:r>
          </w:p>
        </w:tc>
        <w:tc>
          <w:tcPr>
            <w:tcW w:w="2488" w:type="dxa"/>
          </w:tcPr>
          <w:p w14:paraId="1AB5E514" w14:textId="77777777" w:rsidR="002D5756" w:rsidRPr="006A64EE" w:rsidRDefault="009C2544" w:rsidP="004255F8">
            <w:pPr>
              <w:pStyle w:val="TableParagraph"/>
              <w:widowControl/>
              <w:suppressAutoHyphens/>
              <w:jc w:val="center"/>
              <w:rPr>
                <w:sz w:val="20"/>
                <w:szCs w:val="20"/>
              </w:rPr>
            </w:pPr>
            <w:r w:rsidRPr="006A64EE">
              <w:rPr>
                <w:sz w:val="20"/>
                <w:szCs w:val="20"/>
              </w:rPr>
              <w:t>0,71</w:t>
            </w:r>
          </w:p>
        </w:tc>
        <w:tc>
          <w:tcPr>
            <w:tcW w:w="2610" w:type="dxa"/>
          </w:tcPr>
          <w:p w14:paraId="4F21F832" w14:textId="77777777" w:rsidR="002D5756" w:rsidRPr="006A64EE" w:rsidRDefault="009C2544" w:rsidP="004255F8">
            <w:pPr>
              <w:pStyle w:val="TableParagraph"/>
              <w:widowControl/>
              <w:suppressAutoHyphens/>
              <w:jc w:val="center"/>
              <w:rPr>
                <w:sz w:val="20"/>
                <w:szCs w:val="20"/>
              </w:rPr>
            </w:pPr>
            <w:r w:rsidRPr="006A64EE">
              <w:rPr>
                <w:sz w:val="20"/>
                <w:szCs w:val="20"/>
              </w:rPr>
              <w:t>0,17*</w:t>
            </w:r>
          </w:p>
        </w:tc>
      </w:tr>
      <w:tr w:rsidR="00593482" w:rsidRPr="006A64EE" w14:paraId="412CAD5D" w14:textId="77777777" w:rsidTr="0011146A">
        <w:trPr>
          <w:cantSplit/>
        </w:trPr>
        <w:tc>
          <w:tcPr>
            <w:tcW w:w="2942" w:type="dxa"/>
          </w:tcPr>
          <w:p w14:paraId="366C8F35" w14:textId="77777777" w:rsidR="002D5756" w:rsidRPr="006A64EE" w:rsidRDefault="009C2544" w:rsidP="004255F8">
            <w:pPr>
              <w:pStyle w:val="TableParagraph"/>
              <w:widowControl/>
              <w:suppressAutoHyphens/>
              <w:rPr>
                <w:sz w:val="20"/>
                <w:szCs w:val="20"/>
              </w:rPr>
            </w:pPr>
            <w:r w:rsidRPr="006A64EE">
              <w:rPr>
                <w:sz w:val="20"/>
                <w:szCs w:val="20"/>
              </w:rPr>
              <w:t>JSN Score</w:t>
            </w:r>
          </w:p>
        </w:tc>
        <w:tc>
          <w:tcPr>
            <w:tcW w:w="2488" w:type="dxa"/>
          </w:tcPr>
          <w:p w14:paraId="7DBEA5AA" w14:textId="77777777" w:rsidR="002D5756" w:rsidRPr="006A64EE" w:rsidRDefault="009C2544" w:rsidP="004255F8">
            <w:pPr>
              <w:pStyle w:val="TableParagraph"/>
              <w:widowControl/>
              <w:suppressAutoHyphens/>
              <w:jc w:val="center"/>
              <w:rPr>
                <w:sz w:val="20"/>
                <w:szCs w:val="20"/>
              </w:rPr>
            </w:pPr>
            <w:r w:rsidRPr="006A64EE">
              <w:rPr>
                <w:sz w:val="20"/>
                <w:szCs w:val="20"/>
              </w:rPr>
              <w:t>0,42</w:t>
            </w:r>
          </w:p>
        </w:tc>
        <w:tc>
          <w:tcPr>
            <w:tcW w:w="2610" w:type="dxa"/>
          </w:tcPr>
          <w:p w14:paraId="15E65A8E" w14:textId="77777777" w:rsidR="002D5756" w:rsidRPr="006A64EE" w:rsidRDefault="009C2544" w:rsidP="004255F8">
            <w:pPr>
              <w:pStyle w:val="TableParagraph"/>
              <w:widowControl/>
              <w:suppressAutoHyphens/>
              <w:jc w:val="center"/>
              <w:rPr>
                <w:sz w:val="20"/>
                <w:szCs w:val="20"/>
              </w:rPr>
            </w:pPr>
            <w:r w:rsidRPr="006A64EE">
              <w:rPr>
                <w:sz w:val="20"/>
                <w:szCs w:val="20"/>
              </w:rPr>
              <w:t>0,12**</w:t>
            </w:r>
          </w:p>
        </w:tc>
      </w:tr>
    </w:tbl>
    <w:p w14:paraId="3A63BEDA" w14:textId="03AAEF18" w:rsidR="00EF568D" w:rsidRDefault="009C2544" w:rsidP="004255F8">
      <w:pPr>
        <w:widowControl/>
        <w:tabs>
          <w:tab w:val="left" w:pos="426"/>
        </w:tabs>
        <w:rPr>
          <w:i/>
          <w:sz w:val="18"/>
          <w:szCs w:val="18"/>
        </w:rPr>
      </w:pPr>
      <w:r w:rsidRPr="006A64EE">
        <w:rPr>
          <w:i/>
          <w:sz w:val="18"/>
          <w:szCs w:val="18"/>
        </w:rPr>
        <w:t>PBO</w:t>
      </w:r>
      <w:r w:rsidR="00705269" w:rsidRPr="006A64EE">
        <w:rPr>
          <w:i/>
          <w:sz w:val="18"/>
          <w:szCs w:val="18"/>
        </w:rPr>
        <w:tab/>
      </w:r>
      <w:r w:rsidRPr="006A64EE">
        <w:rPr>
          <w:i/>
          <w:sz w:val="18"/>
          <w:szCs w:val="18"/>
        </w:rPr>
        <w:t>- Placebo</w:t>
      </w:r>
    </w:p>
    <w:p w14:paraId="78285E3E" w14:textId="4FA31394" w:rsidR="00EF568D" w:rsidRDefault="009C2544" w:rsidP="004255F8">
      <w:pPr>
        <w:widowControl/>
        <w:tabs>
          <w:tab w:val="left" w:pos="426"/>
        </w:tabs>
        <w:rPr>
          <w:i/>
          <w:sz w:val="18"/>
          <w:szCs w:val="18"/>
        </w:rPr>
      </w:pPr>
      <w:r w:rsidRPr="006A64EE">
        <w:rPr>
          <w:i/>
          <w:sz w:val="18"/>
          <w:szCs w:val="18"/>
        </w:rPr>
        <w:t>MTX - Methotrexat</w:t>
      </w:r>
    </w:p>
    <w:p w14:paraId="2D745029" w14:textId="1F9D7F46" w:rsidR="00093A5E" w:rsidRPr="006A64EE" w:rsidRDefault="009C2544" w:rsidP="004255F8">
      <w:pPr>
        <w:widowControl/>
        <w:tabs>
          <w:tab w:val="left" w:pos="426"/>
        </w:tabs>
        <w:rPr>
          <w:i/>
          <w:sz w:val="18"/>
          <w:szCs w:val="18"/>
        </w:rPr>
      </w:pPr>
      <w:r w:rsidRPr="006A64EE">
        <w:rPr>
          <w:i/>
          <w:sz w:val="18"/>
          <w:szCs w:val="18"/>
        </w:rPr>
        <w:t>TCZ - Tocilizumab</w:t>
      </w:r>
    </w:p>
    <w:p w14:paraId="7E494074" w14:textId="3D1FF1E9" w:rsidR="00093A5E" w:rsidRPr="006A64EE" w:rsidRDefault="009C2544" w:rsidP="004255F8">
      <w:pPr>
        <w:widowControl/>
        <w:tabs>
          <w:tab w:val="left" w:pos="426"/>
        </w:tabs>
        <w:rPr>
          <w:i/>
          <w:sz w:val="18"/>
          <w:szCs w:val="18"/>
        </w:rPr>
      </w:pPr>
      <w:r w:rsidRPr="006A64EE">
        <w:rPr>
          <w:i/>
          <w:sz w:val="18"/>
          <w:szCs w:val="18"/>
        </w:rPr>
        <w:t>JSN</w:t>
      </w:r>
      <w:r w:rsidR="00705269" w:rsidRPr="006A64EE">
        <w:rPr>
          <w:i/>
          <w:sz w:val="18"/>
          <w:szCs w:val="18"/>
        </w:rPr>
        <w:tab/>
      </w:r>
      <w:r w:rsidRPr="006A64EE">
        <w:rPr>
          <w:i/>
          <w:sz w:val="18"/>
          <w:szCs w:val="18"/>
        </w:rPr>
        <w:t>- Gelenkspaltverengung (JSN = joint space narrowing)</w:t>
      </w:r>
    </w:p>
    <w:p w14:paraId="731C9F98" w14:textId="77777777" w:rsidR="00093A5E" w:rsidRPr="006A64EE" w:rsidRDefault="009C2544" w:rsidP="004255F8">
      <w:pPr>
        <w:widowControl/>
        <w:tabs>
          <w:tab w:val="left" w:pos="426"/>
          <w:tab w:val="left" w:pos="932"/>
        </w:tabs>
        <w:rPr>
          <w:i/>
          <w:sz w:val="18"/>
          <w:szCs w:val="18"/>
        </w:rPr>
      </w:pPr>
      <w:r w:rsidRPr="006A64EE">
        <w:rPr>
          <w:i/>
          <w:sz w:val="18"/>
          <w:szCs w:val="18"/>
        </w:rPr>
        <w:t>*</w:t>
      </w:r>
      <w:r w:rsidRPr="006A64EE">
        <w:rPr>
          <w:i/>
          <w:sz w:val="18"/>
          <w:szCs w:val="18"/>
        </w:rPr>
        <w:tab/>
        <w:t>- p ≤ 0,0001, TCZ vs. PBO + MTX</w:t>
      </w:r>
    </w:p>
    <w:p w14:paraId="67042B20" w14:textId="77777777" w:rsidR="00093A5E" w:rsidRPr="006A64EE" w:rsidRDefault="009C2544" w:rsidP="004255F8">
      <w:pPr>
        <w:widowControl/>
        <w:tabs>
          <w:tab w:val="left" w:pos="426"/>
          <w:tab w:val="left" w:pos="932"/>
        </w:tabs>
        <w:rPr>
          <w:i/>
          <w:sz w:val="18"/>
          <w:szCs w:val="18"/>
        </w:rPr>
      </w:pPr>
      <w:r w:rsidRPr="006A64EE">
        <w:rPr>
          <w:i/>
          <w:sz w:val="18"/>
          <w:szCs w:val="18"/>
        </w:rPr>
        <w:t>**</w:t>
      </w:r>
      <w:r w:rsidRPr="006A64EE">
        <w:rPr>
          <w:i/>
          <w:sz w:val="18"/>
          <w:szCs w:val="18"/>
        </w:rPr>
        <w:tab/>
        <w:t>- p &lt; 0,005, TCZ vs. PBO + MTX</w:t>
      </w:r>
    </w:p>
    <w:p w14:paraId="25F753AD" w14:textId="77777777" w:rsidR="00093A5E" w:rsidRPr="006A64EE" w:rsidRDefault="00093A5E" w:rsidP="004255F8">
      <w:pPr>
        <w:widowControl/>
      </w:pPr>
    </w:p>
    <w:p w14:paraId="0C24211E" w14:textId="5DD4127B" w:rsidR="00093A5E" w:rsidRPr="006A64EE" w:rsidRDefault="007D680A" w:rsidP="004255F8">
      <w:pPr>
        <w:widowControl/>
      </w:pPr>
      <w:r w:rsidRPr="006A64EE">
        <w:t>Nach einem Jahr Behandlung mit Tocilizumab plus MTX hatten 85</w:t>
      </w:r>
      <w:r w:rsidR="00D84648">
        <w:t> </w:t>
      </w:r>
      <w:r w:rsidRPr="006A64EE">
        <w:t>% der Patienten (n</w:t>
      </w:r>
      <w:r w:rsidR="00D84648">
        <w:t> </w:t>
      </w:r>
      <w:r w:rsidRPr="006A64EE">
        <w:t>=</w:t>
      </w:r>
      <w:r w:rsidR="00D84648">
        <w:t> </w:t>
      </w:r>
      <w:r w:rsidRPr="006A64EE">
        <w:t>348) keine Progression der strukturellen Gelenkschäden, definiert durch eine Veränderung des Gesamt-Sharp-Scores von null oder weniger, verglichen mit 67</w:t>
      </w:r>
      <w:r w:rsidR="00D84648">
        <w:t> </w:t>
      </w:r>
      <w:r w:rsidRPr="006A64EE">
        <w:t>% der Patienten, die mit Placebo plus MTX behandelt wurden (n</w:t>
      </w:r>
      <w:r w:rsidR="00D84648">
        <w:t> </w:t>
      </w:r>
      <w:r w:rsidRPr="006A64EE">
        <w:t>=</w:t>
      </w:r>
      <w:r w:rsidR="00D84648">
        <w:t> </w:t>
      </w:r>
      <w:r w:rsidRPr="006A64EE">
        <w:t>290) (p</w:t>
      </w:r>
      <w:r w:rsidR="00D84648">
        <w:t> </w:t>
      </w:r>
      <w:r w:rsidRPr="006A64EE">
        <w:t>≤</w:t>
      </w:r>
      <w:r w:rsidR="00D84648">
        <w:t> </w:t>
      </w:r>
      <w:r w:rsidRPr="006A64EE">
        <w:t>0,001). Dies blieb während der folgenden 2</w:t>
      </w:r>
      <w:r w:rsidR="00D84648">
        <w:t> </w:t>
      </w:r>
      <w:r w:rsidRPr="006A64EE">
        <w:t>Behandlungsjahre vergleichbar</w:t>
      </w:r>
      <w:r w:rsidR="001703E8" w:rsidRPr="006A64EE">
        <w:t xml:space="preserve"> </w:t>
      </w:r>
      <w:r w:rsidRPr="006A64EE">
        <w:t>(83</w:t>
      </w:r>
      <w:r w:rsidR="00D84648">
        <w:t> </w:t>
      </w:r>
      <w:r w:rsidRPr="006A64EE">
        <w:t>%; n</w:t>
      </w:r>
      <w:r w:rsidR="00D84648">
        <w:t> </w:t>
      </w:r>
      <w:r w:rsidRPr="006A64EE">
        <w:t>=</w:t>
      </w:r>
      <w:r w:rsidR="00D84648">
        <w:t> </w:t>
      </w:r>
      <w:r w:rsidRPr="006A64EE">
        <w:t>353). Bei 93</w:t>
      </w:r>
      <w:r w:rsidR="00D84648">
        <w:t> </w:t>
      </w:r>
      <w:r w:rsidRPr="006A64EE">
        <w:t>% (n</w:t>
      </w:r>
      <w:r w:rsidR="00D84648">
        <w:t> </w:t>
      </w:r>
      <w:r w:rsidRPr="006A64EE">
        <w:t>=</w:t>
      </w:r>
      <w:r w:rsidR="00D84648">
        <w:t> </w:t>
      </w:r>
      <w:r w:rsidRPr="006A64EE">
        <w:t>271) der Patienten kam es zwischen Woche</w:t>
      </w:r>
      <w:r w:rsidR="00D84648">
        <w:t> </w:t>
      </w:r>
      <w:r w:rsidRPr="006A64EE">
        <w:t>52 und Woche</w:t>
      </w:r>
      <w:r w:rsidR="00D84648">
        <w:t> </w:t>
      </w:r>
      <w:r w:rsidRPr="006A64EE">
        <w:t>104 zu keiner Progression.</w:t>
      </w:r>
    </w:p>
    <w:p w14:paraId="61172316" w14:textId="77777777" w:rsidR="00093A5E" w:rsidRPr="006A64EE" w:rsidRDefault="00093A5E" w:rsidP="004255F8">
      <w:pPr>
        <w:pStyle w:val="a3"/>
        <w:widowControl/>
      </w:pPr>
    </w:p>
    <w:p w14:paraId="4286C92E" w14:textId="77777777" w:rsidR="00093A5E" w:rsidRPr="006A64EE" w:rsidRDefault="009C2544" w:rsidP="004255F8">
      <w:pPr>
        <w:widowControl/>
        <w:rPr>
          <w:i/>
        </w:rPr>
      </w:pPr>
      <w:r w:rsidRPr="006A64EE">
        <w:rPr>
          <w:i/>
        </w:rPr>
        <w:t>Gesundheitsbezogene Ergebnisse und Lebensqualität</w:t>
      </w:r>
    </w:p>
    <w:p w14:paraId="1547A38F" w14:textId="50AD53FF" w:rsidR="00093A5E" w:rsidRPr="006A64EE" w:rsidRDefault="009C2544" w:rsidP="004255F8">
      <w:pPr>
        <w:pStyle w:val="a3"/>
        <w:widowControl/>
      </w:pPr>
      <w:r w:rsidRPr="006A64EE">
        <w:t xml:space="preserve">Patienten, die mit Tocilizumab behandelt wurden, zeigten eine Verbesserung bei den durch die Patienten berichteten Ergebnissen (Health Assessment Questionnaire Disability Index [HAQ-DI], Short Form-36 und Functional Assessment of Chronic Illness Therapy Fragebogen). Bei Patienten, die mit </w:t>
      </w:r>
      <w:r w:rsidR="00472294">
        <w:t>Tocilizumab</w:t>
      </w:r>
      <w:r w:rsidR="00472294" w:rsidRPr="006A64EE">
        <w:t xml:space="preserve"> </w:t>
      </w:r>
      <w:r w:rsidRPr="006A64EE">
        <w:t>behandelt wurden, wurden im Vergleich zu Patienten, die mit DMARDs behandelt wurden, statistisch signifikante Verbesserungen in Bezug auf den HAQ-DI Score beobachtet. Während der offenen Phase der Studie II blieb die Verbesserung der körperlichen Funktion bis zu 2</w:t>
      </w:r>
      <w:r w:rsidR="0064064C">
        <w:t> </w:t>
      </w:r>
      <w:r w:rsidRPr="006A64EE">
        <w:t>Jahre erhalten. In Woche 52 lag der Mittelwert der Veränderung im HAQ-DI in der Gruppe, die 8</w:t>
      </w:r>
      <w:r w:rsidR="0064064C">
        <w:t> </w:t>
      </w:r>
      <w:r w:rsidRPr="006A64EE">
        <w:t>mg/kg Tocilizumab plus MTX erhalten hatte, bei -0,58 verglichen mit -0,39 in der Gruppe, die Placebo plus MTX erhalten hatte. Der Mittelwert der Veränderung im HAQ-DI dauerte in Woche 104 in der Gruppe, die 8</w:t>
      </w:r>
      <w:r w:rsidR="002870CF">
        <w:t> </w:t>
      </w:r>
      <w:r w:rsidRPr="006A64EE">
        <w:t>mg/kg Tocilizumab plus MTX erhalten hatte, an (-0,61).</w:t>
      </w:r>
    </w:p>
    <w:p w14:paraId="785A7438" w14:textId="77777777" w:rsidR="00093A5E" w:rsidRPr="006A64EE" w:rsidRDefault="00093A5E" w:rsidP="004255F8">
      <w:pPr>
        <w:pStyle w:val="a3"/>
        <w:widowControl/>
      </w:pPr>
    </w:p>
    <w:p w14:paraId="726AE8F7" w14:textId="77777777" w:rsidR="00093A5E" w:rsidRPr="006A64EE" w:rsidRDefault="009C2544" w:rsidP="004255F8">
      <w:pPr>
        <w:widowControl/>
        <w:rPr>
          <w:i/>
        </w:rPr>
      </w:pPr>
      <w:r w:rsidRPr="006A64EE">
        <w:rPr>
          <w:i/>
        </w:rPr>
        <w:t>Hämoglobinwerte</w:t>
      </w:r>
    </w:p>
    <w:p w14:paraId="06D28B91" w14:textId="0D088E03" w:rsidR="00093A5E" w:rsidRPr="006A64EE" w:rsidRDefault="009C2544" w:rsidP="004255F8">
      <w:pPr>
        <w:pStyle w:val="a3"/>
        <w:widowControl/>
      </w:pPr>
      <w:r w:rsidRPr="006A64EE">
        <w:t>Verglichen mit DMARDs wurde mit Tocilizumab in Woche</w:t>
      </w:r>
      <w:r w:rsidR="003C5089">
        <w:t> </w:t>
      </w:r>
      <w:r w:rsidRPr="006A64EE">
        <w:t>24 eine statistisch signifikante</w:t>
      </w:r>
      <w:r w:rsidR="003C5089">
        <w:t xml:space="preserve"> </w:t>
      </w:r>
      <w:r w:rsidRPr="006A64EE">
        <w:t>(p</w:t>
      </w:r>
      <w:r w:rsidR="003C5089">
        <w:t> </w:t>
      </w:r>
      <w:r w:rsidRPr="006A64EE">
        <w:t>&lt;</w:t>
      </w:r>
      <w:r w:rsidR="003C5089">
        <w:t> </w:t>
      </w:r>
      <w:r w:rsidRPr="006A64EE">
        <w:t>0,0001) Verbesserung der Hämoglobinwerte beobachtet. Die mittleren Hämoglobinwerte stiegen bis Woche</w:t>
      </w:r>
      <w:r w:rsidR="003C5089">
        <w:t> </w:t>
      </w:r>
      <w:r w:rsidRPr="006A64EE">
        <w:t>2 an und blieben dann bis Woche</w:t>
      </w:r>
      <w:r w:rsidR="003C5089">
        <w:t> </w:t>
      </w:r>
      <w:r w:rsidRPr="006A64EE">
        <w:t>24 auf einem normalen Niveau.</w:t>
      </w:r>
    </w:p>
    <w:p w14:paraId="5640EEB9" w14:textId="77777777" w:rsidR="00093A5E" w:rsidRPr="006A64EE" w:rsidRDefault="00093A5E" w:rsidP="004255F8">
      <w:pPr>
        <w:pStyle w:val="a3"/>
        <w:widowControl/>
      </w:pPr>
    </w:p>
    <w:p w14:paraId="3CC43B33" w14:textId="77777777" w:rsidR="00093A5E" w:rsidRPr="006A64EE" w:rsidRDefault="009C2544" w:rsidP="004255F8">
      <w:pPr>
        <w:widowControl/>
        <w:rPr>
          <w:i/>
        </w:rPr>
      </w:pPr>
      <w:r w:rsidRPr="006A64EE">
        <w:rPr>
          <w:i/>
        </w:rPr>
        <w:t>Tocilizumab versus Adalimumab in der Monotherapie</w:t>
      </w:r>
    </w:p>
    <w:p w14:paraId="1652474A" w14:textId="1C3CC7E2" w:rsidR="00093A5E" w:rsidRPr="006A64EE" w:rsidRDefault="009C2544" w:rsidP="004255F8">
      <w:pPr>
        <w:pStyle w:val="a3"/>
        <w:widowControl/>
      </w:pPr>
      <w:r w:rsidRPr="006A64EE">
        <w:t xml:space="preserve">Bei der Studie VI (WA19924) handelt es sich um eine 24-wöchige doppelblinde Studie zum Vergleich einer Tocilizumab-Monotherapie mit einer Adalimumab-Monotherapie, in der 326 Patienten mit RA, </w:t>
      </w:r>
      <w:r w:rsidRPr="006A64EE">
        <w:lastRenderedPageBreak/>
        <w:t>bei denen eine MTX-Unverträglichkeit vorlag oder eine fortgeführte Behandlung mit MTX als unangemessen erschien (einschließlich Patienten mit unzureichendem Ansprechen auf MTX), bewertet wurden. Patienten im Tocilizumab-Arm erhielten eine intravenöse Tocilizumab-Infusion</w:t>
      </w:r>
      <w:r w:rsidR="001703E8" w:rsidRPr="006A64EE">
        <w:t xml:space="preserve"> </w:t>
      </w:r>
      <w:r w:rsidRPr="006A64EE">
        <w:t>(8</w:t>
      </w:r>
      <w:r w:rsidR="00EF568D">
        <w:t> </w:t>
      </w:r>
      <w:r w:rsidRPr="006A64EE">
        <w:t>mg/kg) alle 4 Wochen (q4w) und eine subkutane Placebo-Injektion alle 2 Wochen (q2w). Patienten im Adalimumab-Arm erhielten eine subkutane Adalimumab-Injektion (40</w:t>
      </w:r>
      <w:r w:rsidR="002870CF">
        <w:t> </w:t>
      </w:r>
      <w:r w:rsidRPr="006A64EE">
        <w:t>mg) q2w und eine intravenöse Placebo-Infusion q4w.</w:t>
      </w:r>
    </w:p>
    <w:p w14:paraId="6D85A325" w14:textId="77777777" w:rsidR="00093A5E" w:rsidRPr="006A64EE" w:rsidRDefault="00093A5E" w:rsidP="004255F8">
      <w:pPr>
        <w:pStyle w:val="a3"/>
        <w:widowControl/>
      </w:pPr>
    </w:p>
    <w:p w14:paraId="713BDA23" w14:textId="77777777" w:rsidR="00093A5E" w:rsidRPr="006A64EE" w:rsidRDefault="009C2544" w:rsidP="004255F8">
      <w:pPr>
        <w:pStyle w:val="a3"/>
        <w:widowControl/>
      </w:pPr>
      <w:r w:rsidRPr="006A64EE">
        <w:t>Eine statistisch signifikante Überlegenheit wurde zugunsten des Behandlungseffekts von Tocilizumab im Vergleich zu Adalimumab im Hinblick auf die Kontrolle der Krankheitsaktivität, ab Baseline bis Woche 24, für den primären Endpunkt der Veränderung des DAS28 und auch für alle sekundären Endpunkte (siehe Tabelle 6) beobachtet.</w:t>
      </w:r>
    </w:p>
    <w:p w14:paraId="202C6B73" w14:textId="77777777" w:rsidR="00093A5E" w:rsidRPr="006A64EE" w:rsidRDefault="00093A5E" w:rsidP="004255F8">
      <w:pPr>
        <w:widowControl/>
      </w:pPr>
    </w:p>
    <w:p w14:paraId="4C5D421C" w14:textId="77777777" w:rsidR="00093A5E" w:rsidRPr="006A64EE" w:rsidRDefault="007D680A" w:rsidP="004255F8">
      <w:pPr>
        <w:pStyle w:val="Tabletittle"/>
      </w:pPr>
      <w:r w:rsidRPr="006A64EE">
        <w:t>Tabelle 6:</w:t>
      </w:r>
      <w:r w:rsidR="00B81266" w:rsidRPr="006A64EE">
        <w:tab/>
      </w:r>
      <w:r w:rsidRPr="006A64EE">
        <w:t>Wirksamkeitsergebnisse für Studie VI (WA19924)</w:t>
      </w:r>
    </w:p>
    <w:p w14:paraId="6BD6761C" w14:textId="6322E2A2" w:rsidR="002D5756" w:rsidRPr="006A64EE" w:rsidRDefault="002D5756" w:rsidP="004255F8">
      <w:pPr>
        <w:pStyle w:val="a3"/>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4098"/>
        <w:gridCol w:w="1710"/>
        <w:gridCol w:w="2045"/>
        <w:gridCol w:w="1208"/>
      </w:tblGrid>
      <w:tr w:rsidR="003425C0" w:rsidRPr="006A64EE" w14:paraId="033F0150" w14:textId="77777777" w:rsidTr="00653B8B">
        <w:trPr>
          <w:cantSplit/>
        </w:trPr>
        <w:tc>
          <w:tcPr>
            <w:tcW w:w="4206" w:type="dxa"/>
          </w:tcPr>
          <w:p w14:paraId="029F56B2" w14:textId="77777777" w:rsidR="003425C0" w:rsidRPr="006A64EE" w:rsidRDefault="003425C0" w:rsidP="004B2F66">
            <w:pPr>
              <w:pStyle w:val="TableParagraph"/>
              <w:widowControl/>
              <w:suppressAutoHyphens/>
              <w:jc w:val="right"/>
              <w:rPr>
                <w:bCs/>
                <w:sz w:val="20"/>
                <w:szCs w:val="20"/>
              </w:rPr>
            </w:pPr>
          </w:p>
        </w:tc>
        <w:tc>
          <w:tcPr>
            <w:tcW w:w="1751" w:type="dxa"/>
            <w:vAlign w:val="bottom"/>
          </w:tcPr>
          <w:p w14:paraId="238E180B" w14:textId="4E0B2B83" w:rsidR="003425C0" w:rsidRPr="00D17390" w:rsidRDefault="003425C0" w:rsidP="004B2F66">
            <w:pPr>
              <w:pStyle w:val="TableParagraph"/>
              <w:widowControl/>
              <w:suppressAutoHyphens/>
              <w:jc w:val="center"/>
              <w:rPr>
                <w:b/>
                <w:sz w:val="20"/>
                <w:szCs w:val="20"/>
                <w:lang w:val="en-US"/>
              </w:rPr>
            </w:pPr>
            <w:r w:rsidRPr="00D17390">
              <w:rPr>
                <w:b/>
                <w:sz w:val="20"/>
                <w:szCs w:val="20"/>
                <w:lang w:val="en-US"/>
              </w:rPr>
              <w:t xml:space="preserve">ADA + Placebo </w:t>
            </w:r>
            <w:r w:rsidR="00DA4A3B" w:rsidRPr="00D17390">
              <w:rPr>
                <w:b/>
                <w:sz w:val="20"/>
                <w:szCs w:val="20"/>
                <w:lang w:val="en-US"/>
              </w:rPr>
              <w:br/>
            </w:r>
            <w:r w:rsidRPr="00D17390">
              <w:rPr>
                <w:b/>
                <w:sz w:val="20"/>
                <w:szCs w:val="20"/>
                <w:lang w:val="en-US"/>
              </w:rPr>
              <w:t>(</w:t>
            </w:r>
            <w:proofErr w:type="spellStart"/>
            <w:r w:rsidRPr="00D17390">
              <w:rPr>
                <w:b/>
                <w:sz w:val="20"/>
                <w:szCs w:val="20"/>
                <w:lang w:val="en-US"/>
              </w:rPr>
              <w:t>i.v.</w:t>
            </w:r>
            <w:proofErr w:type="spellEnd"/>
            <w:r w:rsidRPr="00D17390">
              <w:rPr>
                <w:b/>
                <w:sz w:val="20"/>
                <w:szCs w:val="20"/>
                <w:lang w:val="en-US"/>
              </w:rPr>
              <w:t>)</w:t>
            </w:r>
          </w:p>
          <w:p w14:paraId="35CDA688" w14:textId="0BD5C909" w:rsidR="003425C0" w:rsidRPr="00D17390" w:rsidRDefault="003425C0" w:rsidP="004B2F66">
            <w:pPr>
              <w:pStyle w:val="TableParagraph"/>
              <w:widowControl/>
              <w:suppressAutoHyphens/>
              <w:jc w:val="center"/>
              <w:rPr>
                <w:bCs/>
                <w:sz w:val="20"/>
                <w:szCs w:val="20"/>
                <w:lang w:val="en-US"/>
              </w:rPr>
            </w:pPr>
            <w:r w:rsidRPr="00D17390">
              <w:rPr>
                <w:b/>
                <w:sz w:val="20"/>
                <w:szCs w:val="20"/>
                <w:lang w:val="en-US"/>
              </w:rPr>
              <w:t>n = 162</w:t>
            </w:r>
          </w:p>
        </w:tc>
        <w:tc>
          <w:tcPr>
            <w:tcW w:w="2095" w:type="dxa"/>
            <w:vAlign w:val="bottom"/>
          </w:tcPr>
          <w:p w14:paraId="4B163DA7" w14:textId="1D9125E5" w:rsidR="003425C0" w:rsidRPr="00D17390" w:rsidRDefault="003425C0" w:rsidP="004B2F66">
            <w:pPr>
              <w:pStyle w:val="TableParagraph"/>
              <w:widowControl/>
              <w:suppressAutoHyphens/>
              <w:jc w:val="center"/>
              <w:rPr>
                <w:b/>
                <w:sz w:val="20"/>
                <w:szCs w:val="20"/>
                <w:lang w:val="en-US"/>
              </w:rPr>
            </w:pPr>
            <w:r w:rsidRPr="00D17390">
              <w:rPr>
                <w:b/>
                <w:sz w:val="20"/>
                <w:szCs w:val="20"/>
                <w:lang w:val="en-US"/>
              </w:rPr>
              <w:t xml:space="preserve">TCZ + Placebo </w:t>
            </w:r>
            <w:r w:rsidR="00DA4A3B" w:rsidRPr="00D17390">
              <w:rPr>
                <w:b/>
                <w:sz w:val="20"/>
                <w:szCs w:val="20"/>
                <w:lang w:val="en-US"/>
              </w:rPr>
              <w:br/>
            </w:r>
            <w:r w:rsidRPr="00D17390">
              <w:rPr>
                <w:b/>
                <w:sz w:val="20"/>
                <w:szCs w:val="20"/>
                <w:lang w:val="en-US"/>
              </w:rPr>
              <w:t>(</w:t>
            </w:r>
            <w:proofErr w:type="spellStart"/>
            <w:r w:rsidRPr="00D17390">
              <w:rPr>
                <w:b/>
                <w:sz w:val="20"/>
                <w:szCs w:val="20"/>
                <w:lang w:val="en-US"/>
              </w:rPr>
              <w:t>s.c.</w:t>
            </w:r>
            <w:proofErr w:type="spellEnd"/>
            <w:r w:rsidRPr="00D17390">
              <w:rPr>
                <w:b/>
                <w:sz w:val="20"/>
                <w:szCs w:val="20"/>
                <w:lang w:val="en-US"/>
              </w:rPr>
              <w:t>)</w:t>
            </w:r>
          </w:p>
          <w:p w14:paraId="2D7A8E45" w14:textId="1D3D1333" w:rsidR="003425C0" w:rsidRPr="00D17390" w:rsidRDefault="003425C0" w:rsidP="004B2F66">
            <w:pPr>
              <w:pStyle w:val="TableParagraph"/>
              <w:widowControl/>
              <w:suppressAutoHyphens/>
              <w:jc w:val="center"/>
              <w:rPr>
                <w:bCs/>
                <w:sz w:val="20"/>
                <w:szCs w:val="20"/>
                <w:lang w:val="en-US"/>
              </w:rPr>
            </w:pPr>
            <w:r w:rsidRPr="00D17390">
              <w:rPr>
                <w:b/>
                <w:sz w:val="20"/>
                <w:szCs w:val="20"/>
                <w:lang w:val="en-US"/>
              </w:rPr>
              <w:t>n = 163</w:t>
            </w:r>
          </w:p>
        </w:tc>
        <w:tc>
          <w:tcPr>
            <w:tcW w:w="1235" w:type="dxa"/>
            <w:vAlign w:val="bottom"/>
          </w:tcPr>
          <w:p w14:paraId="51B0B5E5" w14:textId="2E25AD83" w:rsidR="003425C0" w:rsidRPr="006A64EE" w:rsidRDefault="003425C0" w:rsidP="004B2F66">
            <w:pPr>
              <w:pStyle w:val="TableParagraph"/>
              <w:widowControl/>
              <w:suppressAutoHyphens/>
              <w:jc w:val="center"/>
              <w:rPr>
                <w:b/>
                <w:bCs/>
                <w:sz w:val="20"/>
                <w:szCs w:val="20"/>
              </w:rPr>
            </w:pPr>
            <w:r w:rsidRPr="006A64EE">
              <w:rPr>
                <w:b/>
                <w:bCs/>
                <w:sz w:val="20"/>
                <w:szCs w:val="20"/>
              </w:rPr>
              <w:t xml:space="preserve">p-Wert </w:t>
            </w:r>
            <w:r w:rsidRPr="006A64EE">
              <w:rPr>
                <w:b/>
                <w:bCs/>
                <w:sz w:val="20"/>
                <w:szCs w:val="20"/>
                <w:vertAlign w:val="superscript"/>
              </w:rPr>
              <w:t>(a)</w:t>
            </w:r>
          </w:p>
        </w:tc>
      </w:tr>
      <w:tr w:rsidR="003425C0" w:rsidRPr="006A64EE" w14:paraId="78197D99" w14:textId="77777777" w:rsidTr="00653B8B">
        <w:trPr>
          <w:cantSplit/>
        </w:trPr>
        <w:tc>
          <w:tcPr>
            <w:tcW w:w="9287" w:type="dxa"/>
            <w:gridSpan w:val="4"/>
          </w:tcPr>
          <w:p w14:paraId="35B83D6E" w14:textId="44158F8F" w:rsidR="003425C0" w:rsidRPr="006A64EE" w:rsidRDefault="003425C0" w:rsidP="003425C0">
            <w:pPr>
              <w:pStyle w:val="TableParagraph"/>
              <w:widowControl/>
              <w:suppressAutoHyphens/>
              <w:rPr>
                <w:bCs/>
                <w:sz w:val="20"/>
                <w:szCs w:val="20"/>
              </w:rPr>
            </w:pPr>
            <w:r w:rsidRPr="006A64EE">
              <w:rPr>
                <w:b/>
                <w:sz w:val="20"/>
                <w:szCs w:val="20"/>
              </w:rPr>
              <w:t>Primärer Endpunkt – Mittlere Veränderung ab Baseline in Woche 24</w:t>
            </w:r>
          </w:p>
        </w:tc>
      </w:tr>
      <w:tr w:rsidR="00593482" w:rsidRPr="006A64EE" w14:paraId="4030F31D" w14:textId="77777777" w:rsidTr="00653B8B">
        <w:trPr>
          <w:cantSplit/>
        </w:trPr>
        <w:tc>
          <w:tcPr>
            <w:tcW w:w="4206" w:type="dxa"/>
          </w:tcPr>
          <w:p w14:paraId="7DB64FCC" w14:textId="77777777" w:rsidR="002D5756" w:rsidRPr="006A64EE" w:rsidRDefault="009C2544" w:rsidP="004B2F66">
            <w:pPr>
              <w:pStyle w:val="TableParagraph"/>
              <w:widowControl/>
              <w:suppressAutoHyphens/>
              <w:jc w:val="right"/>
              <w:rPr>
                <w:bCs/>
                <w:sz w:val="20"/>
                <w:szCs w:val="20"/>
              </w:rPr>
            </w:pPr>
            <w:r w:rsidRPr="006A64EE">
              <w:rPr>
                <w:bCs/>
                <w:sz w:val="20"/>
                <w:szCs w:val="20"/>
              </w:rPr>
              <w:t>DAS28 (bereinigter Mittelwert)</w:t>
            </w:r>
          </w:p>
        </w:tc>
        <w:tc>
          <w:tcPr>
            <w:tcW w:w="1751" w:type="dxa"/>
          </w:tcPr>
          <w:p w14:paraId="56204C5B" w14:textId="77777777" w:rsidR="002D5756" w:rsidRPr="006A64EE" w:rsidRDefault="009C2544" w:rsidP="004B2F66">
            <w:pPr>
              <w:pStyle w:val="TableParagraph"/>
              <w:widowControl/>
              <w:suppressAutoHyphens/>
              <w:jc w:val="center"/>
              <w:rPr>
                <w:bCs/>
                <w:sz w:val="20"/>
                <w:szCs w:val="20"/>
              </w:rPr>
            </w:pPr>
            <w:r w:rsidRPr="006A64EE">
              <w:rPr>
                <w:bCs/>
                <w:sz w:val="20"/>
                <w:szCs w:val="20"/>
              </w:rPr>
              <w:t>-1,8</w:t>
            </w:r>
          </w:p>
        </w:tc>
        <w:tc>
          <w:tcPr>
            <w:tcW w:w="2095" w:type="dxa"/>
          </w:tcPr>
          <w:p w14:paraId="301E13A7" w14:textId="77777777" w:rsidR="002D5756" w:rsidRPr="006A64EE" w:rsidRDefault="009C2544" w:rsidP="004B2F66">
            <w:pPr>
              <w:pStyle w:val="TableParagraph"/>
              <w:widowControl/>
              <w:suppressAutoHyphens/>
              <w:jc w:val="center"/>
              <w:rPr>
                <w:bCs/>
                <w:sz w:val="20"/>
                <w:szCs w:val="20"/>
              </w:rPr>
            </w:pPr>
            <w:r w:rsidRPr="006A64EE">
              <w:rPr>
                <w:bCs/>
                <w:sz w:val="20"/>
                <w:szCs w:val="20"/>
              </w:rPr>
              <w:t>-3,3</w:t>
            </w:r>
          </w:p>
        </w:tc>
        <w:tc>
          <w:tcPr>
            <w:tcW w:w="1235" w:type="dxa"/>
          </w:tcPr>
          <w:p w14:paraId="0CE4CA48" w14:textId="77777777" w:rsidR="002D5756" w:rsidRPr="006A64EE" w:rsidRDefault="002D5756" w:rsidP="004B2F66">
            <w:pPr>
              <w:pStyle w:val="TableParagraph"/>
              <w:widowControl/>
              <w:suppressAutoHyphens/>
              <w:jc w:val="center"/>
              <w:rPr>
                <w:bCs/>
                <w:sz w:val="20"/>
                <w:szCs w:val="20"/>
              </w:rPr>
            </w:pPr>
          </w:p>
        </w:tc>
      </w:tr>
      <w:tr w:rsidR="004B2F66" w:rsidRPr="006A64EE" w14:paraId="62CFCBE5" w14:textId="77777777" w:rsidTr="00653B8B">
        <w:trPr>
          <w:cantSplit/>
        </w:trPr>
        <w:tc>
          <w:tcPr>
            <w:tcW w:w="4206" w:type="dxa"/>
          </w:tcPr>
          <w:p w14:paraId="30EB79E6" w14:textId="6F3B79B5" w:rsidR="004B2F66" w:rsidRPr="006A64EE" w:rsidRDefault="004B2F66" w:rsidP="004B2F66">
            <w:pPr>
              <w:pStyle w:val="TableParagraph"/>
              <w:widowControl/>
              <w:suppressAutoHyphens/>
              <w:jc w:val="right"/>
              <w:rPr>
                <w:bCs/>
                <w:sz w:val="20"/>
                <w:szCs w:val="20"/>
              </w:rPr>
            </w:pPr>
            <w:r w:rsidRPr="006A64EE">
              <w:rPr>
                <w:bCs/>
                <w:sz w:val="20"/>
                <w:szCs w:val="20"/>
              </w:rPr>
              <w:t xml:space="preserve">Unterschied im bereinigten Mittelwert </w:t>
            </w:r>
            <w:r w:rsidR="00EF568D">
              <w:rPr>
                <w:bCs/>
                <w:sz w:val="20"/>
                <w:szCs w:val="20"/>
              </w:rPr>
              <w:br/>
            </w:r>
            <w:r w:rsidRPr="006A64EE">
              <w:rPr>
                <w:bCs/>
                <w:sz w:val="20"/>
                <w:szCs w:val="20"/>
              </w:rPr>
              <w:t>(95-%-KI)</w:t>
            </w:r>
          </w:p>
        </w:tc>
        <w:tc>
          <w:tcPr>
            <w:tcW w:w="3846" w:type="dxa"/>
            <w:gridSpan w:val="2"/>
          </w:tcPr>
          <w:p w14:paraId="54B048A4" w14:textId="77777777" w:rsidR="004B2F66" w:rsidRPr="006A64EE" w:rsidRDefault="004B2F66" w:rsidP="004B2F66">
            <w:pPr>
              <w:pStyle w:val="TableParagraph"/>
              <w:widowControl/>
              <w:suppressAutoHyphens/>
              <w:jc w:val="center"/>
              <w:rPr>
                <w:bCs/>
                <w:sz w:val="20"/>
                <w:szCs w:val="20"/>
              </w:rPr>
            </w:pPr>
            <w:r w:rsidRPr="006A64EE">
              <w:rPr>
                <w:bCs/>
                <w:sz w:val="20"/>
                <w:szCs w:val="20"/>
              </w:rPr>
              <w:t>-1,5 (-1,8; -1,1)</w:t>
            </w:r>
          </w:p>
        </w:tc>
        <w:tc>
          <w:tcPr>
            <w:tcW w:w="1235" w:type="dxa"/>
          </w:tcPr>
          <w:p w14:paraId="09DF9E7D" w14:textId="77777777" w:rsidR="004B2F66" w:rsidRPr="006A64EE" w:rsidRDefault="004B2F66" w:rsidP="004B2F66">
            <w:pPr>
              <w:pStyle w:val="TableParagraph"/>
              <w:widowControl/>
              <w:suppressAutoHyphens/>
              <w:jc w:val="center"/>
              <w:rPr>
                <w:bCs/>
                <w:sz w:val="20"/>
                <w:szCs w:val="20"/>
              </w:rPr>
            </w:pPr>
            <w:r w:rsidRPr="006A64EE">
              <w:rPr>
                <w:bCs/>
                <w:sz w:val="20"/>
                <w:szCs w:val="20"/>
              </w:rPr>
              <w:t>&lt; 0,0001</w:t>
            </w:r>
          </w:p>
        </w:tc>
      </w:tr>
      <w:tr w:rsidR="00593482" w:rsidRPr="006A64EE" w14:paraId="7B4C2FE0" w14:textId="77777777" w:rsidTr="00653B8B">
        <w:trPr>
          <w:cantSplit/>
        </w:trPr>
        <w:tc>
          <w:tcPr>
            <w:tcW w:w="9287" w:type="dxa"/>
            <w:gridSpan w:val="4"/>
          </w:tcPr>
          <w:p w14:paraId="5D756262" w14:textId="77777777" w:rsidR="002D5756" w:rsidRPr="006A64EE" w:rsidRDefault="009C2544" w:rsidP="004B2F66">
            <w:pPr>
              <w:pStyle w:val="TableParagraph"/>
              <w:widowControl/>
              <w:suppressAutoHyphens/>
              <w:rPr>
                <w:b/>
                <w:sz w:val="20"/>
                <w:szCs w:val="20"/>
              </w:rPr>
            </w:pPr>
            <w:r w:rsidRPr="006A64EE">
              <w:rPr>
                <w:b/>
                <w:sz w:val="20"/>
                <w:szCs w:val="20"/>
              </w:rPr>
              <w:t xml:space="preserve">Sekundäre Endpunkte – Anteil der Patienten mit Ansprechen in Woche 24 </w:t>
            </w:r>
            <w:r w:rsidRPr="006A64EE">
              <w:rPr>
                <w:b/>
                <w:sz w:val="20"/>
                <w:szCs w:val="20"/>
                <w:vertAlign w:val="superscript"/>
              </w:rPr>
              <w:t>(b)</w:t>
            </w:r>
          </w:p>
        </w:tc>
      </w:tr>
      <w:tr w:rsidR="00593482" w:rsidRPr="006A64EE" w14:paraId="26FD3A18" w14:textId="77777777" w:rsidTr="00653B8B">
        <w:trPr>
          <w:cantSplit/>
        </w:trPr>
        <w:tc>
          <w:tcPr>
            <w:tcW w:w="4206" w:type="dxa"/>
          </w:tcPr>
          <w:p w14:paraId="34D5A241" w14:textId="77777777" w:rsidR="002D5756" w:rsidRPr="006A64EE" w:rsidRDefault="009C2544" w:rsidP="004B2F66">
            <w:pPr>
              <w:pStyle w:val="TableParagraph"/>
              <w:widowControl/>
              <w:suppressAutoHyphens/>
              <w:jc w:val="right"/>
              <w:rPr>
                <w:sz w:val="20"/>
                <w:szCs w:val="20"/>
              </w:rPr>
            </w:pPr>
            <w:r w:rsidRPr="006A64EE">
              <w:rPr>
                <w:sz w:val="20"/>
                <w:szCs w:val="20"/>
              </w:rPr>
              <w:t>DAS28 &lt; 2,6; n (%)</w:t>
            </w:r>
          </w:p>
        </w:tc>
        <w:tc>
          <w:tcPr>
            <w:tcW w:w="1751" w:type="dxa"/>
          </w:tcPr>
          <w:p w14:paraId="02BE7773" w14:textId="77777777" w:rsidR="002D5756" w:rsidRPr="006A64EE" w:rsidRDefault="009C2544" w:rsidP="004B2F66">
            <w:pPr>
              <w:pStyle w:val="TableParagraph"/>
              <w:widowControl/>
              <w:suppressAutoHyphens/>
              <w:jc w:val="center"/>
              <w:rPr>
                <w:sz w:val="20"/>
                <w:szCs w:val="20"/>
              </w:rPr>
            </w:pPr>
            <w:r w:rsidRPr="006A64EE">
              <w:rPr>
                <w:sz w:val="20"/>
                <w:szCs w:val="20"/>
              </w:rPr>
              <w:t>17 (10,5)</w:t>
            </w:r>
          </w:p>
        </w:tc>
        <w:tc>
          <w:tcPr>
            <w:tcW w:w="2095" w:type="dxa"/>
          </w:tcPr>
          <w:p w14:paraId="5FF93677" w14:textId="77777777" w:rsidR="002D5756" w:rsidRPr="006A64EE" w:rsidRDefault="009C2544" w:rsidP="004B2F66">
            <w:pPr>
              <w:pStyle w:val="TableParagraph"/>
              <w:widowControl/>
              <w:suppressAutoHyphens/>
              <w:jc w:val="center"/>
              <w:rPr>
                <w:sz w:val="20"/>
                <w:szCs w:val="20"/>
              </w:rPr>
            </w:pPr>
            <w:r w:rsidRPr="006A64EE">
              <w:rPr>
                <w:sz w:val="20"/>
                <w:szCs w:val="20"/>
              </w:rPr>
              <w:t>65 (39,9)</w:t>
            </w:r>
          </w:p>
        </w:tc>
        <w:tc>
          <w:tcPr>
            <w:tcW w:w="1235" w:type="dxa"/>
          </w:tcPr>
          <w:p w14:paraId="76AB5C34" w14:textId="77777777" w:rsidR="002D5756" w:rsidRPr="006A64EE" w:rsidRDefault="009C2544" w:rsidP="004B2F66">
            <w:pPr>
              <w:pStyle w:val="TableParagraph"/>
              <w:widowControl/>
              <w:suppressAutoHyphens/>
              <w:jc w:val="center"/>
              <w:rPr>
                <w:sz w:val="20"/>
                <w:szCs w:val="20"/>
              </w:rPr>
            </w:pPr>
            <w:r w:rsidRPr="006A64EE">
              <w:rPr>
                <w:sz w:val="20"/>
                <w:szCs w:val="20"/>
              </w:rPr>
              <w:t>&lt; 0,0001</w:t>
            </w:r>
          </w:p>
        </w:tc>
      </w:tr>
      <w:tr w:rsidR="00593482" w:rsidRPr="006A64EE" w14:paraId="4B28E1DA" w14:textId="77777777" w:rsidTr="00653B8B">
        <w:trPr>
          <w:cantSplit/>
        </w:trPr>
        <w:tc>
          <w:tcPr>
            <w:tcW w:w="4206" w:type="dxa"/>
          </w:tcPr>
          <w:p w14:paraId="5BAA604B" w14:textId="77777777" w:rsidR="002D5756" w:rsidRPr="006A64EE" w:rsidRDefault="009C2544" w:rsidP="004B2F66">
            <w:pPr>
              <w:pStyle w:val="TableParagraph"/>
              <w:widowControl/>
              <w:suppressAutoHyphens/>
              <w:jc w:val="right"/>
              <w:rPr>
                <w:sz w:val="20"/>
                <w:szCs w:val="20"/>
              </w:rPr>
            </w:pPr>
            <w:r w:rsidRPr="006A64EE">
              <w:rPr>
                <w:sz w:val="20"/>
                <w:szCs w:val="20"/>
              </w:rPr>
              <w:t>DAS28 ≤ 3,2; n (%)</w:t>
            </w:r>
          </w:p>
        </w:tc>
        <w:tc>
          <w:tcPr>
            <w:tcW w:w="1751" w:type="dxa"/>
          </w:tcPr>
          <w:p w14:paraId="323CF237" w14:textId="77777777" w:rsidR="002D5756" w:rsidRPr="006A64EE" w:rsidRDefault="009C2544" w:rsidP="004B2F66">
            <w:pPr>
              <w:pStyle w:val="TableParagraph"/>
              <w:widowControl/>
              <w:suppressAutoHyphens/>
              <w:jc w:val="center"/>
              <w:rPr>
                <w:sz w:val="20"/>
                <w:szCs w:val="20"/>
              </w:rPr>
            </w:pPr>
            <w:r w:rsidRPr="006A64EE">
              <w:rPr>
                <w:sz w:val="20"/>
                <w:szCs w:val="20"/>
              </w:rPr>
              <w:t>32 (19,8)</w:t>
            </w:r>
          </w:p>
        </w:tc>
        <w:tc>
          <w:tcPr>
            <w:tcW w:w="2095" w:type="dxa"/>
          </w:tcPr>
          <w:p w14:paraId="67250111" w14:textId="77777777" w:rsidR="002D5756" w:rsidRPr="006A64EE" w:rsidRDefault="009C2544" w:rsidP="004B2F66">
            <w:pPr>
              <w:pStyle w:val="TableParagraph"/>
              <w:widowControl/>
              <w:suppressAutoHyphens/>
              <w:jc w:val="center"/>
              <w:rPr>
                <w:sz w:val="20"/>
                <w:szCs w:val="20"/>
              </w:rPr>
            </w:pPr>
            <w:r w:rsidRPr="006A64EE">
              <w:rPr>
                <w:sz w:val="20"/>
                <w:szCs w:val="20"/>
              </w:rPr>
              <w:t>84 (51,5)</w:t>
            </w:r>
          </w:p>
        </w:tc>
        <w:tc>
          <w:tcPr>
            <w:tcW w:w="1235" w:type="dxa"/>
          </w:tcPr>
          <w:p w14:paraId="11A6E842" w14:textId="77777777" w:rsidR="002D5756" w:rsidRPr="006A64EE" w:rsidRDefault="009C2544" w:rsidP="004B2F66">
            <w:pPr>
              <w:pStyle w:val="TableParagraph"/>
              <w:widowControl/>
              <w:suppressAutoHyphens/>
              <w:jc w:val="center"/>
              <w:rPr>
                <w:sz w:val="20"/>
                <w:szCs w:val="20"/>
              </w:rPr>
            </w:pPr>
            <w:r w:rsidRPr="006A64EE">
              <w:rPr>
                <w:sz w:val="20"/>
                <w:szCs w:val="20"/>
              </w:rPr>
              <w:t>&lt; 0,0001</w:t>
            </w:r>
          </w:p>
        </w:tc>
      </w:tr>
      <w:tr w:rsidR="00593482" w:rsidRPr="006A64EE" w14:paraId="4632CA4B" w14:textId="77777777" w:rsidTr="00653B8B">
        <w:trPr>
          <w:cantSplit/>
        </w:trPr>
        <w:tc>
          <w:tcPr>
            <w:tcW w:w="4206" w:type="dxa"/>
          </w:tcPr>
          <w:p w14:paraId="7A6D32AC" w14:textId="77777777" w:rsidR="002D5756" w:rsidRPr="006A64EE" w:rsidRDefault="009C2544" w:rsidP="004B2F66">
            <w:pPr>
              <w:pStyle w:val="TableParagraph"/>
              <w:widowControl/>
              <w:suppressAutoHyphens/>
              <w:jc w:val="right"/>
              <w:rPr>
                <w:sz w:val="20"/>
                <w:szCs w:val="20"/>
              </w:rPr>
            </w:pPr>
            <w:r w:rsidRPr="006A64EE">
              <w:rPr>
                <w:sz w:val="20"/>
                <w:szCs w:val="20"/>
              </w:rPr>
              <w:t>ACR20 Ansprechen, n (%)</w:t>
            </w:r>
          </w:p>
        </w:tc>
        <w:tc>
          <w:tcPr>
            <w:tcW w:w="1751" w:type="dxa"/>
          </w:tcPr>
          <w:p w14:paraId="4A3DDF74" w14:textId="77777777" w:rsidR="002D5756" w:rsidRPr="006A64EE" w:rsidRDefault="009C2544" w:rsidP="004B2F66">
            <w:pPr>
              <w:pStyle w:val="TableParagraph"/>
              <w:widowControl/>
              <w:suppressAutoHyphens/>
              <w:jc w:val="center"/>
              <w:rPr>
                <w:sz w:val="20"/>
                <w:szCs w:val="20"/>
              </w:rPr>
            </w:pPr>
            <w:r w:rsidRPr="006A64EE">
              <w:rPr>
                <w:sz w:val="20"/>
                <w:szCs w:val="20"/>
              </w:rPr>
              <w:t>80 (49,4)</w:t>
            </w:r>
          </w:p>
        </w:tc>
        <w:tc>
          <w:tcPr>
            <w:tcW w:w="2095" w:type="dxa"/>
          </w:tcPr>
          <w:p w14:paraId="42B23F6E" w14:textId="77777777" w:rsidR="002D5756" w:rsidRPr="006A64EE" w:rsidRDefault="009C2544" w:rsidP="004B2F66">
            <w:pPr>
              <w:pStyle w:val="TableParagraph"/>
              <w:widowControl/>
              <w:suppressAutoHyphens/>
              <w:jc w:val="center"/>
              <w:rPr>
                <w:sz w:val="20"/>
                <w:szCs w:val="20"/>
              </w:rPr>
            </w:pPr>
            <w:r w:rsidRPr="006A64EE">
              <w:rPr>
                <w:sz w:val="20"/>
                <w:szCs w:val="20"/>
              </w:rPr>
              <w:t>106 (65,0)</w:t>
            </w:r>
          </w:p>
        </w:tc>
        <w:tc>
          <w:tcPr>
            <w:tcW w:w="1235" w:type="dxa"/>
          </w:tcPr>
          <w:p w14:paraId="4B383414" w14:textId="77777777" w:rsidR="002D5756" w:rsidRPr="006A64EE" w:rsidRDefault="009C2544" w:rsidP="004B2F66">
            <w:pPr>
              <w:pStyle w:val="TableParagraph"/>
              <w:widowControl/>
              <w:suppressAutoHyphens/>
              <w:jc w:val="center"/>
              <w:rPr>
                <w:sz w:val="20"/>
                <w:szCs w:val="20"/>
              </w:rPr>
            </w:pPr>
            <w:r w:rsidRPr="006A64EE">
              <w:rPr>
                <w:sz w:val="20"/>
                <w:szCs w:val="20"/>
              </w:rPr>
              <w:t>0,0038</w:t>
            </w:r>
          </w:p>
        </w:tc>
      </w:tr>
      <w:tr w:rsidR="00593482" w:rsidRPr="006A64EE" w14:paraId="46DCDA89" w14:textId="77777777" w:rsidTr="00653B8B">
        <w:trPr>
          <w:cantSplit/>
        </w:trPr>
        <w:tc>
          <w:tcPr>
            <w:tcW w:w="4206" w:type="dxa"/>
          </w:tcPr>
          <w:p w14:paraId="25876FB9" w14:textId="77777777" w:rsidR="002D5756" w:rsidRPr="006A64EE" w:rsidRDefault="009C2544" w:rsidP="004B2F66">
            <w:pPr>
              <w:pStyle w:val="TableParagraph"/>
              <w:widowControl/>
              <w:suppressAutoHyphens/>
              <w:jc w:val="right"/>
              <w:rPr>
                <w:sz w:val="20"/>
                <w:szCs w:val="20"/>
              </w:rPr>
            </w:pPr>
            <w:r w:rsidRPr="006A64EE">
              <w:rPr>
                <w:sz w:val="20"/>
                <w:szCs w:val="20"/>
              </w:rPr>
              <w:t>ACR50 Ansprechen, n (%)</w:t>
            </w:r>
          </w:p>
        </w:tc>
        <w:tc>
          <w:tcPr>
            <w:tcW w:w="1751" w:type="dxa"/>
          </w:tcPr>
          <w:p w14:paraId="57D5C2D4" w14:textId="77777777" w:rsidR="002D5756" w:rsidRPr="006A64EE" w:rsidRDefault="009C2544" w:rsidP="004B2F66">
            <w:pPr>
              <w:pStyle w:val="TableParagraph"/>
              <w:widowControl/>
              <w:suppressAutoHyphens/>
              <w:jc w:val="center"/>
              <w:rPr>
                <w:sz w:val="20"/>
                <w:szCs w:val="20"/>
              </w:rPr>
            </w:pPr>
            <w:r w:rsidRPr="006A64EE">
              <w:rPr>
                <w:sz w:val="20"/>
                <w:szCs w:val="20"/>
              </w:rPr>
              <w:t>45 (27,8)</w:t>
            </w:r>
          </w:p>
        </w:tc>
        <w:tc>
          <w:tcPr>
            <w:tcW w:w="2095" w:type="dxa"/>
          </w:tcPr>
          <w:p w14:paraId="3EA028D1" w14:textId="77777777" w:rsidR="002D5756" w:rsidRPr="006A64EE" w:rsidRDefault="009C2544" w:rsidP="004B2F66">
            <w:pPr>
              <w:pStyle w:val="TableParagraph"/>
              <w:widowControl/>
              <w:suppressAutoHyphens/>
              <w:jc w:val="center"/>
              <w:rPr>
                <w:sz w:val="20"/>
                <w:szCs w:val="20"/>
              </w:rPr>
            </w:pPr>
            <w:r w:rsidRPr="006A64EE">
              <w:rPr>
                <w:sz w:val="20"/>
                <w:szCs w:val="20"/>
              </w:rPr>
              <w:t>77 (47,2)</w:t>
            </w:r>
          </w:p>
        </w:tc>
        <w:tc>
          <w:tcPr>
            <w:tcW w:w="1235" w:type="dxa"/>
          </w:tcPr>
          <w:p w14:paraId="214A9FB0" w14:textId="77777777" w:rsidR="002D5756" w:rsidRPr="006A64EE" w:rsidRDefault="009C2544" w:rsidP="004B2F66">
            <w:pPr>
              <w:pStyle w:val="TableParagraph"/>
              <w:widowControl/>
              <w:suppressAutoHyphens/>
              <w:jc w:val="center"/>
              <w:rPr>
                <w:sz w:val="20"/>
                <w:szCs w:val="20"/>
              </w:rPr>
            </w:pPr>
            <w:r w:rsidRPr="006A64EE">
              <w:rPr>
                <w:sz w:val="20"/>
                <w:szCs w:val="20"/>
              </w:rPr>
              <w:t>0,0002</w:t>
            </w:r>
          </w:p>
        </w:tc>
      </w:tr>
      <w:tr w:rsidR="00593482" w:rsidRPr="006A64EE" w14:paraId="5948ACFE" w14:textId="77777777" w:rsidTr="00653B8B">
        <w:trPr>
          <w:cantSplit/>
        </w:trPr>
        <w:tc>
          <w:tcPr>
            <w:tcW w:w="4206" w:type="dxa"/>
          </w:tcPr>
          <w:p w14:paraId="21B88B12" w14:textId="77777777" w:rsidR="002D5756" w:rsidRPr="006A64EE" w:rsidRDefault="009C2544" w:rsidP="004B2F66">
            <w:pPr>
              <w:pStyle w:val="TableParagraph"/>
              <w:widowControl/>
              <w:suppressAutoHyphens/>
              <w:jc w:val="right"/>
              <w:rPr>
                <w:sz w:val="20"/>
                <w:szCs w:val="20"/>
              </w:rPr>
            </w:pPr>
            <w:r w:rsidRPr="006A64EE">
              <w:rPr>
                <w:sz w:val="20"/>
                <w:szCs w:val="20"/>
              </w:rPr>
              <w:t>ACR70 Ansprechen, n (%)</w:t>
            </w:r>
          </w:p>
        </w:tc>
        <w:tc>
          <w:tcPr>
            <w:tcW w:w="1751" w:type="dxa"/>
          </w:tcPr>
          <w:p w14:paraId="3FBBE816" w14:textId="77777777" w:rsidR="002D5756" w:rsidRPr="006A64EE" w:rsidRDefault="009C2544" w:rsidP="004B2F66">
            <w:pPr>
              <w:pStyle w:val="TableParagraph"/>
              <w:widowControl/>
              <w:suppressAutoHyphens/>
              <w:jc w:val="center"/>
              <w:rPr>
                <w:sz w:val="20"/>
                <w:szCs w:val="20"/>
              </w:rPr>
            </w:pPr>
            <w:r w:rsidRPr="006A64EE">
              <w:rPr>
                <w:sz w:val="20"/>
                <w:szCs w:val="20"/>
              </w:rPr>
              <w:t>29 (17,9)</w:t>
            </w:r>
          </w:p>
        </w:tc>
        <w:tc>
          <w:tcPr>
            <w:tcW w:w="2095" w:type="dxa"/>
          </w:tcPr>
          <w:p w14:paraId="26C376D3" w14:textId="77777777" w:rsidR="002D5756" w:rsidRPr="006A64EE" w:rsidRDefault="009C2544" w:rsidP="004B2F66">
            <w:pPr>
              <w:pStyle w:val="TableParagraph"/>
              <w:widowControl/>
              <w:suppressAutoHyphens/>
              <w:jc w:val="center"/>
              <w:rPr>
                <w:sz w:val="20"/>
                <w:szCs w:val="20"/>
              </w:rPr>
            </w:pPr>
            <w:r w:rsidRPr="006A64EE">
              <w:rPr>
                <w:sz w:val="20"/>
                <w:szCs w:val="20"/>
              </w:rPr>
              <w:t>53 (32,5)</w:t>
            </w:r>
          </w:p>
        </w:tc>
        <w:tc>
          <w:tcPr>
            <w:tcW w:w="1235" w:type="dxa"/>
          </w:tcPr>
          <w:p w14:paraId="33B24688" w14:textId="77777777" w:rsidR="002D5756" w:rsidRPr="006A64EE" w:rsidRDefault="009C2544" w:rsidP="004B2F66">
            <w:pPr>
              <w:pStyle w:val="TableParagraph"/>
              <w:widowControl/>
              <w:suppressAutoHyphens/>
              <w:jc w:val="center"/>
              <w:rPr>
                <w:sz w:val="20"/>
                <w:szCs w:val="20"/>
              </w:rPr>
            </w:pPr>
            <w:r w:rsidRPr="006A64EE">
              <w:rPr>
                <w:sz w:val="20"/>
                <w:szCs w:val="20"/>
              </w:rPr>
              <w:t>0,0023</w:t>
            </w:r>
          </w:p>
        </w:tc>
      </w:tr>
    </w:tbl>
    <w:p w14:paraId="03A64207" w14:textId="2326C932" w:rsidR="00093A5E" w:rsidRPr="006A64EE" w:rsidRDefault="009C2544" w:rsidP="00A85198">
      <w:pPr>
        <w:widowControl/>
        <w:ind w:left="284" w:hanging="284"/>
        <w:rPr>
          <w:i/>
          <w:sz w:val="18"/>
          <w:szCs w:val="18"/>
        </w:rPr>
      </w:pPr>
      <w:r w:rsidRPr="006A64EE">
        <w:rPr>
          <w:i/>
          <w:sz w:val="18"/>
          <w:szCs w:val="18"/>
          <w:vertAlign w:val="superscript"/>
        </w:rPr>
        <w:t>a</w:t>
      </w:r>
      <w:r w:rsidR="00A85198" w:rsidRPr="006A64EE">
        <w:rPr>
          <w:i/>
          <w:sz w:val="18"/>
          <w:szCs w:val="18"/>
        </w:rPr>
        <w:tab/>
      </w:r>
      <w:r w:rsidRPr="006A64EE">
        <w:rPr>
          <w:i/>
          <w:sz w:val="18"/>
          <w:szCs w:val="18"/>
        </w:rPr>
        <w:t>p-Wert ist adjustiert in Bezug auf Region und Dauer der RA für alle Endpunkte und zusätzlich für den Baseline-Wert aller stetigen Endpunkte.</w:t>
      </w:r>
    </w:p>
    <w:p w14:paraId="51E1B9BB" w14:textId="25B38B11" w:rsidR="00093A5E" w:rsidRPr="006A64EE" w:rsidRDefault="009C2544" w:rsidP="00A85198">
      <w:pPr>
        <w:widowControl/>
        <w:ind w:left="284" w:hanging="284"/>
        <w:rPr>
          <w:i/>
          <w:sz w:val="18"/>
          <w:szCs w:val="18"/>
        </w:rPr>
      </w:pPr>
      <w:r w:rsidRPr="006A64EE">
        <w:rPr>
          <w:i/>
          <w:sz w:val="18"/>
          <w:szCs w:val="18"/>
          <w:vertAlign w:val="superscript"/>
        </w:rPr>
        <w:t>b</w:t>
      </w:r>
      <w:r w:rsidR="00A85198" w:rsidRPr="006A64EE">
        <w:rPr>
          <w:i/>
          <w:sz w:val="18"/>
          <w:szCs w:val="18"/>
        </w:rPr>
        <w:tab/>
      </w:r>
      <w:r w:rsidRPr="006A64EE">
        <w:rPr>
          <w:i/>
          <w:sz w:val="18"/>
          <w:szCs w:val="18"/>
        </w:rPr>
        <w:t>Patienten mit fehlenden Daten wurden als Therapie-Versager (non-responder) gewertet. Multiplizität unter Anwendung der Bonferroni-Holm-Methode kontrolliert</w:t>
      </w:r>
    </w:p>
    <w:p w14:paraId="5B9F269B" w14:textId="77777777" w:rsidR="00093A5E" w:rsidRPr="006A64EE" w:rsidRDefault="00093A5E" w:rsidP="004255F8">
      <w:pPr>
        <w:pStyle w:val="a3"/>
        <w:widowControl/>
        <w:rPr>
          <w:i/>
        </w:rPr>
      </w:pPr>
    </w:p>
    <w:p w14:paraId="1B427C51" w14:textId="0034810E" w:rsidR="00093A5E" w:rsidRPr="006A64EE" w:rsidRDefault="009C2544" w:rsidP="004255F8">
      <w:pPr>
        <w:pStyle w:val="a3"/>
        <w:widowControl/>
      </w:pPr>
      <w:r w:rsidRPr="006A64EE">
        <w:t xml:space="preserve">Das gesamte klinische Nebenwirkungsprofil von Tocilizumab und Adalimumab war ähnlich. Der Anteil an Patienten mit schwerwiegenden unerwünschten Ereignissen war in beiden Behandlungsgruppen vergleichbar (Tocilizumab 11,7 % </w:t>
      </w:r>
      <w:r w:rsidRPr="006A64EE">
        <w:rPr>
          <w:i/>
        </w:rPr>
        <w:t xml:space="preserve">vs. </w:t>
      </w:r>
      <w:r w:rsidRPr="006A64EE">
        <w:t xml:space="preserve">Adalimumab 9,9 %). Die Arten von unerwünschten Arzneimittelwirkungen im Tocilizumab-Arm entsprachen dem bekannten Sicherheitsprofil von Tocilizumab, und unerwünschte Arzneimittelwirkungen wurden mit einer ähnlichen Häufigkeit im Vergleich zu Tabelle 1 berichtet. Eine höhere Inzidenz von Infektionen und parasitären Erkrankungen wurde im Tocilizumab-Arm (48 % </w:t>
      </w:r>
      <w:r w:rsidRPr="006A64EE">
        <w:rPr>
          <w:i/>
        </w:rPr>
        <w:t>vs</w:t>
      </w:r>
      <w:r w:rsidRPr="006A64EE">
        <w:t>. 42 %) berichtet, wobei kein Unterschied in der Inzidenz von schwerwiegenden Infektionen (3,1 %) bestand. Beide Studienbehandlungen führten zu vergleichbaren Veränderungsmustern bei den Laborsicherheitsparametern (Verringerung der Anzahl der Neutrophilen und Thrombozyten, Erhöhung der ALAT, ASAT und Lipide). Das Ausmaß der Veränderung und die Häufigkeit starker Auffälligkeiten waren jedoch bei Tocilizumab höher als bei Adalimumab. Bei vier Patienten im Tocilizumab-Arm (2,5 %) und zwei Patienten im Adalimumab-Arm (1,2 %) trat ein Abfall der Neutrophilenzahl vom CTC-Grad 3 oder 4 auf. Bei elf Patienten im Tocilizumab-Arm (6,8 %) und fünf Patienten im Adalimumab-Arm (3,1 %) trat eine Erhöhung der ALAT vom CTC-Grad 2 oder höher auf. Der mittlere LDL-Anstieg ab Baseline lag bei Patienten im Tocilizumab-Arm bei</w:t>
      </w:r>
      <w:r w:rsidR="007B4701" w:rsidRPr="006A64EE">
        <w:t xml:space="preserve"> </w:t>
      </w:r>
      <w:r w:rsidRPr="006A64EE">
        <w:t>0,64</w:t>
      </w:r>
      <w:r w:rsidR="0064064C">
        <w:t> </w:t>
      </w:r>
      <w:r w:rsidRPr="006A64EE">
        <w:t>mmol/l (25</w:t>
      </w:r>
      <w:r w:rsidR="002870CF">
        <w:t> </w:t>
      </w:r>
      <w:r w:rsidRPr="006A64EE">
        <w:t>mg/dl) und bei Patienten im Adalimumab-Arm bei 0,19 mmol/l (7</w:t>
      </w:r>
      <w:r w:rsidR="002870CF">
        <w:t> </w:t>
      </w:r>
      <w:r w:rsidRPr="006A64EE">
        <w:t>mg/dl). Die Sicherheit, die im Tocilizumab-Arm beobachtet wurde, stimmte mit dem bekannten Sicherheitsprofil von Tocilizumab überein, und es wurden keine neuen oder unerwarteten Nebenwirkungen beobachtet (siehe Tabelle 1).</w:t>
      </w:r>
    </w:p>
    <w:p w14:paraId="60A7E3B9" w14:textId="77777777" w:rsidR="00093A5E" w:rsidRPr="006A64EE" w:rsidRDefault="00093A5E" w:rsidP="004255F8">
      <w:pPr>
        <w:widowControl/>
      </w:pPr>
    </w:p>
    <w:p w14:paraId="56F8BF58" w14:textId="3C1A5A42" w:rsidR="00093A5E" w:rsidRPr="006A64EE" w:rsidRDefault="007D680A" w:rsidP="00E303AE">
      <w:pPr>
        <w:widowControl/>
      </w:pPr>
      <w:r w:rsidRPr="006A64EE">
        <w:rPr>
          <w:b/>
          <w:i/>
        </w:rPr>
        <w:t>MTX-naive Patienten mit früher RA</w:t>
      </w:r>
      <w:r w:rsidR="00EF568D">
        <w:rPr>
          <w:b/>
          <w:i/>
        </w:rPr>
        <w:br/>
      </w:r>
      <w:r w:rsidR="009C2544" w:rsidRPr="006A64EE">
        <w:t>In Studie VII (WA19926), einer 2-Jahresstudie mit der geplanten primären Analyse in Woche</w:t>
      </w:r>
      <w:r w:rsidR="008478E2">
        <w:t> </w:t>
      </w:r>
      <w:r w:rsidR="009C2544" w:rsidRPr="006A64EE">
        <w:t xml:space="preserve">52, </w:t>
      </w:r>
      <w:r w:rsidR="009C2544" w:rsidRPr="006A64EE">
        <w:lastRenderedPageBreak/>
        <w:t>wurden 1</w:t>
      </w:r>
      <w:r w:rsidR="008478E2">
        <w:t> </w:t>
      </w:r>
      <w:r w:rsidR="009C2544" w:rsidRPr="006A64EE">
        <w:t>162 erwachsene MTX-naive Patienten mit mäßiger bis schwerer, aktiver und früher RA (durchschnittliche Krankheitsdauer ≤</w:t>
      </w:r>
      <w:r w:rsidR="008478E2">
        <w:t> </w:t>
      </w:r>
      <w:r w:rsidR="009C2544" w:rsidRPr="006A64EE">
        <w:t>6</w:t>
      </w:r>
      <w:r w:rsidR="008478E2">
        <w:t> </w:t>
      </w:r>
      <w:r w:rsidR="009C2544" w:rsidRPr="006A64EE">
        <w:t>Monate) untersucht. Ungefähr 20</w:t>
      </w:r>
      <w:r w:rsidR="008478E2">
        <w:t> </w:t>
      </w:r>
      <w:r w:rsidR="009C2544" w:rsidRPr="006A64EE">
        <w:t>% dieser Patienten hatten eine vorangegangene Behandlung mit anderen DMARDs als MTX erhalten. Diese Studie beurteilte die Wirksamkeit von 4</w:t>
      </w:r>
      <w:r w:rsidR="008478E2">
        <w:t> </w:t>
      </w:r>
      <w:r w:rsidR="009C2544" w:rsidRPr="006A64EE">
        <w:t>mg/kg oder 8</w:t>
      </w:r>
      <w:r w:rsidR="008478E2">
        <w:t> </w:t>
      </w:r>
      <w:r w:rsidR="009C2544" w:rsidRPr="006A64EE">
        <w:t>mg/kg Tocilizumab i.v. alle 4</w:t>
      </w:r>
      <w:r w:rsidR="008478E2">
        <w:t> </w:t>
      </w:r>
      <w:r w:rsidR="009C2544" w:rsidRPr="006A64EE">
        <w:t>Wochen in Kombination mit MTX, 8</w:t>
      </w:r>
      <w:r w:rsidR="008478E2">
        <w:t> </w:t>
      </w:r>
      <w:r w:rsidR="009C2544" w:rsidRPr="006A64EE">
        <w:t>mg/kg Tocilizumab i.v. als Monotherapie und MTX-Monotherapie im Hinblick auf eine Linderung der Anzeichen und Symptome sowie des Fortschreitens der strukturellen Gelenkschädigungen über 104</w:t>
      </w:r>
      <w:r w:rsidR="008478E2">
        <w:t> </w:t>
      </w:r>
      <w:r w:rsidR="009C2544" w:rsidRPr="006A64EE">
        <w:t>Wochen. Primärer Endpunkt dieser Studie war der Anteil an Patienten, die in Woche</w:t>
      </w:r>
      <w:r w:rsidR="008478E2">
        <w:t> </w:t>
      </w:r>
      <w:r w:rsidR="009C2544" w:rsidRPr="006A64EE">
        <w:t>24 eine DAS28-Remission (DAS28 &lt;</w:t>
      </w:r>
      <w:r w:rsidR="008478E2">
        <w:t> </w:t>
      </w:r>
      <w:r w:rsidR="009C2544" w:rsidRPr="006A64EE">
        <w:t>2,6) erreichten. In den Gruppen mit 8</w:t>
      </w:r>
      <w:r w:rsidR="008478E2">
        <w:t> </w:t>
      </w:r>
      <w:r w:rsidR="009C2544" w:rsidRPr="006A64EE">
        <w:t>mg/kg Tocilizumab plus MTX und Tocilizumab-Monotherapie erreichte ein signifikant höherer Anteil an Patienten den primären Endpunkt verglichen mit der Gruppe, die MTX als Monotherapie erhielt. Die Gruppe, die 8</w:t>
      </w:r>
      <w:r w:rsidR="008478E2">
        <w:t> </w:t>
      </w:r>
      <w:r w:rsidR="009C2544" w:rsidRPr="006A64EE">
        <w:t>mg/kg Tocilizumab plus MTX erhielt, zeigte zudem statistisch signifikante Ergebnisse hinsichtlich wichtiger sekundärer Endpunkte. Die Gruppe mit 8</w:t>
      </w:r>
      <w:r w:rsidR="008478E2">
        <w:t> </w:t>
      </w:r>
      <w:r w:rsidR="009C2544" w:rsidRPr="006A64EE">
        <w:t>mg/kg Tocilizumab als Monotherapie zeigte ein numerisch höheres Ansprechen bezüglich aller sekundären Endpunkte, einschließlich radiologischer Endpunkte, verglichen mit der Gruppe, die MTX als Monotherapie erhielt. In dieser Studie wurden auch die ACR/EULAR-Remission (Boolean und Index) als vordefinierte explorative Endpunkte analysiert, die eine höhere Ansprechrate in den Tocilizumab-Gruppen zeigten. Die Ergebnisse der Studie VII sind in Tabelle</w:t>
      </w:r>
      <w:r w:rsidR="008478E2">
        <w:t> </w:t>
      </w:r>
      <w:r w:rsidR="009C2544" w:rsidRPr="006A64EE">
        <w:t>7 dargestellt.</w:t>
      </w:r>
    </w:p>
    <w:p w14:paraId="1FD188D5" w14:textId="77777777" w:rsidR="00093A5E" w:rsidRPr="006A64EE" w:rsidRDefault="00093A5E" w:rsidP="004255F8">
      <w:pPr>
        <w:widowControl/>
      </w:pPr>
    </w:p>
    <w:p w14:paraId="42E78182" w14:textId="5A057B81" w:rsidR="00093A5E" w:rsidRPr="006A64EE" w:rsidRDefault="007D680A" w:rsidP="004255F8">
      <w:pPr>
        <w:pStyle w:val="Tabletittle"/>
      </w:pPr>
      <w:r w:rsidRPr="006A64EE">
        <w:t>Tabelle</w:t>
      </w:r>
      <w:r w:rsidR="008478E2">
        <w:t> </w:t>
      </w:r>
      <w:r w:rsidRPr="006A64EE">
        <w:t>7:</w:t>
      </w:r>
      <w:r w:rsidR="00B81266" w:rsidRPr="006A64EE">
        <w:tab/>
      </w:r>
      <w:r w:rsidRPr="006A64EE">
        <w:t>Wirksamkeitsergebnisse für Studie VII (WA19926) bei MTX-naiven Patienten mit früher RA</w:t>
      </w:r>
    </w:p>
    <w:p w14:paraId="2720287A" w14:textId="447B2281" w:rsidR="002D5756" w:rsidRPr="006A64EE" w:rsidRDefault="002D5756" w:rsidP="004255F8">
      <w:pPr>
        <w:pStyle w:val="a3"/>
        <w:keepNext/>
        <w:widowControl/>
        <w:rPr>
          <w:i/>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653"/>
        <w:gridCol w:w="7"/>
        <w:gridCol w:w="34"/>
        <w:gridCol w:w="1729"/>
        <w:gridCol w:w="57"/>
        <w:gridCol w:w="1190"/>
        <w:gridCol w:w="1276"/>
        <w:gridCol w:w="1310"/>
        <w:gridCol w:w="1067"/>
      </w:tblGrid>
      <w:tr w:rsidR="009B5E21" w:rsidRPr="006A64EE" w14:paraId="713894DB" w14:textId="77777777" w:rsidTr="009B5E21">
        <w:trPr>
          <w:cantSplit/>
        </w:trPr>
        <w:tc>
          <w:tcPr>
            <w:tcW w:w="4423" w:type="dxa"/>
            <w:gridSpan w:val="4"/>
          </w:tcPr>
          <w:p w14:paraId="456D6938" w14:textId="6A76D1FD" w:rsidR="009B5E21" w:rsidRPr="006A64EE" w:rsidRDefault="009B5E21" w:rsidP="006A19A3">
            <w:pPr>
              <w:pStyle w:val="TableParagraph"/>
              <w:widowControl/>
              <w:suppressAutoHyphens/>
              <w:jc w:val="center"/>
              <w:rPr>
                <w:b/>
                <w:sz w:val="20"/>
                <w:szCs w:val="20"/>
              </w:rPr>
            </w:pPr>
          </w:p>
        </w:tc>
        <w:tc>
          <w:tcPr>
            <w:tcW w:w="1247" w:type="dxa"/>
            <w:gridSpan w:val="2"/>
          </w:tcPr>
          <w:p w14:paraId="348EC304" w14:textId="1F5FE26D" w:rsidR="009B5E21" w:rsidRDefault="009B5E21" w:rsidP="006A19A3">
            <w:pPr>
              <w:pStyle w:val="TableParagraph"/>
              <w:widowControl/>
              <w:suppressAutoHyphens/>
              <w:jc w:val="center"/>
              <w:rPr>
                <w:b/>
                <w:sz w:val="20"/>
                <w:szCs w:val="20"/>
              </w:rPr>
            </w:pPr>
            <w:r w:rsidRPr="006A64EE">
              <w:rPr>
                <w:b/>
                <w:sz w:val="20"/>
                <w:szCs w:val="20"/>
              </w:rPr>
              <w:t>TCZ 8</w:t>
            </w:r>
            <w:r w:rsidR="002870CF">
              <w:rPr>
                <w:b/>
                <w:sz w:val="20"/>
                <w:szCs w:val="20"/>
              </w:rPr>
              <w:t> </w:t>
            </w:r>
            <w:r w:rsidRPr="006A64EE">
              <w:rPr>
                <w:b/>
                <w:sz w:val="20"/>
                <w:szCs w:val="20"/>
              </w:rPr>
              <w:t>mg/kg + MTX</w:t>
            </w:r>
          </w:p>
          <w:p w14:paraId="5E7B6380" w14:textId="46CFFFA2" w:rsidR="009B5E21" w:rsidRPr="006A64EE" w:rsidRDefault="009B5E21" w:rsidP="006A19A3">
            <w:pPr>
              <w:pStyle w:val="TableParagraph"/>
              <w:widowControl/>
              <w:suppressAutoHyphens/>
              <w:jc w:val="center"/>
              <w:rPr>
                <w:b/>
                <w:sz w:val="20"/>
                <w:szCs w:val="20"/>
              </w:rPr>
            </w:pPr>
            <w:r w:rsidRPr="006A64EE">
              <w:rPr>
                <w:b/>
                <w:sz w:val="20"/>
                <w:szCs w:val="20"/>
              </w:rPr>
              <w:t>n = 290</w:t>
            </w:r>
          </w:p>
        </w:tc>
        <w:tc>
          <w:tcPr>
            <w:tcW w:w="1276" w:type="dxa"/>
          </w:tcPr>
          <w:p w14:paraId="3B8A923A" w14:textId="3C7E2BEA" w:rsidR="009B5E21" w:rsidRPr="00D75764" w:rsidRDefault="009B5E21" w:rsidP="006A19A3">
            <w:pPr>
              <w:pStyle w:val="TableParagraph"/>
              <w:widowControl/>
              <w:suppressAutoHyphens/>
              <w:jc w:val="center"/>
              <w:rPr>
                <w:b/>
                <w:sz w:val="20"/>
                <w:szCs w:val="20"/>
                <w:lang w:val="en-US"/>
              </w:rPr>
            </w:pPr>
            <w:r w:rsidRPr="00D75764">
              <w:rPr>
                <w:b/>
                <w:sz w:val="20"/>
                <w:szCs w:val="20"/>
                <w:lang w:val="en-US"/>
              </w:rPr>
              <w:t>TCZ 8</w:t>
            </w:r>
            <w:r w:rsidR="002870CF">
              <w:rPr>
                <w:b/>
                <w:sz w:val="20"/>
                <w:szCs w:val="20"/>
                <w:lang w:val="en-US"/>
              </w:rPr>
              <w:t> </w:t>
            </w:r>
            <w:r w:rsidRPr="00D75764">
              <w:rPr>
                <w:b/>
                <w:sz w:val="20"/>
                <w:szCs w:val="20"/>
                <w:lang w:val="en-US"/>
              </w:rPr>
              <w:t>mg/kg +</w:t>
            </w:r>
          </w:p>
          <w:p w14:paraId="213D92FF" w14:textId="77777777" w:rsidR="009B5E21" w:rsidRPr="00D75764" w:rsidRDefault="009B5E21" w:rsidP="006A19A3">
            <w:pPr>
              <w:pStyle w:val="TableParagraph"/>
              <w:widowControl/>
              <w:suppressAutoHyphens/>
              <w:jc w:val="center"/>
              <w:rPr>
                <w:b/>
                <w:sz w:val="20"/>
                <w:szCs w:val="20"/>
                <w:lang w:val="en-US"/>
              </w:rPr>
            </w:pPr>
            <w:r w:rsidRPr="00D75764">
              <w:rPr>
                <w:b/>
                <w:sz w:val="20"/>
                <w:szCs w:val="20"/>
                <w:lang w:val="en-US"/>
              </w:rPr>
              <w:t>Placebo</w:t>
            </w:r>
          </w:p>
          <w:p w14:paraId="6AAB6AA9" w14:textId="4E189CA0" w:rsidR="009B5E21" w:rsidRPr="00D75764" w:rsidRDefault="009B5E21" w:rsidP="006A19A3">
            <w:pPr>
              <w:pStyle w:val="TableParagraph"/>
              <w:widowControl/>
              <w:suppressAutoHyphens/>
              <w:jc w:val="center"/>
              <w:rPr>
                <w:b/>
                <w:sz w:val="20"/>
                <w:szCs w:val="20"/>
                <w:lang w:val="en-US"/>
              </w:rPr>
            </w:pPr>
            <w:r w:rsidRPr="00D75764">
              <w:rPr>
                <w:b/>
                <w:sz w:val="20"/>
                <w:szCs w:val="20"/>
                <w:lang w:val="en-US"/>
              </w:rPr>
              <w:t>n = 292</w:t>
            </w:r>
          </w:p>
        </w:tc>
        <w:tc>
          <w:tcPr>
            <w:tcW w:w="1310" w:type="dxa"/>
          </w:tcPr>
          <w:p w14:paraId="0CBD710A" w14:textId="4F679250" w:rsidR="009B5E21" w:rsidRPr="00D75764" w:rsidRDefault="009B5E21" w:rsidP="006A19A3">
            <w:pPr>
              <w:pStyle w:val="TableParagraph"/>
              <w:widowControl/>
              <w:suppressAutoHyphens/>
              <w:jc w:val="center"/>
              <w:rPr>
                <w:b/>
                <w:sz w:val="20"/>
                <w:szCs w:val="20"/>
                <w:lang w:val="en-US"/>
              </w:rPr>
            </w:pPr>
            <w:r w:rsidRPr="00D75764">
              <w:rPr>
                <w:b/>
                <w:sz w:val="20"/>
                <w:szCs w:val="20"/>
                <w:lang w:val="en-US"/>
              </w:rPr>
              <w:t>TCZ 4</w:t>
            </w:r>
            <w:r w:rsidR="002870CF">
              <w:rPr>
                <w:b/>
                <w:sz w:val="20"/>
                <w:szCs w:val="20"/>
                <w:lang w:val="en-US"/>
              </w:rPr>
              <w:t> </w:t>
            </w:r>
            <w:r w:rsidRPr="00D75764">
              <w:rPr>
                <w:b/>
                <w:sz w:val="20"/>
                <w:szCs w:val="20"/>
                <w:lang w:val="en-US"/>
              </w:rPr>
              <w:t>mg/kg + MTX</w:t>
            </w:r>
          </w:p>
          <w:p w14:paraId="0BFDC2F9" w14:textId="523D178E" w:rsidR="009B5E21" w:rsidRPr="00D75764" w:rsidRDefault="009B5E21" w:rsidP="006A19A3">
            <w:pPr>
              <w:pStyle w:val="TableParagraph"/>
              <w:widowControl/>
              <w:suppressAutoHyphens/>
              <w:jc w:val="center"/>
              <w:rPr>
                <w:b/>
                <w:sz w:val="20"/>
                <w:szCs w:val="20"/>
                <w:lang w:val="en-US"/>
              </w:rPr>
            </w:pPr>
            <w:r w:rsidRPr="00D75764">
              <w:rPr>
                <w:b/>
                <w:sz w:val="20"/>
                <w:szCs w:val="20"/>
                <w:lang w:val="en-US"/>
              </w:rPr>
              <w:t>n = 288</w:t>
            </w:r>
          </w:p>
        </w:tc>
        <w:tc>
          <w:tcPr>
            <w:tcW w:w="1067" w:type="dxa"/>
          </w:tcPr>
          <w:p w14:paraId="37FBD813" w14:textId="77777777" w:rsidR="009B5E21" w:rsidRPr="006A64EE" w:rsidRDefault="009B5E21" w:rsidP="009B5E21">
            <w:pPr>
              <w:pStyle w:val="TableParagraph"/>
              <w:widowControl/>
              <w:suppressAutoHyphens/>
              <w:jc w:val="center"/>
              <w:rPr>
                <w:b/>
                <w:sz w:val="20"/>
                <w:szCs w:val="20"/>
              </w:rPr>
            </w:pPr>
            <w:r w:rsidRPr="006A64EE">
              <w:rPr>
                <w:b/>
                <w:sz w:val="20"/>
                <w:szCs w:val="20"/>
              </w:rPr>
              <w:t>Placebo + MTX</w:t>
            </w:r>
          </w:p>
          <w:p w14:paraId="6AAC5B54" w14:textId="5AA646ED" w:rsidR="009B5E21" w:rsidRPr="006A64EE" w:rsidRDefault="009B5E21" w:rsidP="009B5E21">
            <w:pPr>
              <w:pStyle w:val="TableParagraph"/>
              <w:widowControl/>
              <w:suppressAutoHyphens/>
              <w:jc w:val="center"/>
              <w:rPr>
                <w:b/>
                <w:sz w:val="20"/>
                <w:szCs w:val="20"/>
              </w:rPr>
            </w:pPr>
            <w:r w:rsidRPr="006A64EE">
              <w:rPr>
                <w:b/>
                <w:sz w:val="20"/>
                <w:szCs w:val="20"/>
              </w:rPr>
              <w:t>n = 287</w:t>
            </w:r>
          </w:p>
        </w:tc>
      </w:tr>
      <w:tr w:rsidR="006A19A3" w:rsidRPr="006A64EE" w14:paraId="1E589A72" w14:textId="77777777" w:rsidTr="006A19A3">
        <w:trPr>
          <w:cantSplit/>
        </w:trPr>
        <w:tc>
          <w:tcPr>
            <w:tcW w:w="9323" w:type="dxa"/>
            <w:gridSpan w:val="9"/>
          </w:tcPr>
          <w:p w14:paraId="5E0C7104" w14:textId="77777777" w:rsidR="006A19A3" w:rsidRPr="006A64EE" w:rsidRDefault="006A19A3" w:rsidP="006A19A3">
            <w:pPr>
              <w:pStyle w:val="TableParagraph"/>
              <w:widowControl/>
              <w:suppressAutoHyphens/>
              <w:rPr>
                <w:b/>
                <w:sz w:val="20"/>
                <w:szCs w:val="20"/>
              </w:rPr>
            </w:pPr>
            <w:r w:rsidRPr="006A64EE">
              <w:rPr>
                <w:b/>
                <w:sz w:val="20"/>
                <w:szCs w:val="20"/>
              </w:rPr>
              <w:t>Primärer Endpunkt</w:t>
            </w:r>
          </w:p>
        </w:tc>
      </w:tr>
      <w:tr w:rsidR="00593482" w:rsidRPr="006A64EE" w14:paraId="03627CEB" w14:textId="77777777" w:rsidTr="006A19A3">
        <w:trPr>
          <w:cantSplit/>
        </w:trPr>
        <w:tc>
          <w:tcPr>
            <w:tcW w:w="9323" w:type="dxa"/>
            <w:gridSpan w:val="9"/>
          </w:tcPr>
          <w:p w14:paraId="15F8C321" w14:textId="3792F054" w:rsidR="002735DD" w:rsidRPr="006A64EE" w:rsidRDefault="002735DD" w:rsidP="006A19A3">
            <w:pPr>
              <w:pStyle w:val="TableParagraph"/>
              <w:widowControl/>
              <w:suppressAutoHyphens/>
              <w:rPr>
                <w:i/>
                <w:sz w:val="20"/>
                <w:szCs w:val="20"/>
              </w:rPr>
            </w:pPr>
            <w:r w:rsidRPr="006A64EE">
              <w:rPr>
                <w:sz w:val="20"/>
                <w:szCs w:val="20"/>
              </w:rPr>
              <w:t>DAS28-Remission</w:t>
            </w:r>
          </w:p>
        </w:tc>
      </w:tr>
      <w:tr w:rsidR="006A19A3" w:rsidRPr="006A64EE" w14:paraId="4A751589" w14:textId="77777777" w:rsidTr="00AA52D3">
        <w:trPr>
          <w:cantSplit/>
        </w:trPr>
        <w:tc>
          <w:tcPr>
            <w:tcW w:w="2653" w:type="dxa"/>
            <w:tcBorders>
              <w:right w:val="nil"/>
            </w:tcBorders>
          </w:tcPr>
          <w:p w14:paraId="52FCABD4" w14:textId="77777777" w:rsidR="006A19A3" w:rsidRPr="006A64EE" w:rsidRDefault="006A19A3" w:rsidP="006A19A3">
            <w:pPr>
              <w:pStyle w:val="TableParagraph"/>
              <w:widowControl/>
              <w:suppressAutoHyphens/>
              <w:ind w:left="284"/>
              <w:rPr>
                <w:sz w:val="20"/>
                <w:szCs w:val="20"/>
              </w:rPr>
            </w:pPr>
            <w:r w:rsidRPr="006A64EE">
              <w:rPr>
                <w:sz w:val="20"/>
                <w:szCs w:val="20"/>
              </w:rPr>
              <w:t>Woche 24</w:t>
            </w:r>
          </w:p>
        </w:tc>
        <w:tc>
          <w:tcPr>
            <w:tcW w:w="1827" w:type="dxa"/>
            <w:gridSpan w:val="4"/>
            <w:tcBorders>
              <w:left w:val="nil"/>
            </w:tcBorders>
          </w:tcPr>
          <w:p w14:paraId="64E504C9" w14:textId="77777777" w:rsidR="006A19A3" w:rsidRPr="006A64EE" w:rsidRDefault="006A19A3" w:rsidP="00AA52D3">
            <w:pPr>
              <w:pStyle w:val="TableParagraph"/>
              <w:widowControl/>
              <w:suppressAutoHyphens/>
              <w:rPr>
                <w:sz w:val="20"/>
                <w:szCs w:val="20"/>
              </w:rPr>
            </w:pPr>
            <w:r w:rsidRPr="006A64EE">
              <w:rPr>
                <w:sz w:val="20"/>
                <w:szCs w:val="20"/>
              </w:rPr>
              <w:t>n (%)</w:t>
            </w:r>
          </w:p>
        </w:tc>
        <w:tc>
          <w:tcPr>
            <w:tcW w:w="1190" w:type="dxa"/>
          </w:tcPr>
          <w:p w14:paraId="23A896B9" w14:textId="77777777" w:rsidR="006A19A3" w:rsidRPr="006A64EE" w:rsidRDefault="006A19A3" w:rsidP="00AA52D3">
            <w:pPr>
              <w:pStyle w:val="TableParagraph"/>
              <w:widowControl/>
              <w:suppressAutoHyphens/>
              <w:jc w:val="center"/>
              <w:rPr>
                <w:sz w:val="20"/>
                <w:szCs w:val="20"/>
              </w:rPr>
            </w:pPr>
            <w:r w:rsidRPr="006A64EE">
              <w:rPr>
                <w:sz w:val="20"/>
                <w:szCs w:val="20"/>
              </w:rPr>
              <w:t>130 (44,8)***</w:t>
            </w:r>
          </w:p>
        </w:tc>
        <w:tc>
          <w:tcPr>
            <w:tcW w:w="1276" w:type="dxa"/>
          </w:tcPr>
          <w:p w14:paraId="5CA04337" w14:textId="77777777" w:rsidR="006A19A3" w:rsidRPr="006A64EE" w:rsidRDefault="006A19A3" w:rsidP="00AA52D3">
            <w:pPr>
              <w:pStyle w:val="TableParagraph"/>
              <w:widowControl/>
              <w:suppressAutoHyphens/>
              <w:jc w:val="center"/>
              <w:rPr>
                <w:sz w:val="20"/>
                <w:szCs w:val="20"/>
              </w:rPr>
            </w:pPr>
            <w:r w:rsidRPr="006A64EE">
              <w:rPr>
                <w:sz w:val="20"/>
                <w:szCs w:val="20"/>
              </w:rPr>
              <w:t>113 (38,7)***</w:t>
            </w:r>
          </w:p>
        </w:tc>
        <w:tc>
          <w:tcPr>
            <w:tcW w:w="1310" w:type="dxa"/>
          </w:tcPr>
          <w:p w14:paraId="1BFB5AEB" w14:textId="77777777" w:rsidR="006A19A3" w:rsidRPr="006A64EE" w:rsidRDefault="006A19A3" w:rsidP="00AA52D3">
            <w:pPr>
              <w:pStyle w:val="TableParagraph"/>
              <w:widowControl/>
              <w:suppressAutoHyphens/>
              <w:jc w:val="center"/>
              <w:rPr>
                <w:sz w:val="20"/>
                <w:szCs w:val="20"/>
              </w:rPr>
            </w:pPr>
            <w:r w:rsidRPr="006A64EE">
              <w:rPr>
                <w:sz w:val="20"/>
                <w:szCs w:val="20"/>
              </w:rPr>
              <w:t>92 (31,9)</w:t>
            </w:r>
          </w:p>
        </w:tc>
        <w:tc>
          <w:tcPr>
            <w:tcW w:w="1067" w:type="dxa"/>
          </w:tcPr>
          <w:p w14:paraId="4CB4AD9C" w14:textId="77777777" w:rsidR="006A19A3" w:rsidRPr="006A64EE" w:rsidRDefault="006A19A3" w:rsidP="00AA52D3">
            <w:pPr>
              <w:pStyle w:val="TableParagraph"/>
              <w:widowControl/>
              <w:suppressAutoHyphens/>
              <w:jc w:val="center"/>
              <w:rPr>
                <w:sz w:val="20"/>
                <w:szCs w:val="20"/>
              </w:rPr>
            </w:pPr>
            <w:r w:rsidRPr="006A64EE">
              <w:rPr>
                <w:sz w:val="20"/>
                <w:szCs w:val="20"/>
              </w:rPr>
              <w:t>43 (15,0)</w:t>
            </w:r>
          </w:p>
        </w:tc>
      </w:tr>
      <w:tr w:rsidR="006A19A3" w:rsidRPr="006A64EE" w14:paraId="53BA6AA2" w14:textId="77777777" w:rsidTr="006A19A3">
        <w:trPr>
          <w:cantSplit/>
        </w:trPr>
        <w:tc>
          <w:tcPr>
            <w:tcW w:w="9323" w:type="dxa"/>
            <w:gridSpan w:val="9"/>
          </w:tcPr>
          <w:p w14:paraId="7A52C0C6" w14:textId="77777777" w:rsidR="006A19A3" w:rsidRPr="006A64EE" w:rsidRDefault="006A19A3" w:rsidP="006A19A3">
            <w:pPr>
              <w:pStyle w:val="TableParagraph"/>
              <w:widowControl/>
              <w:suppressAutoHyphens/>
              <w:rPr>
                <w:b/>
                <w:sz w:val="20"/>
                <w:szCs w:val="20"/>
              </w:rPr>
            </w:pPr>
            <w:r w:rsidRPr="006A64EE">
              <w:rPr>
                <w:b/>
                <w:sz w:val="20"/>
                <w:szCs w:val="20"/>
              </w:rPr>
              <w:t>Wichtige sekundäre Endpunkte</w:t>
            </w:r>
          </w:p>
        </w:tc>
      </w:tr>
      <w:tr w:rsidR="00593482" w:rsidRPr="006A64EE" w14:paraId="40EA5412" w14:textId="77777777" w:rsidTr="006A19A3">
        <w:trPr>
          <w:cantSplit/>
        </w:trPr>
        <w:tc>
          <w:tcPr>
            <w:tcW w:w="9323" w:type="dxa"/>
            <w:gridSpan w:val="9"/>
          </w:tcPr>
          <w:p w14:paraId="3D9CBC23" w14:textId="40D68628" w:rsidR="002735DD" w:rsidRPr="006A64EE" w:rsidRDefault="002735DD" w:rsidP="006A19A3">
            <w:pPr>
              <w:pStyle w:val="TableParagraph"/>
              <w:widowControl/>
              <w:suppressAutoHyphens/>
              <w:rPr>
                <w:i/>
                <w:sz w:val="20"/>
                <w:szCs w:val="20"/>
              </w:rPr>
            </w:pPr>
            <w:r w:rsidRPr="006A64EE">
              <w:rPr>
                <w:sz w:val="20"/>
                <w:szCs w:val="20"/>
              </w:rPr>
              <w:t>DAS28-Remission</w:t>
            </w:r>
          </w:p>
        </w:tc>
      </w:tr>
      <w:tr w:rsidR="006A19A3" w:rsidRPr="006A64EE" w14:paraId="5132ABF4" w14:textId="77777777" w:rsidTr="00AA52D3">
        <w:trPr>
          <w:cantSplit/>
        </w:trPr>
        <w:tc>
          <w:tcPr>
            <w:tcW w:w="2653" w:type="dxa"/>
            <w:tcBorders>
              <w:right w:val="nil"/>
            </w:tcBorders>
          </w:tcPr>
          <w:p w14:paraId="01A20E1B" w14:textId="77777777" w:rsidR="006A19A3" w:rsidRPr="006A64EE" w:rsidRDefault="006A19A3" w:rsidP="006A19A3">
            <w:pPr>
              <w:pStyle w:val="TableParagraph"/>
              <w:widowControl/>
              <w:suppressAutoHyphens/>
              <w:ind w:left="284"/>
              <w:rPr>
                <w:sz w:val="20"/>
                <w:szCs w:val="20"/>
              </w:rPr>
            </w:pPr>
            <w:r w:rsidRPr="006A64EE">
              <w:rPr>
                <w:sz w:val="20"/>
                <w:szCs w:val="20"/>
              </w:rPr>
              <w:t>Woche 52</w:t>
            </w:r>
          </w:p>
        </w:tc>
        <w:tc>
          <w:tcPr>
            <w:tcW w:w="1827" w:type="dxa"/>
            <w:gridSpan w:val="4"/>
            <w:tcBorders>
              <w:left w:val="nil"/>
            </w:tcBorders>
          </w:tcPr>
          <w:p w14:paraId="481D8598" w14:textId="77777777" w:rsidR="006A19A3" w:rsidRPr="006A64EE" w:rsidRDefault="006A19A3" w:rsidP="006A19A3">
            <w:pPr>
              <w:pStyle w:val="TableParagraph"/>
              <w:widowControl/>
              <w:suppressAutoHyphens/>
              <w:rPr>
                <w:sz w:val="20"/>
                <w:szCs w:val="20"/>
              </w:rPr>
            </w:pPr>
            <w:r w:rsidRPr="006A64EE">
              <w:rPr>
                <w:sz w:val="20"/>
                <w:szCs w:val="20"/>
              </w:rPr>
              <w:t>n (%)</w:t>
            </w:r>
          </w:p>
        </w:tc>
        <w:tc>
          <w:tcPr>
            <w:tcW w:w="1190" w:type="dxa"/>
          </w:tcPr>
          <w:p w14:paraId="6578E44D" w14:textId="77777777" w:rsidR="006A19A3" w:rsidRPr="006A64EE" w:rsidRDefault="006A19A3" w:rsidP="00AA52D3">
            <w:pPr>
              <w:pStyle w:val="TableParagraph"/>
              <w:widowControl/>
              <w:suppressAutoHyphens/>
              <w:jc w:val="center"/>
              <w:rPr>
                <w:sz w:val="20"/>
                <w:szCs w:val="20"/>
              </w:rPr>
            </w:pPr>
            <w:r w:rsidRPr="006A64EE">
              <w:rPr>
                <w:sz w:val="20"/>
                <w:szCs w:val="20"/>
              </w:rPr>
              <w:t>142 (49,0)***</w:t>
            </w:r>
          </w:p>
        </w:tc>
        <w:tc>
          <w:tcPr>
            <w:tcW w:w="1276" w:type="dxa"/>
          </w:tcPr>
          <w:p w14:paraId="1D826F80" w14:textId="77777777" w:rsidR="006A19A3" w:rsidRPr="006A64EE" w:rsidRDefault="006A19A3" w:rsidP="00AA52D3">
            <w:pPr>
              <w:pStyle w:val="TableParagraph"/>
              <w:widowControl/>
              <w:suppressAutoHyphens/>
              <w:jc w:val="center"/>
              <w:rPr>
                <w:sz w:val="20"/>
                <w:szCs w:val="20"/>
              </w:rPr>
            </w:pPr>
            <w:r w:rsidRPr="006A64EE">
              <w:rPr>
                <w:sz w:val="20"/>
                <w:szCs w:val="20"/>
              </w:rPr>
              <w:t>115 (39,4)</w:t>
            </w:r>
          </w:p>
        </w:tc>
        <w:tc>
          <w:tcPr>
            <w:tcW w:w="1310" w:type="dxa"/>
          </w:tcPr>
          <w:p w14:paraId="7A668288" w14:textId="77777777" w:rsidR="006A19A3" w:rsidRPr="006A64EE" w:rsidRDefault="006A19A3" w:rsidP="00AA52D3">
            <w:pPr>
              <w:pStyle w:val="TableParagraph"/>
              <w:widowControl/>
              <w:suppressAutoHyphens/>
              <w:jc w:val="center"/>
              <w:rPr>
                <w:sz w:val="20"/>
                <w:szCs w:val="20"/>
              </w:rPr>
            </w:pPr>
            <w:r w:rsidRPr="006A64EE">
              <w:rPr>
                <w:sz w:val="20"/>
                <w:szCs w:val="20"/>
              </w:rPr>
              <w:t>98 (34,0)</w:t>
            </w:r>
          </w:p>
        </w:tc>
        <w:tc>
          <w:tcPr>
            <w:tcW w:w="1067" w:type="dxa"/>
          </w:tcPr>
          <w:p w14:paraId="2F7FB43F" w14:textId="77777777" w:rsidR="006A19A3" w:rsidRPr="006A64EE" w:rsidRDefault="006A19A3" w:rsidP="00AA52D3">
            <w:pPr>
              <w:pStyle w:val="TableParagraph"/>
              <w:widowControl/>
              <w:suppressAutoHyphens/>
              <w:jc w:val="center"/>
              <w:rPr>
                <w:sz w:val="20"/>
                <w:szCs w:val="20"/>
              </w:rPr>
            </w:pPr>
            <w:r w:rsidRPr="006A64EE">
              <w:rPr>
                <w:sz w:val="20"/>
                <w:szCs w:val="20"/>
              </w:rPr>
              <w:t>56 (19,5)</w:t>
            </w:r>
          </w:p>
        </w:tc>
      </w:tr>
      <w:tr w:rsidR="00593482" w:rsidRPr="006A64EE" w14:paraId="7C5F72C4" w14:textId="77777777" w:rsidTr="00AA52D3">
        <w:trPr>
          <w:cantSplit/>
        </w:trPr>
        <w:tc>
          <w:tcPr>
            <w:tcW w:w="4480" w:type="dxa"/>
            <w:gridSpan w:val="5"/>
            <w:tcBorders>
              <w:bottom w:val="single" w:sz="4" w:space="0" w:color="auto"/>
            </w:tcBorders>
          </w:tcPr>
          <w:p w14:paraId="1FFB8C08" w14:textId="77777777" w:rsidR="002D5756" w:rsidRPr="006A64EE" w:rsidRDefault="009C2544" w:rsidP="006A19A3">
            <w:pPr>
              <w:pStyle w:val="TableParagraph"/>
              <w:widowControl/>
              <w:suppressAutoHyphens/>
              <w:rPr>
                <w:sz w:val="20"/>
                <w:szCs w:val="20"/>
              </w:rPr>
            </w:pPr>
            <w:r w:rsidRPr="006A64EE">
              <w:rPr>
                <w:sz w:val="20"/>
                <w:szCs w:val="20"/>
              </w:rPr>
              <w:t>ACR</w:t>
            </w:r>
          </w:p>
        </w:tc>
        <w:tc>
          <w:tcPr>
            <w:tcW w:w="1190" w:type="dxa"/>
          </w:tcPr>
          <w:p w14:paraId="1037C0F6" w14:textId="77777777" w:rsidR="002D5756" w:rsidRPr="006A64EE" w:rsidRDefault="002D5756" w:rsidP="00AA52D3">
            <w:pPr>
              <w:pStyle w:val="TableParagraph"/>
              <w:widowControl/>
              <w:suppressAutoHyphens/>
              <w:jc w:val="center"/>
              <w:rPr>
                <w:sz w:val="20"/>
                <w:szCs w:val="20"/>
              </w:rPr>
            </w:pPr>
          </w:p>
        </w:tc>
        <w:tc>
          <w:tcPr>
            <w:tcW w:w="1276" w:type="dxa"/>
          </w:tcPr>
          <w:p w14:paraId="45F25DBB" w14:textId="77777777" w:rsidR="002D5756" w:rsidRPr="006A64EE" w:rsidRDefault="002D5756" w:rsidP="00AA52D3">
            <w:pPr>
              <w:pStyle w:val="TableParagraph"/>
              <w:widowControl/>
              <w:suppressAutoHyphens/>
              <w:jc w:val="center"/>
              <w:rPr>
                <w:sz w:val="20"/>
                <w:szCs w:val="20"/>
              </w:rPr>
            </w:pPr>
          </w:p>
        </w:tc>
        <w:tc>
          <w:tcPr>
            <w:tcW w:w="1310" w:type="dxa"/>
          </w:tcPr>
          <w:p w14:paraId="7E02A9E5" w14:textId="77777777" w:rsidR="002D5756" w:rsidRPr="006A64EE" w:rsidRDefault="002D5756" w:rsidP="00AA52D3">
            <w:pPr>
              <w:pStyle w:val="TableParagraph"/>
              <w:widowControl/>
              <w:suppressAutoHyphens/>
              <w:jc w:val="center"/>
              <w:rPr>
                <w:sz w:val="20"/>
                <w:szCs w:val="20"/>
              </w:rPr>
            </w:pPr>
          </w:p>
        </w:tc>
        <w:tc>
          <w:tcPr>
            <w:tcW w:w="1067" w:type="dxa"/>
          </w:tcPr>
          <w:p w14:paraId="473CA3A9" w14:textId="77777777" w:rsidR="002D5756" w:rsidRPr="006A64EE" w:rsidRDefault="002D5756" w:rsidP="00AA52D3">
            <w:pPr>
              <w:pStyle w:val="TableParagraph"/>
              <w:widowControl/>
              <w:suppressAutoHyphens/>
              <w:jc w:val="center"/>
              <w:rPr>
                <w:sz w:val="20"/>
                <w:szCs w:val="20"/>
              </w:rPr>
            </w:pPr>
          </w:p>
        </w:tc>
      </w:tr>
      <w:tr w:rsidR="006A19A3" w:rsidRPr="006A64EE" w14:paraId="04E4AD37" w14:textId="77777777" w:rsidTr="00AA52D3">
        <w:trPr>
          <w:cantSplit/>
        </w:trPr>
        <w:tc>
          <w:tcPr>
            <w:tcW w:w="2653" w:type="dxa"/>
            <w:tcBorders>
              <w:right w:val="nil"/>
            </w:tcBorders>
          </w:tcPr>
          <w:p w14:paraId="6FDACAC5" w14:textId="77777777" w:rsidR="006A19A3" w:rsidRPr="006A64EE" w:rsidRDefault="006A19A3" w:rsidP="006A19A3">
            <w:pPr>
              <w:pStyle w:val="TableParagraph"/>
              <w:widowControl/>
              <w:suppressAutoHyphens/>
              <w:ind w:left="284"/>
              <w:rPr>
                <w:sz w:val="20"/>
                <w:szCs w:val="20"/>
              </w:rPr>
            </w:pPr>
            <w:r w:rsidRPr="006A64EE">
              <w:rPr>
                <w:sz w:val="20"/>
                <w:szCs w:val="20"/>
              </w:rPr>
              <w:t>Woche 24</w:t>
            </w:r>
          </w:p>
        </w:tc>
        <w:tc>
          <w:tcPr>
            <w:tcW w:w="1827" w:type="dxa"/>
            <w:gridSpan w:val="4"/>
            <w:tcBorders>
              <w:left w:val="nil"/>
            </w:tcBorders>
          </w:tcPr>
          <w:p w14:paraId="37A1D82F" w14:textId="77777777" w:rsidR="006A19A3" w:rsidRPr="006A64EE" w:rsidRDefault="006A19A3" w:rsidP="00AA52D3">
            <w:pPr>
              <w:pStyle w:val="TableParagraph"/>
              <w:widowControl/>
              <w:suppressAutoHyphens/>
              <w:rPr>
                <w:sz w:val="20"/>
                <w:szCs w:val="20"/>
              </w:rPr>
            </w:pPr>
            <w:r w:rsidRPr="006A64EE">
              <w:rPr>
                <w:sz w:val="20"/>
                <w:szCs w:val="20"/>
              </w:rPr>
              <w:t>ACR20, n (%)</w:t>
            </w:r>
          </w:p>
        </w:tc>
        <w:tc>
          <w:tcPr>
            <w:tcW w:w="1190" w:type="dxa"/>
          </w:tcPr>
          <w:p w14:paraId="56EF5D36" w14:textId="77777777" w:rsidR="006A19A3" w:rsidRPr="006A64EE" w:rsidRDefault="006A19A3" w:rsidP="00AA52D3">
            <w:pPr>
              <w:pStyle w:val="TableParagraph"/>
              <w:widowControl/>
              <w:suppressAutoHyphens/>
              <w:jc w:val="center"/>
              <w:rPr>
                <w:sz w:val="20"/>
                <w:szCs w:val="20"/>
              </w:rPr>
            </w:pPr>
            <w:r w:rsidRPr="006A64EE">
              <w:rPr>
                <w:sz w:val="20"/>
                <w:szCs w:val="20"/>
              </w:rPr>
              <w:t>216 (74,5)*</w:t>
            </w:r>
          </w:p>
        </w:tc>
        <w:tc>
          <w:tcPr>
            <w:tcW w:w="1276" w:type="dxa"/>
          </w:tcPr>
          <w:p w14:paraId="37D7CE2A" w14:textId="77777777" w:rsidR="006A19A3" w:rsidRPr="006A64EE" w:rsidRDefault="006A19A3" w:rsidP="00AA52D3">
            <w:pPr>
              <w:pStyle w:val="TableParagraph"/>
              <w:widowControl/>
              <w:suppressAutoHyphens/>
              <w:jc w:val="center"/>
              <w:rPr>
                <w:sz w:val="20"/>
                <w:szCs w:val="20"/>
              </w:rPr>
            </w:pPr>
            <w:r w:rsidRPr="006A64EE">
              <w:rPr>
                <w:sz w:val="20"/>
                <w:szCs w:val="20"/>
              </w:rPr>
              <w:t>205 (70,2)</w:t>
            </w:r>
          </w:p>
        </w:tc>
        <w:tc>
          <w:tcPr>
            <w:tcW w:w="1310" w:type="dxa"/>
          </w:tcPr>
          <w:p w14:paraId="6D0CEA29" w14:textId="77777777" w:rsidR="006A19A3" w:rsidRPr="006A64EE" w:rsidRDefault="006A19A3" w:rsidP="00AA52D3">
            <w:pPr>
              <w:pStyle w:val="TableParagraph"/>
              <w:widowControl/>
              <w:suppressAutoHyphens/>
              <w:jc w:val="center"/>
              <w:rPr>
                <w:sz w:val="20"/>
                <w:szCs w:val="20"/>
              </w:rPr>
            </w:pPr>
            <w:r w:rsidRPr="006A64EE">
              <w:rPr>
                <w:sz w:val="20"/>
                <w:szCs w:val="20"/>
              </w:rPr>
              <w:t>212 (73,6)</w:t>
            </w:r>
          </w:p>
        </w:tc>
        <w:tc>
          <w:tcPr>
            <w:tcW w:w="1067" w:type="dxa"/>
          </w:tcPr>
          <w:p w14:paraId="23801CFC" w14:textId="77777777" w:rsidR="006A19A3" w:rsidRPr="006A64EE" w:rsidRDefault="006A19A3" w:rsidP="00AA52D3">
            <w:pPr>
              <w:pStyle w:val="TableParagraph"/>
              <w:widowControl/>
              <w:suppressAutoHyphens/>
              <w:jc w:val="center"/>
              <w:rPr>
                <w:sz w:val="20"/>
                <w:szCs w:val="20"/>
              </w:rPr>
            </w:pPr>
            <w:r w:rsidRPr="006A64EE">
              <w:rPr>
                <w:sz w:val="20"/>
                <w:szCs w:val="20"/>
              </w:rPr>
              <w:t>187 (65,2)</w:t>
            </w:r>
          </w:p>
        </w:tc>
      </w:tr>
      <w:tr w:rsidR="006A19A3" w:rsidRPr="006A64EE" w14:paraId="47C2C8B5" w14:textId="77777777" w:rsidTr="00AA52D3">
        <w:trPr>
          <w:cantSplit/>
        </w:trPr>
        <w:tc>
          <w:tcPr>
            <w:tcW w:w="2660" w:type="dxa"/>
            <w:gridSpan w:val="2"/>
            <w:tcBorders>
              <w:right w:val="nil"/>
            </w:tcBorders>
          </w:tcPr>
          <w:p w14:paraId="3514194F" w14:textId="432082B9" w:rsidR="006A19A3" w:rsidRPr="006A64EE" w:rsidRDefault="006A19A3" w:rsidP="00AA52D3">
            <w:pPr>
              <w:pStyle w:val="TableParagraph"/>
              <w:widowControl/>
              <w:suppressAutoHyphens/>
              <w:rPr>
                <w:sz w:val="20"/>
                <w:szCs w:val="20"/>
              </w:rPr>
            </w:pPr>
          </w:p>
        </w:tc>
        <w:tc>
          <w:tcPr>
            <w:tcW w:w="1820" w:type="dxa"/>
            <w:gridSpan w:val="3"/>
            <w:tcBorders>
              <w:left w:val="nil"/>
            </w:tcBorders>
          </w:tcPr>
          <w:p w14:paraId="53D5DD43" w14:textId="5143DE6E" w:rsidR="006A19A3" w:rsidRPr="006A64EE" w:rsidRDefault="006A19A3" w:rsidP="00AA52D3">
            <w:pPr>
              <w:pStyle w:val="TableParagraph"/>
              <w:widowControl/>
              <w:suppressAutoHyphens/>
              <w:rPr>
                <w:sz w:val="20"/>
                <w:szCs w:val="20"/>
              </w:rPr>
            </w:pPr>
            <w:r w:rsidRPr="006A64EE">
              <w:rPr>
                <w:sz w:val="20"/>
                <w:szCs w:val="20"/>
              </w:rPr>
              <w:t>ACR50, n (%)</w:t>
            </w:r>
          </w:p>
        </w:tc>
        <w:tc>
          <w:tcPr>
            <w:tcW w:w="1190" w:type="dxa"/>
          </w:tcPr>
          <w:p w14:paraId="4E963BB7" w14:textId="77777777" w:rsidR="006A19A3" w:rsidRPr="006A64EE" w:rsidRDefault="006A19A3" w:rsidP="00AA52D3">
            <w:pPr>
              <w:pStyle w:val="TableParagraph"/>
              <w:widowControl/>
              <w:suppressAutoHyphens/>
              <w:jc w:val="center"/>
              <w:rPr>
                <w:sz w:val="20"/>
                <w:szCs w:val="20"/>
              </w:rPr>
            </w:pPr>
            <w:r w:rsidRPr="006A64EE">
              <w:rPr>
                <w:sz w:val="20"/>
                <w:szCs w:val="20"/>
              </w:rPr>
              <w:t>165 (56,9)**</w:t>
            </w:r>
          </w:p>
        </w:tc>
        <w:tc>
          <w:tcPr>
            <w:tcW w:w="1276" w:type="dxa"/>
          </w:tcPr>
          <w:p w14:paraId="747DB64A" w14:textId="77777777" w:rsidR="006A19A3" w:rsidRPr="006A64EE" w:rsidRDefault="006A19A3" w:rsidP="00AA52D3">
            <w:pPr>
              <w:pStyle w:val="TableParagraph"/>
              <w:widowControl/>
              <w:suppressAutoHyphens/>
              <w:jc w:val="center"/>
              <w:rPr>
                <w:sz w:val="20"/>
                <w:szCs w:val="20"/>
              </w:rPr>
            </w:pPr>
            <w:r w:rsidRPr="006A64EE">
              <w:rPr>
                <w:sz w:val="20"/>
                <w:szCs w:val="20"/>
              </w:rPr>
              <w:t>139 (47,6)</w:t>
            </w:r>
          </w:p>
        </w:tc>
        <w:tc>
          <w:tcPr>
            <w:tcW w:w="1310" w:type="dxa"/>
          </w:tcPr>
          <w:p w14:paraId="15C73AC8" w14:textId="77777777" w:rsidR="006A19A3" w:rsidRPr="006A64EE" w:rsidRDefault="006A19A3" w:rsidP="00AA52D3">
            <w:pPr>
              <w:pStyle w:val="TableParagraph"/>
              <w:widowControl/>
              <w:suppressAutoHyphens/>
              <w:jc w:val="center"/>
              <w:rPr>
                <w:sz w:val="20"/>
                <w:szCs w:val="20"/>
              </w:rPr>
            </w:pPr>
            <w:r w:rsidRPr="006A64EE">
              <w:rPr>
                <w:sz w:val="20"/>
                <w:szCs w:val="20"/>
              </w:rPr>
              <w:t>138 (47,9)</w:t>
            </w:r>
          </w:p>
        </w:tc>
        <w:tc>
          <w:tcPr>
            <w:tcW w:w="1067" w:type="dxa"/>
          </w:tcPr>
          <w:p w14:paraId="1726D4EA" w14:textId="77777777" w:rsidR="006A19A3" w:rsidRPr="006A64EE" w:rsidRDefault="006A19A3" w:rsidP="00AA52D3">
            <w:pPr>
              <w:pStyle w:val="TableParagraph"/>
              <w:widowControl/>
              <w:suppressAutoHyphens/>
              <w:jc w:val="center"/>
              <w:rPr>
                <w:sz w:val="20"/>
                <w:szCs w:val="20"/>
              </w:rPr>
            </w:pPr>
            <w:r w:rsidRPr="006A64EE">
              <w:rPr>
                <w:sz w:val="20"/>
                <w:szCs w:val="20"/>
              </w:rPr>
              <w:t>124 (43,2)</w:t>
            </w:r>
          </w:p>
        </w:tc>
      </w:tr>
      <w:tr w:rsidR="00AA52D3" w:rsidRPr="006A64EE" w14:paraId="2E26B47D" w14:textId="77777777" w:rsidTr="00AA52D3">
        <w:trPr>
          <w:cantSplit/>
        </w:trPr>
        <w:tc>
          <w:tcPr>
            <w:tcW w:w="2660" w:type="dxa"/>
            <w:gridSpan w:val="2"/>
            <w:tcBorders>
              <w:right w:val="nil"/>
            </w:tcBorders>
          </w:tcPr>
          <w:p w14:paraId="21FEEA71" w14:textId="77777777" w:rsidR="00AA52D3" w:rsidRPr="006A64EE" w:rsidRDefault="00AA52D3" w:rsidP="00AA52D3">
            <w:pPr>
              <w:pStyle w:val="TableParagraph"/>
              <w:widowControl/>
              <w:suppressAutoHyphens/>
              <w:rPr>
                <w:sz w:val="20"/>
                <w:szCs w:val="20"/>
              </w:rPr>
            </w:pPr>
          </w:p>
        </w:tc>
        <w:tc>
          <w:tcPr>
            <w:tcW w:w="1820" w:type="dxa"/>
            <w:gridSpan w:val="3"/>
            <w:tcBorders>
              <w:left w:val="nil"/>
            </w:tcBorders>
          </w:tcPr>
          <w:p w14:paraId="4B74BCF4" w14:textId="4F6D14BB" w:rsidR="00AA52D3" w:rsidRPr="006A64EE" w:rsidRDefault="00AA52D3" w:rsidP="00AA52D3">
            <w:pPr>
              <w:pStyle w:val="TableParagraph"/>
              <w:widowControl/>
              <w:suppressAutoHyphens/>
              <w:rPr>
                <w:sz w:val="20"/>
                <w:szCs w:val="20"/>
              </w:rPr>
            </w:pPr>
            <w:r w:rsidRPr="006A64EE">
              <w:rPr>
                <w:sz w:val="20"/>
                <w:szCs w:val="20"/>
              </w:rPr>
              <w:t>ACR70, n (%)</w:t>
            </w:r>
          </w:p>
        </w:tc>
        <w:tc>
          <w:tcPr>
            <w:tcW w:w="1190" w:type="dxa"/>
          </w:tcPr>
          <w:p w14:paraId="5881B68E" w14:textId="26C13083" w:rsidR="00AA52D3" w:rsidRPr="006A64EE" w:rsidRDefault="00AA52D3" w:rsidP="00AA52D3">
            <w:pPr>
              <w:pStyle w:val="TableParagraph"/>
              <w:widowControl/>
              <w:suppressAutoHyphens/>
              <w:jc w:val="center"/>
              <w:rPr>
                <w:sz w:val="20"/>
                <w:szCs w:val="20"/>
              </w:rPr>
            </w:pPr>
            <w:r w:rsidRPr="006A64EE">
              <w:rPr>
                <w:sz w:val="20"/>
                <w:szCs w:val="20"/>
              </w:rPr>
              <w:t>112 (38,6)**</w:t>
            </w:r>
          </w:p>
        </w:tc>
        <w:tc>
          <w:tcPr>
            <w:tcW w:w="1276" w:type="dxa"/>
          </w:tcPr>
          <w:p w14:paraId="03453E3B" w14:textId="5C6EDE9D" w:rsidR="00AA52D3" w:rsidRPr="006A64EE" w:rsidRDefault="00AA52D3" w:rsidP="00AA52D3">
            <w:pPr>
              <w:pStyle w:val="TableParagraph"/>
              <w:widowControl/>
              <w:suppressAutoHyphens/>
              <w:jc w:val="center"/>
              <w:rPr>
                <w:sz w:val="20"/>
                <w:szCs w:val="20"/>
              </w:rPr>
            </w:pPr>
            <w:r w:rsidRPr="006A64EE">
              <w:rPr>
                <w:sz w:val="20"/>
                <w:szCs w:val="20"/>
              </w:rPr>
              <w:t>88 (30,1)</w:t>
            </w:r>
          </w:p>
        </w:tc>
        <w:tc>
          <w:tcPr>
            <w:tcW w:w="1310" w:type="dxa"/>
          </w:tcPr>
          <w:p w14:paraId="12710C58" w14:textId="245F22C0" w:rsidR="00AA52D3" w:rsidRPr="006A64EE" w:rsidRDefault="00AA52D3" w:rsidP="00AA52D3">
            <w:pPr>
              <w:pStyle w:val="TableParagraph"/>
              <w:widowControl/>
              <w:suppressAutoHyphens/>
              <w:jc w:val="center"/>
              <w:rPr>
                <w:sz w:val="20"/>
                <w:szCs w:val="20"/>
              </w:rPr>
            </w:pPr>
            <w:r w:rsidRPr="006A64EE">
              <w:rPr>
                <w:sz w:val="20"/>
                <w:szCs w:val="20"/>
              </w:rPr>
              <w:t>100 (34,7)</w:t>
            </w:r>
          </w:p>
        </w:tc>
        <w:tc>
          <w:tcPr>
            <w:tcW w:w="1067" w:type="dxa"/>
          </w:tcPr>
          <w:p w14:paraId="15F33436" w14:textId="70C4E0EF" w:rsidR="00AA52D3" w:rsidRPr="006A64EE" w:rsidRDefault="00AA52D3" w:rsidP="00AA52D3">
            <w:pPr>
              <w:pStyle w:val="TableParagraph"/>
              <w:widowControl/>
              <w:suppressAutoHyphens/>
              <w:jc w:val="center"/>
              <w:rPr>
                <w:sz w:val="20"/>
                <w:szCs w:val="20"/>
              </w:rPr>
            </w:pPr>
            <w:r w:rsidRPr="006A64EE">
              <w:rPr>
                <w:sz w:val="20"/>
                <w:szCs w:val="20"/>
              </w:rPr>
              <w:t>73 (25,4)</w:t>
            </w:r>
          </w:p>
        </w:tc>
      </w:tr>
      <w:tr w:rsidR="006A19A3" w:rsidRPr="006A64EE" w14:paraId="38812245" w14:textId="77777777" w:rsidTr="00AA52D3">
        <w:trPr>
          <w:cantSplit/>
        </w:trPr>
        <w:tc>
          <w:tcPr>
            <w:tcW w:w="2653" w:type="dxa"/>
            <w:tcBorders>
              <w:right w:val="nil"/>
            </w:tcBorders>
          </w:tcPr>
          <w:p w14:paraId="275A081C" w14:textId="77777777" w:rsidR="006A19A3" w:rsidRPr="006A64EE" w:rsidRDefault="006A19A3" w:rsidP="006A19A3">
            <w:pPr>
              <w:pStyle w:val="TableParagraph"/>
              <w:widowControl/>
              <w:suppressAutoHyphens/>
              <w:ind w:left="284"/>
              <w:rPr>
                <w:sz w:val="20"/>
                <w:szCs w:val="20"/>
              </w:rPr>
            </w:pPr>
            <w:r w:rsidRPr="006A64EE">
              <w:rPr>
                <w:sz w:val="20"/>
                <w:szCs w:val="20"/>
              </w:rPr>
              <w:t>Woche 52</w:t>
            </w:r>
          </w:p>
        </w:tc>
        <w:tc>
          <w:tcPr>
            <w:tcW w:w="1827" w:type="dxa"/>
            <w:gridSpan w:val="4"/>
            <w:tcBorders>
              <w:left w:val="nil"/>
            </w:tcBorders>
          </w:tcPr>
          <w:p w14:paraId="43F5D6CA" w14:textId="77777777" w:rsidR="006A19A3" w:rsidRPr="006A64EE" w:rsidRDefault="006A19A3" w:rsidP="00AA52D3">
            <w:pPr>
              <w:pStyle w:val="TableParagraph"/>
              <w:widowControl/>
              <w:suppressAutoHyphens/>
              <w:rPr>
                <w:sz w:val="20"/>
                <w:szCs w:val="20"/>
              </w:rPr>
            </w:pPr>
            <w:r w:rsidRPr="006A64EE">
              <w:rPr>
                <w:sz w:val="20"/>
                <w:szCs w:val="20"/>
              </w:rPr>
              <w:t>ACR20, n (%)</w:t>
            </w:r>
          </w:p>
        </w:tc>
        <w:tc>
          <w:tcPr>
            <w:tcW w:w="1190" w:type="dxa"/>
          </w:tcPr>
          <w:p w14:paraId="493DDB33" w14:textId="77777777" w:rsidR="006A19A3" w:rsidRPr="006A64EE" w:rsidRDefault="006A19A3" w:rsidP="00AA52D3">
            <w:pPr>
              <w:pStyle w:val="TableParagraph"/>
              <w:widowControl/>
              <w:suppressAutoHyphens/>
              <w:jc w:val="center"/>
              <w:rPr>
                <w:sz w:val="20"/>
                <w:szCs w:val="20"/>
              </w:rPr>
            </w:pPr>
            <w:r w:rsidRPr="006A64EE">
              <w:rPr>
                <w:sz w:val="20"/>
                <w:szCs w:val="20"/>
              </w:rPr>
              <w:t>195 (67,2)*</w:t>
            </w:r>
          </w:p>
        </w:tc>
        <w:tc>
          <w:tcPr>
            <w:tcW w:w="1276" w:type="dxa"/>
          </w:tcPr>
          <w:p w14:paraId="650F08DE" w14:textId="77777777" w:rsidR="006A19A3" w:rsidRPr="006A64EE" w:rsidRDefault="006A19A3" w:rsidP="00AA52D3">
            <w:pPr>
              <w:pStyle w:val="TableParagraph"/>
              <w:widowControl/>
              <w:suppressAutoHyphens/>
              <w:jc w:val="center"/>
              <w:rPr>
                <w:sz w:val="20"/>
                <w:szCs w:val="20"/>
              </w:rPr>
            </w:pPr>
            <w:r w:rsidRPr="006A64EE">
              <w:rPr>
                <w:sz w:val="20"/>
                <w:szCs w:val="20"/>
              </w:rPr>
              <w:t>184 (63,0)</w:t>
            </w:r>
          </w:p>
        </w:tc>
        <w:tc>
          <w:tcPr>
            <w:tcW w:w="1310" w:type="dxa"/>
          </w:tcPr>
          <w:p w14:paraId="0CD42895" w14:textId="77777777" w:rsidR="006A19A3" w:rsidRPr="006A64EE" w:rsidRDefault="006A19A3" w:rsidP="00AA52D3">
            <w:pPr>
              <w:pStyle w:val="TableParagraph"/>
              <w:widowControl/>
              <w:suppressAutoHyphens/>
              <w:jc w:val="center"/>
              <w:rPr>
                <w:sz w:val="20"/>
                <w:szCs w:val="20"/>
              </w:rPr>
            </w:pPr>
            <w:r w:rsidRPr="006A64EE">
              <w:rPr>
                <w:sz w:val="20"/>
                <w:szCs w:val="20"/>
              </w:rPr>
              <w:t>181 (62,8)</w:t>
            </w:r>
          </w:p>
        </w:tc>
        <w:tc>
          <w:tcPr>
            <w:tcW w:w="1067" w:type="dxa"/>
          </w:tcPr>
          <w:p w14:paraId="4225A03D" w14:textId="77777777" w:rsidR="006A19A3" w:rsidRPr="006A64EE" w:rsidRDefault="006A19A3" w:rsidP="00AA52D3">
            <w:pPr>
              <w:pStyle w:val="TableParagraph"/>
              <w:widowControl/>
              <w:suppressAutoHyphens/>
              <w:jc w:val="center"/>
              <w:rPr>
                <w:sz w:val="20"/>
                <w:szCs w:val="20"/>
              </w:rPr>
            </w:pPr>
            <w:r w:rsidRPr="006A64EE">
              <w:rPr>
                <w:sz w:val="20"/>
                <w:szCs w:val="20"/>
              </w:rPr>
              <w:t>164 (57,1)</w:t>
            </w:r>
          </w:p>
        </w:tc>
      </w:tr>
      <w:tr w:rsidR="00AA52D3" w:rsidRPr="006A64EE" w14:paraId="5E2A322D" w14:textId="77777777" w:rsidTr="00AA52D3">
        <w:trPr>
          <w:cantSplit/>
        </w:trPr>
        <w:tc>
          <w:tcPr>
            <w:tcW w:w="2653" w:type="dxa"/>
            <w:tcBorders>
              <w:right w:val="nil"/>
            </w:tcBorders>
          </w:tcPr>
          <w:p w14:paraId="1D25BC5B" w14:textId="77777777" w:rsidR="00AA52D3" w:rsidRPr="006A64EE" w:rsidRDefault="00AA52D3" w:rsidP="00AA52D3">
            <w:pPr>
              <w:pStyle w:val="TableParagraph"/>
              <w:widowControl/>
              <w:suppressAutoHyphens/>
              <w:ind w:left="284"/>
              <w:rPr>
                <w:sz w:val="20"/>
                <w:szCs w:val="20"/>
              </w:rPr>
            </w:pPr>
          </w:p>
        </w:tc>
        <w:tc>
          <w:tcPr>
            <w:tcW w:w="1827" w:type="dxa"/>
            <w:gridSpan w:val="4"/>
            <w:tcBorders>
              <w:left w:val="nil"/>
            </w:tcBorders>
          </w:tcPr>
          <w:p w14:paraId="4BB7AD79" w14:textId="674849B2" w:rsidR="00AA52D3" w:rsidRPr="006A64EE" w:rsidRDefault="00AA52D3" w:rsidP="00AA52D3">
            <w:pPr>
              <w:pStyle w:val="TableParagraph"/>
              <w:widowControl/>
              <w:suppressAutoHyphens/>
              <w:rPr>
                <w:sz w:val="20"/>
                <w:szCs w:val="20"/>
              </w:rPr>
            </w:pPr>
            <w:r w:rsidRPr="006A64EE">
              <w:rPr>
                <w:sz w:val="20"/>
                <w:szCs w:val="20"/>
              </w:rPr>
              <w:t>ACR50, n (%)</w:t>
            </w:r>
          </w:p>
        </w:tc>
        <w:tc>
          <w:tcPr>
            <w:tcW w:w="1190" w:type="dxa"/>
          </w:tcPr>
          <w:p w14:paraId="6086E08F" w14:textId="5B401372" w:rsidR="00AA52D3" w:rsidRPr="006A64EE" w:rsidRDefault="00AA52D3" w:rsidP="00AA52D3">
            <w:pPr>
              <w:pStyle w:val="TableParagraph"/>
              <w:widowControl/>
              <w:suppressAutoHyphens/>
              <w:jc w:val="center"/>
              <w:rPr>
                <w:sz w:val="20"/>
                <w:szCs w:val="20"/>
              </w:rPr>
            </w:pPr>
            <w:r w:rsidRPr="006A64EE">
              <w:rPr>
                <w:sz w:val="20"/>
                <w:szCs w:val="20"/>
              </w:rPr>
              <w:t>162 (55,9)**</w:t>
            </w:r>
          </w:p>
        </w:tc>
        <w:tc>
          <w:tcPr>
            <w:tcW w:w="1276" w:type="dxa"/>
          </w:tcPr>
          <w:p w14:paraId="3161B37A" w14:textId="4436D7D4" w:rsidR="00AA52D3" w:rsidRPr="006A64EE" w:rsidRDefault="00AA52D3" w:rsidP="00AA52D3">
            <w:pPr>
              <w:pStyle w:val="TableParagraph"/>
              <w:widowControl/>
              <w:suppressAutoHyphens/>
              <w:jc w:val="center"/>
              <w:rPr>
                <w:sz w:val="20"/>
                <w:szCs w:val="20"/>
              </w:rPr>
            </w:pPr>
            <w:r w:rsidRPr="006A64EE">
              <w:rPr>
                <w:sz w:val="20"/>
                <w:szCs w:val="20"/>
              </w:rPr>
              <w:t>144 (49,3)</w:t>
            </w:r>
          </w:p>
        </w:tc>
        <w:tc>
          <w:tcPr>
            <w:tcW w:w="1310" w:type="dxa"/>
          </w:tcPr>
          <w:p w14:paraId="0C2F2DE2" w14:textId="0702AA93" w:rsidR="00AA52D3" w:rsidRPr="006A64EE" w:rsidRDefault="00AA52D3" w:rsidP="00AA52D3">
            <w:pPr>
              <w:pStyle w:val="TableParagraph"/>
              <w:widowControl/>
              <w:suppressAutoHyphens/>
              <w:jc w:val="center"/>
              <w:rPr>
                <w:sz w:val="20"/>
                <w:szCs w:val="20"/>
              </w:rPr>
            </w:pPr>
            <w:r w:rsidRPr="006A64EE">
              <w:rPr>
                <w:sz w:val="20"/>
                <w:szCs w:val="20"/>
              </w:rPr>
              <w:t>151 (52,4)</w:t>
            </w:r>
          </w:p>
        </w:tc>
        <w:tc>
          <w:tcPr>
            <w:tcW w:w="1067" w:type="dxa"/>
          </w:tcPr>
          <w:p w14:paraId="08FFF36C" w14:textId="0C56729E" w:rsidR="00AA52D3" w:rsidRPr="006A64EE" w:rsidRDefault="00AA52D3" w:rsidP="00AA52D3">
            <w:pPr>
              <w:pStyle w:val="TableParagraph"/>
              <w:widowControl/>
              <w:suppressAutoHyphens/>
              <w:jc w:val="center"/>
              <w:rPr>
                <w:sz w:val="20"/>
                <w:szCs w:val="20"/>
              </w:rPr>
            </w:pPr>
            <w:r w:rsidRPr="006A64EE">
              <w:rPr>
                <w:sz w:val="20"/>
                <w:szCs w:val="20"/>
              </w:rPr>
              <w:t>117 (40,8)</w:t>
            </w:r>
          </w:p>
        </w:tc>
      </w:tr>
      <w:tr w:rsidR="00AA52D3" w:rsidRPr="006A64EE" w14:paraId="4BAD9ADC" w14:textId="77777777" w:rsidTr="00AA52D3">
        <w:trPr>
          <w:cantSplit/>
        </w:trPr>
        <w:tc>
          <w:tcPr>
            <w:tcW w:w="2653" w:type="dxa"/>
            <w:tcBorders>
              <w:right w:val="nil"/>
            </w:tcBorders>
          </w:tcPr>
          <w:p w14:paraId="393017A6" w14:textId="77777777" w:rsidR="00AA52D3" w:rsidRPr="006A64EE" w:rsidRDefault="00AA52D3" w:rsidP="00AA52D3">
            <w:pPr>
              <w:pStyle w:val="TableParagraph"/>
              <w:widowControl/>
              <w:suppressAutoHyphens/>
              <w:ind w:left="284"/>
              <w:rPr>
                <w:sz w:val="20"/>
                <w:szCs w:val="20"/>
              </w:rPr>
            </w:pPr>
          </w:p>
        </w:tc>
        <w:tc>
          <w:tcPr>
            <w:tcW w:w="1827" w:type="dxa"/>
            <w:gridSpan w:val="4"/>
            <w:tcBorders>
              <w:left w:val="nil"/>
            </w:tcBorders>
          </w:tcPr>
          <w:p w14:paraId="0507FF0B" w14:textId="6B77C720" w:rsidR="00AA52D3" w:rsidRPr="006A64EE" w:rsidRDefault="00AA52D3" w:rsidP="00AA52D3">
            <w:pPr>
              <w:pStyle w:val="TableParagraph"/>
              <w:widowControl/>
              <w:suppressAutoHyphens/>
              <w:rPr>
                <w:sz w:val="20"/>
                <w:szCs w:val="20"/>
              </w:rPr>
            </w:pPr>
            <w:r w:rsidRPr="006A64EE">
              <w:rPr>
                <w:sz w:val="20"/>
                <w:szCs w:val="20"/>
              </w:rPr>
              <w:t>ACR70, n (%)</w:t>
            </w:r>
          </w:p>
        </w:tc>
        <w:tc>
          <w:tcPr>
            <w:tcW w:w="1190" w:type="dxa"/>
          </w:tcPr>
          <w:p w14:paraId="1ED00444" w14:textId="6D1F0B83" w:rsidR="00AA52D3" w:rsidRPr="006A64EE" w:rsidRDefault="00AA52D3" w:rsidP="00AA52D3">
            <w:pPr>
              <w:pStyle w:val="TableParagraph"/>
              <w:widowControl/>
              <w:suppressAutoHyphens/>
              <w:jc w:val="center"/>
              <w:rPr>
                <w:sz w:val="20"/>
                <w:szCs w:val="20"/>
              </w:rPr>
            </w:pPr>
            <w:r w:rsidRPr="006A64EE">
              <w:rPr>
                <w:sz w:val="20"/>
                <w:szCs w:val="20"/>
              </w:rPr>
              <w:t>125 (43,1)**</w:t>
            </w:r>
          </w:p>
        </w:tc>
        <w:tc>
          <w:tcPr>
            <w:tcW w:w="1276" w:type="dxa"/>
          </w:tcPr>
          <w:p w14:paraId="2D40722E" w14:textId="5B098837" w:rsidR="00AA52D3" w:rsidRPr="006A64EE" w:rsidRDefault="00AA52D3" w:rsidP="00AA52D3">
            <w:pPr>
              <w:pStyle w:val="TableParagraph"/>
              <w:widowControl/>
              <w:suppressAutoHyphens/>
              <w:jc w:val="center"/>
              <w:rPr>
                <w:sz w:val="20"/>
                <w:szCs w:val="20"/>
              </w:rPr>
            </w:pPr>
            <w:r w:rsidRPr="006A64EE">
              <w:rPr>
                <w:sz w:val="20"/>
                <w:szCs w:val="20"/>
              </w:rPr>
              <w:t>105 (36,0)</w:t>
            </w:r>
          </w:p>
        </w:tc>
        <w:tc>
          <w:tcPr>
            <w:tcW w:w="1310" w:type="dxa"/>
          </w:tcPr>
          <w:p w14:paraId="1C692182" w14:textId="17BB87EA" w:rsidR="00AA52D3" w:rsidRPr="006A64EE" w:rsidRDefault="00AA52D3" w:rsidP="00AA52D3">
            <w:pPr>
              <w:pStyle w:val="TableParagraph"/>
              <w:widowControl/>
              <w:suppressAutoHyphens/>
              <w:jc w:val="center"/>
              <w:rPr>
                <w:sz w:val="20"/>
                <w:szCs w:val="20"/>
              </w:rPr>
            </w:pPr>
            <w:r w:rsidRPr="006A64EE">
              <w:rPr>
                <w:sz w:val="20"/>
                <w:szCs w:val="20"/>
              </w:rPr>
              <w:t>107 (37,2)</w:t>
            </w:r>
          </w:p>
        </w:tc>
        <w:tc>
          <w:tcPr>
            <w:tcW w:w="1067" w:type="dxa"/>
          </w:tcPr>
          <w:p w14:paraId="0837470E" w14:textId="1059DEFF" w:rsidR="00AA52D3" w:rsidRPr="006A64EE" w:rsidRDefault="00AA52D3" w:rsidP="00AA52D3">
            <w:pPr>
              <w:pStyle w:val="TableParagraph"/>
              <w:widowControl/>
              <w:suppressAutoHyphens/>
              <w:jc w:val="center"/>
              <w:rPr>
                <w:sz w:val="20"/>
                <w:szCs w:val="20"/>
              </w:rPr>
            </w:pPr>
            <w:r w:rsidRPr="006A64EE">
              <w:rPr>
                <w:sz w:val="20"/>
                <w:szCs w:val="20"/>
              </w:rPr>
              <w:t>83 (28,9)</w:t>
            </w:r>
          </w:p>
        </w:tc>
      </w:tr>
      <w:tr w:rsidR="00AA52D3" w:rsidRPr="006A64EE" w14:paraId="2746E8AC" w14:textId="77777777" w:rsidTr="00D41926">
        <w:trPr>
          <w:cantSplit/>
        </w:trPr>
        <w:tc>
          <w:tcPr>
            <w:tcW w:w="9323" w:type="dxa"/>
            <w:gridSpan w:val="9"/>
          </w:tcPr>
          <w:p w14:paraId="3526A9A5" w14:textId="6B51FB55" w:rsidR="00AA52D3" w:rsidRPr="006A64EE" w:rsidRDefault="00AA52D3" w:rsidP="00AA52D3">
            <w:pPr>
              <w:pStyle w:val="TableParagraph"/>
              <w:widowControl/>
              <w:suppressAutoHyphens/>
              <w:rPr>
                <w:sz w:val="20"/>
                <w:szCs w:val="20"/>
              </w:rPr>
            </w:pPr>
            <w:r w:rsidRPr="006A64EE">
              <w:rPr>
                <w:sz w:val="20"/>
                <w:szCs w:val="20"/>
              </w:rPr>
              <w:t>HAQ-DI (bereinigte mittlere Veränderung ab Baseline)</w:t>
            </w:r>
          </w:p>
        </w:tc>
      </w:tr>
      <w:tr w:rsidR="00AA52D3" w:rsidRPr="006A64EE" w14:paraId="28D95AB5" w14:textId="77777777" w:rsidTr="00AA52D3">
        <w:trPr>
          <w:cantSplit/>
        </w:trPr>
        <w:tc>
          <w:tcPr>
            <w:tcW w:w="2653" w:type="dxa"/>
            <w:tcBorders>
              <w:right w:val="nil"/>
            </w:tcBorders>
          </w:tcPr>
          <w:p w14:paraId="5EAA639F" w14:textId="12B397B3" w:rsidR="00AA52D3" w:rsidRPr="006A64EE" w:rsidRDefault="00AA52D3" w:rsidP="00AA52D3">
            <w:pPr>
              <w:pStyle w:val="TableParagraph"/>
              <w:widowControl/>
              <w:suppressAutoHyphens/>
              <w:ind w:left="284"/>
              <w:rPr>
                <w:sz w:val="20"/>
                <w:szCs w:val="20"/>
              </w:rPr>
            </w:pPr>
            <w:r w:rsidRPr="006A64EE">
              <w:rPr>
                <w:sz w:val="20"/>
                <w:szCs w:val="20"/>
              </w:rPr>
              <w:t>Woche 52</w:t>
            </w:r>
          </w:p>
        </w:tc>
        <w:tc>
          <w:tcPr>
            <w:tcW w:w="1827" w:type="dxa"/>
            <w:gridSpan w:val="4"/>
            <w:tcBorders>
              <w:left w:val="nil"/>
            </w:tcBorders>
          </w:tcPr>
          <w:p w14:paraId="49BCB2E9" w14:textId="77777777" w:rsidR="00AA52D3" w:rsidRPr="006A64EE" w:rsidRDefault="00AA52D3" w:rsidP="00AA52D3">
            <w:pPr>
              <w:pStyle w:val="TableParagraph"/>
              <w:widowControl/>
              <w:suppressAutoHyphens/>
              <w:rPr>
                <w:sz w:val="20"/>
                <w:szCs w:val="20"/>
              </w:rPr>
            </w:pPr>
          </w:p>
        </w:tc>
        <w:tc>
          <w:tcPr>
            <w:tcW w:w="1190" w:type="dxa"/>
          </w:tcPr>
          <w:p w14:paraId="672880EA" w14:textId="31FBA0A0" w:rsidR="00AA52D3" w:rsidRPr="006A64EE" w:rsidRDefault="00AA52D3" w:rsidP="00AA52D3">
            <w:pPr>
              <w:pStyle w:val="TableParagraph"/>
              <w:widowControl/>
              <w:suppressAutoHyphens/>
              <w:jc w:val="center"/>
              <w:rPr>
                <w:sz w:val="20"/>
                <w:szCs w:val="20"/>
              </w:rPr>
            </w:pPr>
            <w:r w:rsidRPr="006A64EE">
              <w:rPr>
                <w:sz w:val="20"/>
                <w:szCs w:val="20"/>
              </w:rPr>
              <w:t>-0,81*</w:t>
            </w:r>
          </w:p>
        </w:tc>
        <w:tc>
          <w:tcPr>
            <w:tcW w:w="1276" w:type="dxa"/>
          </w:tcPr>
          <w:p w14:paraId="17E67CE8" w14:textId="1D4DDE77" w:rsidR="00AA52D3" w:rsidRPr="006A64EE" w:rsidRDefault="00AA52D3" w:rsidP="00AA52D3">
            <w:pPr>
              <w:pStyle w:val="TableParagraph"/>
              <w:widowControl/>
              <w:suppressAutoHyphens/>
              <w:jc w:val="center"/>
              <w:rPr>
                <w:sz w:val="20"/>
                <w:szCs w:val="20"/>
              </w:rPr>
            </w:pPr>
            <w:r w:rsidRPr="006A64EE">
              <w:rPr>
                <w:sz w:val="20"/>
                <w:szCs w:val="20"/>
              </w:rPr>
              <w:t>-0,67</w:t>
            </w:r>
          </w:p>
        </w:tc>
        <w:tc>
          <w:tcPr>
            <w:tcW w:w="1310" w:type="dxa"/>
          </w:tcPr>
          <w:p w14:paraId="00529957" w14:textId="4F5C3885" w:rsidR="00AA52D3" w:rsidRPr="006A64EE" w:rsidRDefault="00AA52D3" w:rsidP="00AA52D3">
            <w:pPr>
              <w:pStyle w:val="TableParagraph"/>
              <w:widowControl/>
              <w:suppressAutoHyphens/>
              <w:jc w:val="center"/>
              <w:rPr>
                <w:sz w:val="20"/>
                <w:szCs w:val="20"/>
              </w:rPr>
            </w:pPr>
            <w:r w:rsidRPr="006A64EE">
              <w:rPr>
                <w:sz w:val="20"/>
                <w:szCs w:val="20"/>
              </w:rPr>
              <w:t>-0,75</w:t>
            </w:r>
          </w:p>
        </w:tc>
        <w:tc>
          <w:tcPr>
            <w:tcW w:w="1067" w:type="dxa"/>
          </w:tcPr>
          <w:p w14:paraId="7BD155E6" w14:textId="1FF1367D" w:rsidR="00AA52D3" w:rsidRPr="006A64EE" w:rsidRDefault="00AA52D3" w:rsidP="00AA52D3">
            <w:pPr>
              <w:pStyle w:val="TableParagraph"/>
              <w:widowControl/>
              <w:suppressAutoHyphens/>
              <w:jc w:val="center"/>
              <w:rPr>
                <w:sz w:val="20"/>
                <w:szCs w:val="20"/>
              </w:rPr>
            </w:pPr>
            <w:r w:rsidRPr="006A64EE">
              <w:rPr>
                <w:sz w:val="20"/>
                <w:szCs w:val="20"/>
              </w:rPr>
              <w:t>-0,64</w:t>
            </w:r>
          </w:p>
        </w:tc>
      </w:tr>
      <w:tr w:rsidR="006A19A3" w:rsidRPr="006A64EE" w14:paraId="740BE517" w14:textId="77777777" w:rsidTr="006A19A3">
        <w:trPr>
          <w:cantSplit/>
        </w:trPr>
        <w:tc>
          <w:tcPr>
            <w:tcW w:w="9323" w:type="dxa"/>
            <w:gridSpan w:val="9"/>
          </w:tcPr>
          <w:p w14:paraId="13BA7AF6" w14:textId="77777777" w:rsidR="006A19A3" w:rsidRPr="006A64EE" w:rsidRDefault="006A19A3" w:rsidP="006A19A3">
            <w:pPr>
              <w:pStyle w:val="TableParagraph"/>
              <w:widowControl/>
              <w:suppressAutoHyphens/>
              <w:rPr>
                <w:b/>
                <w:sz w:val="20"/>
                <w:szCs w:val="20"/>
              </w:rPr>
            </w:pPr>
            <w:r w:rsidRPr="006A64EE">
              <w:rPr>
                <w:b/>
                <w:sz w:val="20"/>
                <w:szCs w:val="20"/>
              </w:rPr>
              <w:t>Radiologische Endpunkte (Mittelwerte der Veränderungen)</w:t>
            </w:r>
          </w:p>
        </w:tc>
      </w:tr>
      <w:tr w:rsidR="00593482" w:rsidRPr="006A64EE" w14:paraId="0FF233FA" w14:textId="77777777" w:rsidTr="00AA52D3">
        <w:trPr>
          <w:cantSplit/>
        </w:trPr>
        <w:tc>
          <w:tcPr>
            <w:tcW w:w="2694" w:type="dxa"/>
            <w:gridSpan w:val="3"/>
            <w:tcBorders>
              <w:right w:val="nil"/>
            </w:tcBorders>
          </w:tcPr>
          <w:p w14:paraId="3822E098" w14:textId="408058A8" w:rsidR="004111A5" w:rsidRPr="006A64EE" w:rsidRDefault="004111A5" w:rsidP="006A19A3">
            <w:pPr>
              <w:pStyle w:val="TableParagraph"/>
              <w:widowControl/>
              <w:tabs>
                <w:tab w:val="left" w:pos="3460"/>
              </w:tabs>
              <w:suppressAutoHyphens/>
              <w:jc w:val="right"/>
              <w:rPr>
                <w:sz w:val="20"/>
                <w:szCs w:val="20"/>
              </w:rPr>
            </w:pPr>
            <w:r w:rsidRPr="006A64EE">
              <w:rPr>
                <w:sz w:val="20"/>
                <w:szCs w:val="20"/>
              </w:rPr>
              <w:t>Woche 52</w:t>
            </w:r>
          </w:p>
        </w:tc>
        <w:tc>
          <w:tcPr>
            <w:tcW w:w="1786" w:type="dxa"/>
            <w:gridSpan w:val="2"/>
            <w:tcBorders>
              <w:left w:val="nil"/>
            </w:tcBorders>
          </w:tcPr>
          <w:p w14:paraId="07608644" w14:textId="1C6885A9" w:rsidR="004111A5" w:rsidRPr="006A64EE" w:rsidRDefault="004111A5" w:rsidP="00AA52D3">
            <w:pPr>
              <w:pStyle w:val="TableParagraph"/>
              <w:widowControl/>
              <w:tabs>
                <w:tab w:val="left" w:pos="3460"/>
              </w:tabs>
              <w:suppressAutoHyphens/>
              <w:rPr>
                <w:sz w:val="20"/>
                <w:szCs w:val="20"/>
              </w:rPr>
            </w:pPr>
            <w:r w:rsidRPr="006A64EE">
              <w:rPr>
                <w:sz w:val="20"/>
                <w:szCs w:val="20"/>
              </w:rPr>
              <w:t>mTSS</w:t>
            </w:r>
          </w:p>
        </w:tc>
        <w:tc>
          <w:tcPr>
            <w:tcW w:w="1190" w:type="dxa"/>
          </w:tcPr>
          <w:p w14:paraId="1D0B8931" w14:textId="77777777" w:rsidR="004111A5" w:rsidRPr="006A64EE" w:rsidRDefault="004111A5" w:rsidP="006A19A3">
            <w:pPr>
              <w:pStyle w:val="TableParagraph"/>
              <w:widowControl/>
              <w:suppressAutoHyphens/>
              <w:jc w:val="center"/>
              <w:rPr>
                <w:sz w:val="20"/>
                <w:szCs w:val="20"/>
              </w:rPr>
            </w:pPr>
            <w:r w:rsidRPr="006A64EE">
              <w:rPr>
                <w:sz w:val="20"/>
                <w:szCs w:val="20"/>
              </w:rPr>
              <w:t>0,08***</w:t>
            </w:r>
          </w:p>
        </w:tc>
        <w:tc>
          <w:tcPr>
            <w:tcW w:w="1276" w:type="dxa"/>
          </w:tcPr>
          <w:p w14:paraId="5E9ACFE6" w14:textId="77777777" w:rsidR="004111A5" w:rsidRPr="006A64EE" w:rsidRDefault="004111A5" w:rsidP="006A19A3">
            <w:pPr>
              <w:pStyle w:val="TableParagraph"/>
              <w:widowControl/>
              <w:suppressAutoHyphens/>
              <w:jc w:val="center"/>
              <w:rPr>
                <w:sz w:val="20"/>
                <w:szCs w:val="20"/>
              </w:rPr>
            </w:pPr>
            <w:r w:rsidRPr="006A64EE">
              <w:rPr>
                <w:sz w:val="20"/>
                <w:szCs w:val="20"/>
              </w:rPr>
              <w:t>0,26</w:t>
            </w:r>
          </w:p>
        </w:tc>
        <w:tc>
          <w:tcPr>
            <w:tcW w:w="1310" w:type="dxa"/>
          </w:tcPr>
          <w:p w14:paraId="7426A61C" w14:textId="77777777" w:rsidR="004111A5" w:rsidRPr="006A64EE" w:rsidRDefault="004111A5" w:rsidP="006A19A3">
            <w:pPr>
              <w:pStyle w:val="TableParagraph"/>
              <w:widowControl/>
              <w:suppressAutoHyphens/>
              <w:jc w:val="center"/>
              <w:rPr>
                <w:sz w:val="20"/>
                <w:szCs w:val="20"/>
              </w:rPr>
            </w:pPr>
            <w:r w:rsidRPr="006A64EE">
              <w:rPr>
                <w:sz w:val="20"/>
                <w:szCs w:val="20"/>
              </w:rPr>
              <w:t>0,42</w:t>
            </w:r>
          </w:p>
        </w:tc>
        <w:tc>
          <w:tcPr>
            <w:tcW w:w="1067" w:type="dxa"/>
          </w:tcPr>
          <w:p w14:paraId="09BF6E2C" w14:textId="77777777" w:rsidR="004111A5" w:rsidRPr="006A64EE" w:rsidRDefault="004111A5" w:rsidP="006A19A3">
            <w:pPr>
              <w:pStyle w:val="TableParagraph"/>
              <w:widowControl/>
              <w:suppressAutoHyphens/>
              <w:jc w:val="center"/>
              <w:rPr>
                <w:sz w:val="20"/>
                <w:szCs w:val="20"/>
              </w:rPr>
            </w:pPr>
            <w:r w:rsidRPr="006A64EE">
              <w:rPr>
                <w:sz w:val="20"/>
                <w:szCs w:val="20"/>
              </w:rPr>
              <w:t>1,14</w:t>
            </w:r>
          </w:p>
        </w:tc>
      </w:tr>
      <w:tr w:rsidR="00AA52D3" w:rsidRPr="006A64EE" w14:paraId="0CAB1E69" w14:textId="77777777" w:rsidTr="00AA52D3">
        <w:trPr>
          <w:cantSplit/>
        </w:trPr>
        <w:tc>
          <w:tcPr>
            <w:tcW w:w="2694" w:type="dxa"/>
            <w:gridSpan w:val="3"/>
            <w:tcBorders>
              <w:right w:val="nil"/>
            </w:tcBorders>
          </w:tcPr>
          <w:p w14:paraId="1786CDE2" w14:textId="77777777" w:rsidR="00AA52D3" w:rsidRPr="006A64EE" w:rsidRDefault="00AA52D3" w:rsidP="00AA52D3">
            <w:pPr>
              <w:pStyle w:val="TableParagraph"/>
              <w:widowControl/>
              <w:tabs>
                <w:tab w:val="left" w:pos="3460"/>
              </w:tabs>
              <w:suppressAutoHyphens/>
              <w:jc w:val="right"/>
              <w:rPr>
                <w:sz w:val="20"/>
                <w:szCs w:val="20"/>
              </w:rPr>
            </w:pPr>
          </w:p>
        </w:tc>
        <w:tc>
          <w:tcPr>
            <w:tcW w:w="1786" w:type="dxa"/>
            <w:gridSpan w:val="2"/>
            <w:tcBorders>
              <w:left w:val="nil"/>
            </w:tcBorders>
          </w:tcPr>
          <w:p w14:paraId="29950F13" w14:textId="532FCD1E" w:rsidR="00AA52D3" w:rsidRPr="006A64EE" w:rsidRDefault="00AA52D3" w:rsidP="00AA52D3">
            <w:pPr>
              <w:pStyle w:val="TableParagraph"/>
              <w:widowControl/>
              <w:tabs>
                <w:tab w:val="left" w:pos="3460"/>
              </w:tabs>
              <w:suppressAutoHyphens/>
              <w:rPr>
                <w:sz w:val="20"/>
                <w:szCs w:val="20"/>
              </w:rPr>
            </w:pPr>
            <w:r w:rsidRPr="006A64EE">
              <w:rPr>
                <w:sz w:val="20"/>
                <w:szCs w:val="20"/>
              </w:rPr>
              <w:t>Erosion Score</w:t>
            </w:r>
          </w:p>
        </w:tc>
        <w:tc>
          <w:tcPr>
            <w:tcW w:w="1190" w:type="dxa"/>
          </w:tcPr>
          <w:p w14:paraId="567019AD" w14:textId="17B5D976" w:rsidR="00AA52D3" w:rsidRPr="006A64EE" w:rsidRDefault="00AA52D3" w:rsidP="00AA52D3">
            <w:pPr>
              <w:pStyle w:val="TableParagraph"/>
              <w:widowControl/>
              <w:suppressAutoHyphens/>
              <w:jc w:val="center"/>
              <w:rPr>
                <w:sz w:val="20"/>
                <w:szCs w:val="20"/>
              </w:rPr>
            </w:pPr>
            <w:r w:rsidRPr="006A64EE">
              <w:rPr>
                <w:sz w:val="20"/>
                <w:szCs w:val="20"/>
              </w:rPr>
              <w:t>0,05**</w:t>
            </w:r>
          </w:p>
        </w:tc>
        <w:tc>
          <w:tcPr>
            <w:tcW w:w="1276" w:type="dxa"/>
          </w:tcPr>
          <w:p w14:paraId="2595F085" w14:textId="3664541E" w:rsidR="00AA52D3" w:rsidRPr="006A64EE" w:rsidRDefault="00AA52D3" w:rsidP="00AA52D3">
            <w:pPr>
              <w:pStyle w:val="TableParagraph"/>
              <w:widowControl/>
              <w:suppressAutoHyphens/>
              <w:jc w:val="center"/>
              <w:rPr>
                <w:sz w:val="20"/>
                <w:szCs w:val="20"/>
              </w:rPr>
            </w:pPr>
            <w:r w:rsidRPr="006A64EE">
              <w:rPr>
                <w:sz w:val="20"/>
                <w:szCs w:val="20"/>
              </w:rPr>
              <w:t>0,15</w:t>
            </w:r>
          </w:p>
        </w:tc>
        <w:tc>
          <w:tcPr>
            <w:tcW w:w="1310" w:type="dxa"/>
          </w:tcPr>
          <w:p w14:paraId="0438DCA9" w14:textId="41FBCAFB" w:rsidR="00AA52D3" w:rsidRPr="006A64EE" w:rsidRDefault="00AA52D3" w:rsidP="00AA52D3">
            <w:pPr>
              <w:pStyle w:val="TableParagraph"/>
              <w:widowControl/>
              <w:suppressAutoHyphens/>
              <w:jc w:val="center"/>
              <w:rPr>
                <w:sz w:val="20"/>
                <w:szCs w:val="20"/>
              </w:rPr>
            </w:pPr>
            <w:r w:rsidRPr="006A64EE">
              <w:rPr>
                <w:sz w:val="20"/>
                <w:szCs w:val="20"/>
              </w:rPr>
              <w:t>0,25</w:t>
            </w:r>
          </w:p>
        </w:tc>
        <w:tc>
          <w:tcPr>
            <w:tcW w:w="1067" w:type="dxa"/>
          </w:tcPr>
          <w:p w14:paraId="1475F7AB" w14:textId="73A6CEFB" w:rsidR="00AA52D3" w:rsidRPr="006A64EE" w:rsidRDefault="00AA52D3" w:rsidP="00AA52D3">
            <w:pPr>
              <w:pStyle w:val="TableParagraph"/>
              <w:widowControl/>
              <w:suppressAutoHyphens/>
              <w:jc w:val="center"/>
              <w:rPr>
                <w:sz w:val="20"/>
                <w:szCs w:val="20"/>
              </w:rPr>
            </w:pPr>
            <w:r w:rsidRPr="006A64EE">
              <w:rPr>
                <w:sz w:val="20"/>
                <w:szCs w:val="20"/>
              </w:rPr>
              <w:t>0,63</w:t>
            </w:r>
          </w:p>
        </w:tc>
      </w:tr>
      <w:tr w:rsidR="00AA52D3" w:rsidRPr="006A64EE" w14:paraId="152E81F4" w14:textId="77777777" w:rsidTr="00AA52D3">
        <w:trPr>
          <w:cantSplit/>
        </w:trPr>
        <w:tc>
          <w:tcPr>
            <w:tcW w:w="2694" w:type="dxa"/>
            <w:gridSpan w:val="3"/>
            <w:tcBorders>
              <w:right w:val="nil"/>
            </w:tcBorders>
          </w:tcPr>
          <w:p w14:paraId="58E51DBB" w14:textId="77777777" w:rsidR="00AA52D3" w:rsidRPr="006A64EE" w:rsidRDefault="00AA52D3" w:rsidP="00AA52D3">
            <w:pPr>
              <w:pStyle w:val="TableParagraph"/>
              <w:widowControl/>
              <w:tabs>
                <w:tab w:val="left" w:pos="3460"/>
              </w:tabs>
              <w:suppressAutoHyphens/>
              <w:jc w:val="right"/>
              <w:rPr>
                <w:sz w:val="20"/>
                <w:szCs w:val="20"/>
              </w:rPr>
            </w:pPr>
          </w:p>
        </w:tc>
        <w:tc>
          <w:tcPr>
            <w:tcW w:w="1786" w:type="dxa"/>
            <w:gridSpan w:val="2"/>
            <w:tcBorders>
              <w:left w:val="nil"/>
            </w:tcBorders>
          </w:tcPr>
          <w:p w14:paraId="68B271FD" w14:textId="6BDCE5D1" w:rsidR="00AA52D3" w:rsidRPr="006A64EE" w:rsidRDefault="00AA52D3" w:rsidP="00AA52D3">
            <w:pPr>
              <w:pStyle w:val="TableParagraph"/>
              <w:widowControl/>
              <w:tabs>
                <w:tab w:val="left" w:pos="3460"/>
              </w:tabs>
              <w:suppressAutoHyphens/>
              <w:rPr>
                <w:sz w:val="20"/>
                <w:szCs w:val="20"/>
              </w:rPr>
            </w:pPr>
            <w:r w:rsidRPr="006A64EE">
              <w:rPr>
                <w:sz w:val="20"/>
                <w:szCs w:val="20"/>
              </w:rPr>
              <w:t>JSN</w:t>
            </w:r>
          </w:p>
        </w:tc>
        <w:tc>
          <w:tcPr>
            <w:tcW w:w="1190" w:type="dxa"/>
          </w:tcPr>
          <w:p w14:paraId="20CBD5B2" w14:textId="615F5E2E" w:rsidR="00AA52D3" w:rsidRPr="006A64EE" w:rsidRDefault="00AA52D3" w:rsidP="00AA52D3">
            <w:pPr>
              <w:pStyle w:val="TableParagraph"/>
              <w:widowControl/>
              <w:suppressAutoHyphens/>
              <w:jc w:val="center"/>
              <w:rPr>
                <w:sz w:val="20"/>
                <w:szCs w:val="20"/>
              </w:rPr>
            </w:pPr>
            <w:r w:rsidRPr="006A64EE">
              <w:rPr>
                <w:sz w:val="20"/>
                <w:szCs w:val="20"/>
              </w:rPr>
              <w:t>0,03</w:t>
            </w:r>
          </w:p>
        </w:tc>
        <w:tc>
          <w:tcPr>
            <w:tcW w:w="1276" w:type="dxa"/>
          </w:tcPr>
          <w:p w14:paraId="46D1DEE3" w14:textId="22ACF33D" w:rsidR="00AA52D3" w:rsidRPr="006A64EE" w:rsidRDefault="00AA52D3" w:rsidP="00AA52D3">
            <w:pPr>
              <w:pStyle w:val="TableParagraph"/>
              <w:widowControl/>
              <w:suppressAutoHyphens/>
              <w:jc w:val="center"/>
              <w:rPr>
                <w:sz w:val="20"/>
                <w:szCs w:val="20"/>
              </w:rPr>
            </w:pPr>
            <w:r w:rsidRPr="006A64EE">
              <w:rPr>
                <w:sz w:val="20"/>
                <w:szCs w:val="20"/>
              </w:rPr>
              <w:t>0,11</w:t>
            </w:r>
          </w:p>
        </w:tc>
        <w:tc>
          <w:tcPr>
            <w:tcW w:w="1310" w:type="dxa"/>
          </w:tcPr>
          <w:p w14:paraId="7C608067" w14:textId="5FFC2D8C" w:rsidR="00AA52D3" w:rsidRPr="006A64EE" w:rsidRDefault="00AA52D3" w:rsidP="00AA52D3">
            <w:pPr>
              <w:pStyle w:val="TableParagraph"/>
              <w:widowControl/>
              <w:suppressAutoHyphens/>
              <w:jc w:val="center"/>
              <w:rPr>
                <w:sz w:val="20"/>
                <w:szCs w:val="20"/>
              </w:rPr>
            </w:pPr>
            <w:r w:rsidRPr="006A64EE">
              <w:rPr>
                <w:sz w:val="20"/>
                <w:szCs w:val="20"/>
              </w:rPr>
              <w:t>0,17</w:t>
            </w:r>
          </w:p>
        </w:tc>
        <w:tc>
          <w:tcPr>
            <w:tcW w:w="1067" w:type="dxa"/>
          </w:tcPr>
          <w:p w14:paraId="1D2AFCBC" w14:textId="686C2B26" w:rsidR="00AA52D3" w:rsidRPr="006A64EE" w:rsidRDefault="00AA52D3" w:rsidP="00AA52D3">
            <w:pPr>
              <w:pStyle w:val="TableParagraph"/>
              <w:widowControl/>
              <w:suppressAutoHyphens/>
              <w:jc w:val="center"/>
              <w:rPr>
                <w:sz w:val="20"/>
                <w:szCs w:val="20"/>
              </w:rPr>
            </w:pPr>
            <w:r w:rsidRPr="006A64EE">
              <w:rPr>
                <w:sz w:val="20"/>
                <w:szCs w:val="20"/>
              </w:rPr>
              <w:t>0,51</w:t>
            </w:r>
          </w:p>
        </w:tc>
      </w:tr>
      <w:tr w:rsidR="00AA52D3" w:rsidRPr="006A64EE" w14:paraId="1B683983" w14:textId="77777777" w:rsidTr="00D41926">
        <w:trPr>
          <w:cantSplit/>
          <w:trHeight w:val="526"/>
        </w:trPr>
        <w:tc>
          <w:tcPr>
            <w:tcW w:w="4480" w:type="dxa"/>
            <w:gridSpan w:val="5"/>
          </w:tcPr>
          <w:p w14:paraId="0BB7A050" w14:textId="066ED1AD" w:rsidR="00AA52D3" w:rsidRPr="006A64EE" w:rsidRDefault="00AA52D3" w:rsidP="00AA52D3">
            <w:pPr>
              <w:pStyle w:val="TableParagraph"/>
              <w:widowControl/>
              <w:tabs>
                <w:tab w:val="left" w:pos="3460"/>
              </w:tabs>
              <w:suppressAutoHyphens/>
              <w:jc w:val="right"/>
              <w:rPr>
                <w:sz w:val="20"/>
                <w:szCs w:val="20"/>
              </w:rPr>
            </w:pPr>
            <w:r w:rsidRPr="006A64EE">
              <w:rPr>
                <w:sz w:val="20"/>
                <w:szCs w:val="20"/>
              </w:rPr>
              <w:t>Hemmung der radiologischen Progression n (%) (Veränderung des mTSS ab Baseline von ≤ 0)</w:t>
            </w:r>
          </w:p>
        </w:tc>
        <w:tc>
          <w:tcPr>
            <w:tcW w:w="1190" w:type="dxa"/>
          </w:tcPr>
          <w:p w14:paraId="1E8DC873" w14:textId="18C04219" w:rsidR="00AA52D3" w:rsidRPr="006A64EE" w:rsidRDefault="00AA52D3" w:rsidP="00AA52D3">
            <w:pPr>
              <w:pStyle w:val="TableParagraph"/>
              <w:widowControl/>
              <w:suppressAutoHyphens/>
              <w:jc w:val="center"/>
              <w:rPr>
                <w:sz w:val="20"/>
                <w:szCs w:val="20"/>
              </w:rPr>
            </w:pPr>
            <w:r w:rsidRPr="006A64EE">
              <w:rPr>
                <w:sz w:val="20"/>
                <w:szCs w:val="20"/>
              </w:rPr>
              <w:t>226 (83)</w:t>
            </w:r>
            <w:r w:rsidRPr="006A64EE">
              <w:rPr>
                <w:b/>
                <w:sz w:val="20"/>
                <w:szCs w:val="20"/>
                <w:vertAlign w:val="superscript"/>
              </w:rPr>
              <w:t>‡</w:t>
            </w:r>
          </w:p>
        </w:tc>
        <w:tc>
          <w:tcPr>
            <w:tcW w:w="1276" w:type="dxa"/>
          </w:tcPr>
          <w:p w14:paraId="404F9DC6" w14:textId="22B48523" w:rsidR="00AA52D3" w:rsidRPr="006A64EE" w:rsidRDefault="00AA52D3" w:rsidP="00AA52D3">
            <w:pPr>
              <w:pStyle w:val="TableParagraph"/>
              <w:widowControl/>
              <w:suppressAutoHyphens/>
              <w:jc w:val="center"/>
              <w:rPr>
                <w:sz w:val="20"/>
                <w:szCs w:val="20"/>
              </w:rPr>
            </w:pPr>
            <w:r w:rsidRPr="006A64EE">
              <w:rPr>
                <w:sz w:val="20"/>
                <w:szCs w:val="20"/>
              </w:rPr>
              <w:t>226 (82)</w:t>
            </w:r>
            <w:r w:rsidRPr="006A64EE">
              <w:rPr>
                <w:b/>
                <w:sz w:val="20"/>
                <w:szCs w:val="20"/>
                <w:vertAlign w:val="superscript"/>
              </w:rPr>
              <w:t>‡</w:t>
            </w:r>
          </w:p>
        </w:tc>
        <w:tc>
          <w:tcPr>
            <w:tcW w:w="1310" w:type="dxa"/>
          </w:tcPr>
          <w:p w14:paraId="49647F09" w14:textId="02645135" w:rsidR="00AA52D3" w:rsidRPr="006A64EE" w:rsidRDefault="00AA52D3" w:rsidP="00AA52D3">
            <w:pPr>
              <w:pStyle w:val="TableParagraph"/>
              <w:widowControl/>
              <w:suppressAutoHyphens/>
              <w:jc w:val="center"/>
              <w:rPr>
                <w:sz w:val="20"/>
                <w:szCs w:val="20"/>
              </w:rPr>
            </w:pPr>
            <w:r w:rsidRPr="006A64EE">
              <w:rPr>
                <w:sz w:val="20"/>
                <w:szCs w:val="20"/>
              </w:rPr>
              <w:t>211 (79)</w:t>
            </w:r>
          </w:p>
        </w:tc>
        <w:tc>
          <w:tcPr>
            <w:tcW w:w="1067" w:type="dxa"/>
          </w:tcPr>
          <w:p w14:paraId="2F6A4866" w14:textId="5D8C084A" w:rsidR="00AA52D3" w:rsidRPr="006A64EE" w:rsidRDefault="00AA52D3" w:rsidP="00AA52D3">
            <w:pPr>
              <w:pStyle w:val="TableParagraph"/>
              <w:widowControl/>
              <w:suppressAutoHyphens/>
              <w:jc w:val="center"/>
              <w:rPr>
                <w:sz w:val="20"/>
                <w:szCs w:val="20"/>
              </w:rPr>
            </w:pPr>
            <w:r w:rsidRPr="006A64EE">
              <w:rPr>
                <w:sz w:val="20"/>
                <w:szCs w:val="20"/>
              </w:rPr>
              <w:t>194 (73)</w:t>
            </w:r>
          </w:p>
        </w:tc>
      </w:tr>
      <w:tr w:rsidR="00AA52D3" w:rsidRPr="006A64EE" w14:paraId="0A582E6E" w14:textId="77777777" w:rsidTr="006A19A3">
        <w:trPr>
          <w:cantSplit/>
        </w:trPr>
        <w:tc>
          <w:tcPr>
            <w:tcW w:w="9323" w:type="dxa"/>
            <w:gridSpan w:val="9"/>
          </w:tcPr>
          <w:p w14:paraId="5E9EBA26" w14:textId="77777777" w:rsidR="00AA52D3" w:rsidRPr="006A64EE" w:rsidRDefault="00AA52D3" w:rsidP="00AA52D3">
            <w:pPr>
              <w:pStyle w:val="TableParagraph"/>
              <w:widowControl/>
              <w:suppressAutoHyphens/>
              <w:rPr>
                <w:b/>
                <w:sz w:val="20"/>
                <w:szCs w:val="20"/>
              </w:rPr>
            </w:pPr>
            <w:r w:rsidRPr="006A64EE">
              <w:rPr>
                <w:b/>
                <w:sz w:val="20"/>
                <w:szCs w:val="20"/>
              </w:rPr>
              <w:t>Explorative Endpunkte</w:t>
            </w:r>
          </w:p>
        </w:tc>
      </w:tr>
      <w:tr w:rsidR="00AA52D3" w:rsidRPr="006A64EE" w14:paraId="5EB17029" w14:textId="77777777" w:rsidTr="006A19A3">
        <w:trPr>
          <w:cantSplit/>
        </w:trPr>
        <w:tc>
          <w:tcPr>
            <w:tcW w:w="4480" w:type="dxa"/>
            <w:gridSpan w:val="5"/>
          </w:tcPr>
          <w:p w14:paraId="73F9F7A4" w14:textId="77777777" w:rsidR="00AA52D3" w:rsidRPr="00D75764" w:rsidRDefault="00AA52D3" w:rsidP="00AA52D3">
            <w:pPr>
              <w:pStyle w:val="TableParagraph"/>
              <w:widowControl/>
              <w:suppressAutoHyphens/>
              <w:jc w:val="right"/>
              <w:rPr>
                <w:sz w:val="20"/>
                <w:szCs w:val="20"/>
                <w:lang w:val="en-US"/>
              </w:rPr>
            </w:pPr>
            <w:proofErr w:type="spellStart"/>
            <w:r w:rsidRPr="00D75764">
              <w:rPr>
                <w:sz w:val="20"/>
                <w:szCs w:val="20"/>
                <w:lang w:val="en-US"/>
              </w:rPr>
              <w:t>Woche</w:t>
            </w:r>
            <w:proofErr w:type="spellEnd"/>
            <w:r w:rsidRPr="00D75764">
              <w:rPr>
                <w:sz w:val="20"/>
                <w:szCs w:val="20"/>
                <w:lang w:val="en-US"/>
              </w:rPr>
              <w:t xml:space="preserve"> 24: ACR/EULAR Boolean Remission, n (%)</w:t>
            </w:r>
          </w:p>
        </w:tc>
        <w:tc>
          <w:tcPr>
            <w:tcW w:w="1190" w:type="dxa"/>
          </w:tcPr>
          <w:p w14:paraId="579E4BEF" w14:textId="77777777" w:rsidR="00AA52D3" w:rsidRPr="006A64EE" w:rsidRDefault="00AA52D3" w:rsidP="00AA52D3">
            <w:pPr>
              <w:pStyle w:val="TableParagraph"/>
              <w:widowControl/>
              <w:suppressAutoHyphens/>
              <w:jc w:val="center"/>
              <w:rPr>
                <w:b/>
                <w:sz w:val="20"/>
                <w:szCs w:val="20"/>
              </w:rPr>
            </w:pPr>
            <w:r w:rsidRPr="006A64EE">
              <w:rPr>
                <w:sz w:val="20"/>
                <w:szCs w:val="20"/>
              </w:rPr>
              <w:t xml:space="preserve">47 (18,4) </w:t>
            </w:r>
            <w:r w:rsidRPr="006A64EE">
              <w:rPr>
                <w:b/>
                <w:sz w:val="20"/>
                <w:szCs w:val="20"/>
                <w:vertAlign w:val="superscript"/>
              </w:rPr>
              <w:t>‡</w:t>
            </w:r>
          </w:p>
        </w:tc>
        <w:tc>
          <w:tcPr>
            <w:tcW w:w="1276" w:type="dxa"/>
          </w:tcPr>
          <w:p w14:paraId="6ED3E551" w14:textId="77777777" w:rsidR="00AA52D3" w:rsidRPr="006A64EE" w:rsidRDefault="00AA52D3" w:rsidP="00AA52D3">
            <w:pPr>
              <w:pStyle w:val="TableParagraph"/>
              <w:widowControl/>
              <w:suppressAutoHyphens/>
              <w:jc w:val="center"/>
              <w:rPr>
                <w:sz w:val="20"/>
                <w:szCs w:val="20"/>
              </w:rPr>
            </w:pPr>
            <w:r w:rsidRPr="006A64EE">
              <w:rPr>
                <w:sz w:val="20"/>
                <w:szCs w:val="20"/>
              </w:rPr>
              <w:t>38 (14,2)</w:t>
            </w:r>
          </w:p>
        </w:tc>
        <w:tc>
          <w:tcPr>
            <w:tcW w:w="1310" w:type="dxa"/>
          </w:tcPr>
          <w:p w14:paraId="521137EE" w14:textId="77777777" w:rsidR="00AA52D3" w:rsidRPr="006A64EE" w:rsidRDefault="00AA52D3" w:rsidP="00AA52D3">
            <w:pPr>
              <w:pStyle w:val="TableParagraph"/>
              <w:widowControl/>
              <w:suppressAutoHyphens/>
              <w:jc w:val="center"/>
              <w:rPr>
                <w:b/>
                <w:sz w:val="20"/>
                <w:szCs w:val="20"/>
              </w:rPr>
            </w:pPr>
            <w:r w:rsidRPr="006A64EE">
              <w:rPr>
                <w:sz w:val="20"/>
                <w:szCs w:val="20"/>
              </w:rPr>
              <w:t xml:space="preserve">43 (16,7) </w:t>
            </w:r>
            <w:r w:rsidRPr="006A64EE">
              <w:rPr>
                <w:b/>
                <w:sz w:val="20"/>
                <w:szCs w:val="20"/>
                <w:vertAlign w:val="superscript"/>
              </w:rPr>
              <w:t>‡</w:t>
            </w:r>
          </w:p>
        </w:tc>
        <w:tc>
          <w:tcPr>
            <w:tcW w:w="1067" w:type="dxa"/>
          </w:tcPr>
          <w:p w14:paraId="799B87B0" w14:textId="77777777" w:rsidR="00AA52D3" w:rsidRPr="006A64EE" w:rsidRDefault="00AA52D3" w:rsidP="00AA52D3">
            <w:pPr>
              <w:pStyle w:val="TableParagraph"/>
              <w:widowControl/>
              <w:suppressAutoHyphens/>
              <w:jc w:val="center"/>
              <w:rPr>
                <w:sz w:val="20"/>
                <w:szCs w:val="20"/>
              </w:rPr>
            </w:pPr>
            <w:r w:rsidRPr="006A64EE">
              <w:rPr>
                <w:sz w:val="20"/>
                <w:szCs w:val="20"/>
              </w:rPr>
              <w:t>25 (10,0)</w:t>
            </w:r>
          </w:p>
        </w:tc>
      </w:tr>
      <w:tr w:rsidR="00AA52D3" w:rsidRPr="006A64EE" w14:paraId="33228EEC" w14:textId="77777777" w:rsidTr="006A19A3">
        <w:trPr>
          <w:cantSplit/>
        </w:trPr>
        <w:tc>
          <w:tcPr>
            <w:tcW w:w="4480" w:type="dxa"/>
            <w:gridSpan w:val="5"/>
          </w:tcPr>
          <w:p w14:paraId="5828AD3C" w14:textId="77777777" w:rsidR="00AA52D3" w:rsidRPr="00D17390" w:rsidRDefault="00AA52D3" w:rsidP="00AA52D3">
            <w:pPr>
              <w:pStyle w:val="TableParagraph"/>
              <w:widowControl/>
              <w:suppressAutoHyphens/>
              <w:jc w:val="right"/>
              <w:rPr>
                <w:sz w:val="20"/>
                <w:szCs w:val="20"/>
                <w:lang w:val="en-US"/>
              </w:rPr>
            </w:pPr>
            <w:r w:rsidRPr="00D17390">
              <w:rPr>
                <w:sz w:val="20"/>
                <w:szCs w:val="20"/>
                <w:lang w:val="en-US"/>
              </w:rPr>
              <w:t>ACR/EULAR Index Remission, n (%)</w:t>
            </w:r>
          </w:p>
        </w:tc>
        <w:tc>
          <w:tcPr>
            <w:tcW w:w="1190" w:type="dxa"/>
          </w:tcPr>
          <w:p w14:paraId="2B8AB68F" w14:textId="77777777" w:rsidR="00AA52D3" w:rsidRPr="006A64EE" w:rsidRDefault="00AA52D3" w:rsidP="00AA52D3">
            <w:pPr>
              <w:pStyle w:val="TableParagraph"/>
              <w:widowControl/>
              <w:suppressAutoHyphens/>
              <w:jc w:val="center"/>
              <w:rPr>
                <w:b/>
                <w:sz w:val="20"/>
                <w:szCs w:val="20"/>
              </w:rPr>
            </w:pPr>
            <w:r w:rsidRPr="006A64EE">
              <w:rPr>
                <w:sz w:val="20"/>
                <w:szCs w:val="20"/>
              </w:rPr>
              <w:t xml:space="preserve">73 (28,5) </w:t>
            </w:r>
            <w:r w:rsidRPr="006A64EE">
              <w:rPr>
                <w:b/>
                <w:sz w:val="20"/>
                <w:szCs w:val="20"/>
                <w:vertAlign w:val="superscript"/>
              </w:rPr>
              <w:t>‡</w:t>
            </w:r>
          </w:p>
        </w:tc>
        <w:tc>
          <w:tcPr>
            <w:tcW w:w="1276" w:type="dxa"/>
          </w:tcPr>
          <w:p w14:paraId="038A44AD" w14:textId="77777777" w:rsidR="00AA52D3" w:rsidRPr="006A64EE" w:rsidRDefault="00AA52D3" w:rsidP="00AA52D3">
            <w:pPr>
              <w:pStyle w:val="TableParagraph"/>
              <w:widowControl/>
              <w:suppressAutoHyphens/>
              <w:jc w:val="center"/>
              <w:rPr>
                <w:sz w:val="20"/>
                <w:szCs w:val="20"/>
              </w:rPr>
            </w:pPr>
            <w:r w:rsidRPr="006A64EE">
              <w:rPr>
                <w:sz w:val="20"/>
                <w:szCs w:val="20"/>
              </w:rPr>
              <w:t>60 (22,6)</w:t>
            </w:r>
          </w:p>
        </w:tc>
        <w:tc>
          <w:tcPr>
            <w:tcW w:w="1310" w:type="dxa"/>
          </w:tcPr>
          <w:p w14:paraId="6A794137" w14:textId="77777777" w:rsidR="00AA52D3" w:rsidRPr="006A64EE" w:rsidRDefault="00AA52D3" w:rsidP="00AA52D3">
            <w:pPr>
              <w:pStyle w:val="TableParagraph"/>
              <w:widowControl/>
              <w:suppressAutoHyphens/>
              <w:jc w:val="center"/>
              <w:rPr>
                <w:sz w:val="20"/>
                <w:szCs w:val="20"/>
              </w:rPr>
            </w:pPr>
            <w:r w:rsidRPr="006A64EE">
              <w:rPr>
                <w:sz w:val="20"/>
                <w:szCs w:val="20"/>
              </w:rPr>
              <w:t>58 (22,6)</w:t>
            </w:r>
          </w:p>
        </w:tc>
        <w:tc>
          <w:tcPr>
            <w:tcW w:w="1067" w:type="dxa"/>
          </w:tcPr>
          <w:p w14:paraId="48C7C6CD" w14:textId="77777777" w:rsidR="00AA52D3" w:rsidRPr="006A64EE" w:rsidRDefault="00AA52D3" w:rsidP="00AA52D3">
            <w:pPr>
              <w:pStyle w:val="TableParagraph"/>
              <w:widowControl/>
              <w:suppressAutoHyphens/>
              <w:jc w:val="center"/>
              <w:rPr>
                <w:sz w:val="20"/>
                <w:szCs w:val="20"/>
              </w:rPr>
            </w:pPr>
            <w:r w:rsidRPr="006A64EE">
              <w:rPr>
                <w:sz w:val="20"/>
                <w:szCs w:val="20"/>
              </w:rPr>
              <w:t>41 (16,4)</w:t>
            </w:r>
          </w:p>
        </w:tc>
      </w:tr>
      <w:tr w:rsidR="00AA52D3" w:rsidRPr="006A64EE" w14:paraId="5CD0EE40" w14:textId="77777777" w:rsidTr="006A19A3">
        <w:trPr>
          <w:cantSplit/>
        </w:trPr>
        <w:tc>
          <w:tcPr>
            <w:tcW w:w="4480" w:type="dxa"/>
            <w:gridSpan w:val="5"/>
          </w:tcPr>
          <w:p w14:paraId="4FD1D584" w14:textId="77777777" w:rsidR="00AA52D3" w:rsidRPr="00D75764" w:rsidRDefault="00AA52D3" w:rsidP="00AA52D3">
            <w:pPr>
              <w:pStyle w:val="TableParagraph"/>
              <w:widowControl/>
              <w:suppressAutoHyphens/>
              <w:jc w:val="right"/>
              <w:rPr>
                <w:sz w:val="20"/>
                <w:szCs w:val="20"/>
                <w:lang w:val="en-US"/>
              </w:rPr>
            </w:pPr>
            <w:proofErr w:type="spellStart"/>
            <w:r w:rsidRPr="00D75764">
              <w:rPr>
                <w:sz w:val="20"/>
                <w:szCs w:val="20"/>
                <w:lang w:val="en-US"/>
              </w:rPr>
              <w:t>Woche</w:t>
            </w:r>
            <w:proofErr w:type="spellEnd"/>
            <w:r w:rsidRPr="00D75764">
              <w:rPr>
                <w:sz w:val="20"/>
                <w:szCs w:val="20"/>
                <w:lang w:val="en-US"/>
              </w:rPr>
              <w:t xml:space="preserve"> 52: ACR/EULAR Boolean Remission, n (%)</w:t>
            </w:r>
          </w:p>
        </w:tc>
        <w:tc>
          <w:tcPr>
            <w:tcW w:w="1190" w:type="dxa"/>
          </w:tcPr>
          <w:p w14:paraId="3FF9045E" w14:textId="77777777" w:rsidR="00AA52D3" w:rsidRPr="006A64EE" w:rsidRDefault="00AA52D3" w:rsidP="00AA52D3">
            <w:pPr>
              <w:pStyle w:val="TableParagraph"/>
              <w:widowControl/>
              <w:suppressAutoHyphens/>
              <w:jc w:val="center"/>
              <w:rPr>
                <w:b/>
                <w:sz w:val="20"/>
                <w:szCs w:val="20"/>
              </w:rPr>
            </w:pPr>
            <w:r w:rsidRPr="006A64EE">
              <w:rPr>
                <w:sz w:val="20"/>
                <w:szCs w:val="20"/>
              </w:rPr>
              <w:t xml:space="preserve">59 (25,7) </w:t>
            </w:r>
            <w:r w:rsidRPr="006A64EE">
              <w:rPr>
                <w:b/>
                <w:sz w:val="20"/>
                <w:szCs w:val="20"/>
                <w:vertAlign w:val="superscript"/>
              </w:rPr>
              <w:t>‡</w:t>
            </w:r>
          </w:p>
        </w:tc>
        <w:tc>
          <w:tcPr>
            <w:tcW w:w="1276" w:type="dxa"/>
          </w:tcPr>
          <w:p w14:paraId="4F2954B4" w14:textId="77777777" w:rsidR="00AA52D3" w:rsidRPr="006A64EE" w:rsidRDefault="00AA52D3" w:rsidP="00AA52D3">
            <w:pPr>
              <w:pStyle w:val="TableParagraph"/>
              <w:widowControl/>
              <w:suppressAutoHyphens/>
              <w:jc w:val="center"/>
              <w:rPr>
                <w:sz w:val="20"/>
                <w:szCs w:val="20"/>
              </w:rPr>
            </w:pPr>
            <w:r w:rsidRPr="006A64EE">
              <w:rPr>
                <w:sz w:val="20"/>
                <w:szCs w:val="20"/>
              </w:rPr>
              <w:t>43 (18,7)</w:t>
            </w:r>
          </w:p>
        </w:tc>
        <w:tc>
          <w:tcPr>
            <w:tcW w:w="1310" w:type="dxa"/>
          </w:tcPr>
          <w:p w14:paraId="7FA34CF6" w14:textId="77777777" w:rsidR="00AA52D3" w:rsidRPr="006A64EE" w:rsidRDefault="00AA52D3" w:rsidP="00AA52D3">
            <w:pPr>
              <w:pStyle w:val="TableParagraph"/>
              <w:widowControl/>
              <w:suppressAutoHyphens/>
              <w:jc w:val="center"/>
              <w:rPr>
                <w:sz w:val="20"/>
                <w:szCs w:val="20"/>
              </w:rPr>
            </w:pPr>
            <w:r w:rsidRPr="006A64EE">
              <w:rPr>
                <w:sz w:val="20"/>
                <w:szCs w:val="20"/>
              </w:rPr>
              <w:t>48 (21,1)</w:t>
            </w:r>
          </w:p>
        </w:tc>
        <w:tc>
          <w:tcPr>
            <w:tcW w:w="1067" w:type="dxa"/>
          </w:tcPr>
          <w:p w14:paraId="36CC75D3" w14:textId="77777777" w:rsidR="00AA52D3" w:rsidRPr="006A64EE" w:rsidRDefault="00AA52D3" w:rsidP="00AA52D3">
            <w:pPr>
              <w:pStyle w:val="TableParagraph"/>
              <w:widowControl/>
              <w:suppressAutoHyphens/>
              <w:jc w:val="center"/>
              <w:rPr>
                <w:sz w:val="20"/>
                <w:szCs w:val="20"/>
              </w:rPr>
            </w:pPr>
            <w:r w:rsidRPr="006A64EE">
              <w:rPr>
                <w:sz w:val="20"/>
                <w:szCs w:val="20"/>
              </w:rPr>
              <w:t>34 (15,5)</w:t>
            </w:r>
          </w:p>
        </w:tc>
      </w:tr>
      <w:tr w:rsidR="00AA52D3" w:rsidRPr="006A64EE" w14:paraId="4BCC022A" w14:textId="77777777" w:rsidTr="006A19A3">
        <w:trPr>
          <w:cantSplit/>
        </w:trPr>
        <w:tc>
          <w:tcPr>
            <w:tcW w:w="4480" w:type="dxa"/>
            <w:gridSpan w:val="5"/>
          </w:tcPr>
          <w:p w14:paraId="5650FBD8" w14:textId="77777777" w:rsidR="00AA52D3" w:rsidRPr="00D17390" w:rsidRDefault="00AA52D3" w:rsidP="00AA52D3">
            <w:pPr>
              <w:pStyle w:val="TableParagraph"/>
              <w:widowControl/>
              <w:suppressAutoHyphens/>
              <w:jc w:val="right"/>
              <w:rPr>
                <w:sz w:val="20"/>
                <w:szCs w:val="20"/>
                <w:lang w:val="en-US"/>
              </w:rPr>
            </w:pPr>
            <w:r w:rsidRPr="00D17390">
              <w:rPr>
                <w:sz w:val="20"/>
                <w:szCs w:val="20"/>
                <w:lang w:val="en-US"/>
              </w:rPr>
              <w:t>ACR/EULAR Index Remission, n (%)</w:t>
            </w:r>
          </w:p>
        </w:tc>
        <w:tc>
          <w:tcPr>
            <w:tcW w:w="1190" w:type="dxa"/>
          </w:tcPr>
          <w:p w14:paraId="7BDA6B33" w14:textId="77777777" w:rsidR="00AA52D3" w:rsidRPr="006A64EE" w:rsidRDefault="00AA52D3" w:rsidP="00AA52D3">
            <w:pPr>
              <w:pStyle w:val="TableParagraph"/>
              <w:widowControl/>
              <w:suppressAutoHyphens/>
              <w:jc w:val="center"/>
              <w:rPr>
                <w:b/>
                <w:sz w:val="20"/>
                <w:szCs w:val="20"/>
              </w:rPr>
            </w:pPr>
            <w:r w:rsidRPr="006A64EE">
              <w:rPr>
                <w:sz w:val="20"/>
                <w:szCs w:val="20"/>
              </w:rPr>
              <w:t xml:space="preserve">83 (36,1) </w:t>
            </w:r>
            <w:r w:rsidRPr="006A64EE">
              <w:rPr>
                <w:b/>
                <w:sz w:val="20"/>
                <w:szCs w:val="20"/>
                <w:vertAlign w:val="superscript"/>
              </w:rPr>
              <w:t>‡</w:t>
            </w:r>
          </w:p>
        </w:tc>
        <w:tc>
          <w:tcPr>
            <w:tcW w:w="1276" w:type="dxa"/>
          </w:tcPr>
          <w:p w14:paraId="054F8CA6" w14:textId="77777777" w:rsidR="00AA52D3" w:rsidRPr="006A64EE" w:rsidRDefault="00AA52D3" w:rsidP="00AA52D3">
            <w:pPr>
              <w:pStyle w:val="TableParagraph"/>
              <w:widowControl/>
              <w:suppressAutoHyphens/>
              <w:jc w:val="center"/>
              <w:rPr>
                <w:sz w:val="20"/>
                <w:szCs w:val="20"/>
              </w:rPr>
            </w:pPr>
            <w:r w:rsidRPr="006A64EE">
              <w:rPr>
                <w:sz w:val="20"/>
                <w:szCs w:val="20"/>
              </w:rPr>
              <w:t>69 (30,0)</w:t>
            </w:r>
          </w:p>
        </w:tc>
        <w:tc>
          <w:tcPr>
            <w:tcW w:w="1310" w:type="dxa"/>
          </w:tcPr>
          <w:p w14:paraId="57D37F5D" w14:textId="77777777" w:rsidR="00AA52D3" w:rsidRPr="006A64EE" w:rsidRDefault="00AA52D3" w:rsidP="00AA52D3">
            <w:pPr>
              <w:pStyle w:val="TableParagraph"/>
              <w:widowControl/>
              <w:suppressAutoHyphens/>
              <w:jc w:val="center"/>
              <w:rPr>
                <w:sz w:val="20"/>
                <w:szCs w:val="20"/>
              </w:rPr>
            </w:pPr>
            <w:r w:rsidRPr="006A64EE">
              <w:rPr>
                <w:sz w:val="20"/>
                <w:szCs w:val="20"/>
              </w:rPr>
              <w:t>66 (29,3)</w:t>
            </w:r>
          </w:p>
        </w:tc>
        <w:tc>
          <w:tcPr>
            <w:tcW w:w="1067" w:type="dxa"/>
          </w:tcPr>
          <w:p w14:paraId="67CA026D" w14:textId="77777777" w:rsidR="00AA52D3" w:rsidRPr="006A64EE" w:rsidRDefault="00AA52D3" w:rsidP="00AA52D3">
            <w:pPr>
              <w:pStyle w:val="TableParagraph"/>
              <w:widowControl/>
              <w:suppressAutoHyphens/>
              <w:jc w:val="center"/>
              <w:rPr>
                <w:sz w:val="20"/>
                <w:szCs w:val="20"/>
              </w:rPr>
            </w:pPr>
            <w:r w:rsidRPr="006A64EE">
              <w:rPr>
                <w:sz w:val="20"/>
                <w:szCs w:val="20"/>
              </w:rPr>
              <w:t>49 (22,4)</w:t>
            </w:r>
          </w:p>
        </w:tc>
      </w:tr>
    </w:tbl>
    <w:p w14:paraId="50B6DE99" w14:textId="3AF67915" w:rsidR="00093A5E" w:rsidRPr="006A64EE" w:rsidRDefault="009C2544" w:rsidP="004255F8">
      <w:pPr>
        <w:widowControl/>
        <w:tabs>
          <w:tab w:val="left" w:pos="1134"/>
        </w:tabs>
        <w:rPr>
          <w:i/>
          <w:sz w:val="18"/>
          <w:szCs w:val="18"/>
        </w:rPr>
      </w:pPr>
      <w:r w:rsidRPr="006A64EE">
        <w:rPr>
          <w:i/>
          <w:sz w:val="18"/>
          <w:szCs w:val="18"/>
        </w:rPr>
        <w:t>mTSS</w:t>
      </w:r>
      <w:r w:rsidR="00AA52D3" w:rsidRPr="006A64EE">
        <w:rPr>
          <w:i/>
          <w:sz w:val="18"/>
          <w:szCs w:val="18"/>
        </w:rPr>
        <w:t xml:space="preserve"> </w:t>
      </w:r>
      <w:r w:rsidRPr="006A64EE">
        <w:rPr>
          <w:i/>
          <w:sz w:val="18"/>
          <w:szCs w:val="18"/>
        </w:rPr>
        <w:t>- modified Total Sharp Score</w:t>
      </w:r>
    </w:p>
    <w:p w14:paraId="4BBBA76A" w14:textId="58DEFA0F" w:rsidR="00093A5E" w:rsidRPr="006A64EE" w:rsidRDefault="009C2544" w:rsidP="004255F8">
      <w:pPr>
        <w:widowControl/>
        <w:tabs>
          <w:tab w:val="left" w:pos="1134"/>
        </w:tabs>
        <w:rPr>
          <w:i/>
          <w:sz w:val="18"/>
          <w:szCs w:val="18"/>
        </w:rPr>
      </w:pPr>
      <w:r w:rsidRPr="006A64EE">
        <w:rPr>
          <w:i/>
          <w:sz w:val="18"/>
          <w:szCs w:val="18"/>
        </w:rPr>
        <w:lastRenderedPageBreak/>
        <w:t>JSN</w:t>
      </w:r>
      <w:r w:rsidR="00AA52D3" w:rsidRPr="006A64EE">
        <w:rPr>
          <w:i/>
          <w:sz w:val="18"/>
          <w:szCs w:val="18"/>
        </w:rPr>
        <w:t xml:space="preserve"> </w:t>
      </w:r>
      <w:r w:rsidRPr="006A64EE">
        <w:rPr>
          <w:i/>
          <w:sz w:val="18"/>
          <w:szCs w:val="18"/>
        </w:rPr>
        <w:t>- Joint space narrowing</w:t>
      </w:r>
    </w:p>
    <w:p w14:paraId="4FEE8BB4" w14:textId="77777777" w:rsidR="00093A5E" w:rsidRPr="006A64EE" w:rsidRDefault="009C2544" w:rsidP="004255F8">
      <w:pPr>
        <w:widowControl/>
        <w:tabs>
          <w:tab w:val="left" w:pos="1134"/>
        </w:tabs>
        <w:rPr>
          <w:sz w:val="18"/>
          <w:szCs w:val="18"/>
        </w:rPr>
      </w:pPr>
      <w:r w:rsidRPr="006A64EE">
        <w:rPr>
          <w:sz w:val="18"/>
          <w:szCs w:val="18"/>
        </w:rPr>
        <w:t xml:space="preserve">Alle Wirksamkeitsvergleiche </w:t>
      </w:r>
      <w:r w:rsidRPr="006A64EE">
        <w:rPr>
          <w:i/>
          <w:sz w:val="18"/>
          <w:szCs w:val="18"/>
        </w:rPr>
        <w:t>vs</w:t>
      </w:r>
      <w:r w:rsidRPr="006A64EE">
        <w:rPr>
          <w:sz w:val="18"/>
          <w:szCs w:val="18"/>
        </w:rPr>
        <w:t>. Placebo + MTX. *** p ≤ 0,0001; ** p &lt; 0,001; * p &lt; 0,05</w:t>
      </w:r>
    </w:p>
    <w:p w14:paraId="78B4D17A" w14:textId="77777777" w:rsidR="00093A5E" w:rsidRPr="006A64EE" w:rsidRDefault="009C2544" w:rsidP="004255F8">
      <w:pPr>
        <w:widowControl/>
        <w:tabs>
          <w:tab w:val="left" w:pos="1134"/>
        </w:tabs>
        <w:rPr>
          <w:sz w:val="18"/>
          <w:szCs w:val="18"/>
        </w:rPr>
      </w:pPr>
      <w:r w:rsidRPr="006A64EE">
        <w:rPr>
          <w:sz w:val="18"/>
          <w:szCs w:val="18"/>
        </w:rPr>
        <w:t xml:space="preserve">‡ p-Wert &lt; 0,05 </w:t>
      </w:r>
      <w:r w:rsidRPr="006A64EE">
        <w:rPr>
          <w:i/>
          <w:sz w:val="18"/>
          <w:szCs w:val="18"/>
        </w:rPr>
        <w:t xml:space="preserve">vs. </w:t>
      </w:r>
      <w:r w:rsidRPr="006A64EE">
        <w:rPr>
          <w:sz w:val="18"/>
          <w:szCs w:val="18"/>
        </w:rPr>
        <w:t>Placebo + MTX, aber der Endpunkt war explorativ (wurde nicht in die Hierarchie der statistischen Tests aufgenommen und deshalb auch nicht auf Multiplizität kontrolliert)</w:t>
      </w:r>
    </w:p>
    <w:p w14:paraId="4BD537C5" w14:textId="77777777" w:rsidR="00093A5E" w:rsidRPr="006A64EE" w:rsidRDefault="00093A5E" w:rsidP="004255F8">
      <w:pPr>
        <w:pStyle w:val="a3"/>
        <w:widowControl/>
      </w:pPr>
    </w:p>
    <w:p w14:paraId="41FCC9AD" w14:textId="77777777" w:rsidR="00093A5E" w:rsidRPr="00E303AE" w:rsidRDefault="009C2544" w:rsidP="00AA52D3">
      <w:pPr>
        <w:keepNext/>
        <w:keepLines/>
        <w:widowControl/>
        <w:rPr>
          <w:i/>
          <w:u w:val="single"/>
        </w:rPr>
      </w:pPr>
      <w:r w:rsidRPr="00E303AE">
        <w:rPr>
          <w:i/>
          <w:u w:val="single"/>
        </w:rPr>
        <w:t>COVID-19</w:t>
      </w:r>
    </w:p>
    <w:p w14:paraId="7EBF56C8" w14:textId="77777777" w:rsidR="005C650C" w:rsidRDefault="005C650C" w:rsidP="00AA52D3">
      <w:pPr>
        <w:pStyle w:val="a3"/>
        <w:keepNext/>
        <w:keepLines/>
        <w:widowControl/>
      </w:pPr>
    </w:p>
    <w:p w14:paraId="1FD3785F" w14:textId="382F0428" w:rsidR="00093A5E" w:rsidRPr="00E303AE" w:rsidRDefault="009C2544" w:rsidP="00AA52D3">
      <w:pPr>
        <w:pStyle w:val="a3"/>
        <w:keepNext/>
        <w:keepLines/>
        <w:widowControl/>
        <w:rPr>
          <w:u w:val="single"/>
        </w:rPr>
      </w:pPr>
      <w:r w:rsidRPr="00E303AE">
        <w:rPr>
          <w:u w:val="single"/>
        </w:rPr>
        <w:t>Klinische Wirksamkeit</w:t>
      </w:r>
    </w:p>
    <w:p w14:paraId="0EBD98A0" w14:textId="77777777" w:rsidR="00093A5E" w:rsidRPr="006A64EE" w:rsidRDefault="00093A5E" w:rsidP="00AA52D3">
      <w:pPr>
        <w:pStyle w:val="a3"/>
        <w:keepNext/>
        <w:keepLines/>
        <w:widowControl/>
      </w:pPr>
    </w:p>
    <w:p w14:paraId="5DDCEF3E" w14:textId="0D713836" w:rsidR="00093A5E" w:rsidRPr="006A64EE" w:rsidRDefault="009C2544" w:rsidP="00AA52D3">
      <w:pPr>
        <w:keepNext/>
        <w:keepLines/>
        <w:widowControl/>
        <w:rPr>
          <w:b/>
        </w:rPr>
      </w:pPr>
      <w:r w:rsidRPr="006A64EE">
        <w:rPr>
          <w:b/>
        </w:rPr>
        <w:t>RECOVERY</w:t>
      </w:r>
      <w:r w:rsidR="005C650C">
        <w:rPr>
          <w:b/>
        </w:rPr>
        <w:t xml:space="preserve"> </w:t>
      </w:r>
      <w:r w:rsidRPr="006A64EE">
        <w:rPr>
          <w:b/>
        </w:rPr>
        <w:t>(</w:t>
      </w:r>
      <w:r w:rsidRPr="006A64EE">
        <w:rPr>
          <w:b/>
          <w:i/>
        </w:rPr>
        <w:t>Randomised Evaluation of COVID-19 Therapy</w:t>
      </w:r>
      <w:r w:rsidRPr="006A64EE">
        <w:rPr>
          <w:b/>
        </w:rPr>
        <w:t>)-Studiengruppe: Studie bei hospitalisierten Erwachsenen mit diagnostizierter COVID-19</w:t>
      </w:r>
    </w:p>
    <w:p w14:paraId="74535D82" w14:textId="77777777" w:rsidR="005C650C" w:rsidRDefault="005C650C" w:rsidP="004255F8">
      <w:pPr>
        <w:pStyle w:val="a3"/>
        <w:widowControl/>
      </w:pPr>
    </w:p>
    <w:p w14:paraId="6061E32A" w14:textId="5364ECE4" w:rsidR="00093A5E" w:rsidRPr="006A64EE" w:rsidRDefault="009C2544" w:rsidP="004255F8">
      <w:pPr>
        <w:pStyle w:val="a3"/>
        <w:widowControl/>
      </w:pPr>
      <w:r w:rsidRPr="006A64EE">
        <w:t>RECOVERY war eine große, randomisierte, kontrollierte, offene, multizentrische Plattformstudie, die im Vereinigten Königreich durchgeführt wurde, um die Wirksamkeit und Sicherheit potenzieller Behandlungen bei hospitalisierten erwachsenen Patienten mit schwerer COVID-19-Erkrankung zu bewerten. Alle geeigneten Patienten erhielten die Standardbehandlung und wurden einer ersten (Haupt-)Randomisierung unterzogen. Die für die Studie geeigneten Patienten wiesen eine klinisch</w:t>
      </w:r>
      <w:r w:rsidR="003427C0" w:rsidRPr="006A64EE">
        <w:t xml:space="preserve"> </w:t>
      </w:r>
      <w:r w:rsidR="007D680A" w:rsidRPr="006A64EE">
        <w:t>vermutete oder im Labor bestätigte SARS-CoV-2-Infektion auf und hatten keine medizinischen Kontraindikationen gegen eine der Behandlungen. Patienten mit klinischen Anzeichen einer fortschreitenden COVID-19-Infektion (definiert als Sauerstoffsättigung &lt; 92 % bei Raumluft oder unter Sauerstofftherapie und CRP ≥ 75</w:t>
      </w:r>
      <w:r w:rsidR="008D73EB">
        <w:t> </w:t>
      </w:r>
      <w:r w:rsidR="007D680A" w:rsidRPr="006A64EE">
        <w:t>mg/l) qualifizierten sich für eine zweite Randomisierung, bei der sie entweder Tocilizumab i.v. oder der Standardbehandlung zugeteilt wurden.</w:t>
      </w:r>
    </w:p>
    <w:p w14:paraId="2654AB89" w14:textId="77777777" w:rsidR="00093A5E" w:rsidRPr="006A64EE" w:rsidRDefault="00093A5E" w:rsidP="004255F8">
      <w:pPr>
        <w:pStyle w:val="a3"/>
        <w:widowControl/>
      </w:pPr>
    </w:p>
    <w:p w14:paraId="15D1C6FB" w14:textId="39E03A8B" w:rsidR="00093A5E" w:rsidRPr="006A64EE" w:rsidRDefault="009C2544" w:rsidP="004255F8">
      <w:pPr>
        <w:pStyle w:val="a3"/>
        <w:widowControl/>
      </w:pPr>
      <w:r w:rsidRPr="006A64EE">
        <w:t>Die Wirksamkeitsanalysen wurden in der Intent-to-treat-Population (ITT) durchgeführt, die 4</w:t>
      </w:r>
      <w:r w:rsidR="006B5972">
        <w:t> </w:t>
      </w:r>
      <w:r w:rsidRPr="006A64EE">
        <w:t>116</w:t>
      </w:r>
      <w:r w:rsidR="006B5972">
        <w:t> </w:t>
      </w:r>
      <w:r w:rsidRPr="006A64EE">
        <w:t>Patienten umfasste, von denen 2</w:t>
      </w:r>
      <w:r w:rsidR="006B5972">
        <w:t> </w:t>
      </w:r>
      <w:r w:rsidRPr="006A64EE">
        <w:t>022 randomisiert dem Arm „Tocilizumab + Standardbehandlung“ und 2</w:t>
      </w:r>
      <w:r w:rsidR="006B5972">
        <w:t> </w:t>
      </w:r>
      <w:r w:rsidRPr="006A64EE">
        <w:t>094 dem Arm „nur Standardbehandlung“ zugeteilt wurden. Die demografischen und krankheitsbezogenen Ausgangscharakteristika der ITT-Population waren zwischen den Behandlungsarmen ausgeglichen. Das Durchschnittsalter der Teilnehmer betrug</w:t>
      </w:r>
      <w:r w:rsidR="003427C0" w:rsidRPr="006A64EE">
        <w:t xml:space="preserve"> </w:t>
      </w:r>
      <w:r w:rsidRPr="006A64EE">
        <w:t>63,6</w:t>
      </w:r>
      <w:r w:rsidR="006B5972">
        <w:t> </w:t>
      </w:r>
      <w:r w:rsidRPr="006A64EE">
        <w:t>Jahre (Standardabweichung [SD] 13,6</w:t>
      </w:r>
      <w:r w:rsidR="006B5972">
        <w:t> </w:t>
      </w:r>
      <w:r w:rsidRPr="006A64EE">
        <w:t>Jahre). Die Mehrheit der Patienten war männlich (67</w:t>
      </w:r>
      <w:r w:rsidR="006B5972">
        <w:t> </w:t>
      </w:r>
      <w:r w:rsidRPr="006A64EE">
        <w:t>%) und Weiß (76</w:t>
      </w:r>
      <w:r w:rsidR="006B5972">
        <w:t> </w:t>
      </w:r>
      <w:r w:rsidRPr="006A64EE">
        <w:t>%). Der CRP-Wert lag im Median (Bereich) bei 143</w:t>
      </w:r>
      <w:r w:rsidR="006B5972">
        <w:t> </w:t>
      </w:r>
      <w:r w:rsidRPr="006A64EE">
        <w:t>mg/l (75</w:t>
      </w:r>
      <w:r w:rsidR="006B5972">
        <w:t> </w:t>
      </w:r>
      <w:r w:rsidRPr="006A64EE">
        <w:t>-</w:t>
      </w:r>
      <w:r w:rsidR="006B5972">
        <w:t> </w:t>
      </w:r>
      <w:r w:rsidRPr="006A64EE">
        <w:t>982</w:t>
      </w:r>
      <w:r w:rsidR="006B5972">
        <w:t> </w:t>
      </w:r>
      <w:r w:rsidRPr="006A64EE">
        <w:t>mg/l).</w:t>
      </w:r>
    </w:p>
    <w:p w14:paraId="2BCB59DC" w14:textId="77777777" w:rsidR="00093A5E" w:rsidRPr="006A64EE" w:rsidRDefault="00093A5E" w:rsidP="004255F8">
      <w:pPr>
        <w:pStyle w:val="a3"/>
        <w:widowControl/>
      </w:pPr>
    </w:p>
    <w:p w14:paraId="309AAAE1" w14:textId="77777777" w:rsidR="00093A5E" w:rsidRPr="006A64EE" w:rsidRDefault="009C2544" w:rsidP="004255F8">
      <w:pPr>
        <w:pStyle w:val="a3"/>
        <w:widowControl/>
      </w:pPr>
      <w:r w:rsidRPr="006A64EE">
        <w:t>Zu Beginn der Studie erhielten 0,2 % (n = 9) der Patienten keinen zusätzlichen Sauerstoff, 45 % der Patienten benötigten Sauerstoff mit geringem Durchfluss, 41 % der Patienten eine nicht-invasive Beatmung oder Sauerstoff mit hohem Durchfluss und 14 % der Patienten eine invasive maschinelle Beatmung. 82 % der Patienten erhielten systemische Corticosteroide (definiert als Patienten, die entweder vor oder zum Zeitpunkt der Randomisierung eine Behandlung mit systemischen Corticosteroiden begonnen haben). Die häufigsten Begleiterkrankungen waren Diabetes (28,4 %), Herzerkrankungen (22,6 %) und chronische Lungenerkrankungen (23,3 %).</w:t>
      </w:r>
    </w:p>
    <w:p w14:paraId="389A3682" w14:textId="77777777" w:rsidR="00093A5E" w:rsidRPr="006A64EE" w:rsidRDefault="00093A5E" w:rsidP="004255F8">
      <w:pPr>
        <w:pStyle w:val="a3"/>
        <w:widowControl/>
      </w:pPr>
    </w:p>
    <w:p w14:paraId="5367F280" w14:textId="77777777" w:rsidR="00093A5E" w:rsidRPr="006A64EE" w:rsidRDefault="009C2544" w:rsidP="004255F8">
      <w:pPr>
        <w:pStyle w:val="a3"/>
        <w:widowControl/>
      </w:pPr>
      <w:r w:rsidRPr="006A64EE">
        <w:t>Der primäre Endpunkt war die Zeit bis zum Tod bis Tag 28. Die Hazard Ratio für den Vergleich zwischen dem Arm mit Tocilizumab + Standardbehandlung und dem Arm mit Standardbehandlung allein betrug 0,85 (95-%-KI: 0,76 bis 0,94), ein statistisch signifikantes Ergebnis (p = 0,0028). Die Wahrscheinlichkeit, bis Tag 28 zu sterben, wurde in der Tocilizumab-Gruppe auf 30,7 % und in der Gruppe mit Standardbehandlung allein auf 34,9 % geschätzt. Die Risikodifferenz wurde auf -4,1 % (95-%-KI: -7,0 % bis -1,3 %) geschätzt, was mit der Primäranalyse übereinstimmt. Die Hazard Ratio für die vordefinierte Subgruppe der Patienten, die zu Behandlungsbeginn systemische Corticosteroide erhielten, betrug 0,79 (95-%-KI: 0,70 bis 0,89), und für die vordefinierte Subgruppe, die zu Behandlungsbeginn keine systemischen Corticosteroide erhielt, 1,16 (95-%-KI: 0,91 bis 1,48).</w:t>
      </w:r>
    </w:p>
    <w:p w14:paraId="55CEEED1" w14:textId="77777777" w:rsidR="00093A5E" w:rsidRPr="006A64EE" w:rsidRDefault="00093A5E" w:rsidP="004255F8">
      <w:pPr>
        <w:pStyle w:val="a3"/>
        <w:widowControl/>
      </w:pPr>
    </w:p>
    <w:p w14:paraId="41369D52" w14:textId="77777777" w:rsidR="00093A5E" w:rsidRPr="006A64EE" w:rsidRDefault="009C2544" w:rsidP="004255F8">
      <w:pPr>
        <w:pStyle w:val="a3"/>
        <w:widowControl/>
      </w:pPr>
      <w:r w:rsidRPr="006A64EE">
        <w:t>Die mediane Zeit bis zur Entlassung aus dem Krankenhaus betrug im Arm mit Tocilizumab + Standardbehandlung 19 Tage und im Arm mit Standardbehandlung allein &gt; 28 Tage (Hazard Ratio [95-%-KI] = 1,22 [1,12 bis 1,33]).</w:t>
      </w:r>
    </w:p>
    <w:p w14:paraId="673E35EB" w14:textId="77777777" w:rsidR="00093A5E" w:rsidRPr="006A64EE" w:rsidRDefault="00093A5E" w:rsidP="004255F8">
      <w:pPr>
        <w:pStyle w:val="a3"/>
        <w:widowControl/>
      </w:pPr>
    </w:p>
    <w:p w14:paraId="27D2BEBA" w14:textId="3A35FD3C" w:rsidR="00093A5E" w:rsidRPr="006A64EE" w:rsidRDefault="009C2544" w:rsidP="004255F8">
      <w:pPr>
        <w:pStyle w:val="a3"/>
        <w:widowControl/>
      </w:pPr>
      <w:r w:rsidRPr="006A64EE">
        <w:t>Bei den Patienten, bei denen zu Studienbeginn keine invasive maschinelle Beatmung erforderlich war, lag der Anteil der Patienten, die bis Tag</w:t>
      </w:r>
      <w:r w:rsidR="008478E2">
        <w:t> </w:t>
      </w:r>
      <w:r w:rsidRPr="006A64EE">
        <w:t>28 maschinell beatmet werden mussten oder verstarben, in der Gruppe mit Tocilizumab + Standardbehandlung bei 35</w:t>
      </w:r>
      <w:r w:rsidR="008478E2">
        <w:t> </w:t>
      </w:r>
      <w:r w:rsidRPr="006A64EE">
        <w:t>% (619/1</w:t>
      </w:r>
      <w:r w:rsidR="008478E2">
        <w:t> </w:t>
      </w:r>
      <w:r w:rsidRPr="006A64EE">
        <w:t xml:space="preserve">754) und in der Gruppe mit </w:t>
      </w:r>
      <w:r w:rsidRPr="006A64EE">
        <w:lastRenderedPageBreak/>
        <w:t>Standardbehandlung allein bei 42</w:t>
      </w:r>
      <w:r w:rsidR="008478E2">
        <w:t> </w:t>
      </w:r>
      <w:r w:rsidRPr="006A64EE">
        <w:t>% (754/1</w:t>
      </w:r>
      <w:r w:rsidR="008478E2">
        <w:t> </w:t>
      </w:r>
      <w:r w:rsidRPr="006A64EE">
        <w:t>800) (Risikoverhältnis [95-%-KI]</w:t>
      </w:r>
      <w:r w:rsidR="008478E2">
        <w:t> </w:t>
      </w:r>
      <w:r w:rsidRPr="006A64EE">
        <w:t>=</w:t>
      </w:r>
      <w:r w:rsidR="008478E2">
        <w:t> </w:t>
      </w:r>
      <w:r w:rsidRPr="006A64EE">
        <w:t>0,84, [0,77 bis 0,92]</w:t>
      </w:r>
      <w:r w:rsidR="003427C0" w:rsidRPr="006A64EE">
        <w:t xml:space="preserve"> </w:t>
      </w:r>
      <w:r w:rsidRPr="006A64EE">
        <w:t>p</w:t>
      </w:r>
      <w:r w:rsidR="0010054B">
        <w:t> </w:t>
      </w:r>
      <w:r w:rsidRPr="006A64EE">
        <w:t>&lt;</w:t>
      </w:r>
      <w:r w:rsidR="008478E2">
        <w:t> </w:t>
      </w:r>
      <w:r w:rsidRPr="006A64EE">
        <w:t>0,0001).</w:t>
      </w:r>
    </w:p>
    <w:p w14:paraId="5AEBBBE3" w14:textId="77777777" w:rsidR="00093A5E" w:rsidRPr="006A64EE" w:rsidRDefault="00093A5E" w:rsidP="004255F8">
      <w:pPr>
        <w:pStyle w:val="a3"/>
        <w:widowControl/>
      </w:pPr>
    </w:p>
    <w:p w14:paraId="62A7EA74" w14:textId="77777777" w:rsidR="00093A5E" w:rsidRPr="006A64EE" w:rsidRDefault="009C2544" w:rsidP="00B320E1">
      <w:pPr>
        <w:keepNext/>
        <w:widowControl/>
      </w:pPr>
      <w:r w:rsidRPr="006A64EE">
        <w:rPr>
          <w:u w:val="single"/>
        </w:rPr>
        <w:t>Kinder und Jugendliche</w:t>
      </w:r>
      <w:r w:rsidRPr="006A64EE">
        <w:t xml:space="preserve"> </w:t>
      </w:r>
    </w:p>
    <w:p w14:paraId="4FAF007E" w14:textId="77777777" w:rsidR="00E270C6" w:rsidRDefault="00E270C6" w:rsidP="004255F8">
      <w:pPr>
        <w:widowControl/>
        <w:rPr>
          <w:i/>
        </w:rPr>
      </w:pPr>
    </w:p>
    <w:p w14:paraId="76E74813" w14:textId="768461F6" w:rsidR="00093A5E" w:rsidRPr="006A64EE" w:rsidRDefault="009C2544" w:rsidP="004255F8">
      <w:pPr>
        <w:widowControl/>
        <w:rPr>
          <w:i/>
        </w:rPr>
      </w:pPr>
      <w:r w:rsidRPr="006A64EE">
        <w:rPr>
          <w:i/>
        </w:rPr>
        <w:t xml:space="preserve">Patienten mit sJIA </w:t>
      </w:r>
    </w:p>
    <w:p w14:paraId="1D1BC251" w14:textId="2DD545BC" w:rsidR="00093A5E" w:rsidRPr="00E270C6" w:rsidRDefault="009C2544" w:rsidP="004255F8">
      <w:pPr>
        <w:widowControl/>
      </w:pPr>
      <w:r w:rsidRPr="00E270C6">
        <w:t>Klinische Wirksamkeit</w:t>
      </w:r>
    </w:p>
    <w:p w14:paraId="3D87F6DA" w14:textId="4440ABA8" w:rsidR="00093A5E" w:rsidRPr="006A64EE" w:rsidRDefault="009C2544" w:rsidP="004255F8">
      <w:pPr>
        <w:pStyle w:val="a3"/>
        <w:widowControl/>
      </w:pPr>
      <w:r w:rsidRPr="006A64EE">
        <w:t>Die Wirksamkeit von Tocilizumab bei der Behandlung der aktiven sJIA wurde in einer 12-wöchigen randomisierten, doppelblinden, placebokontrollierten 2-armigen Parallelgruppenstudie untersucht. Die Patienten, die in die Studie eingeschlossen wurden, hatten eine Gesamterkrankungsdauer von mindestens 6 Monaten mit aktivem Krankheitsgeschehen, waren aber nicht in einer Phase eines akuten Flares, der eine Corticosteroid-Dosis von mehr als 0,5</w:t>
      </w:r>
      <w:r w:rsidR="008D73EB">
        <w:t> </w:t>
      </w:r>
      <w:r w:rsidRPr="006A64EE">
        <w:t>mg/kg Prednison oder einem Äquivalent erfordert hätte. Die Wirksamkeit in Bezug auf die Behandlung eines Makrophagenaktivierungssyndroms wurde nicht untersucht.</w:t>
      </w:r>
    </w:p>
    <w:p w14:paraId="2415E8CE" w14:textId="77777777" w:rsidR="00093A5E" w:rsidRPr="006A64EE" w:rsidRDefault="00093A5E" w:rsidP="004255F8">
      <w:pPr>
        <w:pStyle w:val="a3"/>
        <w:widowControl/>
      </w:pPr>
    </w:p>
    <w:p w14:paraId="0F864D86" w14:textId="54A7A71C" w:rsidR="00093A5E" w:rsidRPr="006A64EE" w:rsidRDefault="009C2544" w:rsidP="004255F8">
      <w:pPr>
        <w:pStyle w:val="a3"/>
        <w:widowControl/>
      </w:pPr>
      <w:r w:rsidRPr="006A64EE">
        <w:t>Patienten (mit oder ohne Behandlung mit Methotrexat) wurden nach einem Randomisierungsschema im Verhältnis 2:1 entweder der Tocilizumab- oder der Placebo-Behandlungsgruppe zugeteilt.</w:t>
      </w:r>
      <w:r w:rsidR="00605CED">
        <w:t xml:space="preserve"> </w:t>
      </w:r>
      <w:r w:rsidRPr="006A64EE">
        <w:t>75</w:t>
      </w:r>
      <w:r w:rsidR="00605CED">
        <w:t> </w:t>
      </w:r>
      <w:r w:rsidRPr="006A64EE">
        <w:t>Patienten erhielten Tocilizumab als Infusion alle zwei Wochen entweder 8</w:t>
      </w:r>
      <w:r w:rsidR="008D73EB">
        <w:t> </w:t>
      </w:r>
      <w:r w:rsidRPr="006A64EE">
        <w:t>mg/kg (Patienten mit</w:t>
      </w:r>
      <w:r w:rsidR="003427C0" w:rsidRPr="006A64EE">
        <w:t xml:space="preserve"> </w:t>
      </w:r>
      <w:r w:rsidRPr="006A64EE">
        <w:t>≥</w:t>
      </w:r>
      <w:r w:rsidR="00605CED">
        <w:t> </w:t>
      </w:r>
      <w:r w:rsidRPr="006A64EE">
        <w:t>30 kg Körpergewicht) oder 12</w:t>
      </w:r>
      <w:r w:rsidR="008D73EB">
        <w:t> </w:t>
      </w:r>
      <w:r w:rsidRPr="006A64EE">
        <w:t>mg/kg (Patienten mit &lt; 30 kg Körpergewicht) und 37 Patienten</w:t>
      </w:r>
      <w:r w:rsidR="003427C0" w:rsidRPr="006A64EE">
        <w:t xml:space="preserve"> </w:t>
      </w:r>
      <w:r w:rsidR="007D680A" w:rsidRPr="006A64EE">
        <w:t>wurden der Placebo-Gruppe zugeteilt und erhielten Placebo als Infusion alle zwei Wochen. Das Ausschleichen einer Corticosteroid-Therapie war ab Woche 6 bei Patienten erlaubt, die ein JIA ACR-70-Ansprechen erreicht hatten. Nach 12 Wochen oder bei Abbruch aufgrund einer Verschlimmerung der Erkrankung wurden Patienten in der offenen Phase mit gewichtsbezogenen Dosen behandelt.</w:t>
      </w:r>
    </w:p>
    <w:p w14:paraId="2E58D28A" w14:textId="77777777" w:rsidR="00093A5E" w:rsidRPr="006A64EE" w:rsidRDefault="00093A5E" w:rsidP="004255F8">
      <w:pPr>
        <w:pStyle w:val="a3"/>
        <w:widowControl/>
      </w:pPr>
    </w:p>
    <w:p w14:paraId="14C6B3EB" w14:textId="77777777" w:rsidR="00093A5E" w:rsidRPr="006A64EE" w:rsidRDefault="009C2544" w:rsidP="004255F8">
      <w:pPr>
        <w:widowControl/>
        <w:rPr>
          <w:i/>
        </w:rPr>
      </w:pPr>
      <w:r w:rsidRPr="006A64EE">
        <w:rPr>
          <w:i/>
        </w:rPr>
        <w:t>Klinisches Ansprechen</w:t>
      </w:r>
    </w:p>
    <w:p w14:paraId="274445F7" w14:textId="77777777" w:rsidR="00093A5E" w:rsidRPr="006A64EE" w:rsidRDefault="009C2544" w:rsidP="004255F8">
      <w:pPr>
        <w:pStyle w:val="a3"/>
        <w:widowControl/>
      </w:pPr>
      <w:r w:rsidRPr="006A64EE">
        <w:t>Der primäre Endpunkt war der Anteil an Patienten mit einer mindestens 30%igen Verbesserung der JIA ACR Core-Set-Kriterien (JIA ACR-30-Ansprechen) in Woche 12 ohne Auftreten von Fieber (keine Temperaturmessung von ≥ 37,5 °C in den vorangegangenen 7 Tagen). 85 % (64/75) der Patienten, die mit Tocilizumab behandelt wurden, und 24,3 % (9/37) der Patienten, die mit Placebo behandelt wurden, erreichten diesen Endpunkt. Diese Prozentsätze zeigten einen hoch signifikanten Unterschied (p &lt; 0,0001).</w:t>
      </w:r>
    </w:p>
    <w:p w14:paraId="013CC956" w14:textId="77777777" w:rsidR="00093A5E" w:rsidRPr="006A64EE" w:rsidRDefault="00093A5E" w:rsidP="004255F8">
      <w:pPr>
        <w:pStyle w:val="a3"/>
        <w:widowControl/>
      </w:pPr>
    </w:p>
    <w:p w14:paraId="0D0813DA" w14:textId="77777777" w:rsidR="00093A5E" w:rsidRPr="006A64EE" w:rsidRDefault="009C2544" w:rsidP="004255F8">
      <w:pPr>
        <w:pStyle w:val="a3"/>
        <w:widowControl/>
      </w:pPr>
      <w:r w:rsidRPr="006A64EE">
        <w:t>Die Prozentsätze der Patienten, die ein JIA ACR-30-, -50-, -70- und -90-Ansprechen erreichten, sind in Tabelle 8 dargestellt.</w:t>
      </w:r>
    </w:p>
    <w:p w14:paraId="09EE4B2F" w14:textId="77777777" w:rsidR="00093A5E" w:rsidRPr="006A64EE" w:rsidRDefault="00093A5E" w:rsidP="004255F8">
      <w:pPr>
        <w:pStyle w:val="a3"/>
        <w:widowControl/>
      </w:pPr>
    </w:p>
    <w:p w14:paraId="0BE4A3E3" w14:textId="77777777" w:rsidR="00093A5E" w:rsidRPr="006A64EE" w:rsidRDefault="009C2544" w:rsidP="004255F8">
      <w:pPr>
        <w:pStyle w:val="Tabletittle"/>
      </w:pPr>
      <w:r w:rsidRPr="006A64EE">
        <w:t>Tabelle 8:</w:t>
      </w:r>
      <w:r w:rsidR="00B81266" w:rsidRPr="006A64EE">
        <w:tab/>
      </w:r>
      <w:r w:rsidRPr="006A64EE">
        <w:t>JIA ACR-Ansprechraten nach 12 Wochen (% Patienten)</w:t>
      </w:r>
    </w:p>
    <w:p w14:paraId="1CFA9329" w14:textId="15C6EFA7" w:rsidR="002D5756" w:rsidRPr="006A64EE" w:rsidRDefault="002D5756" w:rsidP="004255F8">
      <w:pPr>
        <w:pStyle w:val="a3"/>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234"/>
        <w:gridCol w:w="2409"/>
        <w:gridCol w:w="3261"/>
      </w:tblGrid>
      <w:tr w:rsidR="00593482" w:rsidRPr="006A64EE" w14:paraId="44536867" w14:textId="77777777" w:rsidTr="00B81266">
        <w:trPr>
          <w:cantSplit/>
        </w:trPr>
        <w:tc>
          <w:tcPr>
            <w:tcW w:w="2234" w:type="dxa"/>
          </w:tcPr>
          <w:p w14:paraId="53EC4E21" w14:textId="77777777" w:rsidR="002D5756" w:rsidRPr="006A64EE" w:rsidRDefault="009C2544" w:rsidP="004255F8">
            <w:pPr>
              <w:pStyle w:val="TableParagraph"/>
              <w:widowControl/>
              <w:suppressAutoHyphens/>
              <w:rPr>
                <w:b/>
                <w:sz w:val="20"/>
                <w:szCs w:val="20"/>
              </w:rPr>
            </w:pPr>
            <w:r w:rsidRPr="006A64EE">
              <w:rPr>
                <w:b/>
                <w:sz w:val="20"/>
                <w:szCs w:val="20"/>
              </w:rPr>
              <w:t>Ansprechrate</w:t>
            </w:r>
          </w:p>
        </w:tc>
        <w:tc>
          <w:tcPr>
            <w:tcW w:w="2409" w:type="dxa"/>
          </w:tcPr>
          <w:p w14:paraId="2C9139BE" w14:textId="1AA35CDA" w:rsidR="00093A5E" w:rsidRPr="006A64EE" w:rsidRDefault="009C2544" w:rsidP="00255FBD">
            <w:pPr>
              <w:pStyle w:val="TableParagraph"/>
              <w:widowControl/>
              <w:suppressAutoHyphens/>
              <w:jc w:val="center"/>
              <w:rPr>
                <w:b/>
                <w:sz w:val="20"/>
                <w:szCs w:val="20"/>
              </w:rPr>
            </w:pPr>
            <w:r w:rsidRPr="006A64EE">
              <w:rPr>
                <w:b/>
                <w:sz w:val="20"/>
                <w:szCs w:val="20"/>
              </w:rPr>
              <w:t>Tocilizumab</w:t>
            </w:r>
          </w:p>
          <w:p w14:paraId="2B7E37B5" w14:textId="5D6FFEDD" w:rsidR="002D5756" w:rsidRPr="006A64EE" w:rsidRDefault="009C2544" w:rsidP="00255FBD">
            <w:pPr>
              <w:pStyle w:val="TableParagraph"/>
              <w:widowControl/>
              <w:suppressAutoHyphens/>
              <w:jc w:val="center"/>
              <w:rPr>
                <w:b/>
                <w:sz w:val="20"/>
                <w:szCs w:val="20"/>
              </w:rPr>
            </w:pPr>
            <w:r w:rsidRPr="006A64EE">
              <w:rPr>
                <w:b/>
                <w:sz w:val="20"/>
                <w:szCs w:val="20"/>
              </w:rPr>
              <w:t>n = 75</w:t>
            </w:r>
          </w:p>
        </w:tc>
        <w:tc>
          <w:tcPr>
            <w:tcW w:w="3261" w:type="dxa"/>
          </w:tcPr>
          <w:p w14:paraId="55863154" w14:textId="082DE114" w:rsidR="00093A5E" w:rsidRPr="006A64EE" w:rsidRDefault="009C2544" w:rsidP="00255FBD">
            <w:pPr>
              <w:pStyle w:val="TableParagraph"/>
              <w:widowControl/>
              <w:suppressAutoHyphens/>
              <w:jc w:val="center"/>
              <w:rPr>
                <w:b/>
                <w:sz w:val="20"/>
                <w:szCs w:val="20"/>
              </w:rPr>
            </w:pPr>
            <w:r w:rsidRPr="006A64EE">
              <w:rPr>
                <w:b/>
                <w:sz w:val="20"/>
                <w:szCs w:val="20"/>
              </w:rPr>
              <w:t>Placebo</w:t>
            </w:r>
          </w:p>
          <w:p w14:paraId="242BEDED" w14:textId="5A60FAE6" w:rsidR="002D5756" w:rsidRPr="006A64EE" w:rsidRDefault="009C2544" w:rsidP="00255FBD">
            <w:pPr>
              <w:pStyle w:val="TableParagraph"/>
              <w:widowControl/>
              <w:suppressAutoHyphens/>
              <w:jc w:val="center"/>
              <w:rPr>
                <w:b/>
                <w:sz w:val="20"/>
                <w:szCs w:val="20"/>
              </w:rPr>
            </w:pPr>
            <w:r w:rsidRPr="006A64EE">
              <w:rPr>
                <w:b/>
                <w:sz w:val="20"/>
                <w:szCs w:val="20"/>
              </w:rPr>
              <w:t>n = 37</w:t>
            </w:r>
          </w:p>
        </w:tc>
      </w:tr>
      <w:tr w:rsidR="00593482" w:rsidRPr="006A64EE" w14:paraId="4D6FC333" w14:textId="77777777" w:rsidTr="00B81266">
        <w:trPr>
          <w:cantSplit/>
        </w:trPr>
        <w:tc>
          <w:tcPr>
            <w:tcW w:w="2234" w:type="dxa"/>
          </w:tcPr>
          <w:p w14:paraId="4ED8FFF3" w14:textId="77777777" w:rsidR="002D5756" w:rsidRPr="006A64EE" w:rsidRDefault="009C2544" w:rsidP="004255F8">
            <w:pPr>
              <w:pStyle w:val="TableParagraph"/>
              <w:widowControl/>
              <w:suppressAutoHyphens/>
              <w:rPr>
                <w:sz w:val="20"/>
                <w:szCs w:val="20"/>
              </w:rPr>
            </w:pPr>
            <w:r w:rsidRPr="006A64EE">
              <w:rPr>
                <w:sz w:val="20"/>
                <w:szCs w:val="20"/>
              </w:rPr>
              <w:t>JIA ACR-30</w:t>
            </w:r>
          </w:p>
        </w:tc>
        <w:tc>
          <w:tcPr>
            <w:tcW w:w="2409" w:type="dxa"/>
          </w:tcPr>
          <w:p w14:paraId="75DFE085" w14:textId="77777777" w:rsidR="002D5756" w:rsidRPr="006A64EE" w:rsidRDefault="009C2544" w:rsidP="004255F8">
            <w:pPr>
              <w:pStyle w:val="TableParagraph"/>
              <w:widowControl/>
              <w:suppressAutoHyphens/>
              <w:jc w:val="center"/>
              <w:rPr>
                <w:sz w:val="20"/>
                <w:szCs w:val="20"/>
              </w:rPr>
            </w:pPr>
            <w:r w:rsidRPr="006A64EE">
              <w:rPr>
                <w:sz w:val="20"/>
                <w:szCs w:val="20"/>
              </w:rPr>
              <w:t>90,7 %</w:t>
            </w:r>
            <w:r w:rsidRPr="006A64EE">
              <w:rPr>
                <w:sz w:val="20"/>
                <w:szCs w:val="20"/>
                <w:vertAlign w:val="superscript"/>
              </w:rPr>
              <w:t>1</w:t>
            </w:r>
          </w:p>
        </w:tc>
        <w:tc>
          <w:tcPr>
            <w:tcW w:w="3261" w:type="dxa"/>
          </w:tcPr>
          <w:p w14:paraId="28B546F4" w14:textId="77777777" w:rsidR="002D5756" w:rsidRPr="006A64EE" w:rsidRDefault="009C2544" w:rsidP="004255F8">
            <w:pPr>
              <w:pStyle w:val="TableParagraph"/>
              <w:widowControl/>
              <w:suppressAutoHyphens/>
              <w:jc w:val="center"/>
              <w:rPr>
                <w:sz w:val="20"/>
                <w:szCs w:val="20"/>
              </w:rPr>
            </w:pPr>
            <w:r w:rsidRPr="006A64EE">
              <w:rPr>
                <w:sz w:val="20"/>
                <w:szCs w:val="20"/>
              </w:rPr>
              <w:t>24,3 %</w:t>
            </w:r>
          </w:p>
        </w:tc>
      </w:tr>
      <w:tr w:rsidR="00593482" w:rsidRPr="006A64EE" w14:paraId="532E9B52" w14:textId="77777777" w:rsidTr="00B81266">
        <w:trPr>
          <w:cantSplit/>
        </w:trPr>
        <w:tc>
          <w:tcPr>
            <w:tcW w:w="2234" w:type="dxa"/>
          </w:tcPr>
          <w:p w14:paraId="53A05D15" w14:textId="77777777" w:rsidR="002D5756" w:rsidRPr="006A64EE" w:rsidRDefault="009C2544" w:rsidP="004255F8">
            <w:pPr>
              <w:pStyle w:val="TableParagraph"/>
              <w:widowControl/>
              <w:suppressAutoHyphens/>
              <w:rPr>
                <w:sz w:val="20"/>
                <w:szCs w:val="20"/>
              </w:rPr>
            </w:pPr>
            <w:r w:rsidRPr="006A64EE">
              <w:rPr>
                <w:sz w:val="20"/>
                <w:szCs w:val="20"/>
              </w:rPr>
              <w:t>JIA ACR-50</w:t>
            </w:r>
          </w:p>
        </w:tc>
        <w:tc>
          <w:tcPr>
            <w:tcW w:w="2409" w:type="dxa"/>
          </w:tcPr>
          <w:p w14:paraId="4A1FDB80" w14:textId="77777777" w:rsidR="002D5756" w:rsidRPr="006A64EE" w:rsidRDefault="009C2544" w:rsidP="004255F8">
            <w:pPr>
              <w:pStyle w:val="TableParagraph"/>
              <w:widowControl/>
              <w:suppressAutoHyphens/>
              <w:jc w:val="center"/>
              <w:rPr>
                <w:sz w:val="20"/>
                <w:szCs w:val="20"/>
              </w:rPr>
            </w:pPr>
            <w:r w:rsidRPr="006A64EE">
              <w:rPr>
                <w:sz w:val="20"/>
                <w:szCs w:val="20"/>
              </w:rPr>
              <w:t>85,3 %</w:t>
            </w:r>
            <w:r w:rsidRPr="006A64EE">
              <w:rPr>
                <w:sz w:val="20"/>
                <w:szCs w:val="20"/>
                <w:vertAlign w:val="superscript"/>
              </w:rPr>
              <w:t>1</w:t>
            </w:r>
          </w:p>
        </w:tc>
        <w:tc>
          <w:tcPr>
            <w:tcW w:w="3261" w:type="dxa"/>
          </w:tcPr>
          <w:p w14:paraId="4334946B" w14:textId="77777777" w:rsidR="002D5756" w:rsidRPr="006A64EE" w:rsidRDefault="009C2544" w:rsidP="004255F8">
            <w:pPr>
              <w:pStyle w:val="TableParagraph"/>
              <w:widowControl/>
              <w:suppressAutoHyphens/>
              <w:jc w:val="center"/>
              <w:rPr>
                <w:sz w:val="20"/>
                <w:szCs w:val="20"/>
              </w:rPr>
            </w:pPr>
            <w:r w:rsidRPr="006A64EE">
              <w:rPr>
                <w:sz w:val="20"/>
                <w:szCs w:val="20"/>
              </w:rPr>
              <w:t>10,8 %</w:t>
            </w:r>
          </w:p>
        </w:tc>
      </w:tr>
      <w:tr w:rsidR="00593482" w:rsidRPr="006A64EE" w14:paraId="20BDC333" w14:textId="77777777" w:rsidTr="00B81266">
        <w:trPr>
          <w:cantSplit/>
        </w:trPr>
        <w:tc>
          <w:tcPr>
            <w:tcW w:w="2234" w:type="dxa"/>
          </w:tcPr>
          <w:p w14:paraId="3E097972" w14:textId="77777777" w:rsidR="002D5756" w:rsidRPr="006A64EE" w:rsidRDefault="009C2544" w:rsidP="004255F8">
            <w:pPr>
              <w:pStyle w:val="TableParagraph"/>
              <w:widowControl/>
              <w:suppressAutoHyphens/>
              <w:rPr>
                <w:sz w:val="20"/>
                <w:szCs w:val="20"/>
              </w:rPr>
            </w:pPr>
            <w:r w:rsidRPr="006A64EE">
              <w:rPr>
                <w:sz w:val="20"/>
                <w:szCs w:val="20"/>
              </w:rPr>
              <w:t>JIA ACR-70</w:t>
            </w:r>
          </w:p>
        </w:tc>
        <w:tc>
          <w:tcPr>
            <w:tcW w:w="2409" w:type="dxa"/>
          </w:tcPr>
          <w:p w14:paraId="0C84F065" w14:textId="77777777" w:rsidR="002D5756" w:rsidRPr="006A64EE" w:rsidRDefault="009C2544" w:rsidP="004255F8">
            <w:pPr>
              <w:pStyle w:val="TableParagraph"/>
              <w:widowControl/>
              <w:suppressAutoHyphens/>
              <w:jc w:val="center"/>
              <w:rPr>
                <w:sz w:val="20"/>
                <w:szCs w:val="20"/>
              </w:rPr>
            </w:pPr>
            <w:r w:rsidRPr="006A64EE">
              <w:rPr>
                <w:sz w:val="20"/>
                <w:szCs w:val="20"/>
              </w:rPr>
              <w:t>70,7 %</w:t>
            </w:r>
            <w:r w:rsidRPr="006A64EE">
              <w:rPr>
                <w:sz w:val="20"/>
                <w:szCs w:val="20"/>
                <w:vertAlign w:val="superscript"/>
              </w:rPr>
              <w:t>1</w:t>
            </w:r>
          </w:p>
        </w:tc>
        <w:tc>
          <w:tcPr>
            <w:tcW w:w="3261" w:type="dxa"/>
          </w:tcPr>
          <w:p w14:paraId="63070E55" w14:textId="77777777" w:rsidR="002D5756" w:rsidRPr="006A64EE" w:rsidRDefault="009C2544" w:rsidP="004255F8">
            <w:pPr>
              <w:pStyle w:val="TableParagraph"/>
              <w:widowControl/>
              <w:suppressAutoHyphens/>
              <w:jc w:val="center"/>
              <w:rPr>
                <w:sz w:val="20"/>
                <w:szCs w:val="20"/>
              </w:rPr>
            </w:pPr>
            <w:r w:rsidRPr="006A64EE">
              <w:rPr>
                <w:sz w:val="20"/>
                <w:szCs w:val="20"/>
              </w:rPr>
              <w:t>8,1 %</w:t>
            </w:r>
          </w:p>
        </w:tc>
      </w:tr>
      <w:tr w:rsidR="00593482" w:rsidRPr="006A64EE" w14:paraId="2328BB9E" w14:textId="77777777" w:rsidTr="00B81266">
        <w:trPr>
          <w:cantSplit/>
        </w:trPr>
        <w:tc>
          <w:tcPr>
            <w:tcW w:w="2234" w:type="dxa"/>
          </w:tcPr>
          <w:p w14:paraId="2AF639B8" w14:textId="77777777" w:rsidR="002D5756" w:rsidRPr="006A64EE" w:rsidRDefault="009C2544" w:rsidP="004255F8">
            <w:pPr>
              <w:pStyle w:val="TableParagraph"/>
              <w:widowControl/>
              <w:suppressAutoHyphens/>
              <w:rPr>
                <w:sz w:val="20"/>
                <w:szCs w:val="20"/>
              </w:rPr>
            </w:pPr>
            <w:r w:rsidRPr="006A64EE">
              <w:rPr>
                <w:sz w:val="20"/>
                <w:szCs w:val="20"/>
              </w:rPr>
              <w:t>JIA ACR-90</w:t>
            </w:r>
          </w:p>
        </w:tc>
        <w:tc>
          <w:tcPr>
            <w:tcW w:w="2409" w:type="dxa"/>
          </w:tcPr>
          <w:p w14:paraId="4311188B" w14:textId="77777777" w:rsidR="002D5756" w:rsidRPr="006A64EE" w:rsidRDefault="009C2544" w:rsidP="004255F8">
            <w:pPr>
              <w:pStyle w:val="TableParagraph"/>
              <w:widowControl/>
              <w:suppressAutoHyphens/>
              <w:jc w:val="center"/>
              <w:rPr>
                <w:sz w:val="20"/>
                <w:szCs w:val="20"/>
              </w:rPr>
            </w:pPr>
            <w:r w:rsidRPr="006A64EE">
              <w:rPr>
                <w:sz w:val="20"/>
                <w:szCs w:val="20"/>
              </w:rPr>
              <w:t>37,3 %</w:t>
            </w:r>
            <w:r w:rsidRPr="006A64EE">
              <w:rPr>
                <w:sz w:val="20"/>
                <w:szCs w:val="20"/>
                <w:vertAlign w:val="superscript"/>
              </w:rPr>
              <w:t>1</w:t>
            </w:r>
          </w:p>
        </w:tc>
        <w:tc>
          <w:tcPr>
            <w:tcW w:w="3261" w:type="dxa"/>
          </w:tcPr>
          <w:p w14:paraId="01E75807" w14:textId="77777777" w:rsidR="002D5756" w:rsidRPr="006A64EE" w:rsidRDefault="009C2544" w:rsidP="004255F8">
            <w:pPr>
              <w:pStyle w:val="TableParagraph"/>
              <w:widowControl/>
              <w:suppressAutoHyphens/>
              <w:jc w:val="center"/>
              <w:rPr>
                <w:sz w:val="20"/>
                <w:szCs w:val="20"/>
              </w:rPr>
            </w:pPr>
            <w:r w:rsidRPr="006A64EE">
              <w:rPr>
                <w:sz w:val="20"/>
                <w:szCs w:val="20"/>
              </w:rPr>
              <w:t>5,4 %</w:t>
            </w:r>
          </w:p>
        </w:tc>
      </w:tr>
    </w:tbl>
    <w:p w14:paraId="04CBD7D8" w14:textId="77777777" w:rsidR="00093A5E" w:rsidRPr="006A64EE" w:rsidRDefault="009C2544" w:rsidP="004255F8">
      <w:pPr>
        <w:widowControl/>
        <w:rPr>
          <w:i/>
          <w:sz w:val="18"/>
          <w:szCs w:val="18"/>
        </w:rPr>
      </w:pPr>
      <w:r w:rsidRPr="006A64EE">
        <w:rPr>
          <w:i/>
          <w:sz w:val="18"/>
          <w:szCs w:val="18"/>
          <w:vertAlign w:val="superscript"/>
        </w:rPr>
        <w:t>1</w:t>
      </w:r>
      <w:r w:rsidRPr="006A64EE">
        <w:rPr>
          <w:i/>
          <w:sz w:val="18"/>
          <w:szCs w:val="18"/>
        </w:rPr>
        <w:t xml:space="preserve"> p &lt; 0,0001, Tocilizumab vs. Placebo</w:t>
      </w:r>
    </w:p>
    <w:p w14:paraId="1B241A4A" w14:textId="77777777" w:rsidR="00093A5E" w:rsidRPr="006A64EE" w:rsidRDefault="00093A5E" w:rsidP="004255F8">
      <w:pPr>
        <w:pStyle w:val="a3"/>
        <w:widowControl/>
        <w:rPr>
          <w:i/>
        </w:rPr>
      </w:pPr>
    </w:p>
    <w:p w14:paraId="5A7B821B" w14:textId="77777777" w:rsidR="00093A5E" w:rsidRPr="006A64EE" w:rsidRDefault="009C2544" w:rsidP="004255F8">
      <w:pPr>
        <w:widowControl/>
        <w:rPr>
          <w:i/>
        </w:rPr>
      </w:pPr>
      <w:r w:rsidRPr="006A64EE">
        <w:rPr>
          <w:i/>
        </w:rPr>
        <w:t>Systemische Wirkungen</w:t>
      </w:r>
    </w:p>
    <w:p w14:paraId="2BC0E364" w14:textId="3EC2B289" w:rsidR="00093A5E" w:rsidRPr="006A64EE" w:rsidRDefault="009C2544" w:rsidP="004255F8">
      <w:pPr>
        <w:pStyle w:val="a3"/>
        <w:widowControl/>
      </w:pPr>
      <w:r w:rsidRPr="006A64EE">
        <w:t>Von den mit Tocilizumab behandelten Patienten waren 85 %, die zu Beginn der Behandlung sJIA-bedingtes Fieber hatten, in Woche 12 fieberfrei (keine Temperaturmessung von ≥ 37,5 °C in den vorangegangenen 14 Tagen), im Gegensatz zu 21 % der Placebo-Patienten (p &lt; 0,0001).</w:t>
      </w:r>
    </w:p>
    <w:p w14:paraId="21E03558" w14:textId="77777777" w:rsidR="00093A5E" w:rsidRPr="006A64EE" w:rsidRDefault="00093A5E" w:rsidP="004255F8">
      <w:pPr>
        <w:pStyle w:val="a3"/>
        <w:widowControl/>
      </w:pPr>
    </w:p>
    <w:p w14:paraId="76875967" w14:textId="77777777" w:rsidR="00093A5E" w:rsidRPr="006A64EE" w:rsidRDefault="009C2544" w:rsidP="004255F8">
      <w:pPr>
        <w:pStyle w:val="a3"/>
        <w:widowControl/>
      </w:pPr>
      <w:r w:rsidRPr="006A64EE">
        <w:t>Die bereinigte mittlere Veränderung des Schmerzempfindens auf der VAS war nach 12-wöchiger Behandlung mit Tocilizumab auf einer Skala von 0 - 100 um 41 Punkte verringert, im Vergleich zu einer Verringerung um 1 Punkt bei Patienten, die mit Placebo behandelt wurden (p &lt; 0,0001).</w:t>
      </w:r>
    </w:p>
    <w:p w14:paraId="417DB4F6" w14:textId="77777777" w:rsidR="00093A5E" w:rsidRPr="006A64EE" w:rsidRDefault="00093A5E" w:rsidP="004255F8">
      <w:pPr>
        <w:pStyle w:val="a3"/>
        <w:widowControl/>
      </w:pPr>
    </w:p>
    <w:p w14:paraId="61E79D4E" w14:textId="77777777" w:rsidR="00093A5E" w:rsidRPr="006A64EE" w:rsidRDefault="009C2544" w:rsidP="004255F8">
      <w:pPr>
        <w:widowControl/>
        <w:rPr>
          <w:i/>
        </w:rPr>
      </w:pPr>
      <w:r w:rsidRPr="006A64EE">
        <w:rPr>
          <w:i/>
        </w:rPr>
        <w:t>Ausschleichen der Corticosteroid-Therapie</w:t>
      </w:r>
    </w:p>
    <w:p w14:paraId="1AC699CB" w14:textId="3B20864C" w:rsidR="00093A5E" w:rsidRPr="006A64EE" w:rsidRDefault="009C2544" w:rsidP="004255F8">
      <w:pPr>
        <w:pStyle w:val="a3"/>
        <w:widowControl/>
      </w:pPr>
      <w:r w:rsidRPr="006A64EE">
        <w:lastRenderedPageBreak/>
        <w:t>Bei Patienten, die ein JIA ACR-70-Ansprechen erreichten, konnte die Corticosteroid-Dosis reduziert werden. Siebzehn (24 %) Patienten aus der Tocilizumab-Gruppe versus einem (3 %) Patienten aus der Placebo-Gruppe konnten ihre Corticosteroid-Dosis um mindestens 20 % verringern, ohne dass nachfolgend, bis Woche 12, ein JIA ACR-30-Flare folgte oder systemische Symptome auftraten</w:t>
      </w:r>
      <w:r w:rsidR="003427C0" w:rsidRPr="006A64EE">
        <w:t xml:space="preserve"> </w:t>
      </w:r>
      <w:r w:rsidRPr="006A64EE">
        <w:t>(p</w:t>
      </w:r>
      <w:r w:rsidR="0064064C">
        <w:t> </w:t>
      </w:r>
      <w:r w:rsidRPr="006A64EE">
        <w:t>=</w:t>
      </w:r>
      <w:r w:rsidR="0064064C">
        <w:t> </w:t>
      </w:r>
      <w:r w:rsidRPr="006A64EE">
        <w:t>0,028). Das Ausschleichen der Corticosteroide wurde fortgesetzt und in Woche 44 waren bei 44 Patienten keine oralen Corticosteroide mehr notwendig und das JIA ACR-Ansprechen hielt an.</w:t>
      </w:r>
    </w:p>
    <w:p w14:paraId="5006CF7F" w14:textId="77777777" w:rsidR="00093A5E" w:rsidRPr="006A64EE" w:rsidRDefault="00093A5E" w:rsidP="004255F8">
      <w:pPr>
        <w:pStyle w:val="a3"/>
        <w:widowControl/>
      </w:pPr>
    </w:p>
    <w:p w14:paraId="7DCBB2D3" w14:textId="77777777" w:rsidR="00093A5E" w:rsidRPr="006A64EE" w:rsidRDefault="009C2544" w:rsidP="004255F8">
      <w:pPr>
        <w:keepNext/>
        <w:widowControl/>
        <w:rPr>
          <w:i/>
        </w:rPr>
      </w:pPr>
      <w:r w:rsidRPr="006A64EE">
        <w:rPr>
          <w:i/>
        </w:rPr>
        <w:t>Gesundheitsbezogene Ergebnisse und Lebensqualität</w:t>
      </w:r>
    </w:p>
    <w:p w14:paraId="10A29A8D" w14:textId="77777777" w:rsidR="00093A5E" w:rsidRPr="006A64EE" w:rsidRDefault="009C2544" w:rsidP="004255F8">
      <w:pPr>
        <w:pStyle w:val="a3"/>
        <w:widowControl/>
      </w:pPr>
      <w:r w:rsidRPr="006A64EE">
        <w:t xml:space="preserve">In Woche 12 lag der Anteil der mit Tocilizumab behandelten Patienten, die eine minimale klinisch relevante Verbesserung des „Childhood Health Assessment Questionnaire </w:t>
      </w:r>
      <w:r w:rsidR="00274F58" w:rsidRPr="006A64EE">
        <w:t>-</w:t>
      </w:r>
      <w:r w:rsidRPr="006A64EE">
        <w:t xml:space="preserve"> Disability</w:t>
      </w:r>
      <w:r w:rsidR="003427C0" w:rsidRPr="006A64EE">
        <w:t xml:space="preserve"> </w:t>
      </w:r>
      <w:r w:rsidRPr="006A64EE">
        <w:t xml:space="preserve">Index“ (definiert als individueller Rückgang des Gesamtscores um ≥ 0,13) zeigten, signifikant höher als bei mit Placebo behandelten Patienten: 77 % </w:t>
      </w:r>
      <w:r w:rsidRPr="006A64EE">
        <w:rPr>
          <w:i/>
        </w:rPr>
        <w:t xml:space="preserve">vs. </w:t>
      </w:r>
      <w:r w:rsidRPr="006A64EE">
        <w:t>19 % (p &lt; 0,0001).</w:t>
      </w:r>
    </w:p>
    <w:p w14:paraId="490FCBB8" w14:textId="77777777" w:rsidR="00093A5E" w:rsidRPr="006A64EE" w:rsidRDefault="00093A5E" w:rsidP="004255F8">
      <w:pPr>
        <w:pStyle w:val="a3"/>
        <w:widowControl/>
      </w:pPr>
    </w:p>
    <w:p w14:paraId="73E46D17" w14:textId="77777777" w:rsidR="00093A5E" w:rsidRPr="006A64EE" w:rsidRDefault="009C2544" w:rsidP="004255F8">
      <w:pPr>
        <w:widowControl/>
        <w:rPr>
          <w:i/>
        </w:rPr>
      </w:pPr>
      <w:r w:rsidRPr="006A64EE">
        <w:rPr>
          <w:i/>
        </w:rPr>
        <w:t>Laborparameter</w:t>
      </w:r>
    </w:p>
    <w:p w14:paraId="531FE9A2" w14:textId="77777777" w:rsidR="00093A5E" w:rsidRPr="006A64EE" w:rsidRDefault="009C2544" w:rsidP="004255F8">
      <w:pPr>
        <w:pStyle w:val="a3"/>
        <w:widowControl/>
      </w:pPr>
      <w:r w:rsidRPr="006A64EE">
        <w:t>Fünfzig von fünfundsiebzig (67 %) der mit Tocilizumab behandelten Patienten hatten zu Studienbeginn einen Hämoglobinwert &lt; LLN (Lower Limit of Normal = unterer Normalwert). Bei vierzig (80 %) dieser Patienten waren die Hämoglobinwerte in Woche 12 auf die Normalwerte angestiegen, verglichen mit 2 von 29 (7 %) der mit Placebo behandelten Patienten mit einem Ausgangs-Hämoglobinwert &lt; LLN (p &lt; 0,0001).</w:t>
      </w:r>
    </w:p>
    <w:p w14:paraId="0A52BF53" w14:textId="77777777" w:rsidR="00093A5E" w:rsidRPr="006A64EE" w:rsidRDefault="00093A5E" w:rsidP="004255F8">
      <w:pPr>
        <w:pStyle w:val="a3"/>
        <w:widowControl/>
      </w:pPr>
    </w:p>
    <w:p w14:paraId="63734923" w14:textId="77777777" w:rsidR="00093A5E" w:rsidRPr="006A64EE" w:rsidRDefault="007D680A" w:rsidP="004255F8">
      <w:pPr>
        <w:widowControl/>
      </w:pPr>
      <w:r w:rsidRPr="006A64EE">
        <w:rPr>
          <w:i/>
        </w:rPr>
        <w:t>Patienten mit pJIA</w:t>
      </w:r>
    </w:p>
    <w:p w14:paraId="4EAA68D6" w14:textId="77777777" w:rsidR="00093A5E" w:rsidRPr="006A64EE" w:rsidRDefault="009C2544" w:rsidP="004255F8">
      <w:pPr>
        <w:pStyle w:val="a3"/>
        <w:widowControl/>
      </w:pPr>
      <w:r w:rsidRPr="006A64EE">
        <w:t>Klinische Wirksamkeit</w:t>
      </w:r>
    </w:p>
    <w:p w14:paraId="559723ED" w14:textId="4F383154" w:rsidR="00093A5E" w:rsidRPr="006A64EE" w:rsidRDefault="009C2544" w:rsidP="004255F8">
      <w:pPr>
        <w:pStyle w:val="a3"/>
        <w:widowControl/>
      </w:pPr>
      <w:r w:rsidRPr="006A64EE">
        <w:t>Die Wirksamkeit von Tocilizumab wurde in einer dreiteiligen Studie WA19977 mit offener Verlängerungsphase bei Kindern mit aktiver pJIA untersucht. Teil I bestand aus einer 16-wöchigen aktiven Einleitungsphase der Tocilizumab-Behandlung (n = 188), gefolgt von Teil II, einer</w:t>
      </w:r>
      <w:r w:rsidR="0064064C">
        <w:t xml:space="preserve"> </w:t>
      </w:r>
      <w:r w:rsidRPr="006A64EE">
        <w:t>24-wöchigen randomisierten, doppelblinden, placebokontrollierten Absetz-Phase (n = 163), gefolgt von Teil III, einer 64-wöchigen, offenen Phase. In Teil I erhielten eingeschlossene Patienten ≥ 30 kg insgesamt 4 Dosen Tocilizumab, und zwar je 8</w:t>
      </w:r>
      <w:r w:rsidR="008D73EB">
        <w:t> </w:t>
      </w:r>
      <w:r w:rsidRPr="006A64EE">
        <w:t>mg/kg i.v. alle vier Wochen. Patienten &lt; 30 kg wurden mittels Randomisierung im Verhältnis 1:1 entweder Dosierungen zu 8</w:t>
      </w:r>
      <w:r w:rsidR="008D73EB">
        <w:t> </w:t>
      </w:r>
      <w:r w:rsidRPr="006A64EE">
        <w:t>mg/kg oder 10</w:t>
      </w:r>
      <w:r w:rsidR="008D73EB">
        <w:t> </w:t>
      </w:r>
      <w:r w:rsidRPr="006A64EE">
        <w:t>mg/kg i.v. für insgesamt 4 Dosen, verabreicht alle 4 Wochen, zugeteilt. Patienten, die Teil I der Studie abgeschlossen und mindestens ein JIA ACR-30-Ansprechen in Woche 16 im Vergleich zu Baseline erreicht hatten, waren zur Teilnahme an der verblindeten Absetz-Phase (Teil II) der Studie geeignet. In Teil II wurden die Patienten mittels Randomisierung entweder Tocilizumab (gleiche Dosis wie in Teil I) oder Placebo im Verhältnis 1:1 zugeteilt, stratifiziert nach gleichzeitiger Anwendung von MTX und Corticosteroiden. Jeder Patient in Teil II der Studie blieb bis Woche 40 oder bis er die JIA ACR-30-Flare-Kriterien erfüllte (relativ zu Woche 16) und sich für einen Escape zur Behandlung mit Tocilizumab (die gleiche Dosis wie in Teil 1) qualifizierte.</w:t>
      </w:r>
    </w:p>
    <w:p w14:paraId="224A0FB2" w14:textId="77777777" w:rsidR="00093A5E" w:rsidRPr="006A64EE" w:rsidRDefault="00093A5E" w:rsidP="004255F8">
      <w:pPr>
        <w:pStyle w:val="a3"/>
        <w:widowControl/>
      </w:pPr>
    </w:p>
    <w:p w14:paraId="1EB5B144" w14:textId="77777777" w:rsidR="00093A5E" w:rsidRPr="006A64EE" w:rsidRDefault="009C2544" w:rsidP="004255F8">
      <w:pPr>
        <w:widowControl/>
        <w:rPr>
          <w:i/>
        </w:rPr>
      </w:pPr>
      <w:r w:rsidRPr="006A64EE">
        <w:rPr>
          <w:i/>
        </w:rPr>
        <w:t>Klinisches Ansprechen</w:t>
      </w:r>
    </w:p>
    <w:p w14:paraId="27C5410F" w14:textId="77777777" w:rsidR="00093A5E" w:rsidRPr="006A64EE" w:rsidRDefault="009C2544" w:rsidP="004255F8">
      <w:pPr>
        <w:pStyle w:val="a3"/>
        <w:widowControl/>
      </w:pPr>
      <w:r w:rsidRPr="006A64EE">
        <w:t>Der primäre Endpunkt war der Anteil an Patienten mit einem JIA ACR-30-Flare in Woche 40 im Vergleich zu Woche 16. Bei 48 % (48,1 %; 39/81) der Patienten, die mit Placebo behandelt wurden, kam es im Vergleich zu 25,6 % (21/82) der mit Tocilizumab behandelten Patienten zu einem Flare. Diese Anteile waren statistisch signifikant unterschiedlich (p = 0,0024).</w:t>
      </w:r>
    </w:p>
    <w:p w14:paraId="555D9206" w14:textId="77777777" w:rsidR="00093A5E" w:rsidRPr="006A64EE" w:rsidRDefault="00093A5E" w:rsidP="004255F8">
      <w:pPr>
        <w:pStyle w:val="a3"/>
        <w:widowControl/>
      </w:pPr>
    </w:p>
    <w:p w14:paraId="02131BE6" w14:textId="4D754ADF" w:rsidR="00093A5E" w:rsidRPr="006A64EE" w:rsidRDefault="009C2544" w:rsidP="004255F8">
      <w:pPr>
        <w:pStyle w:val="a3"/>
        <w:widowControl/>
      </w:pPr>
      <w:r w:rsidRPr="006A64EE">
        <w:t>Bei Beenden von Teil I lagen JIA ACR-30-/50-/70-/90-Ansprechen bei jeweils 89,4 %, 83,0 %, 62,2</w:t>
      </w:r>
      <w:r w:rsidR="00E270C6">
        <w:t> </w:t>
      </w:r>
      <w:r w:rsidRPr="006A64EE">
        <w:t>% und 26,1 %.</w:t>
      </w:r>
    </w:p>
    <w:p w14:paraId="3221F8E9" w14:textId="77777777" w:rsidR="00093A5E" w:rsidRPr="006A64EE" w:rsidRDefault="00093A5E" w:rsidP="004255F8">
      <w:pPr>
        <w:pStyle w:val="a3"/>
        <w:widowControl/>
      </w:pPr>
    </w:p>
    <w:p w14:paraId="0963DB17" w14:textId="77777777" w:rsidR="00093A5E" w:rsidRPr="006A64EE" w:rsidRDefault="009C2544" w:rsidP="004255F8">
      <w:pPr>
        <w:pStyle w:val="a3"/>
        <w:widowControl/>
      </w:pPr>
      <w:r w:rsidRPr="006A64EE">
        <w:t>Der Prozentsatz der Patienten, die während der Absetz-Phase (Teil II) in Woche 40 im Vergleich zu Baseline ein JIA ACR-30-/50-/70-Ansprechen hatten, ist in Tabelle 9 dargestellt. In dieser statistischen Analyse wurden Patienten, bei denen es während Teil II zu einem Flare kam (und zu einem Escape zu TCZ) oder Patienten, die die Behandlung abgebrochen haben, als Patienten ohne Ansprechen klassifiziert. Eine zusätzliche Analyse des JIA ACR-Ansprechens, die beobachtete Daten aus Woche 40 unabhängig vom Flare-Status mit einbezog, zeigte, dass in Woche 40 95,1 % der Patienten, die eine kontinuierliche TCZ-Therapie erhielten, eine JIA ACR-30 oder höher erreicht hatten.</w:t>
      </w:r>
    </w:p>
    <w:p w14:paraId="56D8B68E" w14:textId="77777777" w:rsidR="00093A5E" w:rsidRPr="006A64EE" w:rsidRDefault="00093A5E" w:rsidP="004255F8">
      <w:pPr>
        <w:pStyle w:val="a3"/>
        <w:widowControl/>
      </w:pPr>
    </w:p>
    <w:p w14:paraId="7FBA4C98" w14:textId="77777777" w:rsidR="00093A5E" w:rsidRPr="006A64EE" w:rsidRDefault="009C2544" w:rsidP="009B5E21">
      <w:pPr>
        <w:pStyle w:val="Tabletittle"/>
      </w:pPr>
      <w:r w:rsidRPr="006A64EE">
        <w:lastRenderedPageBreak/>
        <w:t>Tabelle 9:</w:t>
      </w:r>
      <w:r w:rsidR="00B81266" w:rsidRPr="006A64EE">
        <w:tab/>
      </w:r>
      <w:r w:rsidRPr="006A64EE">
        <w:t>JIA ACR-Ansprechraten in Woche 40 im Vergleich zu Baseline (% Patienten)</w:t>
      </w:r>
    </w:p>
    <w:p w14:paraId="3EA6CB0B" w14:textId="52E03E13" w:rsidR="002D5756" w:rsidRPr="006A64EE" w:rsidRDefault="002D5756" w:rsidP="009B5E21">
      <w:pPr>
        <w:pStyle w:val="a3"/>
        <w:keepNext/>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215"/>
        <w:gridCol w:w="2378"/>
        <w:gridCol w:w="2347"/>
      </w:tblGrid>
      <w:tr w:rsidR="00593482" w:rsidRPr="006A64EE" w14:paraId="14451564" w14:textId="77777777" w:rsidTr="00654FF6">
        <w:trPr>
          <w:tblHeader/>
        </w:trPr>
        <w:tc>
          <w:tcPr>
            <w:tcW w:w="2215" w:type="dxa"/>
          </w:tcPr>
          <w:p w14:paraId="1FC82D01" w14:textId="77777777" w:rsidR="002D5756" w:rsidRPr="006A64EE" w:rsidRDefault="009C2544" w:rsidP="009B5E21">
            <w:pPr>
              <w:pStyle w:val="TableParagraph"/>
              <w:keepNext/>
              <w:widowControl/>
              <w:suppressAutoHyphens/>
              <w:rPr>
                <w:b/>
                <w:sz w:val="20"/>
                <w:szCs w:val="20"/>
              </w:rPr>
            </w:pPr>
            <w:r w:rsidRPr="006A64EE">
              <w:rPr>
                <w:b/>
                <w:sz w:val="20"/>
                <w:szCs w:val="20"/>
              </w:rPr>
              <w:t>Ansprechrate</w:t>
            </w:r>
          </w:p>
        </w:tc>
        <w:tc>
          <w:tcPr>
            <w:tcW w:w="2378" w:type="dxa"/>
          </w:tcPr>
          <w:p w14:paraId="4D94FD27" w14:textId="77777777" w:rsidR="00093A5E" w:rsidRPr="006A64EE" w:rsidRDefault="009C2544" w:rsidP="009B5E21">
            <w:pPr>
              <w:pStyle w:val="TableParagraph"/>
              <w:keepNext/>
              <w:widowControl/>
              <w:suppressAutoHyphens/>
              <w:jc w:val="center"/>
              <w:rPr>
                <w:sz w:val="20"/>
                <w:szCs w:val="20"/>
              </w:rPr>
            </w:pPr>
            <w:r w:rsidRPr="006A64EE">
              <w:rPr>
                <w:sz w:val="20"/>
                <w:szCs w:val="20"/>
              </w:rPr>
              <w:t>Tocilizumab</w:t>
            </w:r>
          </w:p>
          <w:p w14:paraId="2AA56EEC" w14:textId="2919606D" w:rsidR="002D5756" w:rsidRPr="006A64EE" w:rsidRDefault="009C2544" w:rsidP="009B5E21">
            <w:pPr>
              <w:pStyle w:val="TableParagraph"/>
              <w:keepNext/>
              <w:widowControl/>
              <w:suppressAutoHyphens/>
              <w:jc w:val="center"/>
              <w:rPr>
                <w:sz w:val="20"/>
                <w:szCs w:val="20"/>
              </w:rPr>
            </w:pPr>
            <w:r w:rsidRPr="006A64EE">
              <w:rPr>
                <w:sz w:val="20"/>
                <w:szCs w:val="20"/>
              </w:rPr>
              <w:t>n = 82</w:t>
            </w:r>
          </w:p>
        </w:tc>
        <w:tc>
          <w:tcPr>
            <w:tcW w:w="2347" w:type="dxa"/>
          </w:tcPr>
          <w:p w14:paraId="65B66E7D" w14:textId="77777777" w:rsidR="00093A5E" w:rsidRPr="006A64EE" w:rsidRDefault="009C2544" w:rsidP="009B5E21">
            <w:pPr>
              <w:pStyle w:val="TableParagraph"/>
              <w:keepNext/>
              <w:widowControl/>
              <w:suppressAutoHyphens/>
              <w:jc w:val="center"/>
              <w:rPr>
                <w:sz w:val="20"/>
                <w:szCs w:val="20"/>
              </w:rPr>
            </w:pPr>
            <w:r w:rsidRPr="006A64EE">
              <w:rPr>
                <w:sz w:val="20"/>
                <w:szCs w:val="20"/>
              </w:rPr>
              <w:t>Placebo</w:t>
            </w:r>
          </w:p>
          <w:p w14:paraId="504F7B96" w14:textId="67C0ACEA" w:rsidR="002D5756" w:rsidRPr="006A64EE" w:rsidRDefault="009C2544" w:rsidP="009B5E21">
            <w:pPr>
              <w:pStyle w:val="TableParagraph"/>
              <w:keepNext/>
              <w:widowControl/>
              <w:suppressAutoHyphens/>
              <w:jc w:val="center"/>
              <w:rPr>
                <w:sz w:val="20"/>
                <w:szCs w:val="20"/>
              </w:rPr>
            </w:pPr>
            <w:r w:rsidRPr="006A64EE">
              <w:rPr>
                <w:sz w:val="20"/>
                <w:szCs w:val="20"/>
              </w:rPr>
              <w:t>n = 81</w:t>
            </w:r>
          </w:p>
        </w:tc>
      </w:tr>
      <w:tr w:rsidR="00593482" w:rsidRPr="006A64EE" w14:paraId="3B8DFA05" w14:textId="77777777" w:rsidTr="00B81266">
        <w:trPr>
          <w:cantSplit/>
        </w:trPr>
        <w:tc>
          <w:tcPr>
            <w:tcW w:w="2215" w:type="dxa"/>
          </w:tcPr>
          <w:p w14:paraId="39526662" w14:textId="77777777" w:rsidR="002D5756" w:rsidRPr="006A64EE" w:rsidRDefault="009C2544" w:rsidP="004255F8">
            <w:pPr>
              <w:pStyle w:val="TableParagraph"/>
              <w:widowControl/>
              <w:suppressAutoHyphens/>
              <w:rPr>
                <w:sz w:val="20"/>
                <w:szCs w:val="20"/>
              </w:rPr>
            </w:pPr>
            <w:r w:rsidRPr="006A64EE">
              <w:rPr>
                <w:sz w:val="20"/>
                <w:szCs w:val="20"/>
              </w:rPr>
              <w:t>ACR-30</w:t>
            </w:r>
          </w:p>
        </w:tc>
        <w:tc>
          <w:tcPr>
            <w:tcW w:w="2378" w:type="dxa"/>
          </w:tcPr>
          <w:p w14:paraId="292E9B43" w14:textId="77777777" w:rsidR="002D5756" w:rsidRPr="006A64EE" w:rsidRDefault="009C2544" w:rsidP="004255F8">
            <w:pPr>
              <w:pStyle w:val="TableParagraph"/>
              <w:widowControl/>
              <w:suppressAutoHyphens/>
              <w:jc w:val="center"/>
              <w:rPr>
                <w:sz w:val="20"/>
                <w:szCs w:val="20"/>
              </w:rPr>
            </w:pPr>
            <w:r w:rsidRPr="006A64EE">
              <w:rPr>
                <w:sz w:val="20"/>
                <w:szCs w:val="20"/>
              </w:rPr>
              <w:t>74,4 %*</w:t>
            </w:r>
          </w:p>
        </w:tc>
        <w:tc>
          <w:tcPr>
            <w:tcW w:w="2347" w:type="dxa"/>
          </w:tcPr>
          <w:p w14:paraId="7C073520" w14:textId="77777777" w:rsidR="002D5756" w:rsidRPr="006A64EE" w:rsidRDefault="009C2544" w:rsidP="004255F8">
            <w:pPr>
              <w:pStyle w:val="TableParagraph"/>
              <w:widowControl/>
              <w:suppressAutoHyphens/>
              <w:jc w:val="center"/>
              <w:rPr>
                <w:sz w:val="20"/>
                <w:szCs w:val="20"/>
              </w:rPr>
            </w:pPr>
            <w:r w:rsidRPr="006A64EE">
              <w:rPr>
                <w:sz w:val="20"/>
                <w:szCs w:val="20"/>
              </w:rPr>
              <w:t>54,3 %*</w:t>
            </w:r>
          </w:p>
        </w:tc>
      </w:tr>
      <w:tr w:rsidR="00593482" w:rsidRPr="006A64EE" w14:paraId="4B42EA28" w14:textId="77777777" w:rsidTr="00B81266">
        <w:trPr>
          <w:cantSplit/>
        </w:trPr>
        <w:tc>
          <w:tcPr>
            <w:tcW w:w="2215" w:type="dxa"/>
          </w:tcPr>
          <w:p w14:paraId="50BD7326" w14:textId="77777777" w:rsidR="002D5756" w:rsidRPr="006A64EE" w:rsidRDefault="009C2544" w:rsidP="004255F8">
            <w:pPr>
              <w:pStyle w:val="TableParagraph"/>
              <w:widowControl/>
              <w:suppressAutoHyphens/>
              <w:rPr>
                <w:sz w:val="20"/>
                <w:szCs w:val="20"/>
              </w:rPr>
            </w:pPr>
            <w:r w:rsidRPr="006A64EE">
              <w:rPr>
                <w:sz w:val="20"/>
                <w:szCs w:val="20"/>
              </w:rPr>
              <w:t>ACR-50</w:t>
            </w:r>
          </w:p>
        </w:tc>
        <w:tc>
          <w:tcPr>
            <w:tcW w:w="2378" w:type="dxa"/>
          </w:tcPr>
          <w:p w14:paraId="0EF750C6" w14:textId="77777777" w:rsidR="002D5756" w:rsidRPr="006A64EE" w:rsidRDefault="009C2544" w:rsidP="004255F8">
            <w:pPr>
              <w:pStyle w:val="TableParagraph"/>
              <w:widowControl/>
              <w:suppressAutoHyphens/>
              <w:jc w:val="center"/>
              <w:rPr>
                <w:sz w:val="20"/>
                <w:szCs w:val="20"/>
              </w:rPr>
            </w:pPr>
            <w:r w:rsidRPr="006A64EE">
              <w:rPr>
                <w:sz w:val="20"/>
                <w:szCs w:val="20"/>
              </w:rPr>
              <w:t>73,2 %*</w:t>
            </w:r>
          </w:p>
        </w:tc>
        <w:tc>
          <w:tcPr>
            <w:tcW w:w="2347" w:type="dxa"/>
          </w:tcPr>
          <w:p w14:paraId="40E278D9" w14:textId="77777777" w:rsidR="002D5756" w:rsidRPr="006A64EE" w:rsidRDefault="009C2544" w:rsidP="004255F8">
            <w:pPr>
              <w:pStyle w:val="TableParagraph"/>
              <w:widowControl/>
              <w:suppressAutoHyphens/>
              <w:jc w:val="center"/>
              <w:rPr>
                <w:sz w:val="20"/>
                <w:szCs w:val="20"/>
              </w:rPr>
            </w:pPr>
            <w:r w:rsidRPr="006A64EE">
              <w:rPr>
                <w:sz w:val="20"/>
                <w:szCs w:val="20"/>
              </w:rPr>
              <w:t>51,9 %*</w:t>
            </w:r>
          </w:p>
        </w:tc>
      </w:tr>
      <w:tr w:rsidR="00593482" w:rsidRPr="006A64EE" w14:paraId="7BD2667E" w14:textId="77777777" w:rsidTr="00B81266">
        <w:trPr>
          <w:cantSplit/>
        </w:trPr>
        <w:tc>
          <w:tcPr>
            <w:tcW w:w="2215" w:type="dxa"/>
          </w:tcPr>
          <w:p w14:paraId="611DEBC0" w14:textId="77777777" w:rsidR="002D5756" w:rsidRPr="006A64EE" w:rsidRDefault="009C2544" w:rsidP="004255F8">
            <w:pPr>
              <w:pStyle w:val="TableParagraph"/>
              <w:widowControl/>
              <w:suppressAutoHyphens/>
              <w:rPr>
                <w:sz w:val="20"/>
                <w:szCs w:val="20"/>
              </w:rPr>
            </w:pPr>
            <w:r w:rsidRPr="006A64EE">
              <w:rPr>
                <w:sz w:val="20"/>
                <w:szCs w:val="20"/>
              </w:rPr>
              <w:t>ACR-70</w:t>
            </w:r>
          </w:p>
        </w:tc>
        <w:tc>
          <w:tcPr>
            <w:tcW w:w="2378" w:type="dxa"/>
          </w:tcPr>
          <w:p w14:paraId="53EA222E" w14:textId="77777777" w:rsidR="002D5756" w:rsidRPr="006A64EE" w:rsidRDefault="009C2544" w:rsidP="004255F8">
            <w:pPr>
              <w:pStyle w:val="TableParagraph"/>
              <w:widowControl/>
              <w:suppressAutoHyphens/>
              <w:jc w:val="center"/>
              <w:rPr>
                <w:sz w:val="20"/>
                <w:szCs w:val="20"/>
              </w:rPr>
            </w:pPr>
            <w:r w:rsidRPr="006A64EE">
              <w:rPr>
                <w:sz w:val="20"/>
                <w:szCs w:val="20"/>
              </w:rPr>
              <w:t>64,6 %*</w:t>
            </w:r>
          </w:p>
        </w:tc>
        <w:tc>
          <w:tcPr>
            <w:tcW w:w="2347" w:type="dxa"/>
          </w:tcPr>
          <w:p w14:paraId="582E1B19" w14:textId="77777777" w:rsidR="002D5756" w:rsidRPr="006A64EE" w:rsidRDefault="009C2544" w:rsidP="004255F8">
            <w:pPr>
              <w:pStyle w:val="TableParagraph"/>
              <w:widowControl/>
              <w:suppressAutoHyphens/>
              <w:jc w:val="center"/>
              <w:rPr>
                <w:sz w:val="20"/>
                <w:szCs w:val="20"/>
              </w:rPr>
            </w:pPr>
            <w:r w:rsidRPr="006A64EE">
              <w:rPr>
                <w:sz w:val="20"/>
                <w:szCs w:val="20"/>
              </w:rPr>
              <w:t>42,0 %*</w:t>
            </w:r>
          </w:p>
        </w:tc>
      </w:tr>
    </w:tbl>
    <w:p w14:paraId="44EEB31A" w14:textId="77777777" w:rsidR="00093A5E" w:rsidRPr="006A64EE" w:rsidRDefault="009C2544" w:rsidP="004255F8">
      <w:pPr>
        <w:keepNext/>
        <w:widowControl/>
        <w:rPr>
          <w:i/>
          <w:sz w:val="18"/>
          <w:szCs w:val="18"/>
        </w:rPr>
      </w:pPr>
      <w:r w:rsidRPr="006A64EE">
        <w:rPr>
          <w:i/>
          <w:sz w:val="18"/>
          <w:szCs w:val="18"/>
        </w:rPr>
        <w:t>* p &lt; 0,01, Tocilizumab vs. Placebo</w:t>
      </w:r>
    </w:p>
    <w:p w14:paraId="1459BA86" w14:textId="77777777" w:rsidR="00093A5E" w:rsidRPr="006A64EE" w:rsidRDefault="00093A5E" w:rsidP="004255F8">
      <w:pPr>
        <w:pStyle w:val="a3"/>
        <w:widowControl/>
        <w:rPr>
          <w:i/>
        </w:rPr>
      </w:pPr>
    </w:p>
    <w:p w14:paraId="53FD305B" w14:textId="77777777" w:rsidR="00093A5E" w:rsidRPr="006A64EE" w:rsidRDefault="009C2544" w:rsidP="004255F8">
      <w:pPr>
        <w:pStyle w:val="a3"/>
        <w:widowControl/>
      </w:pPr>
      <w:r w:rsidRPr="006A64EE">
        <w:t xml:space="preserve">Die Anzahl aktiver Gelenke gegenüber dem Ausgangswert war bei Patienten, die Tocilizumab erhielten, im Vergleich zu Placebo signifikant verringert (bereinigte mittlere Veränderungen von -14,3 </w:t>
      </w:r>
      <w:r w:rsidRPr="006A64EE">
        <w:rPr>
          <w:i/>
        </w:rPr>
        <w:t xml:space="preserve">vs. </w:t>
      </w:r>
      <w:r w:rsidRPr="006A64EE">
        <w:t xml:space="preserve">-11,4; p = 0,0435). Die durch den Arzt beurteilte Krankheitsaktivität, gemessen auf einer Skala von 0 mm - 100 mm, zeigte bei Tocilizumab eine größere Reduktion der Krankheitsaktivität im Vergleich zu Placebo (bereinigte mittlere Veränderungen von -45,2 mm </w:t>
      </w:r>
      <w:r w:rsidRPr="006A64EE">
        <w:rPr>
          <w:i/>
        </w:rPr>
        <w:t xml:space="preserve">vs. </w:t>
      </w:r>
      <w:r w:rsidRPr="006A64EE">
        <w:t>-35,2 mm; p = 0,0031).</w:t>
      </w:r>
    </w:p>
    <w:p w14:paraId="4AA3056A" w14:textId="77777777" w:rsidR="00D4237A" w:rsidRPr="006A64EE" w:rsidRDefault="00D4237A" w:rsidP="004255F8">
      <w:pPr>
        <w:pStyle w:val="a3"/>
        <w:widowControl/>
      </w:pPr>
    </w:p>
    <w:p w14:paraId="11627A5E" w14:textId="77777777" w:rsidR="00093A5E" w:rsidRPr="006A64EE" w:rsidRDefault="009C2544" w:rsidP="004255F8">
      <w:pPr>
        <w:pStyle w:val="a3"/>
        <w:widowControl/>
      </w:pPr>
      <w:r w:rsidRPr="006A64EE">
        <w:t>Die bereinigte mittlere Veränderung des Schmerzempfindens auf der visuellen Analogskala (VAS) war nach 40 Wochen Behandlung mit Tocilizumab auf einer Skala von 0 mm – 100 mm um 32,4 mm verringert, im Vergleich zu einer Verringerung um 22,3 mm bei Patienten, die mit Placebo behandelt wurden (statistische Signifikanz; p = 0,0076).</w:t>
      </w:r>
    </w:p>
    <w:p w14:paraId="09FD1A47" w14:textId="77777777" w:rsidR="00093A5E" w:rsidRPr="006A64EE" w:rsidRDefault="00093A5E" w:rsidP="004255F8">
      <w:pPr>
        <w:widowControl/>
      </w:pPr>
    </w:p>
    <w:p w14:paraId="0660EB79" w14:textId="77777777" w:rsidR="00093A5E" w:rsidRPr="006A64EE" w:rsidRDefault="007D680A" w:rsidP="004255F8">
      <w:pPr>
        <w:widowControl/>
      </w:pPr>
      <w:r w:rsidRPr="006A64EE">
        <w:t>Die ACR-Ansprechraten waren bei Patienten mit vorheriger Behandlung mit einem Biologikum numerisch niedriger, wie in Tabelle 10 dargestellt.</w:t>
      </w:r>
    </w:p>
    <w:p w14:paraId="4F362213" w14:textId="77777777" w:rsidR="00093A5E" w:rsidRPr="006A64EE" w:rsidRDefault="00093A5E" w:rsidP="004255F8">
      <w:pPr>
        <w:pStyle w:val="a3"/>
        <w:widowControl/>
      </w:pPr>
    </w:p>
    <w:p w14:paraId="4C8753D0" w14:textId="77777777" w:rsidR="00093A5E" w:rsidRPr="006A64EE" w:rsidRDefault="009C2544" w:rsidP="004255F8">
      <w:pPr>
        <w:pStyle w:val="Tabletittle"/>
      </w:pPr>
      <w:r w:rsidRPr="006A64EE">
        <w:t>Tabelle 10:</w:t>
      </w:r>
      <w:r w:rsidR="00B81266" w:rsidRPr="006A64EE">
        <w:tab/>
      </w:r>
      <w:r w:rsidRPr="006A64EE">
        <w:t>Anzahl und Anteil an Patienten mit einem JIA ACR-30-Flare und Anteil an Patienten mit JIA ACR-30-/50-/70-/90-Ansprechen in Woche 40, aufgeteilt nach vorheriger Behandlung mit Biologika (ITT Population – Teil II der Studie)</w:t>
      </w:r>
    </w:p>
    <w:p w14:paraId="2772B2CD" w14:textId="6AC617AE" w:rsidR="002D5756" w:rsidRPr="006A64EE" w:rsidRDefault="002D5756" w:rsidP="004255F8">
      <w:pPr>
        <w:pStyle w:val="a3"/>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534"/>
        <w:gridCol w:w="1560"/>
        <w:gridCol w:w="1430"/>
        <w:gridCol w:w="1612"/>
        <w:gridCol w:w="1614"/>
      </w:tblGrid>
      <w:tr w:rsidR="00593482" w:rsidRPr="006A64EE" w14:paraId="56A020CB" w14:textId="77777777" w:rsidTr="00B81266">
        <w:trPr>
          <w:cantSplit/>
        </w:trPr>
        <w:tc>
          <w:tcPr>
            <w:tcW w:w="2534" w:type="dxa"/>
          </w:tcPr>
          <w:p w14:paraId="76423950" w14:textId="77777777" w:rsidR="002D5756" w:rsidRPr="006A64EE" w:rsidRDefault="002D5756" w:rsidP="004255F8">
            <w:pPr>
              <w:pStyle w:val="TableParagraph"/>
              <w:widowControl/>
              <w:suppressAutoHyphens/>
              <w:rPr>
                <w:sz w:val="20"/>
                <w:szCs w:val="20"/>
              </w:rPr>
            </w:pPr>
          </w:p>
        </w:tc>
        <w:tc>
          <w:tcPr>
            <w:tcW w:w="2990" w:type="dxa"/>
            <w:gridSpan w:val="2"/>
          </w:tcPr>
          <w:p w14:paraId="659D9FE8" w14:textId="77777777" w:rsidR="002D5756" w:rsidRPr="006A64EE" w:rsidRDefault="009C2544" w:rsidP="004255F8">
            <w:pPr>
              <w:pStyle w:val="TableParagraph"/>
              <w:widowControl/>
              <w:suppressAutoHyphens/>
              <w:jc w:val="center"/>
              <w:rPr>
                <w:b/>
                <w:sz w:val="20"/>
                <w:szCs w:val="20"/>
              </w:rPr>
            </w:pPr>
            <w:r w:rsidRPr="006A64EE">
              <w:rPr>
                <w:b/>
                <w:sz w:val="20"/>
                <w:szCs w:val="20"/>
              </w:rPr>
              <w:t>Placebo</w:t>
            </w:r>
          </w:p>
        </w:tc>
        <w:tc>
          <w:tcPr>
            <w:tcW w:w="3226" w:type="dxa"/>
            <w:gridSpan w:val="2"/>
          </w:tcPr>
          <w:p w14:paraId="6B0C6C35" w14:textId="77777777" w:rsidR="002D5756" w:rsidRPr="006A64EE" w:rsidRDefault="009C2544" w:rsidP="004255F8">
            <w:pPr>
              <w:pStyle w:val="TableParagraph"/>
              <w:widowControl/>
              <w:suppressAutoHyphens/>
              <w:rPr>
                <w:b/>
                <w:sz w:val="20"/>
                <w:szCs w:val="20"/>
              </w:rPr>
            </w:pPr>
            <w:r w:rsidRPr="006A64EE">
              <w:rPr>
                <w:b/>
                <w:sz w:val="20"/>
                <w:szCs w:val="20"/>
              </w:rPr>
              <w:t>Gesamt TCZ</w:t>
            </w:r>
          </w:p>
        </w:tc>
      </w:tr>
      <w:tr w:rsidR="00593482" w:rsidRPr="006A64EE" w14:paraId="73BBACAD" w14:textId="77777777" w:rsidTr="00B81266">
        <w:trPr>
          <w:cantSplit/>
        </w:trPr>
        <w:tc>
          <w:tcPr>
            <w:tcW w:w="2534" w:type="dxa"/>
          </w:tcPr>
          <w:p w14:paraId="5816E92E" w14:textId="77777777" w:rsidR="002D5756" w:rsidRPr="006A64EE" w:rsidRDefault="009C2544" w:rsidP="004255F8">
            <w:pPr>
              <w:pStyle w:val="TableParagraph"/>
              <w:widowControl/>
              <w:suppressAutoHyphens/>
              <w:rPr>
                <w:b/>
                <w:sz w:val="20"/>
                <w:szCs w:val="20"/>
              </w:rPr>
            </w:pPr>
            <w:r w:rsidRPr="006A64EE">
              <w:rPr>
                <w:b/>
                <w:sz w:val="20"/>
                <w:szCs w:val="20"/>
              </w:rPr>
              <w:t>Behandlung mit Biologika</w:t>
            </w:r>
          </w:p>
        </w:tc>
        <w:tc>
          <w:tcPr>
            <w:tcW w:w="1560" w:type="dxa"/>
          </w:tcPr>
          <w:p w14:paraId="701FA8EA" w14:textId="77777777" w:rsidR="00093A5E" w:rsidRPr="006A64EE" w:rsidRDefault="009C2544" w:rsidP="004255F8">
            <w:pPr>
              <w:pStyle w:val="TableParagraph"/>
              <w:widowControl/>
              <w:suppressAutoHyphens/>
              <w:jc w:val="center"/>
              <w:rPr>
                <w:b/>
                <w:sz w:val="20"/>
                <w:szCs w:val="20"/>
              </w:rPr>
            </w:pPr>
            <w:r w:rsidRPr="006A64EE">
              <w:rPr>
                <w:b/>
                <w:sz w:val="20"/>
                <w:szCs w:val="20"/>
              </w:rPr>
              <w:t xml:space="preserve">Ja </w:t>
            </w:r>
          </w:p>
          <w:p w14:paraId="01FC76F6" w14:textId="7EA73816" w:rsidR="002D5756" w:rsidRPr="006A64EE" w:rsidRDefault="009C2544" w:rsidP="004255F8">
            <w:pPr>
              <w:pStyle w:val="TableParagraph"/>
              <w:widowControl/>
              <w:suppressAutoHyphens/>
              <w:jc w:val="center"/>
              <w:rPr>
                <w:b/>
                <w:sz w:val="20"/>
                <w:szCs w:val="20"/>
              </w:rPr>
            </w:pPr>
            <w:r w:rsidRPr="006A64EE">
              <w:rPr>
                <w:b/>
                <w:sz w:val="20"/>
                <w:szCs w:val="20"/>
              </w:rPr>
              <w:t>(n = 23)</w:t>
            </w:r>
          </w:p>
        </w:tc>
        <w:tc>
          <w:tcPr>
            <w:tcW w:w="1430" w:type="dxa"/>
          </w:tcPr>
          <w:p w14:paraId="598D310F" w14:textId="77777777" w:rsidR="00093A5E" w:rsidRPr="006A64EE" w:rsidRDefault="009C2544" w:rsidP="004255F8">
            <w:pPr>
              <w:pStyle w:val="TableParagraph"/>
              <w:widowControl/>
              <w:suppressAutoHyphens/>
              <w:jc w:val="center"/>
              <w:rPr>
                <w:b/>
                <w:sz w:val="20"/>
                <w:szCs w:val="20"/>
              </w:rPr>
            </w:pPr>
            <w:r w:rsidRPr="006A64EE">
              <w:rPr>
                <w:b/>
                <w:sz w:val="20"/>
                <w:szCs w:val="20"/>
              </w:rPr>
              <w:t xml:space="preserve">Nein </w:t>
            </w:r>
          </w:p>
          <w:p w14:paraId="4D6C6866" w14:textId="099FFBD8" w:rsidR="002D5756" w:rsidRPr="006A64EE" w:rsidRDefault="009C2544" w:rsidP="004255F8">
            <w:pPr>
              <w:pStyle w:val="TableParagraph"/>
              <w:widowControl/>
              <w:suppressAutoHyphens/>
              <w:jc w:val="center"/>
              <w:rPr>
                <w:b/>
                <w:sz w:val="20"/>
                <w:szCs w:val="20"/>
              </w:rPr>
            </w:pPr>
            <w:r w:rsidRPr="006A64EE">
              <w:rPr>
                <w:b/>
                <w:sz w:val="20"/>
                <w:szCs w:val="20"/>
              </w:rPr>
              <w:t>(n = 58)</w:t>
            </w:r>
          </w:p>
        </w:tc>
        <w:tc>
          <w:tcPr>
            <w:tcW w:w="1612" w:type="dxa"/>
          </w:tcPr>
          <w:p w14:paraId="4AED8410" w14:textId="77777777" w:rsidR="00093A5E" w:rsidRPr="006A64EE" w:rsidRDefault="009C2544" w:rsidP="004255F8">
            <w:pPr>
              <w:pStyle w:val="TableParagraph"/>
              <w:widowControl/>
              <w:suppressAutoHyphens/>
              <w:jc w:val="center"/>
              <w:rPr>
                <w:b/>
                <w:sz w:val="20"/>
                <w:szCs w:val="20"/>
              </w:rPr>
            </w:pPr>
            <w:r w:rsidRPr="006A64EE">
              <w:rPr>
                <w:b/>
                <w:sz w:val="20"/>
                <w:szCs w:val="20"/>
              </w:rPr>
              <w:t>Ja</w:t>
            </w:r>
          </w:p>
          <w:p w14:paraId="52EDF144" w14:textId="189FF101" w:rsidR="002D5756" w:rsidRPr="006A64EE" w:rsidRDefault="009C2544" w:rsidP="004255F8">
            <w:pPr>
              <w:pStyle w:val="TableParagraph"/>
              <w:widowControl/>
              <w:suppressAutoHyphens/>
              <w:jc w:val="center"/>
              <w:rPr>
                <w:b/>
                <w:sz w:val="20"/>
                <w:szCs w:val="20"/>
              </w:rPr>
            </w:pPr>
            <w:r w:rsidRPr="006A64EE">
              <w:rPr>
                <w:b/>
                <w:sz w:val="20"/>
                <w:szCs w:val="20"/>
              </w:rPr>
              <w:t xml:space="preserve">(n </w:t>
            </w:r>
            <w:r w:rsidRPr="006A64EE">
              <w:rPr>
                <w:sz w:val="20"/>
                <w:szCs w:val="20"/>
              </w:rPr>
              <w:t xml:space="preserve">= </w:t>
            </w:r>
            <w:r w:rsidRPr="006A64EE">
              <w:rPr>
                <w:b/>
                <w:sz w:val="20"/>
                <w:szCs w:val="20"/>
              </w:rPr>
              <w:t>27)</w:t>
            </w:r>
          </w:p>
        </w:tc>
        <w:tc>
          <w:tcPr>
            <w:tcW w:w="1614" w:type="dxa"/>
          </w:tcPr>
          <w:p w14:paraId="5BD5580A" w14:textId="77777777" w:rsidR="00093A5E" w:rsidRPr="006A64EE" w:rsidRDefault="009C2544" w:rsidP="004255F8">
            <w:pPr>
              <w:pStyle w:val="TableParagraph"/>
              <w:widowControl/>
              <w:suppressAutoHyphens/>
              <w:jc w:val="center"/>
              <w:rPr>
                <w:b/>
                <w:sz w:val="20"/>
                <w:szCs w:val="20"/>
              </w:rPr>
            </w:pPr>
            <w:r w:rsidRPr="006A64EE">
              <w:rPr>
                <w:b/>
                <w:sz w:val="20"/>
                <w:szCs w:val="20"/>
              </w:rPr>
              <w:t xml:space="preserve">Nein </w:t>
            </w:r>
          </w:p>
          <w:p w14:paraId="0D4D90E0" w14:textId="14F02558" w:rsidR="002D5756" w:rsidRPr="006A64EE" w:rsidRDefault="009C2544" w:rsidP="004255F8">
            <w:pPr>
              <w:pStyle w:val="TableParagraph"/>
              <w:widowControl/>
              <w:suppressAutoHyphens/>
              <w:jc w:val="center"/>
              <w:rPr>
                <w:b/>
                <w:sz w:val="20"/>
                <w:szCs w:val="20"/>
              </w:rPr>
            </w:pPr>
            <w:r w:rsidRPr="006A64EE">
              <w:rPr>
                <w:b/>
                <w:sz w:val="20"/>
                <w:szCs w:val="20"/>
              </w:rPr>
              <w:t>(n = 55)</w:t>
            </w:r>
          </w:p>
        </w:tc>
      </w:tr>
      <w:tr w:rsidR="00593482" w:rsidRPr="006A64EE" w14:paraId="7FD5C8F9" w14:textId="77777777" w:rsidTr="00B81266">
        <w:trPr>
          <w:cantSplit/>
        </w:trPr>
        <w:tc>
          <w:tcPr>
            <w:tcW w:w="2534" w:type="dxa"/>
          </w:tcPr>
          <w:p w14:paraId="01DC57BF" w14:textId="77777777" w:rsidR="002D5756" w:rsidRPr="006A64EE" w:rsidRDefault="009C2544" w:rsidP="004255F8">
            <w:pPr>
              <w:pStyle w:val="TableParagraph"/>
              <w:widowControl/>
              <w:suppressAutoHyphens/>
              <w:rPr>
                <w:sz w:val="20"/>
                <w:szCs w:val="20"/>
              </w:rPr>
            </w:pPr>
            <w:r w:rsidRPr="006A64EE">
              <w:rPr>
                <w:sz w:val="20"/>
                <w:szCs w:val="20"/>
              </w:rPr>
              <w:t>JIA ACR-30-Flare</w:t>
            </w:r>
          </w:p>
        </w:tc>
        <w:tc>
          <w:tcPr>
            <w:tcW w:w="1560" w:type="dxa"/>
          </w:tcPr>
          <w:p w14:paraId="7D1EE744" w14:textId="77777777" w:rsidR="002D5756" w:rsidRPr="006A64EE" w:rsidRDefault="009C2544" w:rsidP="004255F8">
            <w:pPr>
              <w:pStyle w:val="TableParagraph"/>
              <w:widowControl/>
              <w:suppressAutoHyphens/>
              <w:jc w:val="center"/>
              <w:rPr>
                <w:sz w:val="20"/>
                <w:szCs w:val="20"/>
              </w:rPr>
            </w:pPr>
            <w:r w:rsidRPr="006A64EE">
              <w:rPr>
                <w:sz w:val="20"/>
                <w:szCs w:val="20"/>
              </w:rPr>
              <w:t>18 (78,3)</w:t>
            </w:r>
          </w:p>
        </w:tc>
        <w:tc>
          <w:tcPr>
            <w:tcW w:w="1430" w:type="dxa"/>
          </w:tcPr>
          <w:p w14:paraId="259B1458" w14:textId="77777777" w:rsidR="002D5756" w:rsidRPr="006A64EE" w:rsidRDefault="009C2544" w:rsidP="004255F8">
            <w:pPr>
              <w:pStyle w:val="TableParagraph"/>
              <w:widowControl/>
              <w:suppressAutoHyphens/>
              <w:jc w:val="center"/>
              <w:rPr>
                <w:sz w:val="20"/>
                <w:szCs w:val="20"/>
              </w:rPr>
            </w:pPr>
            <w:r w:rsidRPr="006A64EE">
              <w:rPr>
                <w:sz w:val="20"/>
                <w:szCs w:val="20"/>
              </w:rPr>
              <w:t>21 (36,2)</w:t>
            </w:r>
          </w:p>
        </w:tc>
        <w:tc>
          <w:tcPr>
            <w:tcW w:w="1612" w:type="dxa"/>
          </w:tcPr>
          <w:p w14:paraId="49682918" w14:textId="77777777" w:rsidR="002D5756" w:rsidRPr="006A64EE" w:rsidRDefault="009C2544" w:rsidP="004255F8">
            <w:pPr>
              <w:pStyle w:val="TableParagraph"/>
              <w:widowControl/>
              <w:suppressAutoHyphens/>
              <w:jc w:val="center"/>
              <w:rPr>
                <w:sz w:val="20"/>
                <w:szCs w:val="20"/>
              </w:rPr>
            </w:pPr>
            <w:r w:rsidRPr="006A64EE">
              <w:rPr>
                <w:sz w:val="20"/>
                <w:szCs w:val="20"/>
              </w:rPr>
              <w:t>12 (44,4)</w:t>
            </w:r>
          </w:p>
        </w:tc>
        <w:tc>
          <w:tcPr>
            <w:tcW w:w="1614" w:type="dxa"/>
          </w:tcPr>
          <w:p w14:paraId="3BFD4F3E" w14:textId="77777777" w:rsidR="002D5756" w:rsidRPr="006A64EE" w:rsidRDefault="009C2544" w:rsidP="004255F8">
            <w:pPr>
              <w:pStyle w:val="TableParagraph"/>
              <w:widowControl/>
              <w:suppressAutoHyphens/>
              <w:jc w:val="center"/>
              <w:rPr>
                <w:sz w:val="20"/>
                <w:szCs w:val="20"/>
              </w:rPr>
            </w:pPr>
            <w:r w:rsidRPr="006A64EE">
              <w:rPr>
                <w:sz w:val="20"/>
                <w:szCs w:val="20"/>
              </w:rPr>
              <w:t>9 (16,4)</w:t>
            </w:r>
          </w:p>
        </w:tc>
      </w:tr>
      <w:tr w:rsidR="00593482" w:rsidRPr="006A64EE" w14:paraId="23B33169" w14:textId="77777777" w:rsidTr="00B81266">
        <w:trPr>
          <w:cantSplit/>
        </w:trPr>
        <w:tc>
          <w:tcPr>
            <w:tcW w:w="2534" w:type="dxa"/>
          </w:tcPr>
          <w:p w14:paraId="478BF54A" w14:textId="77777777" w:rsidR="002D5756" w:rsidRPr="006A64EE" w:rsidRDefault="009C2544" w:rsidP="004255F8">
            <w:pPr>
              <w:pStyle w:val="TableParagraph"/>
              <w:widowControl/>
              <w:suppressAutoHyphens/>
              <w:rPr>
                <w:sz w:val="20"/>
                <w:szCs w:val="20"/>
              </w:rPr>
            </w:pPr>
            <w:r w:rsidRPr="006A64EE">
              <w:rPr>
                <w:sz w:val="20"/>
                <w:szCs w:val="20"/>
              </w:rPr>
              <w:t>JIA ACR-30-Ansprechen</w:t>
            </w:r>
          </w:p>
        </w:tc>
        <w:tc>
          <w:tcPr>
            <w:tcW w:w="1560" w:type="dxa"/>
          </w:tcPr>
          <w:p w14:paraId="5F4DE309" w14:textId="77777777" w:rsidR="002D5756" w:rsidRPr="006A64EE" w:rsidRDefault="009C2544" w:rsidP="004255F8">
            <w:pPr>
              <w:pStyle w:val="TableParagraph"/>
              <w:widowControl/>
              <w:suppressAutoHyphens/>
              <w:jc w:val="center"/>
              <w:rPr>
                <w:sz w:val="20"/>
                <w:szCs w:val="20"/>
              </w:rPr>
            </w:pPr>
            <w:r w:rsidRPr="006A64EE">
              <w:rPr>
                <w:sz w:val="20"/>
                <w:szCs w:val="20"/>
              </w:rPr>
              <w:t>6 (26,1)</w:t>
            </w:r>
          </w:p>
        </w:tc>
        <w:tc>
          <w:tcPr>
            <w:tcW w:w="1430" w:type="dxa"/>
          </w:tcPr>
          <w:p w14:paraId="4A0BB13A" w14:textId="77777777" w:rsidR="002D5756" w:rsidRPr="006A64EE" w:rsidRDefault="009C2544" w:rsidP="004255F8">
            <w:pPr>
              <w:pStyle w:val="TableParagraph"/>
              <w:widowControl/>
              <w:suppressAutoHyphens/>
              <w:jc w:val="center"/>
              <w:rPr>
                <w:sz w:val="20"/>
                <w:szCs w:val="20"/>
              </w:rPr>
            </w:pPr>
            <w:r w:rsidRPr="006A64EE">
              <w:rPr>
                <w:sz w:val="20"/>
                <w:szCs w:val="20"/>
              </w:rPr>
              <w:t>38 (65,5)</w:t>
            </w:r>
          </w:p>
        </w:tc>
        <w:tc>
          <w:tcPr>
            <w:tcW w:w="1612" w:type="dxa"/>
          </w:tcPr>
          <w:p w14:paraId="3D9AD98F" w14:textId="77777777" w:rsidR="002D5756" w:rsidRPr="006A64EE" w:rsidRDefault="009C2544" w:rsidP="004255F8">
            <w:pPr>
              <w:pStyle w:val="TableParagraph"/>
              <w:widowControl/>
              <w:suppressAutoHyphens/>
              <w:jc w:val="center"/>
              <w:rPr>
                <w:sz w:val="20"/>
                <w:szCs w:val="20"/>
              </w:rPr>
            </w:pPr>
            <w:r w:rsidRPr="006A64EE">
              <w:rPr>
                <w:sz w:val="20"/>
                <w:szCs w:val="20"/>
              </w:rPr>
              <w:t>15 (55,6)</w:t>
            </w:r>
          </w:p>
        </w:tc>
        <w:tc>
          <w:tcPr>
            <w:tcW w:w="1614" w:type="dxa"/>
          </w:tcPr>
          <w:p w14:paraId="78991478" w14:textId="77777777" w:rsidR="002D5756" w:rsidRPr="006A64EE" w:rsidRDefault="009C2544" w:rsidP="004255F8">
            <w:pPr>
              <w:pStyle w:val="TableParagraph"/>
              <w:widowControl/>
              <w:suppressAutoHyphens/>
              <w:jc w:val="center"/>
              <w:rPr>
                <w:sz w:val="20"/>
                <w:szCs w:val="20"/>
              </w:rPr>
            </w:pPr>
            <w:r w:rsidRPr="006A64EE">
              <w:rPr>
                <w:sz w:val="20"/>
                <w:szCs w:val="20"/>
              </w:rPr>
              <w:t>46 (83,6)</w:t>
            </w:r>
          </w:p>
        </w:tc>
      </w:tr>
      <w:tr w:rsidR="00593482" w:rsidRPr="006A64EE" w14:paraId="79FC287D" w14:textId="77777777" w:rsidTr="00B81266">
        <w:trPr>
          <w:cantSplit/>
        </w:trPr>
        <w:tc>
          <w:tcPr>
            <w:tcW w:w="2534" w:type="dxa"/>
          </w:tcPr>
          <w:p w14:paraId="2C7B5FB0" w14:textId="77777777" w:rsidR="002D5756" w:rsidRPr="006A64EE" w:rsidRDefault="009C2544" w:rsidP="004255F8">
            <w:pPr>
              <w:pStyle w:val="TableParagraph"/>
              <w:widowControl/>
              <w:suppressAutoHyphens/>
              <w:rPr>
                <w:sz w:val="20"/>
                <w:szCs w:val="20"/>
              </w:rPr>
            </w:pPr>
            <w:r w:rsidRPr="006A64EE">
              <w:rPr>
                <w:sz w:val="20"/>
                <w:szCs w:val="20"/>
              </w:rPr>
              <w:t>JIA ACR-50-Ansprechen</w:t>
            </w:r>
          </w:p>
        </w:tc>
        <w:tc>
          <w:tcPr>
            <w:tcW w:w="1560" w:type="dxa"/>
          </w:tcPr>
          <w:p w14:paraId="1412B4E9" w14:textId="77777777" w:rsidR="002D5756" w:rsidRPr="006A64EE" w:rsidRDefault="009C2544" w:rsidP="004255F8">
            <w:pPr>
              <w:pStyle w:val="TableParagraph"/>
              <w:widowControl/>
              <w:suppressAutoHyphens/>
              <w:jc w:val="center"/>
              <w:rPr>
                <w:sz w:val="20"/>
                <w:szCs w:val="20"/>
              </w:rPr>
            </w:pPr>
            <w:r w:rsidRPr="006A64EE">
              <w:rPr>
                <w:sz w:val="20"/>
                <w:szCs w:val="20"/>
              </w:rPr>
              <w:t>5 (21,7)</w:t>
            </w:r>
          </w:p>
        </w:tc>
        <w:tc>
          <w:tcPr>
            <w:tcW w:w="1430" w:type="dxa"/>
          </w:tcPr>
          <w:p w14:paraId="2CB31D8C" w14:textId="77777777" w:rsidR="002D5756" w:rsidRPr="006A64EE" w:rsidRDefault="009C2544" w:rsidP="004255F8">
            <w:pPr>
              <w:pStyle w:val="TableParagraph"/>
              <w:widowControl/>
              <w:suppressAutoHyphens/>
              <w:jc w:val="center"/>
              <w:rPr>
                <w:sz w:val="20"/>
                <w:szCs w:val="20"/>
              </w:rPr>
            </w:pPr>
            <w:r w:rsidRPr="006A64EE">
              <w:rPr>
                <w:sz w:val="20"/>
                <w:szCs w:val="20"/>
              </w:rPr>
              <w:t>37 (63,8)</w:t>
            </w:r>
          </w:p>
        </w:tc>
        <w:tc>
          <w:tcPr>
            <w:tcW w:w="1612" w:type="dxa"/>
          </w:tcPr>
          <w:p w14:paraId="6E814199" w14:textId="77777777" w:rsidR="002D5756" w:rsidRPr="006A64EE" w:rsidRDefault="009C2544" w:rsidP="004255F8">
            <w:pPr>
              <w:pStyle w:val="TableParagraph"/>
              <w:widowControl/>
              <w:suppressAutoHyphens/>
              <w:jc w:val="center"/>
              <w:rPr>
                <w:sz w:val="20"/>
                <w:szCs w:val="20"/>
              </w:rPr>
            </w:pPr>
            <w:r w:rsidRPr="006A64EE">
              <w:rPr>
                <w:sz w:val="20"/>
                <w:szCs w:val="20"/>
              </w:rPr>
              <w:t>14 (51,9)</w:t>
            </w:r>
          </w:p>
        </w:tc>
        <w:tc>
          <w:tcPr>
            <w:tcW w:w="1614" w:type="dxa"/>
          </w:tcPr>
          <w:p w14:paraId="6FBE7E32" w14:textId="77777777" w:rsidR="002D5756" w:rsidRPr="006A64EE" w:rsidRDefault="009C2544" w:rsidP="004255F8">
            <w:pPr>
              <w:pStyle w:val="TableParagraph"/>
              <w:widowControl/>
              <w:suppressAutoHyphens/>
              <w:jc w:val="center"/>
              <w:rPr>
                <w:sz w:val="20"/>
                <w:szCs w:val="20"/>
              </w:rPr>
            </w:pPr>
            <w:r w:rsidRPr="006A64EE">
              <w:rPr>
                <w:sz w:val="20"/>
                <w:szCs w:val="20"/>
              </w:rPr>
              <w:t>46 (83,6)</w:t>
            </w:r>
          </w:p>
        </w:tc>
      </w:tr>
      <w:tr w:rsidR="00593482" w:rsidRPr="006A64EE" w14:paraId="4B44CA06" w14:textId="77777777" w:rsidTr="00B81266">
        <w:trPr>
          <w:cantSplit/>
        </w:trPr>
        <w:tc>
          <w:tcPr>
            <w:tcW w:w="2534" w:type="dxa"/>
          </w:tcPr>
          <w:p w14:paraId="59AA4C01" w14:textId="77777777" w:rsidR="002D5756" w:rsidRPr="006A64EE" w:rsidRDefault="009C2544" w:rsidP="004255F8">
            <w:pPr>
              <w:pStyle w:val="TableParagraph"/>
              <w:widowControl/>
              <w:suppressAutoHyphens/>
              <w:rPr>
                <w:sz w:val="20"/>
                <w:szCs w:val="20"/>
              </w:rPr>
            </w:pPr>
            <w:r w:rsidRPr="006A64EE">
              <w:rPr>
                <w:sz w:val="20"/>
                <w:szCs w:val="20"/>
              </w:rPr>
              <w:t>JIA ACR-70-Ansprechen</w:t>
            </w:r>
          </w:p>
        </w:tc>
        <w:tc>
          <w:tcPr>
            <w:tcW w:w="1560" w:type="dxa"/>
          </w:tcPr>
          <w:p w14:paraId="7532A14B" w14:textId="77777777" w:rsidR="002D5756" w:rsidRPr="006A64EE" w:rsidRDefault="009C2544" w:rsidP="004255F8">
            <w:pPr>
              <w:pStyle w:val="TableParagraph"/>
              <w:widowControl/>
              <w:suppressAutoHyphens/>
              <w:jc w:val="center"/>
              <w:rPr>
                <w:sz w:val="20"/>
                <w:szCs w:val="20"/>
              </w:rPr>
            </w:pPr>
            <w:r w:rsidRPr="006A64EE">
              <w:rPr>
                <w:sz w:val="20"/>
                <w:szCs w:val="20"/>
              </w:rPr>
              <w:t>2 (8,7)</w:t>
            </w:r>
          </w:p>
        </w:tc>
        <w:tc>
          <w:tcPr>
            <w:tcW w:w="1430" w:type="dxa"/>
          </w:tcPr>
          <w:p w14:paraId="3262BFC5" w14:textId="77777777" w:rsidR="002D5756" w:rsidRPr="006A64EE" w:rsidRDefault="009C2544" w:rsidP="004255F8">
            <w:pPr>
              <w:pStyle w:val="TableParagraph"/>
              <w:widowControl/>
              <w:suppressAutoHyphens/>
              <w:jc w:val="center"/>
              <w:rPr>
                <w:sz w:val="20"/>
                <w:szCs w:val="20"/>
              </w:rPr>
            </w:pPr>
            <w:r w:rsidRPr="006A64EE">
              <w:rPr>
                <w:sz w:val="20"/>
                <w:szCs w:val="20"/>
              </w:rPr>
              <w:t>32 (55,2)</w:t>
            </w:r>
          </w:p>
        </w:tc>
        <w:tc>
          <w:tcPr>
            <w:tcW w:w="1612" w:type="dxa"/>
          </w:tcPr>
          <w:p w14:paraId="1163B66C" w14:textId="77777777" w:rsidR="002D5756" w:rsidRPr="006A64EE" w:rsidRDefault="009C2544" w:rsidP="004255F8">
            <w:pPr>
              <w:pStyle w:val="TableParagraph"/>
              <w:widowControl/>
              <w:suppressAutoHyphens/>
              <w:jc w:val="center"/>
              <w:rPr>
                <w:sz w:val="20"/>
                <w:szCs w:val="20"/>
              </w:rPr>
            </w:pPr>
            <w:r w:rsidRPr="006A64EE">
              <w:rPr>
                <w:sz w:val="20"/>
                <w:szCs w:val="20"/>
              </w:rPr>
              <w:t>13 (48,1)</w:t>
            </w:r>
          </w:p>
        </w:tc>
        <w:tc>
          <w:tcPr>
            <w:tcW w:w="1614" w:type="dxa"/>
          </w:tcPr>
          <w:p w14:paraId="3959F625" w14:textId="77777777" w:rsidR="002D5756" w:rsidRPr="006A64EE" w:rsidRDefault="009C2544" w:rsidP="004255F8">
            <w:pPr>
              <w:pStyle w:val="TableParagraph"/>
              <w:widowControl/>
              <w:suppressAutoHyphens/>
              <w:jc w:val="center"/>
              <w:rPr>
                <w:sz w:val="20"/>
                <w:szCs w:val="20"/>
              </w:rPr>
            </w:pPr>
            <w:r w:rsidRPr="006A64EE">
              <w:rPr>
                <w:sz w:val="20"/>
                <w:szCs w:val="20"/>
              </w:rPr>
              <w:t>40 (72,7)</w:t>
            </w:r>
          </w:p>
        </w:tc>
      </w:tr>
      <w:tr w:rsidR="002D5756" w:rsidRPr="006A64EE" w14:paraId="7DE8282D" w14:textId="77777777" w:rsidTr="00B81266">
        <w:trPr>
          <w:cantSplit/>
        </w:trPr>
        <w:tc>
          <w:tcPr>
            <w:tcW w:w="2534" w:type="dxa"/>
          </w:tcPr>
          <w:p w14:paraId="29072731" w14:textId="77777777" w:rsidR="002D5756" w:rsidRPr="006A64EE" w:rsidRDefault="009C2544" w:rsidP="004255F8">
            <w:pPr>
              <w:pStyle w:val="TableParagraph"/>
              <w:widowControl/>
              <w:suppressAutoHyphens/>
              <w:rPr>
                <w:sz w:val="20"/>
                <w:szCs w:val="20"/>
              </w:rPr>
            </w:pPr>
            <w:r w:rsidRPr="006A64EE">
              <w:rPr>
                <w:sz w:val="20"/>
                <w:szCs w:val="20"/>
              </w:rPr>
              <w:t>JIA ACR-90-Ansprechen</w:t>
            </w:r>
          </w:p>
        </w:tc>
        <w:tc>
          <w:tcPr>
            <w:tcW w:w="1560" w:type="dxa"/>
          </w:tcPr>
          <w:p w14:paraId="12774291" w14:textId="77777777" w:rsidR="002D5756" w:rsidRPr="006A64EE" w:rsidRDefault="009C2544" w:rsidP="004255F8">
            <w:pPr>
              <w:pStyle w:val="TableParagraph"/>
              <w:widowControl/>
              <w:suppressAutoHyphens/>
              <w:jc w:val="center"/>
              <w:rPr>
                <w:sz w:val="20"/>
                <w:szCs w:val="20"/>
              </w:rPr>
            </w:pPr>
            <w:r w:rsidRPr="006A64EE">
              <w:rPr>
                <w:sz w:val="20"/>
                <w:szCs w:val="20"/>
              </w:rPr>
              <w:t>2 (8,7)</w:t>
            </w:r>
          </w:p>
        </w:tc>
        <w:tc>
          <w:tcPr>
            <w:tcW w:w="1430" w:type="dxa"/>
          </w:tcPr>
          <w:p w14:paraId="04417E42" w14:textId="77777777" w:rsidR="002D5756" w:rsidRPr="006A64EE" w:rsidRDefault="009C2544" w:rsidP="004255F8">
            <w:pPr>
              <w:pStyle w:val="TableParagraph"/>
              <w:widowControl/>
              <w:suppressAutoHyphens/>
              <w:jc w:val="center"/>
              <w:rPr>
                <w:sz w:val="20"/>
                <w:szCs w:val="20"/>
              </w:rPr>
            </w:pPr>
            <w:r w:rsidRPr="006A64EE">
              <w:rPr>
                <w:sz w:val="20"/>
                <w:szCs w:val="20"/>
              </w:rPr>
              <w:t>17 (29,3)</w:t>
            </w:r>
          </w:p>
        </w:tc>
        <w:tc>
          <w:tcPr>
            <w:tcW w:w="1612" w:type="dxa"/>
          </w:tcPr>
          <w:p w14:paraId="5F956BB0" w14:textId="77777777" w:rsidR="002D5756" w:rsidRPr="006A64EE" w:rsidRDefault="009C2544" w:rsidP="004255F8">
            <w:pPr>
              <w:pStyle w:val="TableParagraph"/>
              <w:widowControl/>
              <w:suppressAutoHyphens/>
              <w:jc w:val="center"/>
              <w:rPr>
                <w:sz w:val="20"/>
                <w:szCs w:val="20"/>
              </w:rPr>
            </w:pPr>
            <w:r w:rsidRPr="006A64EE">
              <w:rPr>
                <w:sz w:val="20"/>
                <w:szCs w:val="20"/>
              </w:rPr>
              <w:t>5 (18,5)</w:t>
            </w:r>
          </w:p>
        </w:tc>
        <w:tc>
          <w:tcPr>
            <w:tcW w:w="1614" w:type="dxa"/>
          </w:tcPr>
          <w:p w14:paraId="0251243F" w14:textId="77777777" w:rsidR="002D5756" w:rsidRPr="006A64EE" w:rsidRDefault="009C2544" w:rsidP="004255F8">
            <w:pPr>
              <w:pStyle w:val="TableParagraph"/>
              <w:widowControl/>
              <w:suppressAutoHyphens/>
              <w:jc w:val="center"/>
              <w:rPr>
                <w:sz w:val="20"/>
                <w:szCs w:val="20"/>
              </w:rPr>
            </w:pPr>
            <w:r w:rsidRPr="006A64EE">
              <w:rPr>
                <w:sz w:val="20"/>
                <w:szCs w:val="20"/>
              </w:rPr>
              <w:t>32 (58,2)</w:t>
            </w:r>
          </w:p>
        </w:tc>
      </w:tr>
    </w:tbl>
    <w:p w14:paraId="229F64E1" w14:textId="77777777" w:rsidR="00093A5E" w:rsidRPr="006A64EE" w:rsidRDefault="00093A5E" w:rsidP="004255F8">
      <w:pPr>
        <w:pStyle w:val="a3"/>
        <w:widowControl/>
      </w:pPr>
    </w:p>
    <w:p w14:paraId="5B95FB8F" w14:textId="39C9418D" w:rsidR="00093A5E" w:rsidRPr="006A64EE" w:rsidRDefault="009C2544" w:rsidP="004255F8">
      <w:pPr>
        <w:pStyle w:val="a3"/>
        <w:widowControl/>
      </w:pPr>
      <w:r w:rsidRPr="006A64EE">
        <w:t>Patienten, die Tocilizumab erhielten, hatten weniger ACR-30-Flares und höhere ACR-Gesamtansprechraten im Vergleich zu Patienten, die Placebo erhielten, unabhängig von einer Behandlung mit Biologika in der Vorgeschichte.</w:t>
      </w:r>
    </w:p>
    <w:p w14:paraId="23E07F7B" w14:textId="77777777" w:rsidR="00093A5E" w:rsidRPr="006A64EE" w:rsidRDefault="00093A5E" w:rsidP="004255F8">
      <w:pPr>
        <w:pStyle w:val="a3"/>
        <w:widowControl/>
      </w:pPr>
    </w:p>
    <w:p w14:paraId="4362EECB" w14:textId="77777777" w:rsidR="00093A5E" w:rsidRPr="006A64EE" w:rsidRDefault="009C2544" w:rsidP="004255F8">
      <w:pPr>
        <w:pStyle w:val="a3"/>
        <w:widowControl/>
      </w:pPr>
      <w:r w:rsidRPr="006A64EE">
        <w:rPr>
          <w:u w:val="single"/>
        </w:rPr>
        <w:t>CRS</w:t>
      </w:r>
    </w:p>
    <w:p w14:paraId="69850649" w14:textId="3DBD11CF" w:rsidR="00093A5E" w:rsidRPr="006A64EE" w:rsidRDefault="009C2544" w:rsidP="004255F8">
      <w:pPr>
        <w:pStyle w:val="a3"/>
        <w:widowControl/>
      </w:pPr>
      <w:r w:rsidRPr="006A64EE">
        <w:t xml:space="preserve">Die Wirksamkeit von </w:t>
      </w:r>
      <w:r w:rsidR="00472294">
        <w:t>Tocilizumab</w:t>
      </w:r>
      <w:r w:rsidR="00472294" w:rsidRPr="006A64EE">
        <w:t xml:space="preserve"> </w:t>
      </w:r>
      <w:r w:rsidRPr="006A64EE">
        <w:t>zur Behandlung eines CRS wurde in einer retrospektiven Analyse klinischer Daten von Studien zu CAR-T-Zell-Therapien (Tisagenlecleucel und Axicabtagen-Ciloleucel) zur Behandlung hämatologischer Malignitäten bewertet. Auswertbare Patienten wurden aufgrund eines schweren oder lebensbedrohlichen CRS mit Tocilizumab 8</w:t>
      </w:r>
      <w:r w:rsidR="008D73EB">
        <w:t> </w:t>
      </w:r>
      <w:r w:rsidRPr="006A64EE">
        <w:t>mg/kg (12</w:t>
      </w:r>
      <w:r w:rsidR="008D73EB">
        <w:t> </w:t>
      </w:r>
      <w:r w:rsidRPr="006A64EE">
        <w:t>mg/kg bei Patienten, die weniger als 30 kg w</w:t>
      </w:r>
      <w:r w:rsidR="00E270C6">
        <w:t>o</w:t>
      </w:r>
      <w:r w:rsidRPr="006A64EE">
        <w:t>gen), zusammen mit oder ohne zusätzliche hochdosierte Corticosteroide, behandelt. Nur die erste Episode des CRS wurde in die Analyse eingeschlossen. Die Wirksamkeitspopulation der Kohorte mit Tisagenlecleucel schloss 28 Männer und 23 Frauen (insgesamt 51 Patienten) mit einem mittleren Alter von 17 Jahren (Bereich, 3 – 68 Jahre) ein. Die</w:t>
      </w:r>
      <w:r w:rsidR="00130F18" w:rsidRPr="006A64EE">
        <w:t xml:space="preserve"> </w:t>
      </w:r>
      <w:r w:rsidRPr="006A64EE">
        <w:t>mediane Dauer ab Auftreten des CRS bis zur ersten Dosis Tocilizumab betrug 3 Tage (Bereich,</w:t>
      </w:r>
      <w:r w:rsidR="00130F18" w:rsidRPr="006A64EE">
        <w:t xml:space="preserve"> </w:t>
      </w:r>
      <w:r w:rsidRPr="006A64EE">
        <w:t>0</w:t>
      </w:r>
      <w:r w:rsidR="00052E40">
        <w:t> </w:t>
      </w:r>
      <w:r w:rsidRPr="006A64EE">
        <w:t>–</w:t>
      </w:r>
      <w:r w:rsidR="00052E40">
        <w:t> </w:t>
      </w:r>
      <w:r w:rsidRPr="006A64EE">
        <w:t>18</w:t>
      </w:r>
      <w:r w:rsidR="00052E40">
        <w:t> </w:t>
      </w:r>
      <w:r w:rsidRPr="006A64EE">
        <w:t xml:space="preserve">Tage). Der Rückgang des CRS war definiert als fieberfrei und keine Anwendung von Vasopressoren über eine Dauer von mindestens 24 Stunden. Patienten wurden als mit Ansprechen definiert, wenn das CRS innerhalb von 14 Tagen nach der ersten Dosis Tocilizumab zurückging, wenn nicht mehr als 2 Dosen </w:t>
      </w:r>
      <w:r w:rsidR="00472294">
        <w:t>Tocilizumab</w:t>
      </w:r>
      <w:r w:rsidR="00472294" w:rsidRPr="006A64EE">
        <w:t xml:space="preserve"> </w:t>
      </w:r>
      <w:r w:rsidRPr="006A64EE">
        <w:t xml:space="preserve">notwendig waren und für die Behandlung keine weiteren </w:t>
      </w:r>
      <w:r w:rsidRPr="006A64EE">
        <w:lastRenderedPageBreak/>
        <w:t xml:space="preserve">Arzneimittel außer </w:t>
      </w:r>
      <w:r w:rsidR="00472294">
        <w:t>Tocilizumab</w:t>
      </w:r>
      <w:r w:rsidR="00472294" w:rsidRPr="006A64EE">
        <w:t xml:space="preserve"> </w:t>
      </w:r>
      <w:r w:rsidRPr="006A64EE">
        <w:t>und Corticosteroide eingesetzt worden waren. Bei 39 Patienten</w:t>
      </w:r>
      <w:r w:rsidR="00130F18" w:rsidRPr="006A64EE">
        <w:t xml:space="preserve"> </w:t>
      </w:r>
      <w:r w:rsidRPr="006A64EE">
        <w:t>(76,5</w:t>
      </w:r>
      <w:r w:rsidR="00052E40">
        <w:t> </w:t>
      </w:r>
      <w:r w:rsidRPr="006A64EE">
        <w:t>%; 95-%-KI: 62,5 % – 87,2 %) kam es zu einem Ansprechen. In einer unabhängigen Kohorte mit 15 Patienten (Bereich: 9 – 75 Jahre) mit Axicabtagen-Ciloleucel-induziertem CRS lag das Ansprechen bei 53 %.</w:t>
      </w:r>
    </w:p>
    <w:p w14:paraId="2F4F010D" w14:textId="77777777" w:rsidR="00093A5E" w:rsidRPr="006A64EE" w:rsidRDefault="00093A5E" w:rsidP="004255F8">
      <w:pPr>
        <w:pStyle w:val="a3"/>
        <w:widowControl/>
      </w:pPr>
    </w:p>
    <w:p w14:paraId="58BD746D" w14:textId="5E9FE750" w:rsidR="00093A5E" w:rsidRPr="006A64EE" w:rsidRDefault="009C2544" w:rsidP="004255F8">
      <w:pPr>
        <w:pStyle w:val="a3"/>
        <w:widowControl/>
      </w:pPr>
      <w:r w:rsidRPr="006A64EE">
        <w:t xml:space="preserve">Die Europäische Arzneimittel-Agentur hat für </w:t>
      </w:r>
      <w:r w:rsidR="00472294">
        <w:t>Tocilizumab</w:t>
      </w:r>
      <w:r w:rsidR="00472294" w:rsidRPr="006A64EE">
        <w:t xml:space="preserve"> </w:t>
      </w:r>
      <w:r w:rsidRPr="006A64EE">
        <w:t>eine Freistellung von der Verpflichtung zur Vorlage von Ergebnissen zu Studien in allen pädiatrischen Altersklassen zur Behandlung des chimären Antigenrezeptor (CAR) T-Zell-induzierten Zytokin-Freisetzungs-Syndroms (Cytokine Release Syndrome, CRS) gewährt.</w:t>
      </w:r>
    </w:p>
    <w:p w14:paraId="77284CEA" w14:textId="77777777" w:rsidR="00093A5E" w:rsidRPr="006A64EE" w:rsidRDefault="00093A5E" w:rsidP="004255F8">
      <w:pPr>
        <w:pStyle w:val="a3"/>
        <w:widowControl/>
      </w:pPr>
    </w:p>
    <w:p w14:paraId="20B9C367" w14:textId="77777777" w:rsidR="00093A5E" w:rsidRPr="006A64EE" w:rsidRDefault="009C2544" w:rsidP="004255F8">
      <w:pPr>
        <w:pStyle w:val="a3"/>
        <w:keepNext/>
        <w:widowControl/>
      </w:pPr>
      <w:r w:rsidRPr="006A64EE">
        <w:rPr>
          <w:u w:val="single"/>
        </w:rPr>
        <w:t>COVID-19</w:t>
      </w:r>
    </w:p>
    <w:p w14:paraId="756FB5EC" w14:textId="3779CCD8" w:rsidR="00093A5E" w:rsidRPr="006A64EE" w:rsidRDefault="009C2544" w:rsidP="004255F8">
      <w:pPr>
        <w:pStyle w:val="a3"/>
        <w:widowControl/>
      </w:pPr>
      <w:r w:rsidRPr="006A64EE">
        <w:t xml:space="preserve">Die Europäische Arzneimittel-Agentur hat für </w:t>
      </w:r>
      <w:r w:rsidR="00472294">
        <w:t>Tocilizumab</w:t>
      </w:r>
      <w:r w:rsidR="00472294" w:rsidRPr="006A64EE">
        <w:t xml:space="preserve"> </w:t>
      </w:r>
      <w:r w:rsidRPr="006A64EE">
        <w:t>eine Zurückstellung von der Verpflichtung zur Vorlage von Ergebnissen zu Studien in einer oder mehreren pädiatrischen Altersklassen bei der Behandlung von COVID-19 gewährt.</w:t>
      </w:r>
    </w:p>
    <w:p w14:paraId="59A30709" w14:textId="77777777" w:rsidR="00093A5E" w:rsidRPr="006A64EE" w:rsidRDefault="00093A5E" w:rsidP="00D0274D"/>
    <w:p w14:paraId="00111432" w14:textId="77777777" w:rsidR="00093A5E" w:rsidRPr="006A64EE" w:rsidRDefault="0059713A" w:rsidP="004255F8">
      <w:pPr>
        <w:pStyle w:val="2"/>
        <w:ind w:left="0" w:firstLine="0"/>
      </w:pPr>
      <w:r w:rsidRPr="006A64EE">
        <w:t>5.2</w:t>
      </w:r>
      <w:r w:rsidRPr="006A64EE">
        <w:tab/>
      </w:r>
      <w:r w:rsidR="007D680A" w:rsidRPr="006A64EE">
        <w:t>Pharmakokinetische Eigenschaften</w:t>
      </w:r>
    </w:p>
    <w:p w14:paraId="2A40659B" w14:textId="77777777" w:rsidR="00093A5E" w:rsidRPr="006A64EE" w:rsidRDefault="00093A5E" w:rsidP="0011146A">
      <w:pPr>
        <w:pStyle w:val="a3"/>
        <w:keepNext/>
        <w:keepLines/>
        <w:widowControl/>
        <w:rPr>
          <w:u w:val="single"/>
        </w:rPr>
      </w:pPr>
    </w:p>
    <w:p w14:paraId="63CA87AC" w14:textId="77777777" w:rsidR="00093A5E" w:rsidRPr="006A64EE" w:rsidRDefault="009C2544" w:rsidP="0011146A">
      <w:pPr>
        <w:pStyle w:val="a3"/>
        <w:keepNext/>
        <w:keepLines/>
        <w:widowControl/>
      </w:pPr>
      <w:r w:rsidRPr="006A64EE">
        <w:rPr>
          <w:u w:val="single"/>
        </w:rPr>
        <w:t>Intravenöse Anwendung</w:t>
      </w:r>
    </w:p>
    <w:p w14:paraId="6BC3C4DF" w14:textId="77777777" w:rsidR="00093A5E" w:rsidRPr="006A64EE" w:rsidRDefault="00093A5E" w:rsidP="0011146A">
      <w:pPr>
        <w:pStyle w:val="a3"/>
        <w:keepNext/>
        <w:keepLines/>
        <w:widowControl/>
      </w:pPr>
    </w:p>
    <w:p w14:paraId="3DAA64D5" w14:textId="77777777" w:rsidR="00093A5E" w:rsidRPr="006A64EE" w:rsidRDefault="009C2544" w:rsidP="004255F8">
      <w:pPr>
        <w:pStyle w:val="a3"/>
        <w:widowControl/>
      </w:pPr>
      <w:r w:rsidRPr="006A64EE">
        <w:rPr>
          <w:u w:val="single"/>
        </w:rPr>
        <w:t>Patienten mit RA</w:t>
      </w:r>
    </w:p>
    <w:p w14:paraId="7366DD2D" w14:textId="69D2BB94" w:rsidR="00093A5E" w:rsidRPr="006A64EE" w:rsidRDefault="009C2544" w:rsidP="004255F8">
      <w:pPr>
        <w:pStyle w:val="a3"/>
        <w:widowControl/>
      </w:pPr>
      <w:r w:rsidRPr="006A64EE">
        <w:t>Die Pharmakokinetik von Tocilizumab wurde anhand einer Analyse zur Populationspharmakokinetik, basierend auf den Daten von 3</w:t>
      </w:r>
      <w:r w:rsidR="006B5972">
        <w:t> </w:t>
      </w:r>
      <w:r w:rsidRPr="006A64EE">
        <w:t>552</w:t>
      </w:r>
      <w:r w:rsidR="006B5972">
        <w:t> </w:t>
      </w:r>
      <w:r w:rsidRPr="006A64EE">
        <w:t>Patienten mit RA, die während 24</w:t>
      </w:r>
      <w:r w:rsidR="006B5972">
        <w:t> </w:t>
      </w:r>
      <w:r w:rsidRPr="006A64EE">
        <w:t>Wochen entweder alle</w:t>
      </w:r>
      <w:r w:rsidR="00130F18" w:rsidRPr="006A64EE">
        <w:t xml:space="preserve"> </w:t>
      </w:r>
      <w:r w:rsidRPr="006A64EE">
        <w:t>4</w:t>
      </w:r>
      <w:r w:rsidR="006B5972">
        <w:t> </w:t>
      </w:r>
      <w:r w:rsidRPr="006A64EE">
        <w:t>Wochen mit einer einstündigen Infusion von 4</w:t>
      </w:r>
      <w:r w:rsidR="006B5972">
        <w:t> </w:t>
      </w:r>
      <w:r w:rsidRPr="006A64EE">
        <w:t>mg/kg oder 8</w:t>
      </w:r>
      <w:r w:rsidR="006B5972">
        <w:t> </w:t>
      </w:r>
      <w:r w:rsidRPr="006A64EE">
        <w:t>mg/kg Tocilizumab oder mit 162</w:t>
      </w:r>
      <w:r w:rsidR="006B5972">
        <w:t> </w:t>
      </w:r>
      <w:r w:rsidRPr="006A64EE">
        <w:t>mg Tocilizumab subkutan einmal wöchentlich oder jede zweite Woche behandelt wurden, bestimmt.</w:t>
      </w:r>
    </w:p>
    <w:p w14:paraId="4C3FF425" w14:textId="77777777" w:rsidR="00093A5E" w:rsidRPr="006A64EE" w:rsidRDefault="00093A5E" w:rsidP="004255F8">
      <w:pPr>
        <w:pStyle w:val="a3"/>
        <w:widowControl/>
      </w:pPr>
    </w:p>
    <w:p w14:paraId="4BA371E6" w14:textId="3FA99AE2" w:rsidR="00093A5E" w:rsidRPr="006A64EE" w:rsidRDefault="009C2544" w:rsidP="004255F8">
      <w:pPr>
        <w:pStyle w:val="a3"/>
        <w:widowControl/>
      </w:pPr>
      <w:r w:rsidRPr="006A64EE">
        <w:t>Die folgenden Parameter (vorausberechneter Mittelwert ± Standardabweichung [SD]) wurden für eine Dosierung von 8</w:t>
      </w:r>
      <w:r w:rsidR="006B5972">
        <w:t> </w:t>
      </w:r>
      <w:r w:rsidRPr="006A64EE">
        <w:t>mg/kg Tocilizumab, verabreicht alle 4</w:t>
      </w:r>
      <w:r w:rsidR="006B5972">
        <w:t> </w:t>
      </w:r>
      <w:r w:rsidRPr="006A64EE">
        <w:t>Wochen, geschätzt: Steady State Area Under the Curve (AUC) = 38</w:t>
      </w:r>
      <w:r w:rsidR="006B5972">
        <w:t> </w:t>
      </w:r>
      <w:r w:rsidRPr="006A64EE">
        <w:t xml:space="preserve">000 </w:t>
      </w:r>
      <w:r w:rsidR="00DF6D38" w:rsidRPr="006A64EE">
        <w:t>±</w:t>
      </w:r>
      <w:r w:rsidRPr="006A64EE">
        <w:t xml:space="preserve"> 13</w:t>
      </w:r>
      <w:r w:rsidR="006B5972">
        <w:t> </w:t>
      </w:r>
      <w:r w:rsidRPr="006A64EE">
        <w:t>000 h • μg/ml, minimale Serumkonzentration</w:t>
      </w:r>
      <w:r w:rsidR="00130F18" w:rsidRPr="006A64EE">
        <w:t xml:space="preserve"> </w:t>
      </w:r>
      <w:r w:rsidRPr="006A64EE">
        <w:t>(C</w:t>
      </w:r>
      <w:r w:rsidRPr="006A64EE">
        <w:rPr>
          <w:vertAlign w:val="subscript"/>
        </w:rPr>
        <w:t>min</w:t>
      </w:r>
      <w:r w:rsidRPr="006A64EE">
        <w:t xml:space="preserve">) = 15,9 </w:t>
      </w:r>
      <w:r w:rsidR="00130F18" w:rsidRPr="006A64EE">
        <w:t>±</w:t>
      </w:r>
      <w:r w:rsidRPr="006A64EE">
        <w:t xml:space="preserve"> 13,1</w:t>
      </w:r>
      <w:r w:rsidR="006B5972">
        <w:t> </w:t>
      </w:r>
      <w:r w:rsidRPr="006A64EE">
        <w:t>µg/ml und maximale Serumkonzentration (C</w:t>
      </w:r>
      <w:r w:rsidRPr="006A64EE">
        <w:rPr>
          <w:vertAlign w:val="subscript"/>
        </w:rPr>
        <w:t>max</w:t>
      </w:r>
      <w:r w:rsidRPr="006A64EE">
        <w:t xml:space="preserve">) = 182 </w:t>
      </w:r>
      <w:r w:rsidR="00DF6D38" w:rsidRPr="006A64EE">
        <w:t>±</w:t>
      </w:r>
      <w:r w:rsidRPr="006A64EE">
        <w:t xml:space="preserve"> 50,4 µg/ml, und die Akkumulationsverhältnisse für AUC und C</w:t>
      </w:r>
      <w:r w:rsidRPr="006A64EE">
        <w:rPr>
          <w:vertAlign w:val="subscript"/>
        </w:rPr>
        <w:t>max</w:t>
      </w:r>
      <w:r w:rsidRPr="006A64EE">
        <w:t xml:space="preserve"> waren mit 1,32 bzw. 1,09 klein. Für C</w:t>
      </w:r>
      <w:r w:rsidRPr="006A64EE">
        <w:rPr>
          <w:vertAlign w:val="subscript"/>
        </w:rPr>
        <w:t>min</w:t>
      </w:r>
      <w:r w:rsidRPr="006A64EE">
        <w:t xml:space="preserve"> war das Akkumulationsverhältnis höher (2,49), was aufgrund des Beitrags der nicht linearen Clearance bei geringeren Konzentrationen zu erwarten war. Der Steady State wurde für C</w:t>
      </w:r>
      <w:r w:rsidRPr="006A64EE">
        <w:rPr>
          <w:vertAlign w:val="subscript"/>
        </w:rPr>
        <w:t>max</w:t>
      </w:r>
      <w:r w:rsidRPr="006A64EE">
        <w:t xml:space="preserve"> nach der ersten Anwendung und nach 8 und 20 Wochen für AUC bzw. C</w:t>
      </w:r>
      <w:r w:rsidRPr="006A64EE">
        <w:rPr>
          <w:vertAlign w:val="subscript"/>
        </w:rPr>
        <w:t>min</w:t>
      </w:r>
      <w:r w:rsidRPr="006A64EE">
        <w:t xml:space="preserve"> erreicht. Die AUC, C</w:t>
      </w:r>
      <w:r w:rsidRPr="006A64EE">
        <w:rPr>
          <w:vertAlign w:val="subscript"/>
        </w:rPr>
        <w:t>min</w:t>
      </w:r>
      <w:r w:rsidRPr="006A64EE">
        <w:t xml:space="preserve"> und C</w:t>
      </w:r>
      <w:r w:rsidRPr="006A64EE">
        <w:rPr>
          <w:vertAlign w:val="subscript"/>
        </w:rPr>
        <w:t>max</w:t>
      </w:r>
      <w:r w:rsidRPr="006A64EE">
        <w:t xml:space="preserve"> von Tocilizumab stiegen mit steigendem Körpergewicht. Bei einem Körpergewicht von ≥ 100 kg lagen der vorausberechnete Mittelwert ± Standardabweichung (SD) der AUC, der C</w:t>
      </w:r>
      <w:r w:rsidRPr="006A64EE">
        <w:rPr>
          <w:vertAlign w:val="subscript"/>
        </w:rPr>
        <w:t>min</w:t>
      </w:r>
      <w:r w:rsidRPr="006A64EE">
        <w:t xml:space="preserve"> und der C</w:t>
      </w:r>
      <w:r w:rsidRPr="006A64EE">
        <w:rPr>
          <w:vertAlign w:val="subscript"/>
        </w:rPr>
        <w:t>max</w:t>
      </w:r>
      <w:r w:rsidRPr="006A64EE">
        <w:t xml:space="preserve"> von Tocilizumab im Steady State bei 50</w:t>
      </w:r>
      <w:r w:rsidR="006B2CAB">
        <w:t> </w:t>
      </w:r>
      <w:r w:rsidRPr="006A64EE">
        <w:t>000 ± 16</w:t>
      </w:r>
      <w:r w:rsidR="006B2CAB">
        <w:t> </w:t>
      </w:r>
      <w:r w:rsidRPr="006A64EE">
        <w:t>800 h • μg/ml, beziehungsweise bei 24,4 ± 17,5 µg/ml und 226 ± 50,3 µg/ml, was höher liegt als die mittleren Expositionswerte in der oben beschriebenen Patientenpopulation (d. h. alle Körpergewichte). Die Dosis-Wirkungs-Kurve flacht bei höheren Dosierungen ab, was zu geringeren Wirksamkeitsverbesserungen für jede weitere Erhöhung der Tocilizumab-Konzentration führt, sodass klinisch bedeutende Verbesserungen der Wirksamkeit bei Patienten, die mit &gt;</w:t>
      </w:r>
      <w:r w:rsidR="008D73EB">
        <w:t> </w:t>
      </w:r>
      <w:r w:rsidRPr="006A64EE">
        <w:t>800</w:t>
      </w:r>
      <w:r w:rsidR="008D73EB">
        <w:t> </w:t>
      </w:r>
      <w:r w:rsidRPr="006A64EE">
        <w:t>mg Tocilizumab behandelt wurden, nicht nachgewiesen werden konnten. Aus diesem Grund werden Dosierungen von über 800</w:t>
      </w:r>
      <w:r w:rsidR="008D73EB">
        <w:t> </w:t>
      </w:r>
      <w:r w:rsidRPr="006A64EE">
        <w:t>mg Tocilizumab pro Infusion nicht empfohlen (siehe Abschnitt 4.2).</w:t>
      </w:r>
    </w:p>
    <w:p w14:paraId="585564D6" w14:textId="77777777" w:rsidR="00093A5E" w:rsidRPr="006A64EE" w:rsidRDefault="00093A5E" w:rsidP="004255F8">
      <w:pPr>
        <w:pStyle w:val="a3"/>
        <w:widowControl/>
      </w:pPr>
    </w:p>
    <w:p w14:paraId="298ECDC6" w14:textId="77777777" w:rsidR="00093A5E" w:rsidRPr="006A64EE" w:rsidRDefault="009C2544" w:rsidP="004255F8">
      <w:pPr>
        <w:pStyle w:val="a3"/>
        <w:widowControl/>
      </w:pPr>
      <w:r w:rsidRPr="006A64EE">
        <w:rPr>
          <w:u w:val="single"/>
        </w:rPr>
        <w:t>Patienten mit COVID-19</w:t>
      </w:r>
    </w:p>
    <w:p w14:paraId="48295BE3" w14:textId="7AAEE157" w:rsidR="00093A5E" w:rsidRPr="006A64EE" w:rsidRDefault="009C2544" w:rsidP="004255F8">
      <w:pPr>
        <w:pStyle w:val="a3"/>
        <w:widowControl/>
      </w:pPr>
      <w:r w:rsidRPr="006A64EE">
        <w:t>Die Pharmakokinetik von Tocilizumab wurde anhand einer Analyse zur Populationspharmakokinetik, basierend auf den Daten von 380 erwachsenen Patienten mit COVID-19, die in den Studien WA42380 (COVACTA) und CA42481 (MARIPOSA) mit einer einzelnen Infusion von 8</w:t>
      </w:r>
      <w:r w:rsidR="008478E2">
        <w:t> </w:t>
      </w:r>
      <w:r w:rsidRPr="006A64EE">
        <w:t>mg/kg Tocilizumab oder zwei Infusionen im Abstand von mindestens 8</w:t>
      </w:r>
      <w:r w:rsidR="008478E2">
        <w:t> </w:t>
      </w:r>
      <w:r w:rsidRPr="006A64EE">
        <w:t>Stunden behandelt wurden, bestimmt. Die folgenden Parameter (vorausberechneter Mittelwert ± Standardabweichung [SD]) wurden für eine Dosierung von 8</w:t>
      </w:r>
      <w:r w:rsidR="008478E2">
        <w:t> </w:t>
      </w:r>
      <w:r w:rsidRPr="006A64EE">
        <w:t>mg/kg Tocilizumab geschätzt: Area Under the Curve über 28</w:t>
      </w:r>
      <w:r w:rsidR="008478E2">
        <w:t> </w:t>
      </w:r>
      <w:r w:rsidRPr="006A64EE">
        <w:t>Tage</w:t>
      </w:r>
      <w:r w:rsidR="00130F18" w:rsidRPr="006A64EE">
        <w:t xml:space="preserve"> </w:t>
      </w:r>
      <w:r w:rsidRPr="006A64EE">
        <w:t>(AUC</w:t>
      </w:r>
      <w:r w:rsidRPr="00901DE4">
        <w:rPr>
          <w:vertAlign w:val="subscript"/>
        </w:rPr>
        <w:t>0-28</w:t>
      </w:r>
      <w:r w:rsidRPr="006A64EE">
        <w:t>)</w:t>
      </w:r>
      <w:r w:rsidR="00052E40">
        <w:t> </w:t>
      </w:r>
      <w:r w:rsidRPr="006A64EE">
        <w:t>=</w:t>
      </w:r>
      <w:r w:rsidR="00052E40">
        <w:t> </w:t>
      </w:r>
      <w:r w:rsidRPr="006A64EE">
        <w:t>18</w:t>
      </w:r>
      <w:r w:rsidR="005A1E43">
        <w:t> </w:t>
      </w:r>
      <w:r w:rsidRPr="006A64EE">
        <w:t>312</w:t>
      </w:r>
      <w:r w:rsidR="005A1E43">
        <w:t> </w:t>
      </w:r>
      <w:r w:rsidRPr="006A64EE">
        <w:t>(5</w:t>
      </w:r>
      <w:r w:rsidR="005A1E43">
        <w:t> </w:t>
      </w:r>
      <w:r w:rsidRPr="006A64EE">
        <w:t>184)</w:t>
      </w:r>
      <w:r w:rsidR="005A1E43">
        <w:t> </w:t>
      </w:r>
      <w:r w:rsidRPr="006A64EE">
        <w:t>h</w:t>
      </w:r>
      <w:r w:rsidR="005A1E43">
        <w:t> </w:t>
      </w:r>
      <w:r w:rsidRPr="006A64EE">
        <w:t>•</w:t>
      </w:r>
      <w:r w:rsidR="005A1E43">
        <w:t> </w:t>
      </w:r>
      <w:r w:rsidRPr="006A64EE">
        <w:t>μg/ml, Konzentration an Tag</w:t>
      </w:r>
      <w:r w:rsidR="005A1E43">
        <w:t> </w:t>
      </w:r>
      <w:r w:rsidRPr="006A64EE">
        <w:t>28 (C</w:t>
      </w:r>
      <w:r w:rsidRPr="00901DE4">
        <w:rPr>
          <w:vertAlign w:val="subscript"/>
        </w:rPr>
        <w:t>Tag28</w:t>
      </w:r>
      <w:r w:rsidRPr="006A64EE">
        <w:t>)</w:t>
      </w:r>
      <w:r w:rsidR="005A1E43">
        <w:t> </w:t>
      </w:r>
      <w:r w:rsidRPr="006A64EE">
        <w:t>=</w:t>
      </w:r>
      <w:r w:rsidR="005A1E43">
        <w:t> </w:t>
      </w:r>
      <w:r w:rsidRPr="006A64EE">
        <w:t>0,934</w:t>
      </w:r>
      <w:r w:rsidR="005A1E43">
        <w:t> </w:t>
      </w:r>
      <w:r w:rsidRPr="006A64EE">
        <w:t>(1,93)</w:t>
      </w:r>
      <w:r w:rsidR="005A1E43">
        <w:t> </w:t>
      </w:r>
      <w:r w:rsidRPr="006A64EE">
        <w:t>µg/ml und maximale Konzentration (C</w:t>
      </w:r>
      <w:r w:rsidRPr="006A64EE">
        <w:rPr>
          <w:vertAlign w:val="subscript"/>
        </w:rPr>
        <w:t>max</w:t>
      </w:r>
      <w:r w:rsidRPr="006A64EE">
        <w:t>)</w:t>
      </w:r>
      <w:r w:rsidR="005A1E43">
        <w:t> </w:t>
      </w:r>
      <w:r w:rsidRPr="006A64EE">
        <w:t>=</w:t>
      </w:r>
      <w:r w:rsidR="005A1E43">
        <w:t> </w:t>
      </w:r>
      <w:r w:rsidRPr="006A64EE">
        <w:t>154</w:t>
      </w:r>
      <w:r w:rsidR="005A1E43">
        <w:t> </w:t>
      </w:r>
      <w:r w:rsidRPr="006A64EE">
        <w:t>(34,9)</w:t>
      </w:r>
      <w:r w:rsidR="005A1E43">
        <w:t> </w:t>
      </w:r>
      <w:r w:rsidRPr="006A64EE">
        <w:t>µg/ml. Die AUC</w:t>
      </w:r>
      <w:r w:rsidRPr="00901DE4">
        <w:rPr>
          <w:vertAlign w:val="subscript"/>
        </w:rPr>
        <w:t>0-28</w:t>
      </w:r>
      <w:r w:rsidRPr="006A64EE">
        <w:t>, C</w:t>
      </w:r>
      <w:r w:rsidRPr="00901DE4">
        <w:rPr>
          <w:vertAlign w:val="subscript"/>
        </w:rPr>
        <w:t>Tag28</w:t>
      </w:r>
      <w:r w:rsidRPr="006A64EE">
        <w:t xml:space="preserve"> bzw. C</w:t>
      </w:r>
      <w:r w:rsidRPr="006A64EE">
        <w:rPr>
          <w:vertAlign w:val="subscript"/>
        </w:rPr>
        <w:t>max</w:t>
      </w:r>
      <w:r w:rsidRPr="006A64EE">
        <w:t xml:space="preserve"> nach zwei Dosen von 8</w:t>
      </w:r>
      <w:r w:rsidR="005A1E43">
        <w:t> </w:t>
      </w:r>
      <w:r w:rsidRPr="006A64EE">
        <w:t>mg/kg Tocilizumab im Abstand von 8</w:t>
      </w:r>
      <w:r w:rsidR="005A1E43">
        <w:t> </w:t>
      </w:r>
      <w:r w:rsidRPr="006A64EE">
        <w:t>Stunden wurden ebenfalls geschätzt (vorausberechneter Mittelwert ± SD): 42</w:t>
      </w:r>
      <w:r w:rsidR="005A1E43">
        <w:t> </w:t>
      </w:r>
      <w:r w:rsidRPr="006A64EE">
        <w:t>240</w:t>
      </w:r>
      <w:r w:rsidR="005A1E43">
        <w:t> </w:t>
      </w:r>
      <w:r w:rsidRPr="006A64EE">
        <w:t>(11</w:t>
      </w:r>
      <w:r w:rsidR="005A1E43">
        <w:t> </w:t>
      </w:r>
      <w:r w:rsidRPr="006A64EE">
        <w:t>520)</w:t>
      </w:r>
      <w:r w:rsidR="005A1E43">
        <w:t> </w:t>
      </w:r>
      <w:r w:rsidRPr="006A64EE">
        <w:t>h</w:t>
      </w:r>
      <w:r w:rsidR="005A1E43">
        <w:t> </w:t>
      </w:r>
      <w:r w:rsidRPr="006A64EE">
        <w:t>•</w:t>
      </w:r>
      <w:r w:rsidR="005A1E43">
        <w:t> </w:t>
      </w:r>
      <w:r w:rsidRPr="006A64EE">
        <w:t>µg/ml, 8,94</w:t>
      </w:r>
      <w:r w:rsidR="005A1E43">
        <w:t> </w:t>
      </w:r>
      <w:r w:rsidRPr="006A64EE">
        <w:t>(8,5)</w:t>
      </w:r>
      <w:r w:rsidR="005A1E43">
        <w:t> </w:t>
      </w:r>
      <w:r w:rsidRPr="006A64EE">
        <w:t>µg/ml bzw. 296</w:t>
      </w:r>
      <w:r w:rsidR="005A1E43">
        <w:t> </w:t>
      </w:r>
      <w:r w:rsidRPr="006A64EE">
        <w:t>(64,7)</w:t>
      </w:r>
      <w:r w:rsidR="005A1E43">
        <w:t> </w:t>
      </w:r>
      <w:r w:rsidRPr="006A64EE">
        <w:t>µg/ml.</w:t>
      </w:r>
    </w:p>
    <w:p w14:paraId="75B6FE76" w14:textId="77777777" w:rsidR="00093A5E" w:rsidRPr="006A64EE" w:rsidRDefault="00093A5E" w:rsidP="004255F8">
      <w:pPr>
        <w:pStyle w:val="a3"/>
        <w:widowControl/>
      </w:pPr>
    </w:p>
    <w:p w14:paraId="07D62E28" w14:textId="77777777" w:rsidR="00093A5E" w:rsidRPr="006A64EE" w:rsidRDefault="009C2544" w:rsidP="004255F8">
      <w:pPr>
        <w:pStyle w:val="a3"/>
        <w:keepNext/>
        <w:widowControl/>
      </w:pPr>
      <w:r w:rsidRPr="006A64EE">
        <w:rPr>
          <w:u w:val="single"/>
        </w:rPr>
        <w:lastRenderedPageBreak/>
        <w:t>Verteilung</w:t>
      </w:r>
    </w:p>
    <w:p w14:paraId="510D7EC4" w14:textId="77777777" w:rsidR="00093A5E" w:rsidRPr="006A64EE" w:rsidRDefault="009C2544" w:rsidP="004255F8">
      <w:pPr>
        <w:pStyle w:val="a3"/>
        <w:widowControl/>
      </w:pPr>
      <w:r w:rsidRPr="006A64EE">
        <w:t>Bei Patienten mit RA lag das zentrale Verteilungsvolumen bei 3,72 l, das periphere Verteilungsvolumen bei 3,35 l, woraus ein Verteilungsvolumen von 7,07 l im Steady State resultiert.</w:t>
      </w:r>
    </w:p>
    <w:p w14:paraId="0DC517FF" w14:textId="77777777" w:rsidR="00093A5E" w:rsidRPr="006A64EE" w:rsidRDefault="00093A5E" w:rsidP="004255F8">
      <w:pPr>
        <w:pStyle w:val="a3"/>
        <w:widowControl/>
      </w:pPr>
    </w:p>
    <w:p w14:paraId="0798A91B" w14:textId="77777777" w:rsidR="00093A5E" w:rsidRPr="006A64EE" w:rsidRDefault="009C2544" w:rsidP="004255F8">
      <w:pPr>
        <w:pStyle w:val="a3"/>
        <w:widowControl/>
      </w:pPr>
      <w:r w:rsidRPr="006A64EE">
        <w:t>Bei erwachsenen COVID-19-Patienten betrug das zentrale Verteilungsvolumen 4,52 l, das periphere Verteilungsvolumen 4,23 l, was ein Verteilungsvolumen von 8,75 l ergibt.</w:t>
      </w:r>
    </w:p>
    <w:p w14:paraId="069C2257" w14:textId="77777777" w:rsidR="00093A5E" w:rsidRPr="006A64EE" w:rsidRDefault="00093A5E" w:rsidP="004255F8">
      <w:pPr>
        <w:pStyle w:val="a3"/>
        <w:widowControl/>
      </w:pPr>
    </w:p>
    <w:p w14:paraId="19872E09" w14:textId="77777777" w:rsidR="00093A5E" w:rsidRPr="006A64EE" w:rsidRDefault="009C2544" w:rsidP="004255F8">
      <w:pPr>
        <w:pStyle w:val="a3"/>
        <w:widowControl/>
      </w:pPr>
      <w:r w:rsidRPr="006A64EE">
        <w:rPr>
          <w:u w:val="single"/>
        </w:rPr>
        <w:t>Elimination</w:t>
      </w:r>
    </w:p>
    <w:p w14:paraId="31B16DB4" w14:textId="77777777" w:rsidR="00093A5E" w:rsidRPr="006A64EE" w:rsidRDefault="009C2544" w:rsidP="004255F8">
      <w:pPr>
        <w:pStyle w:val="a3"/>
        <w:widowControl/>
      </w:pPr>
      <w:r w:rsidRPr="006A64EE">
        <w:t>Nach intravenöser Verabreichung wird Tocilizumab auf zwei Wegen aus dem Kreislauf eliminiert, einmal über lineare Clearance und einmal über konzentrationsabhängige nicht lineare Clearance. Bei Patienten mit RA lag die lineare Clearance bei 9,5 ml/h. Bei erwachsenen COVID-19-Patienten betrug die lineare Clearance 17,6 ml/h bei Patienten mit Kategorie 3 auf der Ordinalskala (OS) zu Behandlungsbeginn (OS 3, Patienten, die zusätzlichen Sauerstoff benötigen), 22,5 ml/h bei Patienten mit Kategorie 4 auf der OS zu Behandlungsbeginn (Patienten, die Sauerstoff mit hohem Durchfluss oder nicht-invasive Beatmung benötigen), 29 ml/h bei Patienten mit Kategorie 5 auf der OS zu Behandlungsbeginn (Patienten, die maschinelle Beatmung benötigen) und 35,4 ml/h bei Patienten mit</w:t>
      </w:r>
      <w:r w:rsidR="00130F18" w:rsidRPr="006A64EE">
        <w:t xml:space="preserve"> </w:t>
      </w:r>
      <w:r w:rsidR="007D680A" w:rsidRPr="006A64EE">
        <w:t>Kategorie 6 auf der OS zu Behandlungsbeginn (Patienten, die extrakorporale Membranoxygenierung (</w:t>
      </w:r>
      <w:r w:rsidR="007D680A" w:rsidRPr="006A64EE">
        <w:rPr>
          <w:i/>
        </w:rPr>
        <w:t>extracorporeal membrane oxygenation</w:t>
      </w:r>
      <w:r w:rsidR="007D680A" w:rsidRPr="006A64EE">
        <w:t>, ECMO) oder maschinelle Beatmung und zusätzliche Organunterstützung benötigen). Die konzentrationsabhängige nicht lineare Clearance spielt eine wichtige Rolle bei niedrigen Konzentrationen von Tocilizumab. Wenn der nicht lineare Stoffwechselweg gesättigt ist, wird die Clearance bei höheren Konzentrationen von Tocilizumab hauptsächlich von der linearen Clearance bestimmt.</w:t>
      </w:r>
    </w:p>
    <w:p w14:paraId="7ECA5D17" w14:textId="77777777" w:rsidR="00093A5E" w:rsidRPr="006A64EE" w:rsidRDefault="00093A5E" w:rsidP="004255F8">
      <w:pPr>
        <w:pStyle w:val="a3"/>
        <w:widowControl/>
      </w:pPr>
    </w:p>
    <w:p w14:paraId="38208849" w14:textId="2207BF9E" w:rsidR="00093A5E" w:rsidRPr="006A64EE" w:rsidRDefault="009C2544" w:rsidP="004255F8">
      <w:pPr>
        <w:pStyle w:val="a3"/>
        <w:widowControl/>
      </w:pPr>
      <w:r w:rsidRPr="006A64EE">
        <w:t>Bei Patienten mit RA war die t</w:t>
      </w:r>
      <w:r w:rsidRPr="00901DE4">
        <w:rPr>
          <w:vertAlign w:val="subscript"/>
        </w:rPr>
        <w:t>1/2</w:t>
      </w:r>
      <w:r w:rsidRPr="006A64EE">
        <w:t xml:space="preserve"> von Tocilizumab konzentrationsabhängig. Im Steady State reduzierte sich die tatsächliche t</w:t>
      </w:r>
      <w:r w:rsidRPr="00901DE4">
        <w:rPr>
          <w:vertAlign w:val="subscript"/>
        </w:rPr>
        <w:t>1/2</w:t>
      </w:r>
      <w:r w:rsidRPr="006A64EE">
        <w:t xml:space="preserve"> nach Gabe einer Dosis von 8</w:t>
      </w:r>
      <w:r w:rsidR="008D73EB">
        <w:t> </w:t>
      </w:r>
      <w:r w:rsidRPr="006A64EE">
        <w:t>mg/kg alle 4 Wochen mit abnehmender Konzentration innerhalb eines Dosierungsintervalls von 18 auf 6 Tage.</w:t>
      </w:r>
    </w:p>
    <w:p w14:paraId="531927CB" w14:textId="77777777" w:rsidR="00093A5E" w:rsidRPr="006A64EE" w:rsidRDefault="00093A5E" w:rsidP="004255F8">
      <w:pPr>
        <w:pStyle w:val="a3"/>
        <w:widowControl/>
      </w:pPr>
    </w:p>
    <w:p w14:paraId="50A6B086" w14:textId="1E4ED15D" w:rsidR="00093A5E" w:rsidRPr="006A64EE" w:rsidRDefault="009C2544" w:rsidP="004255F8">
      <w:pPr>
        <w:pStyle w:val="a3"/>
        <w:widowControl/>
      </w:pPr>
      <w:r w:rsidRPr="006A64EE">
        <w:t>Bei COVID-19-Patienten lagen die Serumkonzentrationen nach einer Infusion von 8</w:t>
      </w:r>
      <w:r w:rsidR="008D73EB">
        <w:t> </w:t>
      </w:r>
      <w:r w:rsidRPr="006A64EE">
        <w:t>mg/kg Tocilizumab i.v. im Durchschnitt nach 35 Tagen unterhalb der Bestimmungsgrenze.</w:t>
      </w:r>
    </w:p>
    <w:p w14:paraId="25CEEACF" w14:textId="77777777" w:rsidR="00093A5E" w:rsidRPr="006A64EE" w:rsidRDefault="00093A5E" w:rsidP="004255F8">
      <w:pPr>
        <w:pStyle w:val="a3"/>
        <w:widowControl/>
      </w:pPr>
    </w:p>
    <w:p w14:paraId="02E04A5F" w14:textId="77777777" w:rsidR="00093A5E" w:rsidRPr="006A64EE" w:rsidRDefault="009C2544" w:rsidP="004255F8">
      <w:pPr>
        <w:pStyle w:val="a3"/>
        <w:widowControl/>
      </w:pPr>
      <w:r w:rsidRPr="006A64EE">
        <w:rPr>
          <w:u w:val="single"/>
        </w:rPr>
        <w:t>Linearität/Nicht-Linearität</w:t>
      </w:r>
    </w:p>
    <w:p w14:paraId="03E974CD" w14:textId="2488C6FE" w:rsidR="00093A5E" w:rsidRPr="006A64EE" w:rsidRDefault="009C2544" w:rsidP="004255F8">
      <w:pPr>
        <w:pStyle w:val="a3"/>
        <w:widowControl/>
      </w:pPr>
      <w:r w:rsidRPr="006A64EE">
        <w:t>Die pharmakokinetischen Parameter von Tocilizumab veränderten sich im Zeitverlauf nicht. Bei einer Dosis von 4</w:t>
      </w:r>
      <w:r w:rsidR="008D73EB">
        <w:t> </w:t>
      </w:r>
      <w:r w:rsidRPr="006A64EE">
        <w:t>mg/kg bzw. 8</w:t>
      </w:r>
      <w:r w:rsidR="008D73EB">
        <w:t> </w:t>
      </w:r>
      <w:r w:rsidRPr="006A64EE">
        <w:t>mg/kg alle 4 Wochen wurde ein mehr als dosisproportionaler Anstieg der AUC und C</w:t>
      </w:r>
      <w:r w:rsidRPr="006A64EE">
        <w:rPr>
          <w:vertAlign w:val="subscript"/>
        </w:rPr>
        <w:t>min</w:t>
      </w:r>
      <w:r w:rsidRPr="006A64EE">
        <w:t xml:space="preserve"> beobachtet. C</w:t>
      </w:r>
      <w:r w:rsidRPr="006A64EE">
        <w:rPr>
          <w:vertAlign w:val="subscript"/>
        </w:rPr>
        <w:t>max</w:t>
      </w:r>
      <w:r w:rsidRPr="006A64EE">
        <w:t xml:space="preserve"> erhöhte sich dosisproportional. Im Steady State lagen die prognostizierte AUC und C</w:t>
      </w:r>
      <w:r w:rsidRPr="006A64EE">
        <w:rPr>
          <w:vertAlign w:val="subscript"/>
        </w:rPr>
        <w:t>min</w:t>
      </w:r>
      <w:r w:rsidRPr="006A64EE">
        <w:t xml:space="preserve"> mit 8</w:t>
      </w:r>
      <w:r w:rsidR="008D73EB">
        <w:t> </w:t>
      </w:r>
      <w:r w:rsidRPr="006A64EE">
        <w:t>mg/kg um das 3,2- bzw. 30-Fache höher verglichen mit 4</w:t>
      </w:r>
      <w:r w:rsidR="008D73EB">
        <w:t> </w:t>
      </w:r>
      <w:r w:rsidRPr="006A64EE">
        <w:t>mg/kg.</w:t>
      </w:r>
    </w:p>
    <w:p w14:paraId="2E3295CB" w14:textId="77777777" w:rsidR="00093A5E" w:rsidRPr="006A64EE" w:rsidRDefault="00093A5E" w:rsidP="004255F8">
      <w:pPr>
        <w:pStyle w:val="a3"/>
        <w:widowControl/>
      </w:pPr>
    </w:p>
    <w:p w14:paraId="2E8F3D24" w14:textId="77777777" w:rsidR="00093A5E" w:rsidRPr="006A64EE" w:rsidRDefault="009C2544" w:rsidP="004255F8">
      <w:pPr>
        <w:pStyle w:val="a3"/>
        <w:widowControl/>
      </w:pPr>
      <w:r w:rsidRPr="006A64EE">
        <w:rPr>
          <w:u w:val="single"/>
        </w:rPr>
        <w:t>Spezielle Populationen</w:t>
      </w:r>
    </w:p>
    <w:p w14:paraId="746837DD" w14:textId="77777777" w:rsidR="00093A5E" w:rsidRPr="006A64EE" w:rsidRDefault="009C2544" w:rsidP="004255F8">
      <w:pPr>
        <w:pStyle w:val="a3"/>
        <w:widowControl/>
      </w:pPr>
      <w:r w:rsidRPr="006A64EE">
        <w:rPr>
          <w:i/>
        </w:rPr>
        <w:t xml:space="preserve">Nierenfunktionsstörungen: </w:t>
      </w:r>
      <w:r w:rsidRPr="006A64EE">
        <w:t>Es wurden keine Studien zur Auswirkung einer Nierenfunktionsstörung auf die Pharmakokinetik von Tocilizumab durchgeführt. In der Analyse zur Populationspharmakokinetik hatten die meisten Patienten eine normale Nierenfunktion oder eine leichte Nierenfunktionsstörung.</w:t>
      </w:r>
      <w:r w:rsidR="00A705C6" w:rsidRPr="006A64EE">
        <w:t xml:space="preserve"> </w:t>
      </w:r>
      <w:r w:rsidRPr="006A64EE">
        <w:t>Eine leichte Nierenfunktionsstörung (Kreatinin-Clearance basierend auf Cockcroft-Gault &lt; 80 ml/min</w:t>
      </w:r>
      <w:r w:rsidR="00A705C6" w:rsidRPr="006A64EE">
        <w:t xml:space="preserve"> </w:t>
      </w:r>
      <w:r w:rsidRPr="006A64EE">
        <w:t>und ≥ 50 ml/min) hatte keine Auswirkungen auf die Pharmakokinetik von Tocilizumab.</w:t>
      </w:r>
    </w:p>
    <w:p w14:paraId="5D340FAC" w14:textId="77777777" w:rsidR="00093A5E" w:rsidRPr="006A64EE" w:rsidRDefault="00093A5E" w:rsidP="004255F8">
      <w:pPr>
        <w:pStyle w:val="a3"/>
        <w:widowControl/>
      </w:pPr>
    </w:p>
    <w:p w14:paraId="01C8A958" w14:textId="77777777" w:rsidR="00093A5E" w:rsidRPr="006A64EE" w:rsidRDefault="009C2544" w:rsidP="004255F8">
      <w:pPr>
        <w:pStyle w:val="a3"/>
        <w:widowControl/>
      </w:pPr>
      <w:r w:rsidRPr="006A64EE">
        <w:rPr>
          <w:i/>
        </w:rPr>
        <w:t xml:space="preserve">Leberfunktionsstörungen: </w:t>
      </w:r>
      <w:r w:rsidRPr="006A64EE">
        <w:t>Es wurden keine Studien zur Auswirkung einer Leberfunktionsstörung auf die Pharmakokinetik von Tocilizumab durchgeführt.</w:t>
      </w:r>
    </w:p>
    <w:p w14:paraId="0A15587C" w14:textId="77777777" w:rsidR="00093A5E" w:rsidRPr="006A64EE" w:rsidRDefault="00093A5E" w:rsidP="004255F8">
      <w:pPr>
        <w:pStyle w:val="a3"/>
        <w:widowControl/>
      </w:pPr>
    </w:p>
    <w:p w14:paraId="6CF133FA" w14:textId="77777777" w:rsidR="00093A5E" w:rsidRPr="006A64EE" w:rsidRDefault="009C2544" w:rsidP="004255F8">
      <w:pPr>
        <w:pStyle w:val="a3"/>
        <w:widowControl/>
      </w:pPr>
      <w:r w:rsidRPr="006A64EE">
        <w:rPr>
          <w:i/>
        </w:rPr>
        <w:t xml:space="preserve">Alter, Geschlecht und ethnische Abstammung: </w:t>
      </w:r>
      <w:r w:rsidRPr="006A64EE">
        <w:t>Analysen zur Populationspharmakokinetik bei Patienten mit RA und COVID-19 zeigten, dass Alter, Geschlecht und ethnische Abstammung die Pharmakokinetik von Tocilizumab nicht beeinflussen.</w:t>
      </w:r>
    </w:p>
    <w:p w14:paraId="7C63DDA6" w14:textId="77777777" w:rsidR="00093A5E" w:rsidRPr="006A64EE" w:rsidRDefault="00093A5E" w:rsidP="004255F8">
      <w:pPr>
        <w:pStyle w:val="a3"/>
        <w:widowControl/>
        <w:rPr>
          <w:i/>
        </w:rPr>
      </w:pPr>
    </w:p>
    <w:p w14:paraId="608B9CC3" w14:textId="77777777" w:rsidR="00093A5E" w:rsidRPr="006A64EE" w:rsidRDefault="009C2544" w:rsidP="004255F8">
      <w:pPr>
        <w:pStyle w:val="a3"/>
        <w:widowControl/>
      </w:pPr>
      <w:r w:rsidRPr="006A64EE">
        <w:t>Ergebnisse der populationspharmakokinetischen Analyse bei Patienten mit COVID-19 bestätigten, dass sowohl das Körpergewicht als auch die Schwere der Erkrankung Kovariaten sind, die eine deutliche Auswirkung auf die lineare Clearance von Tocilizumab haben.</w:t>
      </w:r>
    </w:p>
    <w:p w14:paraId="6709D3E2" w14:textId="77777777" w:rsidR="00093A5E" w:rsidRPr="006A64EE" w:rsidRDefault="00093A5E" w:rsidP="004255F8">
      <w:pPr>
        <w:pStyle w:val="a3"/>
        <w:widowControl/>
      </w:pPr>
    </w:p>
    <w:p w14:paraId="7FEAC88C" w14:textId="77777777" w:rsidR="00093A5E" w:rsidRPr="006A64EE" w:rsidRDefault="009C2544" w:rsidP="004255F8">
      <w:pPr>
        <w:keepNext/>
        <w:widowControl/>
        <w:rPr>
          <w:i/>
        </w:rPr>
      </w:pPr>
      <w:r w:rsidRPr="006A64EE">
        <w:rPr>
          <w:i/>
        </w:rPr>
        <w:lastRenderedPageBreak/>
        <w:t>Patienten mit sJIA:</w:t>
      </w:r>
    </w:p>
    <w:p w14:paraId="7B8F1240" w14:textId="4D0A87E8" w:rsidR="00093A5E" w:rsidRPr="006A64EE" w:rsidRDefault="009C2544" w:rsidP="004255F8">
      <w:pPr>
        <w:pStyle w:val="a3"/>
        <w:widowControl/>
      </w:pPr>
      <w:r w:rsidRPr="006A64EE">
        <w:t>Die Pharmakokinetik von Tocilizumab wurde anhand einer Analyse zur Populationspharmakokinetik basierend auf den Daten von 140 Patienten mit sJIA bestimmt, die mit 8</w:t>
      </w:r>
      <w:r w:rsidR="008D73EB">
        <w:t> </w:t>
      </w:r>
      <w:r w:rsidRPr="006A64EE">
        <w:t>mg/kg i.v. alle 2 Wochen (Patienten mit einem Körpergewicht von ≥ 30 kg), 12</w:t>
      </w:r>
      <w:r w:rsidR="008D73EB">
        <w:t> </w:t>
      </w:r>
      <w:r w:rsidRPr="006A64EE">
        <w:t>mg/kg i.v. alle 2 Wochen (Patienten mit einem Körpergewicht von &lt; 30 kg), 162</w:t>
      </w:r>
      <w:r w:rsidR="008D73EB">
        <w:t> </w:t>
      </w:r>
      <w:r w:rsidRPr="006A64EE">
        <w:t>mg s.c. einmal pro Woche (Patienten mit einem Körpergewicht von</w:t>
      </w:r>
      <w:r w:rsidR="00A705C6" w:rsidRPr="006A64EE">
        <w:t xml:space="preserve"> </w:t>
      </w:r>
      <w:r w:rsidRPr="006A64EE">
        <w:t>≥ 30 kg) oder 162</w:t>
      </w:r>
      <w:r w:rsidR="008D73EB">
        <w:t> </w:t>
      </w:r>
      <w:r w:rsidRPr="006A64EE">
        <w:t>mg s.c. alle 10 Tage oder alle 2 Wochen (Patienten mit einem Körpergewicht unter 30 kg) behandelt wurden.</w:t>
      </w:r>
    </w:p>
    <w:p w14:paraId="3ABC1A8F" w14:textId="77777777" w:rsidR="00093A5E" w:rsidRPr="006A64EE" w:rsidRDefault="00093A5E" w:rsidP="004255F8">
      <w:pPr>
        <w:widowControl/>
      </w:pPr>
    </w:p>
    <w:p w14:paraId="707E46E1" w14:textId="77777777" w:rsidR="00093A5E" w:rsidRPr="006A64EE" w:rsidRDefault="007D680A" w:rsidP="004255F8">
      <w:pPr>
        <w:keepNext/>
        <w:widowControl/>
      </w:pPr>
      <w:r w:rsidRPr="006A64EE">
        <w:rPr>
          <w:i/>
        </w:rPr>
        <w:t>Tabelle 11: Vorausberechneter Mittelwert der PK-Parameter ± SD bei Steady State nach intravenöser Anwendung bei sJIA</w:t>
      </w:r>
    </w:p>
    <w:p w14:paraId="5D762322" w14:textId="5D53BCC9" w:rsidR="002D5756" w:rsidRPr="006A64EE" w:rsidRDefault="002D5756" w:rsidP="004255F8">
      <w:pPr>
        <w:pStyle w:val="a3"/>
        <w:keepNext/>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120"/>
        <w:gridCol w:w="2693"/>
        <w:gridCol w:w="2976"/>
      </w:tblGrid>
      <w:tr w:rsidR="00593482" w:rsidRPr="006A64EE" w14:paraId="474A2DE8" w14:textId="77777777" w:rsidTr="00B81266">
        <w:trPr>
          <w:tblHeader/>
        </w:trPr>
        <w:tc>
          <w:tcPr>
            <w:tcW w:w="3120" w:type="dxa"/>
          </w:tcPr>
          <w:p w14:paraId="182EA7D8" w14:textId="56B439B5" w:rsidR="002D5756" w:rsidRPr="006A64EE" w:rsidRDefault="00472294" w:rsidP="004255F8">
            <w:pPr>
              <w:pStyle w:val="TableParagraph"/>
              <w:widowControl/>
              <w:suppressAutoHyphens/>
              <w:rPr>
                <w:b/>
                <w:sz w:val="20"/>
                <w:szCs w:val="20"/>
              </w:rPr>
            </w:pPr>
            <w:r>
              <w:rPr>
                <w:b/>
                <w:sz w:val="20"/>
                <w:szCs w:val="20"/>
              </w:rPr>
              <w:t>Tocilizumab</w:t>
            </w:r>
            <w:r w:rsidR="00C450F6">
              <w:rPr>
                <w:b/>
                <w:sz w:val="20"/>
                <w:szCs w:val="20"/>
              </w:rPr>
              <w:t xml:space="preserve"> </w:t>
            </w:r>
            <w:r w:rsidR="009C2544" w:rsidRPr="006A64EE">
              <w:rPr>
                <w:b/>
                <w:sz w:val="20"/>
                <w:szCs w:val="20"/>
              </w:rPr>
              <w:t>PK-Parameter</w:t>
            </w:r>
          </w:p>
        </w:tc>
        <w:tc>
          <w:tcPr>
            <w:tcW w:w="2693" w:type="dxa"/>
          </w:tcPr>
          <w:p w14:paraId="50E9D0CD" w14:textId="280CBEA0" w:rsidR="002D5756" w:rsidRPr="006A64EE" w:rsidRDefault="009C2544" w:rsidP="004255F8">
            <w:pPr>
              <w:pStyle w:val="TableParagraph"/>
              <w:widowControl/>
              <w:suppressAutoHyphens/>
              <w:jc w:val="center"/>
              <w:rPr>
                <w:b/>
                <w:sz w:val="20"/>
                <w:szCs w:val="20"/>
              </w:rPr>
            </w:pPr>
            <w:r w:rsidRPr="006A64EE">
              <w:rPr>
                <w:b/>
                <w:sz w:val="20"/>
                <w:szCs w:val="20"/>
              </w:rPr>
              <w:t>8</w:t>
            </w:r>
            <w:r w:rsidR="008D73EB">
              <w:rPr>
                <w:b/>
                <w:sz w:val="20"/>
                <w:szCs w:val="20"/>
              </w:rPr>
              <w:t> </w:t>
            </w:r>
            <w:r w:rsidRPr="006A64EE">
              <w:rPr>
                <w:b/>
                <w:sz w:val="20"/>
                <w:szCs w:val="20"/>
              </w:rPr>
              <w:t>mg/kg q2w ≥ 30 kg</w:t>
            </w:r>
          </w:p>
        </w:tc>
        <w:tc>
          <w:tcPr>
            <w:tcW w:w="2976" w:type="dxa"/>
          </w:tcPr>
          <w:p w14:paraId="34FC1F51" w14:textId="0BF9D6D2" w:rsidR="002D5756" w:rsidRPr="006A64EE" w:rsidRDefault="009C2544" w:rsidP="004255F8">
            <w:pPr>
              <w:pStyle w:val="TableParagraph"/>
              <w:widowControl/>
              <w:suppressAutoHyphens/>
              <w:jc w:val="center"/>
              <w:rPr>
                <w:b/>
                <w:sz w:val="20"/>
                <w:szCs w:val="20"/>
              </w:rPr>
            </w:pPr>
            <w:r w:rsidRPr="006A64EE">
              <w:rPr>
                <w:b/>
                <w:sz w:val="20"/>
                <w:szCs w:val="20"/>
              </w:rPr>
              <w:t>12</w:t>
            </w:r>
            <w:r w:rsidR="008D73EB">
              <w:rPr>
                <w:b/>
                <w:sz w:val="20"/>
                <w:szCs w:val="20"/>
              </w:rPr>
              <w:t> </w:t>
            </w:r>
            <w:r w:rsidRPr="006A64EE">
              <w:rPr>
                <w:b/>
                <w:sz w:val="20"/>
                <w:szCs w:val="20"/>
              </w:rPr>
              <w:t>mg/kg q2w &lt; 30 kg</w:t>
            </w:r>
          </w:p>
        </w:tc>
      </w:tr>
      <w:tr w:rsidR="00593482" w:rsidRPr="006A64EE" w14:paraId="666004CF" w14:textId="77777777" w:rsidTr="00B81266">
        <w:trPr>
          <w:cantSplit/>
        </w:trPr>
        <w:tc>
          <w:tcPr>
            <w:tcW w:w="3120" w:type="dxa"/>
          </w:tcPr>
          <w:p w14:paraId="03D00210"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max</w:t>
            </w:r>
            <w:r w:rsidRPr="006A64EE">
              <w:rPr>
                <w:sz w:val="20"/>
                <w:szCs w:val="20"/>
              </w:rPr>
              <w:t xml:space="preserve"> (µg/ml)</w:t>
            </w:r>
          </w:p>
        </w:tc>
        <w:tc>
          <w:tcPr>
            <w:tcW w:w="2693" w:type="dxa"/>
          </w:tcPr>
          <w:p w14:paraId="5DEBDF0D" w14:textId="77777777" w:rsidR="002D5756" w:rsidRPr="006A64EE" w:rsidRDefault="009C2544" w:rsidP="004255F8">
            <w:pPr>
              <w:pStyle w:val="TableParagraph"/>
              <w:widowControl/>
              <w:suppressAutoHyphens/>
              <w:jc w:val="center"/>
              <w:rPr>
                <w:sz w:val="20"/>
                <w:szCs w:val="20"/>
              </w:rPr>
            </w:pPr>
            <w:r w:rsidRPr="006A64EE">
              <w:rPr>
                <w:sz w:val="20"/>
                <w:szCs w:val="20"/>
              </w:rPr>
              <w:t>256 ± 60,8</w:t>
            </w:r>
          </w:p>
        </w:tc>
        <w:tc>
          <w:tcPr>
            <w:tcW w:w="2976" w:type="dxa"/>
          </w:tcPr>
          <w:p w14:paraId="3CD8DB40" w14:textId="7C5FF135" w:rsidR="002D5756" w:rsidRPr="006A64EE" w:rsidRDefault="009C2544" w:rsidP="004255F8">
            <w:pPr>
              <w:pStyle w:val="TableParagraph"/>
              <w:widowControl/>
              <w:suppressAutoHyphens/>
              <w:jc w:val="center"/>
              <w:rPr>
                <w:sz w:val="20"/>
                <w:szCs w:val="20"/>
              </w:rPr>
            </w:pPr>
            <w:r w:rsidRPr="006A64EE">
              <w:rPr>
                <w:sz w:val="20"/>
                <w:szCs w:val="20"/>
              </w:rPr>
              <w:t xml:space="preserve">274 </w:t>
            </w:r>
            <w:r w:rsidR="0087289E" w:rsidRPr="006A64EE">
              <w:rPr>
                <w:sz w:val="20"/>
                <w:szCs w:val="20"/>
              </w:rPr>
              <w:t>±</w:t>
            </w:r>
            <w:r w:rsidRPr="006A64EE">
              <w:rPr>
                <w:sz w:val="20"/>
                <w:szCs w:val="20"/>
              </w:rPr>
              <w:t xml:space="preserve"> 63,8</w:t>
            </w:r>
          </w:p>
        </w:tc>
      </w:tr>
      <w:tr w:rsidR="00593482" w:rsidRPr="006A64EE" w14:paraId="2CB2A2B9" w14:textId="77777777" w:rsidTr="00B81266">
        <w:trPr>
          <w:cantSplit/>
        </w:trPr>
        <w:tc>
          <w:tcPr>
            <w:tcW w:w="3120" w:type="dxa"/>
          </w:tcPr>
          <w:p w14:paraId="0CA55BE2"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min</w:t>
            </w:r>
            <w:r w:rsidRPr="006A64EE">
              <w:rPr>
                <w:sz w:val="20"/>
                <w:szCs w:val="20"/>
              </w:rPr>
              <w:t xml:space="preserve"> (µg/ml)</w:t>
            </w:r>
          </w:p>
        </w:tc>
        <w:tc>
          <w:tcPr>
            <w:tcW w:w="2693" w:type="dxa"/>
          </w:tcPr>
          <w:p w14:paraId="3EC2A90B" w14:textId="77777777" w:rsidR="002D5756" w:rsidRPr="006A64EE" w:rsidRDefault="009C2544" w:rsidP="004255F8">
            <w:pPr>
              <w:pStyle w:val="TableParagraph"/>
              <w:widowControl/>
              <w:suppressAutoHyphens/>
              <w:jc w:val="center"/>
              <w:rPr>
                <w:sz w:val="20"/>
                <w:szCs w:val="20"/>
              </w:rPr>
            </w:pPr>
            <w:r w:rsidRPr="006A64EE">
              <w:rPr>
                <w:sz w:val="20"/>
                <w:szCs w:val="20"/>
              </w:rPr>
              <w:t>69,7 ± 29,1</w:t>
            </w:r>
          </w:p>
        </w:tc>
        <w:tc>
          <w:tcPr>
            <w:tcW w:w="2976" w:type="dxa"/>
          </w:tcPr>
          <w:p w14:paraId="4CDBF0D3" w14:textId="563F5D11" w:rsidR="002D5756" w:rsidRPr="006A64EE" w:rsidRDefault="009C2544" w:rsidP="004255F8">
            <w:pPr>
              <w:pStyle w:val="TableParagraph"/>
              <w:widowControl/>
              <w:suppressAutoHyphens/>
              <w:jc w:val="center"/>
              <w:rPr>
                <w:sz w:val="20"/>
                <w:szCs w:val="20"/>
              </w:rPr>
            </w:pPr>
            <w:r w:rsidRPr="006A64EE">
              <w:rPr>
                <w:sz w:val="20"/>
                <w:szCs w:val="20"/>
              </w:rPr>
              <w:t xml:space="preserve">68,4 </w:t>
            </w:r>
            <w:r w:rsidR="0087289E" w:rsidRPr="006A64EE">
              <w:rPr>
                <w:sz w:val="20"/>
                <w:szCs w:val="20"/>
              </w:rPr>
              <w:t>±</w:t>
            </w:r>
            <w:r w:rsidRPr="006A64EE">
              <w:rPr>
                <w:sz w:val="20"/>
                <w:szCs w:val="20"/>
              </w:rPr>
              <w:t xml:space="preserve"> 30,0</w:t>
            </w:r>
          </w:p>
        </w:tc>
      </w:tr>
      <w:tr w:rsidR="00593482" w:rsidRPr="006A64EE" w14:paraId="2059C828" w14:textId="77777777" w:rsidTr="00B81266">
        <w:trPr>
          <w:cantSplit/>
        </w:trPr>
        <w:tc>
          <w:tcPr>
            <w:tcW w:w="3120" w:type="dxa"/>
          </w:tcPr>
          <w:p w14:paraId="5C196567"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mittel</w:t>
            </w:r>
            <w:r w:rsidRPr="006A64EE">
              <w:rPr>
                <w:sz w:val="20"/>
                <w:szCs w:val="20"/>
              </w:rPr>
              <w:t xml:space="preserve"> (µg/ml)</w:t>
            </w:r>
          </w:p>
        </w:tc>
        <w:tc>
          <w:tcPr>
            <w:tcW w:w="2693" w:type="dxa"/>
          </w:tcPr>
          <w:p w14:paraId="55540439" w14:textId="77777777" w:rsidR="002D5756" w:rsidRPr="006A64EE" w:rsidRDefault="009C2544" w:rsidP="004255F8">
            <w:pPr>
              <w:pStyle w:val="TableParagraph"/>
              <w:widowControl/>
              <w:suppressAutoHyphens/>
              <w:jc w:val="center"/>
              <w:rPr>
                <w:sz w:val="20"/>
                <w:szCs w:val="20"/>
              </w:rPr>
            </w:pPr>
            <w:r w:rsidRPr="006A64EE">
              <w:rPr>
                <w:sz w:val="20"/>
                <w:szCs w:val="20"/>
              </w:rPr>
              <w:t>119 ± 36,0</w:t>
            </w:r>
          </w:p>
        </w:tc>
        <w:tc>
          <w:tcPr>
            <w:tcW w:w="2976" w:type="dxa"/>
          </w:tcPr>
          <w:p w14:paraId="1332D673" w14:textId="6903A1E8" w:rsidR="002D5756" w:rsidRPr="006A64EE" w:rsidRDefault="009C2544" w:rsidP="004255F8">
            <w:pPr>
              <w:pStyle w:val="TableParagraph"/>
              <w:widowControl/>
              <w:suppressAutoHyphens/>
              <w:jc w:val="center"/>
              <w:rPr>
                <w:sz w:val="20"/>
                <w:szCs w:val="20"/>
              </w:rPr>
            </w:pPr>
            <w:r w:rsidRPr="006A64EE">
              <w:rPr>
                <w:sz w:val="20"/>
                <w:szCs w:val="20"/>
              </w:rPr>
              <w:t xml:space="preserve">123 </w:t>
            </w:r>
            <w:r w:rsidR="0087289E" w:rsidRPr="006A64EE">
              <w:rPr>
                <w:sz w:val="20"/>
                <w:szCs w:val="20"/>
              </w:rPr>
              <w:t>±</w:t>
            </w:r>
            <w:r w:rsidRPr="006A64EE">
              <w:rPr>
                <w:sz w:val="20"/>
                <w:szCs w:val="20"/>
              </w:rPr>
              <w:t xml:space="preserve"> 36,0</w:t>
            </w:r>
          </w:p>
        </w:tc>
      </w:tr>
      <w:tr w:rsidR="00593482" w:rsidRPr="006A64EE" w14:paraId="4A6DED3C" w14:textId="77777777" w:rsidTr="00B81266">
        <w:trPr>
          <w:cantSplit/>
        </w:trPr>
        <w:tc>
          <w:tcPr>
            <w:tcW w:w="3120" w:type="dxa"/>
          </w:tcPr>
          <w:p w14:paraId="2F6059DC"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max</w:t>
            </w:r>
          </w:p>
        </w:tc>
        <w:tc>
          <w:tcPr>
            <w:tcW w:w="2693" w:type="dxa"/>
          </w:tcPr>
          <w:p w14:paraId="1E6410A9" w14:textId="77777777" w:rsidR="002D5756" w:rsidRPr="006A64EE" w:rsidRDefault="009C2544" w:rsidP="004255F8">
            <w:pPr>
              <w:pStyle w:val="TableParagraph"/>
              <w:widowControl/>
              <w:suppressAutoHyphens/>
              <w:jc w:val="center"/>
              <w:rPr>
                <w:sz w:val="20"/>
                <w:szCs w:val="20"/>
              </w:rPr>
            </w:pPr>
            <w:r w:rsidRPr="006A64EE">
              <w:rPr>
                <w:sz w:val="20"/>
                <w:szCs w:val="20"/>
              </w:rPr>
              <w:t>1,42</w:t>
            </w:r>
          </w:p>
        </w:tc>
        <w:tc>
          <w:tcPr>
            <w:tcW w:w="2976" w:type="dxa"/>
          </w:tcPr>
          <w:p w14:paraId="7FDFDEA9" w14:textId="77777777" w:rsidR="002D5756" w:rsidRPr="006A64EE" w:rsidRDefault="009C2544" w:rsidP="004255F8">
            <w:pPr>
              <w:pStyle w:val="TableParagraph"/>
              <w:widowControl/>
              <w:suppressAutoHyphens/>
              <w:jc w:val="center"/>
              <w:rPr>
                <w:sz w:val="20"/>
                <w:szCs w:val="20"/>
              </w:rPr>
            </w:pPr>
            <w:r w:rsidRPr="006A64EE">
              <w:rPr>
                <w:sz w:val="20"/>
                <w:szCs w:val="20"/>
              </w:rPr>
              <w:t>1,37</w:t>
            </w:r>
          </w:p>
        </w:tc>
      </w:tr>
      <w:tr w:rsidR="00593482" w:rsidRPr="006A64EE" w14:paraId="3C1D33DF" w14:textId="77777777" w:rsidTr="00B81266">
        <w:trPr>
          <w:cantSplit/>
        </w:trPr>
        <w:tc>
          <w:tcPr>
            <w:tcW w:w="3120" w:type="dxa"/>
          </w:tcPr>
          <w:p w14:paraId="7632E9BD"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min</w:t>
            </w:r>
          </w:p>
        </w:tc>
        <w:tc>
          <w:tcPr>
            <w:tcW w:w="2693" w:type="dxa"/>
          </w:tcPr>
          <w:p w14:paraId="1A3DFACA" w14:textId="77777777" w:rsidR="002D5756" w:rsidRPr="006A64EE" w:rsidRDefault="009C2544" w:rsidP="004255F8">
            <w:pPr>
              <w:pStyle w:val="TableParagraph"/>
              <w:widowControl/>
              <w:suppressAutoHyphens/>
              <w:jc w:val="center"/>
              <w:rPr>
                <w:sz w:val="20"/>
                <w:szCs w:val="20"/>
              </w:rPr>
            </w:pPr>
            <w:r w:rsidRPr="006A64EE">
              <w:rPr>
                <w:sz w:val="20"/>
                <w:szCs w:val="20"/>
              </w:rPr>
              <w:t>3,20</w:t>
            </w:r>
          </w:p>
        </w:tc>
        <w:tc>
          <w:tcPr>
            <w:tcW w:w="2976" w:type="dxa"/>
          </w:tcPr>
          <w:p w14:paraId="56CAC610" w14:textId="77777777" w:rsidR="002D5756" w:rsidRPr="006A64EE" w:rsidRDefault="009C2544" w:rsidP="004255F8">
            <w:pPr>
              <w:pStyle w:val="TableParagraph"/>
              <w:widowControl/>
              <w:suppressAutoHyphens/>
              <w:jc w:val="center"/>
              <w:rPr>
                <w:sz w:val="20"/>
                <w:szCs w:val="20"/>
              </w:rPr>
            </w:pPr>
            <w:r w:rsidRPr="006A64EE">
              <w:rPr>
                <w:sz w:val="20"/>
                <w:szCs w:val="20"/>
              </w:rPr>
              <w:t>3,41</w:t>
            </w:r>
          </w:p>
        </w:tc>
      </w:tr>
      <w:tr w:rsidR="00593482" w:rsidRPr="006A64EE" w14:paraId="480A98AA" w14:textId="77777777" w:rsidTr="00B81266">
        <w:trPr>
          <w:cantSplit/>
        </w:trPr>
        <w:tc>
          <w:tcPr>
            <w:tcW w:w="3120" w:type="dxa"/>
          </w:tcPr>
          <w:p w14:paraId="475BC69B"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mittel</w:t>
            </w:r>
            <w:r w:rsidRPr="006A64EE">
              <w:rPr>
                <w:sz w:val="20"/>
                <w:szCs w:val="20"/>
              </w:rPr>
              <w:t xml:space="preserve"> oder AUC</w:t>
            </w:r>
            <w:r w:rsidRPr="006A64EE">
              <w:rPr>
                <w:sz w:val="20"/>
                <w:szCs w:val="20"/>
                <w:vertAlign w:val="subscript"/>
              </w:rPr>
              <w:t>τ</w:t>
            </w:r>
            <w:r w:rsidRPr="006A64EE">
              <w:rPr>
                <w:sz w:val="20"/>
                <w:szCs w:val="20"/>
              </w:rPr>
              <w:t>*</w:t>
            </w:r>
          </w:p>
        </w:tc>
        <w:tc>
          <w:tcPr>
            <w:tcW w:w="2693" w:type="dxa"/>
          </w:tcPr>
          <w:p w14:paraId="26DF04EC" w14:textId="77777777" w:rsidR="002D5756" w:rsidRPr="006A64EE" w:rsidRDefault="009C2544" w:rsidP="004255F8">
            <w:pPr>
              <w:pStyle w:val="TableParagraph"/>
              <w:widowControl/>
              <w:suppressAutoHyphens/>
              <w:jc w:val="center"/>
              <w:rPr>
                <w:sz w:val="20"/>
                <w:szCs w:val="20"/>
              </w:rPr>
            </w:pPr>
            <w:r w:rsidRPr="006A64EE">
              <w:rPr>
                <w:sz w:val="20"/>
                <w:szCs w:val="20"/>
              </w:rPr>
              <w:t>2,01</w:t>
            </w:r>
          </w:p>
        </w:tc>
        <w:tc>
          <w:tcPr>
            <w:tcW w:w="2976" w:type="dxa"/>
          </w:tcPr>
          <w:p w14:paraId="54CC98B1" w14:textId="77777777" w:rsidR="002D5756" w:rsidRPr="006A64EE" w:rsidRDefault="009C2544" w:rsidP="004255F8">
            <w:pPr>
              <w:pStyle w:val="TableParagraph"/>
              <w:widowControl/>
              <w:suppressAutoHyphens/>
              <w:jc w:val="center"/>
              <w:rPr>
                <w:sz w:val="20"/>
                <w:szCs w:val="20"/>
              </w:rPr>
            </w:pPr>
            <w:r w:rsidRPr="006A64EE">
              <w:rPr>
                <w:sz w:val="20"/>
                <w:szCs w:val="20"/>
              </w:rPr>
              <w:t>1,95</w:t>
            </w:r>
          </w:p>
        </w:tc>
      </w:tr>
    </w:tbl>
    <w:p w14:paraId="2F6034BB" w14:textId="77777777" w:rsidR="00093A5E" w:rsidRPr="006A64EE" w:rsidRDefault="009C2544" w:rsidP="004255F8">
      <w:pPr>
        <w:widowControl/>
        <w:rPr>
          <w:sz w:val="18"/>
          <w:szCs w:val="18"/>
        </w:rPr>
      </w:pPr>
      <w:r w:rsidRPr="006A64EE">
        <w:rPr>
          <w:sz w:val="18"/>
          <w:szCs w:val="18"/>
        </w:rPr>
        <w:t>*τ = 2 Wochen bei intravenösen Schemata</w:t>
      </w:r>
    </w:p>
    <w:p w14:paraId="18D3C93F" w14:textId="77777777" w:rsidR="00093A5E" w:rsidRPr="006A64EE" w:rsidRDefault="00093A5E" w:rsidP="004255F8">
      <w:pPr>
        <w:pStyle w:val="a3"/>
        <w:widowControl/>
      </w:pPr>
    </w:p>
    <w:p w14:paraId="0C70A35B" w14:textId="0DA7AB67" w:rsidR="00093A5E" w:rsidRPr="006A64EE" w:rsidRDefault="009C2544" w:rsidP="004255F8">
      <w:pPr>
        <w:pStyle w:val="a3"/>
        <w:widowControl/>
      </w:pPr>
      <w:r w:rsidRPr="006A64EE">
        <w:t>Nach intravenöser Anwendung waren bei beiden Dosierungen von 12</w:t>
      </w:r>
      <w:r w:rsidR="008D73EB">
        <w:t> </w:t>
      </w:r>
      <w:r w:rsidRPr="006A64EE">
        <w:t>mg/kg (</w:t>
      </w:r>
      <w:r w:rsidR="009204B8" w:rsidRPr="009204B8">
        <w:t>Körpergewicht</w:t>
      </w:r>
      <w:r w:rsidR="009204B8" w:rsidRPr="009204B8" w:rsidDel="009204B8">
        <w:t xml:space="preserve"> </w:t>
      </w:r>
      <w:r w:rsidRPr="006A64EE">
        <w:t>&lt; 30 kg) und 8</w:t>
      </w:r>
      <w:r w:rsidR="008D73EB">
        <w:t> </w:t>
      </w:r>
      <w:r w:rsidRPr="006A64EE">
        <w:t>mg/kg q2w (</w:t>
      </w:r>
      <w:r w:rsidR="00C53C1B" w:rsidRPr="009204B8">
        <w:t>Körpergewicht</w:t>
      </w:r>
      <w:r w:rsidR="00C53C1B" w:rsidRPr="009204B8" w:rsidDel="009204B8">
        <w:t xml:space="preserve"> </w:t>
      </w:r>
      <w:r w:rsidRPr="006A64EE">
        <w:t>≥ 30 kg) bis Woche 8 etwa 90 % des Steady States erreicht.</w:t>
      </w:r>
    </w:p>
    <w:p w14:paraId="67D1E49F" w14:textId="77777777" w:rsidR="00D4237A" w:rsidRPr="006A64EE" w:rsidRDefault="00D4237A" w:rsidP="004255F8">
      <w:pPr>
        <w:pStyle w:val="a3"/>
        <w:widowControl/>
      </w:pPr>
    </w:p>
    <w:p w14:paraId="68993748" w14:textId="77777777" w:rsidR="00093A5E" w:rsidRPr="006A64EE" w:rsidRDefault="009C2544" w:rsidP="004255F8">
      <w:pPr>
        <w:pStyle w:val="a3"/>
        <w:widowControl/>
      </w:pPr>
      <w:r w:rsidRPr="006A64EE">
        <w:t>Bei Patienten mit sJIA lag das zentrale Verteilungsvolumen bei 1,87 l und das periphere Verteilungsvolumen bei 2,14 l, woraus ein Verteilungsvolumen von 4,01 l im Steady State resultiert. Die lineare Clearance, die als ein Parameter in der Analyse zur Populationspharmakokinetik geschätzt wurde, lag bei 5,7 ml/h.</w:t>
      </w:r>
    </w:p>
    <w:p w14:paraId="04048068" w14:textId="77777777" w:rsidR="00D4237A" w:rsidRPr="006A64EE" w:rsidRDefault="00D4237A" w:rsidP="004255F8">
      <w:pPr>
        <w:pStyle w:val="a3"/>
        <w:widowControl/>
      </w:pPr>
    </w:p>
    <w:p w14:paraId="34BB7B31" w14:textId="5EA101C0" w:rsidR="00093A5E" w:rsidRPr="006A64EE" w:rsidRDefault="009C2544" w:rsidP="004255F8">
      <w:pPr>
        <w:pStyle w:val="a3"/>
        <w:widowControl/>
      </w:pPr>
      <w:r w:rsidRPr="006A64EE">
        <w:t>Die Halbwertszeit von Tocilizumab lag bei Patienten mit sJIA in beiden Körpergewicht-Gruppen</w:t>
      </w:r>
      <w:r w:rsidR="00B43980">
        <w:t xml:space="preserve"> </w:t>
      </w:r>
      <w:r w:rsidRPr="006A64EE">
        <w:t>(8</w:t>
      </w:r>
      <w:r w:rsidR="00B43980">
        <w:t> </w:t>
      </w:r>
      <w:r w:rsidRPr="006A64EE">
        <w:t>mg/kg bei einem Körpergewicht von ≥</w:t>
      </w:r>
      <w:r w:rsidR="00B43980">
        <w:t> </w:t>
      </w:r>
      <w:r w:rsidRPr="006A64EE">
        <w:t>30</w:t>
      </w:r>
      <w:r w:rsidR="00B43980">
        <w:t> </w:t>
      </w:r>
      <w:r w:rsidRPr="006A64EE">
        <w:t>kg oder 12</w:t>
      </w:r>
      <w:r w:rsidR="00B43980">
        <w:t> </w:t>
      </w:r>
      <w:r w:rsidRPr="006A64EE">
        <w:t>mg/kg bei einem Körpergewicht von &lt;</w:t>
      </w:r>
      <w:r w:rsidR="00B43980">
        <w:t> </w:t>
      </w:r>
      <w:r w:rsidRPr="006A64EE">
        <w:t>30</w:t>
      </w:r>
      <w:r w:rsidR="00B43980">
        <w:t> </w:t>
      </w:r>
      <w:r w:rsidRPr="006A64EE">
        <w:t>kg) in Woche</w:t>
      </w:r>
      <w:r w:rsidR="00B43980">
        <w:t> </w:t>
      </w:r>
      <w:r w:rsidRPr="006A64EE">
        <w:t>12 bei bis zu 16</w:t>
      </w:r>
      <w:r w:rsidR="00B43980">
        <w:t> </w:t>
      </w:r>
      <w:r w:rsidRPr="006A64EE">
        <w:t>Tagen.</w:t>
      </w:r>
    </w:p>
    <w:p w14:paraId="1771CB10" w14:textId="77777777" w:rsidR="00093A5E" w:rsidRPr="006A64EE" w:rsidRDefault="00093A5E" w:rsidP="004255F8">
      <w:pPr>
        <w:pStyle w:val="a3"/>
        <w:widowControl/>
      </w:pPr>
    </w:p>
    <w:p w14:paraId="103BE122" w14:textId="77777777" w:rsidR="00093A5E" w:rsidRPr="006A64EE" w:rsidRDefault="009C2544" w:rsidP="004255F8">
      <w:pPr>
        <w:widowControl/>
        <w:rPr>
          <w:i/>
        </w:rPr>
      </w:pPr>
      <w:r w:rsidRPr="006A64EE">
        <w:rPr>
          <w:i/>
        </w:rPr>
        <w:t>Patienten mit pJIA:</w:t>
      </w:r>
    </w:p>
    <w:p w14:paraId="673C6651" w14:textId="24945B2B" w:rsidR="00093A5E" w:rsidRPr="006A64EE" w:rsidRDefault="009C2544" w:rsidP="004255F8">
      <w:pPr>
        <w:pStyle w:val="a3"/>
        <w:widowControl/>
      </w:pPr>
      <w:r w:rsidRPr="006A64EE">
        <w:t>Die Pharmakokinetik von Tocilizumab bei Patienten mit pJIA wurde durch eine populationspharmakokinetische Analyse bestimmt, bei der die 237 eingeschlossenen Patienten mit 8</w:t>
      </w:r>
      <w:r w:rsidR="00021D3F">
        <w:t> </w:t>
      </w:r>
      <w:r w:rsidRPr="006A64EE">
        <w:t>mg/kg intravenös alle 4 Wochen (Patienten mit einem Körpergewicht von ≥ 30 kg), 10</w:t>
      </w:r>
      <w:r w:rsidR="008D73EB">
        <w:t> </w:t>
      </w:r>
      <w:r w:rsidRPr="006A64EE">
        <w:t>mg/kg intravenös alle 4 Wochen (Patienten mit einem Körpergewicht unter 30 kg), 162</w:t>
      </w:r>
      <w:r w:rsidR="008D73EB">
        <w:t> </w:t>
      </w:r>
      <w:r w:rsidRPr="006A64EE">
        <w:t>mg subkutan alle 2</w:t>
      </w:r>
      <w:r w:rsidR="00021D3F">
        <w:t> </w:t>
      </w:r>
      <w:r w:rsidRPr="006A64EE">
        <w:t>Wochen (Patienten mit einem Körpergewicht von ≥ 30 kg) oder 162</w:t>
      </w:r>
      <w:r w:rsidR="008D73EB">
        <w:t> </w:t>
      </w:r>
      <w:r w:rsidRPr="006A64EE">
        <w:t>mg subkutan alle 3 Wochen (Patienten mit einem Körpergewicht unter 30 kg) behandelt wurden.</w:t>
      </w:r>
    </w:p>
    <w:p w14:paraId="132E17C8" w14:textId="77777777" w:rsidR="00093A5E" w:rsidRPr="006A64EE" w:rsidRDefault="00093A5E" w:rsidP="004255F8">
      <w:pPr>
        <w:pStyle w:val="a3"/>
        <w:widowControl/>
      </w:pPr>
    </w:p>
    <w:p w14:paraId="0EF7AD02" w14:textId="77777777" w:rsidR="00093A5E" w:rsidRPr="006A64EE" w:rsidRDefault="009C2544" w:rsidP="004255F8">
      <w:pPr>
        <w:pStyle w:val="Tabletittle"/>
      </w:pPr>
      <w:r w:rsidRPr="006A64EE">
        <w:t>Tabelle 12:</w:t>
      </w:r>
      <w:r w:rsidR="00B81266" w:rsidRPr="006A64EE">
        <w:tab/>
      </w:r>
      <w:r w:rsidRPr="006A64EE">
        <w:t>Vorausberechneter Mittelwert der PK-Parameter ± SD bei Steady State nach intravenöser Anwendung bei pJIA</w:t>
      </w:r>
    </w:p>
    <w:p w14:paraId="23DF08FC" w14:textId="6A530BC6" w:rsidR="002D5756" w:rsidRPr="006A64EE" w:rsidRDefault="002D5756" w:rsidP="004255F8">
      <w:pPr>
        <w:pStyle w:val="a3"/>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120"/>
        <w:gridCol w:w="2693"/>
        <w:gridCol w:w="2976"/>
      </w:tblGrid>
      <w:tr w:rsidR="00593482" w:rsidRPr="006A64EE" w14:paraId="4DDD7F7E" w14:textId="77777777" w:rsidTr="00782FBF">
        <w:trPr>
          <w:tblHeader/>
        </w:trPr>
        <w:tc>
          <w:tcPr>
            <w:tcW w:w="3120" w:type="dxa"/>
          </w:tcPr>
          <w:p w14:paraId="3E687401" w14:textId="5B16BA48" w:rsidR="002D5756" w:rsidRPr="006A64EE" w:rsidRDefault="00472294" w:rsidP="004255F8">
            <w:pPr>
              <w:pStyle w:val="TableParagraph"/>
              <w:widowControl/>
              <w:suppressAutoHyphens/>
              <w:rPr>
                <w:b/>
                <w:sz w:val="20"/>
                <w:szCs w:val="20"/>
              </w:rPr>
            </w:pPr>
            <w:r>
              <w:rPr>
                <w:b/>
                <w:sz w:val="20"/>
                <w:szCs w:val="20"/>
              </w:rPr>
              <w:t>Tocilizumab</w:t>
            </w:r>
            <w:r w:rsidR="00C450F6">
              <w:rPr>
                <w:b/>
                <w:sz w:val="20"/>
                <w:szCs w:val="20"/>
              </w:rPr>
              <w:t xml:space="preserve"> </w:t>
            </w:r>
            <w:r w:rsidR="009C2544" w:rsidRPr="006A64EE">
              <w:rPr>
                <w:b/>
                <w:sz w:val="20"/>
                <w:szCs w:val="20"/>
              </w:rPr>
              <w:t>PK-Parameter</w:t>
            </w:r>
          </w:p>
        </w:tc>
        <w:tc>
          <w:tcPr>
            <w:tcW w:w="2693" w:type="dxa"/>
          </w:tcPr>
          <w:p w14:paraId="483716A4" w14:textId="6A7A53CA" w:rsidR="002D5756" w:rsidRPr="006A64EE" w:rsidRDefault="009C2544" w:rsidP="004255F8">
            <w:pPr>
              <w:pStyle w:val="TableParagraph"/>
              <w:widowControl/>
              <w:suppressAutoHyphens/>
              <w:jc w:val="center"/>
              <w:rPr>
                <w:b/>
                <w:sz w:val="20"/>
                <w:szCs w:val="20"/>
              </w:rPr>
            </w:pPr>
            <w:r w:rsidRPr="006A64EE">
              <w:rPr>
                <w:b/>
                <w:sz w:val="20"/>
                <w:szCs w:val="20"/>
              </w:rPr>
              <w:t>8</w:t>
            </w:r>
            <w:r w:rsidR="008D73EB">
              <w:rPr>
                <w:b/>
                <w:sz w:val="20"/>
                <w:szCs w:val="20"/>
              </w:rPr>
              <w:t> </w:t>
            </w:r>
            <w:r w:rsidRPr="006A64EE">
              <w:rPr>
                <w:b/>
                <w:sz w:val="20"/>
                <w:szCs w:val="20"/>
              </w:rPr>
              <w:t>mg/kg q4w ≥ 30 kg</w:t>
            </w:r>
          </w:p>
        </w:tc>
        <w:tc>
          <w:tcPr>
            <w:tcW w:w="2976" w:type="dxa"/>
          </w:tcPr>
          <w:p w14:paraId="046C67F9" w14:textId="71ED5E0C" w:rsidR="002D5756" w:rsidRPr="006A64EE" w:rsidRDefault="009C2544" w:rsidP="004255F8">
            <w:pPr>
              <w:pStyle w:val="TableParagraph"/>
              <w:widowControl/>
              <w:suppressAutoHyphens/>
              <w:jc w:val="center"/>
              <w:rPr>
                <w:b/>
                <w:sz w:val="20"/>
                <w:szCs w:val="20"/>
              </w:rPr>
            </w:pPr>
            <w:r w:rsidRPr="006A64EE">
              <w:rPr>
                <w:b/>
                <w:sz w:val="20"/>
                <w:szCs w:val="20"/>
              </w:rPr>
              <w:t>10</w:t>
            </w:r>
            <w:r w:rsidR="008D73EB">
              <w:rPr>
                <w:b/>
                <w:sz w:val="20"/>
                <w:szCs w:val="20"/>
              </w:rPr>
              <w:t> </w:t>
            </w:r>
            <w:r w:rsidRPr="006A64EE">
              <w:rPr>
                <w:b/>
                <w:sz w:val="20"/>
                <w:szCs w:val="20"/>
              </w:rPr>
              <w:t>mg/kg q4w &lt; 30 kg</w:t>
            </w:r>
          </w:p>
        </w:tc>
      </w:tr>
      <w:tr w:rsidR="00593482" w:rsidRPr="006A64EE" w14:paraId="3FF7F55E" w14:textId="77777777" w:rsidTr="00B81266">
        <w:trPr>
          <w:cantSplit/>
        </w:trPr>
        <w:tc>
          <w:tcPr>
            <w:tcW w:w="3120" w:type="dxa"/>
          </w:tcPr>
          <w:p w14:paraId="4570DBEA"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max</w:t>
            </w:r>
            <w:r w:rsidRPr="006A64EE">
              <w:rPr>
                <w:sz w:val="20"/>
                <w:szCs w:val="20"/>
              </w:rPr>
              <w:t xml:space="preserve"> (µg/ml)</w:t>
            </w:r>
          </w:p>
        </w:tc>
        <w:tc>
          <w:tcPr>
            <w:tcW w:w="2693" w:type="dxa"/>
          </w:tcPr>
          <w:p w14:paraId="15B1835E" w14:textId="77777777" w:rsidR="002D5756" w:rsidRPr="006A64EE" w:rsidRDefault="009C2544" w:rsidP="004255F8">
            <w:pPr>
              <w:pStyle w:val="TableParagraph"/>
              <w:widowControl/>
              <w:suppressAutoHyphens/>
              <w:jc w:val="center"/>
              <w:rPr>
                <w:sz w:val="20"/>
                <w:szCs w:val="20"/>
              </w:rPr>
            </w:pPr>
            <w:r w:rsidRPr="006A64EE">
              <w:rPr>
                <w:sz w:val="20"/>
                <w:szCs w:val="20"/>
              </w:rPr>
              <w:t>183 ± 42,3</w:t>
            </w:r>
          </w:p>
        </w:tc>
        <w:tc>
          <w:tcPr>
            <w:tcW w:w="2976" w:type="dxa"/>
          </w:tcPr>
          <w:p w14:paraId="56095B14" w14:textId="130A3BD0" w:rsidR="002D5756" w:rsidRPr="006A64EE" w:rsidRDefault="009C2544" w:rsidP="004255F8">
            <w:pPr>
              <w:pStyle w:val="TableParagraph"/>
              <w:widowControl/>
              <w:suppressAutoHyphens/>
              <w:jc w:val="center"/>
              <w:rPr>
                <w:sz w:val="20"/>
                <w:szCs w:val="20"/>
              </w:rPr>
            </w:pPr>
            <w:r w:rsidRPr="006A64EE">
              <w:rPr>
                <w:sz w:val="20"/>
                <w:szCs w:val="20"/>
              </w:rPr>
              <w:t xml:space="preserve">168 </w:t>
            </w:r>
            <w:r w:rsidR="00F80103" w:rsidRPr="006A64EE">
              <w:rPr>
                <w:sz w:val="20"/>
                <w:szCs w:val="20"/>
              </w:rPr>
              <w:t>±</w:t>
            </w:r>
            <w:r w:rsidRPr="006A64EE">
              <w:rPr>
                <w:sz w:val="20"/>
                <w:szCs w:val="20"/>
              </w:rPr>
              <w:t xml:space="preserve"> 24,8</w:t>
            </w:r>
          </w:p>
        </w:tc>
      </w:tr>
      <w:tr w:rsidR="00593482" w:rsidRPr="006A64EE" w14:paraId="4630920E" w14:textId="77777777" w:rsidTr="00B81266">
        <w:trPr>
          <w:cantSplit/>
        </w:trPr>
        <w:tc>
          <w:tcPr>
            <w:tcW w:w="3120" w:type="dxa"/>
          </w:tcPr>
          <w:p w14:paraId="268CEE97"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min</w:t>
            </w:r>
            <w:r w:rsidRPr="006A64EE">
              <w:rPr>
                <w:sz w:val="20"/>
                <w:szCs w:val="20"/>
              </w:rPr>
              <w:t xml:space="preserve"> (µg/ml)</w:t>
            </w:r>
          </w:p>
        </w:tc>
        <w:tc>
          <w:tcPr>
            <w:tcW w:w="2693" w:type="dxa"/>
          </w:tcPr>
          <w:p w14:paraId="07A9EFB9" w14:textId="77777777" w:rsidR="002D5756" w:rsidRPr="006A64EE" w:rsidRDefault="009C2544" w:rsidP="004255F8">
            <w:pPr>
              <w:pStyle w:val="TableParagraph"/>
              <w:widowControl/>
              <w:suppressAutoHyphens/>
              <w:jc w:val="center"/>
              <w:rPr>
                <w:sz w:val="20"/>
                <w:szCs w:val="20"/>
              </w:rPr>
            </w:pPr>
            <w:r w:rsidRPr="006A64EE">
              <w:rPr>
                <w:sz w:val="20"/>
                <w:szCs w:val="20"/>
              </w:rPr>
              <w:t>6,55 ± 7,93</w:t>
            </w:r>
          </w:p>
        </w:tc>
        <w:tc>
          <w:tcPr>
            <w:tcW w:w="2976" w:type="dxa"/>
          </w:tcPr>
          <w:p w14:paraId="1D5E5005" w14:textId="69C13CDA" w:rsidR="002D5756" w:rsidRPr="006A64EE" w:rsidRDefault="009C2544" w:rsidP="004255F8">
            <w:pPr>
              <w:pStyle w:val="TableParagraph"/>
              <w:widowControl/>
              <w:suppressAutoHyphens/>
              <w:jc w:val="center"/>
              <w:rPr>
                <w:sz w:val="20"/>
                <w:szCs w:val="20"/>
              </w:rPr>
            </w:pPr>
            <w:r w:rsidRPr="006A64EE">
              <w:rPr>
                <w:sz w:val="20"/>
                <w:szCs w:val="20"/>
              </w:rPr>
              <w:t xml:space="preserve">1,47 </w:t>
            </w:r>
            <w:r w:rsidR="00F80103" w:rsidRPr="006A64EE">
              <w:rPr>
                <w:sz w:val="20"/>
                <w:szCs w:val="20"/>
              </w:rPr>
              <w:t>±</w:t>
            </w:r>
            <w:r w:rsidRPr="006A64EE">
              <w:rPr>
                <w:sz w:val="20"/>
                <w:szCs w:val="20"/>
              </w:rPr>
              <w:t xml:space="preserve"> 2,44</w:t>
            </w:r>
          </w:p>
        </w:tc>
      </w:tr>
      <w:tr w:rsidR="00593482" w:rsidRPr="006A64EE" w14:paraId="2368679F" w14:textId="77777777" w:rsidTr="00B81266">
        <w:trPr>
          <w:cantSplit/>
        </w:trPr>
        <w:tc>
          <w:tcPr>
            <w:tcW w:w="3120" w:type="dxa"/>
          </w:tcPr>
          <w:p w14:paraId="505FEC71"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mittel</w:t>
            </w:r>
            <w:r w:rsidRPr="006A64EE">
              <w:rPr>
                <w:sz w:val="20"/>
                <w:szCs w:val="20"/>
              </w:rPr>
              <w:t xml:space="preserve"> (µg/ml)</w:t>
            </w:r>
          </w:p>
        </w:tc>
        <w:tc>
          <w:tcPr>
            <w:tcW w:w="2693" w:type="dxa"/>
          </w:tcPr>
          <w:p w14:paraId="0AFE7E3A" w14:textId="77777777" w:rsidR="002D5756" w:rsidRPr="006A64EE" w:rsidRDefault="009C2544" w:rsidP="004255F8">
            <w:pPr>
              <w:pStyle w:val="TableParagraph"/>
              <w:widowControl/>
              <w:suppressAutoHyphens/>
              <w:jc w:val="center"/>
              <w:rPr>
                <w:sz w:val="20"/>
                <w:szCs w:val="20"/>
              </w:rPr>
            </w:pPr>
            <w:r w:rsidRPr="006A64EE">
              <w:rPr>
                <w:sz w:val="20"/>
                <w:szCs w:val="20"/>
              </w:rPr>
              <w:t>42,2 ± 13,4</w:t>
            </w:r>
          </w:p>
        </w:tc>
        <w:tc>
          <w:tcPr>
            <w:tcW w:w="2976" w:type="dxa"/>
          </w:tcPr>
          <w:p w14:paraId="603D1C02" w14:textId="5D2FFC60" w:rsidR="002D5756" w:rsidRPr="006A64EE" w:rsidRDefault="009C2544" w:rsidP="004255F8">
            <w:pPr>
              <w:pStyle w:val="TableParagraph"/>
              <w:widowControl/>
              <w:suppressAutoHyphens/>
              <w:jc w:val="center"/>
              <w:rPr>
                <w:sz w:val="20"/>
                <w:szCs w:val="20"/>
              </w:rPr>
            </w:pPr>
            <w:r w:rsidRPr="006A64EE">
              <w:rPr>
                <w:sz w:val="20"/>
                <w:szCs w:val="20"/>
              </w:rPr>
              <w:t xml:space="preserve">31,6 </w:t>
            </w:r>
            <w:r w:rsidR="00F80103" w:rsidRPr="006A64EE">
              <w:rPr>
                <w:sz w:val="20"/>
                <w:szCs w:val="20"/>
              </w:rPr>
              <w:t>±</w:t>
            </w:r>
            <w:r w:rsidRPr="006A64EE">
              <w:rPr>
                <w:sz w:val="20"/>
                <w:szCs w:val="20"/>
              </w:rPr>
              <w:t xml:space="preserve"> 7,84</w:t>
            </w:r>
          </w:p>
        </w:tc>
      </w:tr>
      <w:tr w:rsidR="00593482" w:rsidRPr="006A64EE" w14:paraId="7AEA3481" w14:textId="77777777" w:rsidTr="00B81266">
        <w:trPr>
          <w:cantSplit/>
        </w:trPr>
        <w:tc>
          <w:tcPr>
            <w:tcW w:w="3120" w:type="dxa"/>
          </w:tcPr>
          <w:p w14:paraId="775C1201"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max</w:t>
            </w:r>
          </w:p>
        </w:tc>
        <w:tc>
          <w:tcPr>
            <w:tcW w:w="2693" w:type="dxa"/>
          </w:tcPr>
          <w:p w14:paraId="222BA900" w14:textId="77777777" w:rsidR="002D5756" w:rsidRPr="006A64EE" w:rsidRDefault="009C2544" w:rsidP="004255F8">
            <w:pPr>
              <w:pStyle w:val="TableParagraph"/>
              <w:widowControl/>
              <w:suppressAutoHyphens/>
              <w:jc w:val="center"/>
              <w:rPr>
                <w:sz w:val="20"/>
                <w:szCs w:val="20"/>
              </w:rPr>
            </w:pPr>
            <w:r w:rsidRPr="006A64EE">
              <w:rPr>
                <w:sz w:val="20"/>
                <w:szCs w:val="20"/>
              </w:rPr>
              <w:t>1,04</w:t>
            </w:r>
          </w:p>
        </w:tc>
        <w:tc>
          <w:tcPr>
            <w:tcW w:w="2976" w:type="dxa"/>
          </w:tcPr>
          <w:p w14:paraId="7FFF298E" w14:textId="77777777" w:rsidR="002D5756" w:rsidRPr="006A64EE" w:rsidRDefault="009C2544" w:rsidP="004255F8">
            <w:pPr>
              <w:pStyle w:val="TableParagraph"/>
              <w:widowControl/>
              <w:suppressAutoHyphens/>
              <w:jc w:val="center"/>
              <w:rPr>
                <w:sz w:val="20"/>
                <w:szCs w:val="20"/>
              </w:rPr>
            </w:pPr>
            <w:r w:rsidRPr="006A64EE">
              <w:rPr>
                <w:sz w:val="20"/>
                <w:szCs w:val="20"/>
              </w:rPr>
              <w:t>1,01</w:t>
            </w:r>
          </w:p>
        </w:tc>
      </w:tr>
      <w:tr w:rsidR="00593482" w:rsidRPr="006A64EE" w14:paraId="3F5DD711" w14:textId="77777777" w:rsidTr="00B81266">
        <w:trPr>
          <w:cantSplit/>
        </w:trPr>
        <w:tc>
          <w:tcPr>
            <w:tcW w:w="3120" w:type="dxa"/>
          </w:tcPr>
          <w:p w14:paraId="05ED25E3"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min</w:t>
            </w:r>
          </w:p>
        </w:tc>
        <w:tc>
          <w:tcPr>
            <w:tcW w:w="2693" w:type="dxa"/>
          </w:tcPr>
          <w:p w14:paraId="75D33407" w14:textId="77777777" w:rsidR="002D5756" w:rsidRPr="006A64EE" w:rsidRDefault="009C2544" w:rsidP="004255F8">
            <w:pPr>
              <w:pStyle w:val="TableParagraph"/>
              <w:widowControl/>
              <w:suppressAutoHyphens/>
              <w:jc w:val="center"/>
              <w:rPr>
                <w:sz w:val="20"/>
                <w:szCs w:val="20"/>
              </w:rPr>
            </w:pPr>
            <w:r w:rsidRPr="006A64EE">
              <w:rPr>
                <w:sz w:val="20"/>
                <w:szCs w:val="20"/>
              </w:rPr>
              <w:t>2,22</w:t>
            </w:r>
          </w:p>
        </w:tc>
        <w:tc>
          <w:tcPr>
            <w:tcW w:w="2976" w:type="dxa"/>
          </w:tcPr>
          <w:p w14:paraId="427FE415" w14:textId="77777777" w:rsidR="002D5756" w:rsidRPr="006A64EE" w:rsidRDefault="009C2544" w:rsidP="004255F8">
            <w:pPr>
              <w:pStyle w:val="TableParagraph"/>
              <w:widowControl/>
              <w:suppressAutoHyphens/>
              <w:jc w:val="center"/>
              <w:rPr>
                <w:sz w:val="20"/>
                <w:szCs w:val="20"/>
              </w:rPr>
            </w:pPr>
            <w:r w:rsidRPr="006A64EE">
              <w:rPr>
                <w:sz w:val="20"/>
                <w:szCs w:val="20"/>
              </w:rPr>
              <w:t>1,43</w:t>
            </w:r>
          </w:p>
        </w:tc>
      </w:tr>
      <w:tr w:rsidR="00593482" w:rsidRPr="006A64EE" w14:paraId="452B9D61" w14:textId="77777777" w:rsidTr="00B81266">
        <w:trPr>
          <w:cantSplit/>
        </w:trPr>
        <w:tc>
          <w:tcPr>
            <w:tcW w:w="3120" w:type="dxa"/>
          </w:tcPr>
          <w:p w14:paraId="0E106E10"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mittel</w:t>
            </w:r>
            <w:r w:rsidRPr="006A64EE">
              <w:rPr>
                <w:sz w:val="20"/>
                <w:szCs w:val="20"/>
              </w:rPr>
              <w:t xml:space="preserve"> oder AUC</w:t>
            </w:r>
            <w:r w:rsidRPr="006A64EE">
              <w:rPr>
                <w:sz w:val="20"/>
                <w:szCs w:val="20"/>
                <w:vertAlign w:val="subscript"/>
              </w:rPr>
              <w:t>τ</w:t>
            </w:r>
            <w:r w:rsidRPr="006A64EE">
              <w:rPr>
                <w:sz w:val="20"/>
                <w:szCs w:val="20"/>
              </w:rPr>
              <w:t>*</w:t>
            </w:r>
          </w:p>
        </w:tc>
        <w:tc>
          <w:tcPr>
            <w:tcW w:w="2693" w:type="dxa"/>
          </w:tcPr>
          <w:p w14:paraId="275B08D9" w14:textId="77777777" w:rsidR="002D5756" w:rsidRPr="006A64EE" w:rsidRDefault="009C2544" w:rsidP="004255F8">
            <w:pPr>
              <w:pStyle w:val="TableParagraph"/>
              <w:widowControl/>
              <w:suppressAutoHyphens/>
              <w:jc w:val="center"/>
              <w:rPr>
                <w:sz w:val="20"/>
                <w:szCs w:val="20"/>
              </w:rPr>
            </w:pPr>
            <w:r w:rsidRPr="006A64EE">
              <w:rPr>
                <w:sz w:val="20"/>
                <w:szCs w:val="20"/>
              </w:rPr>
              <w:t>1,16</w:t>
            </w:r>
          </w:p>
        </w:tc>
        <w:tc>
          <w:tcPr>
            <w:tcW w:w="2976" w:type="dxa"/>
          </w:tcPr>
          <w:p w14:paraId="6A6F26AD" w14:textId="77777777" w:rsidR="002D5756" w:rsidRPr="006A64EE" w:rsidRDefault="009C2544" w:rsidP="004255F8">
            <w:pPr>
              <w:pStyle w:val="TableParagraph"/>
              <w:widowControl/>
              <w:suppressAutoHyphens/>
              <w:jc w:val="center"/>
              <w:rPr>
                <w:sz w:val="20"/>
                <w:szCs w:val="20"/>
              </w:rPr>
            </w:pPr>
            <w:r w:rsidRPr="006A64EE">
              <w:rPr>
                <w:sz w:val="20"/>
                <w:szCs w:val="20"/>
              </w:rPr>
              <w:t>1,05</w:t>
            </w:r>
          </w:p>
        </w:tc>
      </w:tr>
    </w:tbl>
    <w:p w14:paraId="0CE05BD7" w14:textId="77777777" w:rsidR="00093A5E" w:rsidRPr="006A64EE" w:rsidRDefault="009C2544" w:rsidP="004255F8">
      <w:pPr>
        <w:widowControl/>
        <w:rPr>
          <w:sz w:val="18"/>
          <w:szCs w:val="18"/>
        </w:rPr>
      </w:pPr>
      <w:r w:rsidRPr="006A64EE">
        <w:rPr>
          <w:sz w:val="18"/>
          <w:szCs w:val="18"/>
        </w:rPr>
        <w:t>*τ = 4 Wochen bei intravenösen Schemata</w:t>
      </w:r>
    </w:p>
    <w:p w14:paraId="162FF856" w14:textId="77777777" w:rsidR="00093A5E" w:rsidRPr="006A64EE" w:rsidRDefault="00093A5E" w:rsidP="004255F8">
      <w:pPr>
        <w:pStyle w:val="a3"/>
        <w:widowControl/>
      </w:pPr>
    </w:p>
    <w:p w14:paraId="1F6AE425" w14:textId="72F74DDB" w:rsidR="00093A5E" w:rsidRPr="006A64EE" w:rsidRDefault="009C2544" w:rsidP="004255F8">
      <w:pPr>
        <w:pStyle w:val="a3"/>
        <w:widowControl/>
      </w:pPr>
      <w:r w:rsidRPr="006A64EE">
        <w:lastRenderedPageBreak/>
        <w:t>Nach intravenöser Anwendung waren bei der Dosierung von 10</w:t>
      </w:r>
      <w:r w:rsidR="008D73EB">
        <w:t> </w:t>
      </w:r>
      <w:r w:rsidRPr="006A64EE">
        <w:t>mg/kg (</w:t>
      </w:r>
      <w:r w:rsidR="007A1E77" w:rsidRPr="007A1E77">
        <w:t>Körpergewicht</w:t>
      </w:r>
      <w:r w:rsidR="007A1E77" w:rsidRPr="007A1E77" w:rsidDel="007A1E77">
        <w:t xml:space="preserve"> </w:t>
      </w:r>
      <w:r w:rsidRPr="006A64EE">
        <w:t>&lt; 30 kg) bis Woche 12 und bei der Dosierung von 8</w:t>
      </w:r>
      <w:r w:rsidR="008D73EB">
        <w:t> </w:t>
      </w:r>
      <w:r w:rsidRPr="006A64EE">
        <w:t>mg/kg (</w:t>
      </w:r>
      <w:r w:rsidR="00C53C1B" w:rsidRPr="009204B8">
        <w:t>Körpergewicht</w:t>
      </w:r>
      <w:r w:rsidR="00C53C1B" w:rsidRPr="009204B8" w:rsidDel="009204B8">
        <w:t xml:space="preserve"> </w:t>
      </w:r>
      <w:r w:rsidRPr="006A64EE">
        <w:t>≥ 30 kg) bis Woche 16 etwa 90 % des Steady States erreicht.</w:t>
      </w:r>
    </w:p>
    <w:p w14:paraId="62BF226D" w14:textId="77777777" w:rsidR="00093A5E" w:rsidRPr="006A64EE" w:rsidRDefault="00093A5E" w:rsidP="004255F8">
      <w:pPr>
        <w:pStyle w:val="a3"/>
        <w:widowControl/>
      </w:pPr>
    </w:p>
    <w:p w14:paraId="4E1685C1" w14:textId="3CFDB8B6" w:rsidR="00093A5E" w:rsidRPr="006A64EE" w:rsidRDefault="009C2544" w:rsidP="004255F8">
      <w:pPr>
        <w:pStyle w:val="a3"/>
        <w:widowControl/>
      </w:pPr>
      <w:r w:rsidRPr="006A64EE">
        <w:t>Die Halbwertszeit von Tocilizumab lag bei Patienten mit pJIA in beiden Körpergewicht-Gruppen</w:t>
      </w:r>
      <w:r w:rsidR="00A705C6" w:rsidRPr="006A64EE">
        <w:t xml:space="preserve"> </w:t>
      </w:r>
      <w:r w:rsidRPr="006A64EE">
        <w:t>(8</w:t>
      </w:r>
      <w:r w:rsidR="00021D3F">
        <w:t> </w:t>
      </w:r>
      <w:r w:rsidRPr="006A64EE">
        <w:t>mg/kg bei einem Körpergewicht von ≥ 30 kg oder 10</w:t>
      </w:r>
      <w:r w:rsidR="008D73EB">
        <w:t> </w:t>
      </w:r>
      <w:r w:rsidRPr="006A64EE">
        <w:t>mg/kg bei einem Körpergewicht von &lt;</w:t>
      </w:r>
      <w:r w:rsidR="00021D3F">
        <w:t> </w:t>
      </w:r>
      <w:r w:rsidRPr="006A64EE">
        <w:t>30</w:t>
      </w:r>
      <w:r w:rsidR="00021D3F">
        <w:t> </w:t>
      </w:r>
      <w:r w:rsidRPr="006A64EE">
        <w:t>kg) während eines Dosisintervalls im Steady State bei bis zu 16 Tagen.</w:t>
      </w:r>
    </w:p>
    <w:p w14:paraId="51160C29" w14:textId="77777777" w:rsidR="00093A5E" w:rsidRPr="006A64EE" w:rsidRDefault="00093A5E" w:rsidP="004255F8">
      <w:pPr>
        <w:widowControl/>
      </w:pPr>
    </w:p>
    <w:p w14:paraId="2B8F2633" w14:textId="77777777" w:rsidR="00093A5E" w:rsidRPr="006A64EE" w:rsidRDefault="0059713A" w:rsidP="004255F8">
      <w:pPr>
        <w:pStyle w:val="2"/>
      </w:pPr>
      <w:r w:rsidRPr="006A64EE">
        <w:t>5.3</w:t>
      </w:r>
      <w:r w:rsidRPr="006A64EE">
        <w:tab/>
      </w:r>
      <w:r w:rsidR="007D680A" w:rsidRPr="006A64EE">
        <w:t>Präklinische Daten zur Sicherheit</w:t>
      </w:r>
    </w:p>
    <w:p w14:paraId="2DB9312B" w14:textId="77777777" w:rsidR="00093A5E" w:rsidRPr="006A64EE" w:rsidRDefault="00093A5E" w:rsidP="00D0274D"/>
    <w:p w14:paraId="7BFCC25D" w14:textId="77777777" w:rsidR="00093A5E" w:rsidRPr="006A64EE" w:rsidRDefault="009C2544" w:rsidP="004255F8">
      <w:pPr>
        <w:pStyle w:val="a3"/>
        <w:widowControl/>
      </w:pPr>
      <w:r w:rsidRPr="006A64EE">
        <w:t>Basierend auf den konventionellen Studien zur Sicherheitspharmakologie, Toxizität bei wiederholter Gabe und Genotoxizität, lassen die präklinischen Daten keine besonderen Gefahren für den Menschen erkennen.</w:t>
      </w:r>
    </w:p>
    <w:p w14:paraId="2AB96FD5" w14:textId="77777777" w:rsidR="00093A5E" w:rsidRPr="006A64EE" w:rsidRDefault="00093A5E" w:rsidP="004255F8">
      <w:pPr>
        <w:pStyle w:val="a3"/>
        <w:widowControl/>
      </w:pPr>
    </w:p>
    <w:p w14:paraId="62E2B0DC" w14:textId="6CA3F508" w:rsidR="00093A5E" w:rsidRPr="006A64EE" w:rsidRDefault="009C2544" w:rsidP="004255F8">
      <w:pPr>
        <w:pStyle w:val="a3"/>
        <w:widowControl/>
      </w:pPr>
      <w:r w:rsidRPr="006A64EE">
        <w:t>Karzinogenitätsstudien wurden mit Tocilizumab nicht durchgeführt, da mit monoklonalen IgG1-Antikörpern kein intrinsisches karzinogenes Potenzial in Verbindung gebracht wird.</w:t>
      </w:r>
    </w:p>
    <w:p w14:paraId="2DA7CF40" w14:textId="77777777" w:rsidR="00093A5E" w:rsidRPr="006A64EE" w:rsidRDefault="00093A5E" w:rsidP="004255F8">
      <w:pPr>
        <w:pStyle w:val="a3"/>
        <w:widowControl/>
      </w:pPr>
    </w:p>
    <w:p w14:paraId="71981A4C" w14:textId="77777777" w:rsidR="00093A5E" w:rsidRPr="006A64EE" w:rsidRDefault="009C2544" w:rsidP="004255F8">
      <w:pPr>
        <w:pStyle w:val="a3"/>
        <w:widowControl/>
      </w:pPr>
      <w:r w:rsidRPr="006A64EE">
        <w:t>Die verfügbaren präklinischen Daten zeigen die Wirkung von IL-6 auf die maligne Progression und die Apoptoseresistenz gegen verschiedene Krebsarten. Diese Daten deuten nicht auf ein relevantes Risiko für die Krebsentstehung und Progression unter einer Therapie mit Tocilizumab hin. Außerdem wurden in einer Studie zur Langzeittoxizität über 6 Monate bei Cynomolgus-Affen oder bei Mäusen mit IL-6-Mangel keine proliferativen Läsionen beobachtet.</w:t>
      </w:r>
    </w:p>
    <w:p w14:paraId="7335C0E7" w14:textId="77777777" w:rsidR="00093A5E" w:rsidRPr="006A64EE" w:rsidRDefault="00093A5E" w:rsidP="004255F8">
      <w:pPr>
        <w:pStyle w:val="a3"/>
        <w:widowControl/>
      </w:pPr>
    </w:p>
    <w:p w14:paraId="716695C3" w14:textId="77777777" w:rsidR="00093A5E" w:rsidRPr="006A64EE" w:rsidRDefault="009C2544" w:rsidP="004255F8">
      <w:pPr>
        <w:pStyle w:val="a3"/>
        <w:widowControl/>
      </w:pPr>
      <w:r w:rsidRPr="006A64EE">
        <w:t>Verfügbare präklinische Daten weisen nicht auf eine Auswirkung einer Behandlung mit Tocilizumab auf die Fruchtbarkeit hin. In einer Langzeit-Toxizitätsstudie bei Cynomolgus-Affen wurde keine Auswirkung auf die endokrine Aktivität und die Organe des Reproduktionssystems beobachtet, und die Reproduktionsaktivität IL-6-defizienter Mäuse war nicht beeinträchtigt. Wenn Cynomolgus-Affen Tocilizumab während der frühen Trächtigkeit verabreicht wurde, wurde keine direkte oder indirekte schädigende Auswirkung auf die Trächtigkeit oder die embryonale/fetale Entwicklung beobachtet.</w:t>
      </w:r>
    </w:p>
    <w:p w14:paraId="078C600A" w14:textId="77777777" w:rsidR="00093A5E" w:rsidRPr="006A64EE" w:rsidRDefault="00093A5E" w:rsidP="004255F8">
      <w:pPr>
        <w:pStyle w:val="a3"/>
        <w:widowControl/>
      </w:pPr>
    </w:p>
    <w:p w14:paraId="3CBA55A3" w14:textId="68FC28B8" w:rsidR="00093A5E" w:rsidRPr="006A64EE" w:rsidRDefault="009C2544" w:rsidP="004255F8">
      <w:pPr>
        <w:pStyle w:val="a3"/>
        <w:widowControl/>
      </w:pPr>
      <w:r w:rsidRPr="006A64EE">
        <w:t>Unter hoher systemischer Exposition (&gt; 100 x Dosierung beim Menschen) wurde in der</w:t>
      </w:r>
      <w:r w:rsidR="00A705C6" w:rsidRPr="006A64EE">
        <w:t xml:space="preserve"> </w:t>
      </w:r>
      <w:r w:rsidRPr="006A64EE">
        <w:t>50-mg/kg/Tag-Hochdosisgruppe, verglichen mit Placebo oder anderen Niedrigdosisgruppen, jedoch eine leichte Erhöhung der Fehlgeburten/embryofetalen Todesfälle beobachtet. Auch wenn IL-6 kein entscheidendes Zytokin für das fetale Wachstum oder die immunologische Kontrolle der maternal-fetalen Schnittstelle zu sein scheint, kann ein Zusammenhang dieser Ergebnisse mit Tocilizumab nicht ausgeschlossen werden.</w:t>
      </w:r>
    </w:p>
    <w:p w14:paraId="53740FED" w14:textId="77777777" w:rsidR="00093A5E" w:rsidRPr="006A64EE" w:rsidRDefault="00093A5E" w:rsidP="004255F8">
      <w:pPr>
        <w:pStyle w:val="a3"/>
        <w:widowControl/>
      </w:pPr>
    </w:p>
    <w:p w14:paraId="117B2513" w14:textId="77777777" w:rsidR="00093A5E" w:rsidRPr="006A64EE" w:rsidRDefault="009C2544" w:rsidP="004255F8">
      <w:pPr>
        <w:pStyle w:val="a3"/>
        <w:widowControl/>
      </w:pPr>
      <w:r w:rsidRPr="006A64EE">
        <w:t>Die Behandlung mit einem murinen Analogon löste bei juvenilen Mäusen keine Toxizität aus. Insbesondere ergab sich keine Beeinträchtigung des Knochenwachstums, der Immunfunktion und der Geschlechtsreife.</w:t>
      </w:r>
    </w:p>
    <w:p w14:paraId="3C4A1295" w14:textId="77777777" w:rsidR="00093A5E" w:rsidRPr="006A64EE" w:rsidRDefault="00093A5E" w:rsidP="004255F8">
      <w:pPr>
        <w:pStyle w:val="a3"/>
        <w:widowControl/>
      </w:pPr>
    </w:p>
    <w:p w14:paraId="00B7BF51" w14:textId="77777777" w:rsidR="00093A5E" w:rsidRPr="006A64EE" w:rsidRDefault="00093A5E" w:rsidP="004255F8">
      <w:pPr>
        <w:pStyle w:val="a3"/>
        <w:widowControl/>
      </w:pPr>
    </w:p>
    <w:p w14:paraId="59E29FE1" w14:textId="77777777" w:rsidR="00093A5E" w:rsidRPr="006A64EE" w:rsidRDefault="0059713A" w:rsidP="004255F8">
      <w:pPr>
        <w:pStyle w:val="1"/>
      </w:pPr>
      <w:r w:rsidRPr="006A64EE">
        <w:t>6.</w:t>
      </w:r>
      <w:r w:rsidRPr="006A64EE">
        <w:tab/>
        <w:t>PHARMAZEUTISCHE ANGABEN</w:t>
      </w:r>
    </w:p>
    <w:p w14:paraId="661C52D1" w14:textId="77777777" w:rsidR="00093A5E" w:rsidRPr="006A64EE" w:rsidRDefault="00093A5E" w:rsidP="004255F8">
      <w:pPr>
        <w:pStyle w:val="a3"/>
        <w:widowControl/>
        <w:rPr>
          <w:b/>
        </w:rPr>
      </w:pPr>
    </w:p>
    <w:p w14:paraId="4B7810B6" w14:textId="77777777" w:rsidR="00093A5E" w:rsidRPr="006A64EE" w:rsidRDefault="0059713A" w:rsidP="004255F8">
      <w:pPr>
        <w:pStyle w:val="2"/>
        <w:ind w:left="0" w:firstLine="0"/>
      </w:pPr>
      <w:r w:rsidRPr="006A64EE">
        <w:t>6.1</w:t>
      </w:r>
      <w:r w:rsidRPr="006A64EE">
        <w:tab/>
        <w:t>Liste der sonstigen Bestandteile</w:t>
      </w:r>
    </w:p>
    <w:p w14:paraId="5825F0C7" w14:textId="77777777" w:rsidR="00093A5E" w:rsidRPr="006A64EE" w:rsidRDefault="00093A5E" w:rsidP="00121CB7"/>
    <w:p w14:paraId="0AEBB6C7" w14:textId="77777777" w:rsidR="00472294" w:rsidRDefault="00472294" w:rsidP="004255F8">
      <w:pPr>
        <w:pStyle w:val="a3"/>
        <w:widowControl/>
        <w:rPr>
          <w:rFonts w:eastAsia="맑은 고딕"/>
          <w:lang w:val="en-US" w:eastAsia="ko-KR"/>
        </w:rPr>
      </w:pPr>
      <w:r w:rsidRPr="00B320E1">
        <w:rPr>
          <w:lang w:val="en-US"/>
        </w:rPr>
        <w:t>L-</w:t>
      </w:r>
      <w:proofErr w:type="spellStart"/>
      <w:r w:rsidRPr="00B320E1">
        <w:rPr>
          <w:lang w:val="en-US"/>
        </w:rPr>
        <w:t>Histidin</w:t>
      </w:r>
      <w:proofErr w:type="spellEnd"/>
    </w:p>
    <w:p w14:paraId="225E13E9" w14:textId="147E8DAD" w:rsidR="003670BB" w:rsidRPr="00B436C7" w:rsidRDefault="003670BB" w:rsidP="004255F8">
      <w:pPr>
        <w:pStyle w:val="a3"/>
        <w:widowControl/>
        <w:rPr>
          <w:rFonts w:eastAsia="맑은 고딕"/>
          <w:lang w:eastAsia="ko-KR"/>
        </w:rPr>
      </w:pPr>
      <w:r>
        <w:rPr>
          <w:rFonts w:eastAsia="맑은 고딕" w:hint="eastAsia"/>
          <w:lang w:eastAsia="ko-KR"/>
        </w:rPr>
        <w:t>L-</w:t>
      </w:r>
      <w:r w:rsidRPr="003670BB">
        <w:rPr>
          <w:rFonts w:eastAsia="맑은 고딕" w:hint="eastAsia"/>
          <w:lang w:eastAsia="ko-KR"/>
        </w:rPr>
        <w:t>Histidinmonohydrochlorid-Monohydrat</w:t>
      </w:r>
      <w:r>
        <w:rPr>
          <w:rFonts w:eastAsia="맑은 고딕" w:hint="eastAsia"/>
          <w:lang w:eastAsia="ko-KR"/>
        </w:rPr>
        <w:t xml:space="preserve"> </w:t>
      </w:r>
    </w:p>
    <w:p w14:paraId="3936D1CC" w14:textId="77777777" w:rsidR="00472294" w:rsidRPr="00B320E1" w:rsidRDefault="00472294" w:rsidP="004255F8">
      <w:pPr>
        <w:pStyle w:val="a3"/>
        <w:widowControl/>
        <w:rPr>
          <w:lang w:val="en-US"/>
        </w:rPr>
      </w:pPr>
      <w:r w:rsidRPr="00B320E1">
        <w:rPr>
          <w:lang w:val="en-US"/>
        </w:rPr>
        <w:t>L-</w:t>
      </w:r>
      <w:proofErr w:type="spellStart"/>
      <w:r w:rsidRPr="00B320E1">
        <w:rPr>
          <w:lang w:val="en-US"/>
        </w:rPr>
        <w:t>Threonin</w:t>
      </w:r>
      <w:proofErr w:type="spellEnd"/>
    </w:p>
    <w:p w14:paraId="5699E822" w14:textId="4C061048" w:rsidR="00472294" w:rsidRPr="00B320E1" w:rsidRDefault="00472294" w:rsidP="004255F8">
      <w:pPr>
        <w:pStyle w:val="a3"/>
        <w:widowControl/>
        <w:rPr>
          <w:lang w:val="en-US"/>
        </w:rPr>
      </w:pPr>
      <w:r w:rsidRPr="00B320E1">
        <w:rPr>
          <w:lang w:val="en-US"/>
        </w:rPr>
        <w:t>L-</w:t>
      </w:r>
      <w:proofErr w:type="spellStart"/>
      <w:r w:rsidRPr="00B320E1">
        <w:rPr>
          <w:lang w:val="en-US"/>
        </w:rPr>
        <w:t>Methio</w:t>
      </w:r>
      <w:r>
        <w:rPr>
          <w:lang w:val="en-US"/>
        </w:rPr>
        <w:t>n</w:t>
      </w:r>
      <w:r w:rsidRPr="00B320E1">
        <w:rPr>
          <w:lang w:val="en-US"/>
        </w:rPr>
        <w:t>in</w:t>
      </w:r>
      <w:proofErr w:type="spellEnd"/>
    </w:p>
    <w:p w14:paraId="1B976209" w14:textId="712C9696" w:rsidR="00093A5E" w:rsidRPr="00B436C7" w:rsidRDefault="009C2544" w:rsidP="004255F8">
      <w:pPr>
        <w:pStyle w:val="a3"/>
        <w:widowControl/>
        <w:rPr>
          <w:lang w:val="en-US"/>
        </w:rPr>
      </w:pPr>
      <w:proofErr w:type="spellStart"/>
      <w:r w:rsidRPr="00B436C7">
        <w:rPr>
          <w:lang w:val="en-US"/>
        </w:rPr>
        <w:t>Polysorbat</w:t>
      </w:r>
      <w:proofErr w:type="spellEnd"/>
      <w:r w:rsidRPr="00B436C7">
        <w:rPr>
          <w:lang w:val="en-US"/>
        </w:rPr>
        <w:t xml:space="preserve"> 80</w:t>
      </w:r>
    </w:p>
    <w:p w14:paraId="03884549" w14:textId="77777777" w:rsidR="00093A5E" w:rsidRPr="006A64EE" w:rsidRDefault="009C2544" w:rsidP="004255F8">
      <w:pPr>
        <w:pStyle w:val="a3"/>
        <w:widowControl/>
      </w:pPr>
      <w:r w:rsidRPr="006A64EE">
        <w:t>Wasser für Injektionszwecke</w:t>
      </w:r>
    </w:p>
    <w:p w14:paraId="1DD6C089" w14:textId="77777777" w:rsidR="00093A5E" w:rsidRPr="006A64EE" w:rsidRDefault="00093A5E" w:rsidP="004255F8">
      <w:pPr>
        <w:pStyle w:val="a3"/>
        <w:widowControl/>
      </w:pPr>
    </w:p>
    <w:p w14:paraId="22A59F41" w14:textId="77777777" w:rsidR="00093A5E" w:rsidRPr="006A64EE" w:rsidRDefault="0059713A" w:rsidP="004255F8">
      <w:pPr>
        <w:pStyle w:val="2"/>
        <w:ind w:left="0" w:firstLine="0"/>
      </w:pPr>
      <w:r w:rsidRPr="006A64EE">
        <w:t>6.2</w:t>
      </w:r>
      <w:r w:rsidRPr="006A64EE">
        <w:tab/>
        <w:t>Inkompatibilitäten</w:t>
      </w:r>
    </w:p>
    <w:p w14:paraId="46DB3BCE" w14:textId="77777777" w:rsidR="00093A5E" w:rsidRPr="006A64EE" w:rsidRDefault="00093A5E" w:rsidP="00121CB7"/>
    <w:p w14:paraId="7BE308AB" w14:textId="77777777" w:rsidR="00093A5E" w:rsidRPr="006A64EE" w:rsidRDefault="009C2544" w:rsidP="004255F8">
      <w:pPr>
        <w:pStyle w:val="a3"/>
        <w:widowControl/>
      </w:pPr>
      <w:r w:rsidRPr="006A64EE">
        <w:lastRenderedPageBreak/>
        <w:t>Das Arzneimittel darf, außer mit den unter Abschnitt 6.6 aufgeführten, nicht mit anderen Arzneimitteln gemischt werden.</w:t>
      </w:r>
    </w:p>
    <w:p w14:paraId="4FD07CEF" w14:textId="77777777" w:rsidR="00093A5E" w:rsidRPr="006A64EE" w:rsidRDefault="00093A5E" w:rsidP="00121CB7"/>
    <w:p w14:paraId="5055DD88" w14:textId="77777777" w:rsidR="00093A5E" w:rsidRPr="006A64EE" w:rsidRDefault="0059713A" w:rsidP="007F6B5A">
      <w:pPr>
        <w:pStyle w:val="2"/>
        <w:ind w:left="0" w:firstLine="0"/>
      </w:pPr>
      <w:r w:rsidRPr="006A64EE">
        <w:t>6.3</w:t>
      </w:r>
      <w:r w:rsidRPr="006A64EE">
        <w:tab/>
      </w:r>
      <w:r w:rsidR="007D680A" w:rsidRPr="006A64EE">
        <w:t>Dauer der Haltbarkeit</w:t>
      </w:r>
    </w:p>
    <w:p w14:paraId="0920884C" w14:textId="77777777" w:rsidR="00093A5E" w:rsidRPr="006A64EE" w:rsidRDefault="00093A5E" w:rsidP="007F6B5A">
      <w:pPr>
        <w:keepNext/>
        <w:widowControl/>
        <w:rPr>
          <w:i/>
        </w:rPr>
      </w:pPr>
    </w:p>
    <w:p w14:paraId="2ADA3B70" w14:textId="30DCC916" w:rsidR="00093A5E" w:rsidRPr="006A64EE" w:rsidRDefault="009C2544" w:rsidP="004255F8">
      <w:pPr>
        <w:widowControl/>
      </w:pPr>
      <w:r w:rsidRPr="006A64EE">
        <w:rPr>
          <w:i/>
        </w:rPr>
        <w:t xml:space="preserve">Ungeöffnete Durchstechflasche: </w:t>
      </w:r>
      <w:ins w:id="7" w:author="만든 이">
        <w:r w:rsidR="00352D0A" w:rsidRPr="00352D0A">
          <w:rPr>
            <w:rFonts w:eastAsia="맑은 고딕"/>
            <w:lang w:eastAsia="ko-KR"/>
          </w:rPr>
          <w:tab/>
          <w:t>3 Jahre</w:t>
        </w:r>
      </w:ins>
      <w:del w:id="8" w:author="만든 이">
        <w:r w:rsidR="00AA60C5" w:rsidDel="00352D0A">
          <w:rPr>
            <w:rFonts w:eastAsia="맑은 고딕" w:hint="eastAsia"/>
            <w:lang w:eastAsia="ko-KR"/>
          </w:rPr>
          <w:delText>36</w:delText>
        </w:r>
        <w:r w:rsidR="00AA60C5" w:rsidDel="00352D0A">
          <w:delText> </w:delText>
        </w:r>
        <w:r w:rsidRPr="006A64EE" w:rsidDel="00352D0A">
          <w:delText>Monate</w:delText>
        </w:r>
      </w:del>
    </w:p>
    <w:p w14:paraId="1126F3C8" w14:textId="77777777" w:rsidR="00093A5E" w:rsidRPr="006A64EE" w:rsidRDefault="00093A5E" w:rsidP="004255F8">
      <w:pPr>
        <w:pStyle w:val="a3"/>
        <w:widowControl/>
      </w:pPr>
    </w:p>
    <w:p w14:paraId="58F8C447" w14:textId="4235E91F" w:rsidR="00093A5E" w:rsidRPr="006A64EE" w:rsidRDefault="009C2544" w:rsidP="004255F8">
      <w:pPr>
        <w:pStyle w:val="a3"/>
        <w:widowControl/>
      </w:pPr>
      <w:r w:rsidRPr="006A64EE">
        <w:rPr>
          <w:i/>
        </w:rPr>
        <w:t xml:space="preserve">Verdünntes Arzneimittel: </w:t>
      </w:r>
      <w:r w:rsidRPr="006A64EE">
        <w:t>Nach Verdünnung ist die zubereitete Infusionslösung in 0,9%iger Natriumchlorid-Lösung (9</w:t>
      </w:r>
      <w:r w:rsidR="0031179B">
        <w:t> </w:t>
      </w:r>
      <w:r w:rsidRPr="006A64EE">
        <w:t xml:space="preserve">mg/ml Natriumchlorid) </w:t>
      </w:r>
      <w:r w:rsidR="0058180C">
        <w:t xml:space="preserve">oder </w:t>
      </w:r>
      <w:r w:rsidR="00902B9F">
        <w:rPr>
          <w:rFonts w:eastAsia="맑은 고딕" w:hint="eastAsia"/>
          <w:lang w:eastAsia="ko-KR"/>
        </w:rPr>
        <w:t>0,45%</w:t>
      </w:r>
      <w:r w:rsidR="00660643">
        <w:rPr>
          <w:rFonts w:eastAsia="맑은 고딕" w:hint="eastAsia"/>
          <w:lang w:eastAsia="ko-KR"/>
        </w:rPr>
        <w:t xml:space="preserve">iger </w:t>
      </w:r>
      <w:r w:rsidR="00902B9F">
        <w:rPr>
          <w:rFonts w:eastAsia="맑은 고딕" w:hint="eastAsia"/>
          <w:lang w:eastAsia="ko-KR"/>
        </w:rPr>
        <w:t>Natriumchlorid-L</w:t>
      </w:r>
      <w:r w:rsidR="00902B9F">
        <w:t>ö</w:t>
      </w:r>
      <w:r w:rsidR="00902B9F">
        <w:rPr>
          <w:rFonts w:eastAsia="맑은 고딕" w:hint="eastAsia"/>
          <w:lang w:eastAsia="ko-KR"/>
        </w:rPr>
        <w:t>sung (</w:t>
      </w:r>
      <w:r w:rsidR="000E33CE">
        <w:rPr>
          <w:rFonts w:eastAsia="맑은 고딕" w:hint="eastAsia"/>
          <w:lang w:eastAsia="ko-KR"/>
        </w:rPr>
        <w:t>4</w:t>
      </w:r>
      <w:r w:rsidR="00587220">
        <w:rPr>
          <w:rFonts w:eastAsia="맑은 고딕" w:hint="eastAsia"/>
          <w:lang w:eastAsia="ko-KR"/>
        </w:rPr>
        <w:t>,</w:t>
      </w:r>
      <w:r w:rsidR="000E33CE">
        <w:rPr>
          <w:rFonts w:eastAsia="맑은 고딕" w:hint="eastAsia"/>
          <w:lang w:eastAsia="ko-KR"/>
        </w:rPr>
        <w:t>5</w:t>
      </w:r>
      <w:r w:rsidR="0031179B">
        <w:rPr>
          <w:rFonts w:eastAsia="맑은 고딕"/>
          <w:lang w:eastAsia="ko-KR"/>
        </w:rPr>
        <w:t> </w:t>
      </w:r>
      <w:r w:rsidR="00902B9F">
        <w:rPr>
          <w:rFonts w:eastAsia="맑은 고딕" w:hint="eastAsia"/>
          <w:lang w:eastAsia="ko-KR"/>
        </w:rPr>
        <w:t xml:space="preserve">mg/ml Natriumchlorid) </w:t>
      </w:r>
      <w:r w:rsidRPr="006A64EE">
        <w:t xml:space="preserve">physikalisch und chemisch stabil. Sie kann für </w:t>
      </w:r>
      <w:r w:rsidR="0058180C">
        <w:t>48 </w:t>
      </w:r>
      <w:r w:rsidRPr="006A64EE">
        <w:t>Stunden bei 30</w:t>
      </w:r>
      <w:r w:rsidR="0031179B">
        <w:t> </w:t>
      </w:r>
      <w:r w:rsidRPr="006A64EE">
        <w:t xml:space="preserve">°C und bis zu </w:t>
      </w:r>
      <w:r w:rsidR="0058180C">
        <w:t>1 Monat</w:t>
      </w:r>
      <w:r w:rsidRPr="006A64EE">
        <w:t xml:space="preserve"> im Kühlschrank bei 2</w:t>
      </w:r>
      <w:r w:rsidR="0031179B">
        <w:t> </w:t>
      </w:r>
      <w:r w:rsidRPr="006A64EE">
        <w:t>°C</w:t>
      </w:r>
      <w:r w:rsidR="0031179B">
        <w:t> </w:t>
      </w:r>
      <w:r w:rsidRPr="006A64EE">
        <w:t>–</w:t>
      </w:r>
      <w:r w:rsidR="0031179B">
        <w:t> </w:t>
      </w:r>
      <w:r w:rsidRPr="006A64EE">
        <w:t>8</w:t>
      </w:r>
      <w:r w:rsidR="0031179B">
        <w:t> </w:t>
      </w:r>
      <w:r w:rsidRPr="006A64EE">
        <w:t>°C aufbewahrt werden.</w:t>
      </w:r>
    </w:p>
    <w:p w14:paraId="5A8EAABD" w14:textId="77777777" w:rsidR="00093A5E" w:rsidRPr="006A64EE" w:rsidRDefault="00093A5E" w:rsidP="004255F8">
      <w:pPr>
        <w:pStyle w:val="a3"/>
        <w:widowControl/>
      </w:pPr>
    </w:p>
    <w:p w14:paraId="59929120" w14:textId="3DB0FD1D" w:rsidR="00093A5E" w:rsidRPr="006A64EE" w:rsidRDefault="009C2544" w:rsidP="004255F8">
      <w:pPr>
        <w:pStyle w:val="a3"/>
        <w:widowControl/>
      </w:pPr>
      <w:r w:rsidRPr="006A64EE">
        <w:t>Aus mikrobiologischer Sicht sollte die zubereitete Infusionslösung sofort verwendet werden. Wenn sie nicht sofort verwendet wird, liegt die Verantwortung für die Lagerungszeiten und -bedingungen beim Anwender und diese sollten normalerweise 24</w:t>
      </w:r>
      <w:r w:rsidR="0031179B">
        <w:t> </w:t>
      </w:r>
      <w:r w:rsidRPr="006A64EE">
        <w:t>Stunden bei 2</w:t>
      </w:r>
      <w:r w:rsidR="0031179B">
        <w:t> </w:t>
      </w:r>
      <w:r w:rsidRPr="006A64EE">
        <w:t>°C</w:t>
      </w:r>
      <w:r w:rsidR="0031179B">
        <w:t> </w:t>
      </w:r>
      <w:r w:rsidRPr="006A64EE">
        <w:t>–</w:t>
      </w:r>
      <w:r w:rsidR="0031179B">
        <w:t> </w:t>
      </w:r>
      <w:r w:rsidRPr="006A64EE">
        <w:t>8</w:t>
      </w:r>
      <w:r w:rsidR="0031179B">
        <w:t> </w:t>
      </w:r>
      <w:r w:rsidRPr="006A64EE">
        <w:t>°C nicht überschreiten, es sei denn, die Verdünnung wurde unter kontrollierten und validierten, aseptischen Bedingungen vorgenommen.</w:t>
      </w:r>
    </w:p>
    <w:p w14:paraId="66D6711C" w14:textId="77777777" w:rsidR="00093A5E" w:rsidRPr="006A64EE" w:rsidRDefault="00093A5E" w:rsidP="004255F8">
      <w:pPr>
        <w:pStyle w:val="a3"/>
        <w:widowControl/>
      </w:pPr>
    </w:p>
    <w:p w14:paraId="57455496" w14:textId="77777777" w:rsidR="00093A5E" w:rsidRPr="006A64EE" w:rsidRDefault="0059713A" w:rsidP="004255F8">
      <w:pPr>
        <w:pStyle w:val="2"/>
        <w:ind w:left="0" w:firstLine="0"/>
      </w:pPr>
      <w:r w:rsidRPr="006A64EE">
        <w:t>6.4</w:t>
      </w:r>
      <w:r w:rsidRPr="006A64EE">
        <w:tab/>
        <w:t>Besondere Vorsichtsmaßnahmen für die Aufbewahrung</w:t>
      </w:r>
    </w:p>
    <w:p w14:paraId="19CAF2DC" w14:textId="77777777" w:rsidR="00093A5E" w:rsidRPr="006A64EE" w:rsidRDefault="00093A5E" w:rsidP="00121CB7"/>
    <w:p w14:paraId="659895E8" w14:textId="19DD1644" w:rsidR="00093A5E" w:rsidRPr="006A64EE" w:rsidRDefault="009C2544" w:rsidP="004255F8">
      <w:pPr>
        <w:pStyle w:val="a3"/>
        <w:widowControl/>
      </w:pPr>
      <w:r w:rsidRPr="006A64EE">
        <w:t>Die Durchstechflaschen im Kühlschrank lagern (2</w:t>
      </w:r>
      <w:r w:rsidR="001C7BA5">
        <w:t> </w:t>
      </w:r>
      <w:r w:rsidRPr="006A64EE">
        <w:t>°C</w:t>
      </w:r>
      <w:r w:rsidR="001C7BA5">
        <w:t> </w:t>
      </w:r>
      <w:r w:rsidRPr="006A64EE">
        <w:t>–</w:t>
      </w:r>
      <w:r w:rsidR="001C7BA5">
        <w:t> </w:t>
      </w:r>
      <w:r w:rsidRPr="006A64EE">
        <w:t>8</w:t>
      </w:r>
      <w:r w:rsidR="001C7BA5">
        <w:t> </w:t>
      </w:r>
      <w:r w:rsidRPr="006A64EE">
        <w:t>°C). Nicht einfrieren.</w:t>
      </w:r>
    </w:p>
    <w:p w14:paraId="29BBC50B" w14:textId="77777777" w:rsidR="00093A5E" w:rsidRPr="006A64EE" w:rsidRDefault="00093A5E" w:rsidP="004255F8">
      <w:pPr>
        <w:pStyle w:val="a3"/>
        <w:widowControl/>
      </w:pPr>
    </w:p>
    <w:p w14:paraId="71332C93" w14:textId="77777777" w:rsidR="00093A5E" w:rsidRPr="006A64EE" w:rsidRDefault="009C2544" w:rsidP="004255F8">
      <w:pPr>
        <w:pStyle w:val="a3"/>
        <w:widowControl/>
      </w:pPr>
      <w:r w:rsidRPr="006A64EE">
        <w:t>Die Durchstechflasche(n) im Umkarton aufbewahren, um den Inhalt vor Licht zu schützen.</w:t>
      </w:r>
    </w:p>
    <w:p w14:paraId="5341EF39" w14:textId="77777777" w:rsidR="00093A5E" w:rsidRPr="006A64EE" w:rsidRDefault="00093A5E" w:rsidP="004255F8">
      <w:pPr>
        <w:pStyle w:val="a3"/>
        <w:widowControl/>
      </w:pPr>
    </w:p>
    <w:p w14:paraId="7E2A2E2E" w14:textId="51ABEE17" w:rsidR="00093A5E" w:rsidRPr="006A64EE" w:rsidRDefault="009C2544" w:rsidP="004255F8">
      <w:pPr>
        <w:pStyle w:val="a3"/>
        <w:widowControl/>
      </w:pPr>
      <w:r w:rsidRPr="006A64EE">
        <w:t>Aufbewahrungsbedingungen nach Verdünnung des Arzneimittels, siehe Abschnitt</w:t>
      </w:r>
      <w:r w:rsidR="001C7BA5">
        <w:t> </w:t>
      </w:r>
      <w:r w:rsidRPr="006A64EE">
        <w:t>6.3.</w:t>
      </w:r>
    </w:p>
    <w:p w14:paraId="333A985E" w14:textId="77777777" w:rsidR="00093A5E" w:rsidRPr="006A64EE" w:rsidRDefault="00093A5E" w:rsidP="004255F8">
      <w:pPr>
        <w:pStyle w:val="a3"/>
        <w:widowControl/>
      </w:pPr>
    </w:p>
    <w:p w14:paraId="5475C030" w14:textId="77777777" w:rsidR="00093A5E" w:rsidRPr="006A64EE" w:rsidRDefault="0059713A" w:rsidP="004255F8">
      <w:pPr>
        <w:pStyle w:val="2"/>
        <w:ind w:left="0" w:firstLine="0"/>
      </w:pPr>
      <w:r w:rsidRPr="006A64EE">
        <w:t>6.5</w:t>
      </w:r>
      <w:r w:rsidRPr="006A64EE">
        <w:tab/>
        <w:t>Art und Inhalt des Behältnisses</w:t>
      </w:r>
    </w:p>
    <w:p w14:paraId="445AD52B" w14:textId="77777777" w:rsidR="00093A5E" w:rsidRPr="006A64EE" w:rsidRDefault="00093A5E" w:rsidP="00121CB7"/>
    <w:p w14:paraId="72792C2F" w14:textId="44546F0F" w:rsidR="00093A5E" w:rsidRPr="006A64EE" w:rsidRDefault="0058180C" w:rsidP="004255F8">
      <w:pPr>
        <w:pStyle w:val="a3"/>
        <w:widowControl/>
      </w:pPr>
      <w:r>
        <w:t>Avtozma</w:t>
      </w:r>
      <w:r w:rsidRPr="006A64EE">
        <w:t xml:space="preserve"> </w:t>
      </w:r>
      <w:r w:rsidR="009C2544" w:rsidRPr="006A64EE">
        <w:t>wird in Durchstechflaschen (Glasart I) mit einem Stopfen (Butylgummi) mit 4 ml, 10 ml oder 20 ml Konzentrat zur Verfügung gestellt. Packungsgrößen mit 1 und 4 Durchstechflaschen.</w:t>
      </w:r>
    </w:p>
    <w:p w14:paraId="2DA106D4" w14:textId="77777777" w:rsidR="00093A5E" w:rsidRPr="006A64EE" w:rsidRDefault="00093A5E" w:rsidP="004255F8">
      <w:pPr>
        <w:pStyle w:val="a3"/>
        <w:widowControl/>
      </w:pPr>
    </w:p>
    <w:p w14:paraId="46F81326" w14:textId="77777777" w:rsidR="00093A5E" w:rsidRPr="006A64EE" w:rsidRDefault="009C2544" w:rsidP="004255F8">
      <w:pPr>
        <w:pStyle w:val="a3"/>
        <w:widowControl/>
      </w:pPr>
      <w:r w:rsidRPr="006A64EE">
        <w:t>Es werden möglicherweise nicht alle Packungsgrößen in den Verkehr gebracht.</w:t>
      </w:r>
    </w:p>
    <w:p w14:paraId="360360A9" w14:textId="77777777" w:rsidR="00093A5E" w:rsidRPr="006A64EE" w:rsidRDefault="00093A5E" w:rsidP="004255F8">
      <w:pPr>
        <w:pStyle w:val="a3"/>
        <w:widowControl/>
      </w:pPr>
    </w:p>
    <w:p w14:paraId="2A451BAB" w14:textId="77777777" w:rsidR="00093A5E" w:rsidRPr="006A64EE" w:rsidRDefault="0059713A" w:rsidP="007F6B5A">
      <w:pPr>
        <w:pStyle w:val="2"/>
      </w:pPr>
      <w:r w:rsidRPr="006A64EE">
        <w:t>6.6</w:t>
      </w:r>
      <w:r w:rsidRPr="006A64EE">
        <w:tab/>
        <w:t>Besondere Vorsichtsmaßnahmen für die Beseitigung und sonstige Hinweise zur Handhabung</w:t>
      </w:r>
    </w:p>
    <w:p w14:paraId="38433029" w14:textId="77777777" w:rsidR="00093A5E" w:rsidRPr="006A64EE" w:rsidRDefault="00093A5E" w:rsidP="00121CB7"/>
    <w:p w14:paraId="58058A36" w14:textId="77777777" w:rsidR="00093A5E" w:rsidRPr="006A64EE" w:rsidRDefault="009C2544" w:rsidP="004255F8">
      <w:pPr>
        <w:pStyle w:val="a3"/>
        <w:widowControl/>
      </w:pPr>
      <w:r w:rsidRPr="006A64EE">
        <w:rPr>
          <w:u w:val="single"/>
        </w:rPr>
        <w:t>Hinweise zur Verdünnung vor der Anwendung</w:t>
      </w:r>
    </w:p>
    <w:p w14:paraId="39676266" w14:textId="76356C23" w:rsidR="00093A5E" w:rsidRPr="006A64EE" w:rsidRDefault="009C2544" w:rsidP="00B320E1">
      <w:pPr>
        <w:pStyle w:val="a3"/>
        <w:ind w:right="115"/>
      </w:pPr>
      <w:r w:rsidRPr="006A64EE">
        <w:t xml:space="preserve">Parenteral zu verabreichende Arzneimittel müssen vor der Anwendung optisch auf Partikel oder Verfärbung untersucht werden. Nur Lösungen, die klar bis </w:t>
      </w:r>
      <w:r w:rsidR="0058180C">
        <w:t xml:space="preserve">leicht </w:t>
      </w:r>
      <w:r w:rsidRPr="006A64EE">
        <w:t xml:space="preserve">opaleszent, farblos bis blassgelb und frei von sichtbaren Partikeln sind, dürfen verdünnt werden. Für die Zubereitung von </w:t>
      </w:r>
      <w:r w:rsidR="0058180C">
        <w:t>Avtozma</w:t>
      </w:r>
      <w:r w:rsidR="0058180C" w:rsidRPr="006A64EE">
        <w:t xml:space="preserve"> </w:t>
      </w:r>
      <w:r w:rsidRPr="006A64EE">
        <w:t>sind eine sterile Nadel und Spritze zu verwenden.</w:t>
      </w:r>
      <w:r w:rsidR="0058180C">
        <w:t xml:space="preserve"> </w:t>
      </w:r>
      <w:bookmarkStart w:id="9" w:name="_Hlk175578091"/>
      <w:r w:rsidR="0058180C" w:rsidRPr="00890245">
        <w:t xml:space="preserve">Bei Infusionsbeuteln aus Polyvinylchlorid (PVC) wird empfohlen, Infusionsbeutel zu verwenden, die frei von Diethylhexylphthalat (DEHP) sind. </w:t>
      </w:r>
      <w:bookmarkEnd w:id="9"/>
    </w:p>
    <w:p w14:paraId="4E36A6B7" w14:textId="77777777" w:rsidR="00093A5E" w:rsidRPr="006A64EE" w:rsidRDefault="00093A5E" w:rsidP="004255F8">
      <w:pPr>
        <w:pStyle w:val="a3"/>
        <w:widowControl/>
      </w:pPr>
    </w:p>
    <w:p w14:paraId="0EB47E0B" w14:textId="7FD2DD9A" w:rsidR="00093A5E" w:rsidRPr="006A64EE" w:rsidRDefault="009C2544" w:rsidP="004255F8">
      <w:pPr>
        <w:pStyle w:val="a3"/>
        <w:widowControl/>
      </w:pPr>
      <w:r w:rsidRPr="006A64EE">
        <w:rPr>
          <w:u w:val="single"/>
        </w:rPr>
        <w:t>Patienten mit RA, CRS (≥</w:t>
      </w:r>
      <w:r w:rsidR="00633ECD">
        <w:rPr>
          <w:u w:val="single"/>
        </w:rPr>
        <w:t> </w:t>
      </w:r>
      <w:r w:rsidRPr="006A64EE">
        <w:rPr>
          <w:u w:val="single"/>
        </w:rPr>
        <w:t>30</w:t>
      </w:r>
      <w:r w:rsidR="00633ECD">
        <w:rPr>
          <w:u w:val="single"/>
        </w:rPr>
        <w:t> </w:t>
      </w:r>
      <w:r w:rsidRPr="006A64EE">
        <w:rPr>
          <w:u w:val="single"/>
        </w:rPr>
        <w:t>kg) oder COVID-19</w:t>
      </w:r>
    </w:p>
    <w:p w14:paraId="5E2BA36E" w14:textId="2EDEA428" w:rsidR="00093A5E" w:rsidRPr="006A64EE" w:rsidRDefault="009C2544" w:rsidP="004255F8">
      <w:pPr>
        <w:pStyle w:val="a3"/>
        <w:widowControl/>
      </w:pPr>
      <w:r w:rsidRPr="006A64EE">
        <w:t>Entnehmen Sie aus dem 100-ml-Infusionsbeutel mit steriler, pyrogenfreier 0,9%iger Natriumchlorid-Lösung (9</w:t>
      </w:r>
      <w:r w:rsidR="00633ECD">
        <w:t> </w:t>
      </w:r>
      <w:r w:rsidRPr="006A64EE">
        <w:t xml:space="preserve">mg/ml Natriumchlorid) </w:t>
      </w:r>
      <w:r w:rsidR="00CC206F">
        <w:t xml:space="preserve">oder </w:t>
      </w:r>
      <w:r w:rsidR="00D76D23">
        <w:rPr>
          <w:rFonts w:eastAsia="맑은 고딕" w:hint="eastAsia"/>
          <w:lang w:eastAsia="ko-KR"/>
        </w:rPr>
        <w:t>0,45%</w:t>
      </w:r>
      <w:r w:rsidR="00660643">
        <w:rPr>
          <w:rFonts w:eastAsia="맑은 고딕" w:hint="eastAsia"/>
          <w:lang w:eastAsia="ko-KR"/>
        </w:rPr>
        <w:t>iger</w:t>
      </w:r>
      <w:r w:rsidR="00D76D23">
        <w:rPr>
          <w:rFonts w:eastAsia="맑은 고딕" w:hint="eastAsia"/>
          <w:lang w:eastAsia="ko-KR"/>
        </w:rPr>
        <w:t xml:space="preserve"> Natriumchlorid-L</w:t>
      </w:r>
      <w:r w:rsidR="00D76D23">
        <w:t>ö</w:t>
      </w:r>
      <w:r w:rsidR="00D76D23">
        <w:rPr>
          <w:rFonts w:eastAsia="맑은 고딕" w:hint="eastAsia"/>
          <w:lang w:eastAsia="ko-KR"/>
        </w:rPr>
        <w:t>sung (</w:t>
      </w:r>
      <w:r w:rsidR="00BF57E1">
        <w:rPr>
          <w:rFonts w:eastAsia="맑은 고딕" w:hint="eastAsia"/>
          <w:lang w:eastAsia="ko-KR"/>
        </w:rPr>
        <w:t>4,5</w:t>
      </w:r>
      <w:r w:rsidR="00633ECD">
        <w:rPr>
          <w:rFonts w:eastAsia="맑은 고딕"/>
          <w:lang w:eastAsia="ko-KR"/>
        </w:rPr>
        <w:t> </w:t>
      </w:r>
      <w:r w:rsidR="00D76D23">
        <w:rPr>
          <w:rFonts w:eastAsia="맑은 고딕" w:hint="eastAsia"/>
          <w:lang w:eastAsia="ko-KR"/>
        </w:rPr>
        <w:t xml:space="preserve">mg/ml Natriumchlorid) </w:t>
      </w:r>
      <w:r w:rsidRPr="006A64EE">
        <w:t xml:space="preserve">unter aseptischen Bedingungen jene Menge, die dem Volumen des benötigten Konzentrats von </w:t>
      </w:r>
      <w:r w:rsidR="00CC206F">
        <w:t>Avtozma</w:t>
      </w:r>
      <w:r w:rsidRPr="006A64EE">
        <w:t xml:space="preserve">, welches für die Dosis des Patienten benötigt wird, entspricht. Die benötigte Menge </w:t>
      </w:r>
      <w:r w:rsidR="00CC206F">
        <w:t>Avtozma-</w:t>
      </w:r>
      <w:r w:rsidRPr="006A64EE">
        <w:t xml:space="preserve">Konzentrat </w:t>
      </w:r>
      <w:r w:rsidRPr="006A64EE">
        <w:rPr>
          <w:b/>
        </w:rPr>
        <w:t>(0,4</w:t>
      </w:r>
      <w:r w:rsidR="000558A1">
        <w:rPr>
          <w:b/>
        </w:rPr>
        <w:t> </w:t>
      </w:r>
      <w:r w:rsidRPr="006A64EE">
        <w:rPr>
          <w:b/>
        </w:rPr>
        <w:t xml:space="preserve">ml/kg) </w:t>
      </w:r>
      <w:r w:rsidRPr="006A64EE">
        <w:t>sollte aus der Durchstechflasche entnommen und in den 100-ml-Infusionsbeutel gegeben werden. Dies sollte ein finales Volumen von 100</w:t>
      </w:r>
      <w:r w:rsidR="00633ECD">
        <w:t> </w:t>
      </w:r>
      <w:r w:rsidRPr="006A64EE">
        <w:t>ml ergeben. Zur Mischung der Lösung drehen Sie den Infusionsbeutel vorsichtig um, um eine Schaumbildung zu vermeiden.</w:t>
      </w:r>
    </w:p>
    <w:p w14:paraId="4B29A4B4" w14:textId="77777777" w:rsidR="00093A5E" w:rsidRPr="006A64EE" w:rsidRDefault="00093A5E" w:rsidP="004255F8">
      <w:pPr>
        <w:pStyle w:val="a3"/>
        <w:widowControl/>
      </w:pPr>
    </w:p>
    <w:p w14:paraId="7E1865F3" w14:textId="77777777" w:rsidR="00093A5E" w:rsidRPr="006A64EE" w:rsidRDefault="009C2544" w:rsidP="004255F8">
      <w:pPr>
        <w:pStyle w:val="a3"/>
        <w:widowControl/>
        <w:rPr>
          <w:u w:val="single"/>
        </w:rPr>
      </w:pPr>
      <w:r w:rsidRPr="006A64EE">
        <w:rPr>
          <w:u w:val="single"/>
        </w:rPr>
        <w:t>Anwendung bei Kindern und Jugendlichen</w:t>
      </w:r>
    </w:p>
    <w:p w14:paraId="090C144A" w14:textId="77777777" w:rsidR="00093A5E" w:rsidRPr="006A64EE" w:rsidRDefault="00093A5E" w:rsidP="004255F8">
      <w:pPr>
        <w:pStyle w:val="a3"/>
        <w:widowControl/>
      </w:pPr>
    </w:p>
    <w:p w14:paraId="6E0019D0" w14:textId="43BB57A2" w:rsidR="00093A5E" w:rsidRPr="006A64EE" w:rsidRDefault="009C2544" w:rsidP="004255F8">
      <w:pPr>
        <w:pStyle w:val="a3"/>
        <w:widowControl/>
      </w:pPr>
      <w:r w:rsidRPr="006A64EE">
        <w:rPr>
          <w:u w:val="single"/>
        </w:rPr>
        <w:t>Patienten mit sJIA, pJIA oder CRS ≥</w:t>
      </w:r>
      <w:r w:rsidR="00B050AB">
        <w:rPr>
          <w:u w:val="single"/>
        </w:rPr>
        <w:t> </w:t>
      </w:r>
      <w:r w:rsidRPr="006A64EE">
        <w:rPr>
          <w:u w:val="single"/>
        </w:rPr>
        <w:t>30</w:t>
      </w:r>
      <w:r w:rsidR="00B050AB">
        <w:rPr>
          <w:u w:val="single"/>
        </w:rPr>
        <w:t> </w:t>
      </w:r>
      <w:r w:rsidRPr="006A64EE">
        <w:rPr>
          <w:u w:val="single"/>
        </w:rPr>
        <w:t>kg</w:t>
      </w:r>
    </w:p>
    <w:p w14:paraId="1E20C7F9" w14:textId="4A43BD76" w:rsidR="00093A5E" w:rsidRPr="006A64EE" w:rsidRDefault="009C2544" w:rsidP="004255F8">
      <w:pPr>
        <w:pStyle w:val="a3"/>
        <w:widowControl/>
      </w:pPr>
      <w:r w:rsidRPr="006A64EE">
        <w:lastRenderedPageBreak/>
        <w:t>Entnehmen Sie aus dem 100-ml-Infusionsbeutel mit steriler, pyrogenfreier 0,9%iger Natriumchlorid-Lösung (9</w:t>
      </w:r>
      <w:r w:rsidR="00B050AB">
        <w:t> </w:t>
      </w:r>
      <w:r w:rsidRPr="006A64EE">
        <w:t xml:space="preserve">mg/ml Natriumchlorid) </w:t>
      </w:r>
      <w:r w:rsidR="00CC206F">
        <w:t xml:space="preserve">oder </w:t>
      </w:r>
      <w:r w:rsidR="00D76D23">
        <w:rPr>
          <w:rFonts w:eastAsia="맑은 고딕" w:hint="eastAsia"/>
          <w:lang w:eastAsia="ko-KR"/>
        </w:rPr>
        <w:t>0,45%</w:t>
      </w:r>
      <w:r w:rsidR="00660643">
        <w:rPr>
          <w:rFonts w:eastAsia="맑은 고딕" w:hint="eastAsia"/>
          <w:lang w:eastAsia="ko-KR"/>
        </w:rPr>
        <w:t>iger</w:t>
      </w:r>
      <w:r w:rsidR="00D76D23">
        <w:rPr>
          <w:rFonts w:eastAsia="맑은 고딕" w:hint="eastAsia"/>
          <w:lang w:eastAsia="ko-KR"/>
        </w:rPr>
        <w:t xml:space="preserve"> Natriumchlorid-L</w:t>
      </w:r>
      <w:r w:rsidR="00D76D23">
        <w:t>ö</w:t>
      </w:r>
      <w:r w:rsidR="00D76D23">
        <w:rPr>
          <w:rFonts w:eastAsia="맑은 고딕" w:hint="eastAsia"/>
          <w:lang w:eastAsia="ko-KR"/>
        </w:rPr>
        <w:t>sung (</w:t>
      </w:r>
      <w:r w:rsidR="000E33CE">
        <w:rPr>
          <w:rFonts w:eastAsia="맑은 고딕" w:hint="eastAsia"/>
          <w:lang w:eastAsia="ko-KR"/>
        </w:rPr>
        <w:t>4</w:t>
      </w:r>
      <w:r w:rsidR="00587220">
        <w:rPr>
          <w:rFonts w:eastAsia="맑은 고딕" w:hint="eastAsia"/>
          <w:lang w:eastAsia="ko-KR"/>
        </w:rPr>
        <w:t>,</w:t>
      </w:r>
      <w:r w:rsidR="000E33CE">
        <w:rPr>
          <w:rFonts w:eastAsia="맑은 고딕" w:hint="eastAsia"/>
          <w:lang w:eastAsia="ko-KR"/>
        </w:rPr>
        <w:t>5</w:t>
      </w:r>
      <w:r w:rsidR="00B050AB">
        <w:rPr>
          <w:rFonts w:eastAsia="맑은 고딕"/>
          <w:lang w:eastAsia="ko-KR"/>
        </w:rPr>
        <w:t> </w:t>
      </w:r>
      <w:r w:rsidR="00D76D23">
        <w:rPr>
          <w:rFonts w:eastAsia="맑은 고딕" w:hint="eastAsia"/>
          <w:lang w:eastAsia="ko-KR"/>
        </w:rPr>
        <w:t xml:space="preserve">mg/ml Natriumchlorid) </w:t>
      </w:r>
      <w:r w:rsidRPr="006A64EE">
        <w:t xml:space="preserve">unter aseptischen Bedingungen jene Menge, die dem Volumen des benötigten Konzentrats von </w:t>
      </w:r>
      <w:r w:rsidR="00CC206F">
        <w:t>Avtozma</w:t>
      </w:r>
      <w:r w:rsidRPr="006A64EE">
        <w:t xml:space="preserve">, welches für die Dosis des Patienten benötigt wird, entspricht. Die benötigte Menge </w:t>
      </w:r>
      <w:r w:rsidR="00CC206F">
        <w:t>Avtozma-</w:t>
      </w:r>
      <w:r w:rsidRPr="006A64EE">
        <w:t xml:space="preserve">Konzentrat </w:t>
      </w:r>
      <w:r w:rsidRPr="006A64EE">
        <w:rPr>
          <w:b/>
        </w:rPr>
        <w:t>(0,4</w:t>
      </w:r>
      <w:r w:rsidR="00A827C8">
        <w:rPr>
          <w:b/>
        </w:rPr>
        <w:t> </w:t>
      </w:r>
      <w:r w:rsidRPr="006A64EE">
        <w:rPr>
          <w:b/>
        </w:rPr>
        <w:t xml:space="preserve">ml/kg) </w:t>
      </w:r>
      <w:r w:rsidRPr="006A64EE">
        <w:t>sollte aus der Durchstechflasche entnommen und in den 100-ml-Infusionsbeutel gegeben werden. Dies sollte ein finales Volumen von 100</w:t>
      </w:r>
      <w:r w:rsidR="00B050AB">
        <w:t> </w:t>
      </w:r>
      <w:r w:rsidRPr="006A64EE">
        <w:t>ml ergeben. Zur Mischung der Lösung drehen Sie den Infusionsbeutel vorsichtig um, um eine Schaumbildung zu vermeiden.</w:t>
      </w:r>
    </w:p>
    <w:p w14:paraId="6AA45A18" w14:textId="77777777" w:rsidR="00093A5E" w:rsidRPr="006A64EE" w:rsidRDefault="00093A5E" w:rsidP="004255F8">
      <w:pPr>
        <w:widowControl/>
      </w:pPr>
    </w:p>
    <w:p w14:paraId="1D699B3D" w14:textId="4FD4B932" w:rsidR="00093A5E" w:rsidRPr="006A64EE" w:rsidRDefault="007D680A" w:rsidP="00B320E1">
      <w:pPr>
        <w:keepNext/>
        <w:widowControl/>
      </w:pPr>
      <w:r w:rsidRPr="006A64EE">
        <w:rPr>
          <w:u w:val="single"/>
        </w:rPr>
        <w:t>Patienten mit sJIA oder CRS &lt;</w:t>
      </w:r>
      <w:r w:rsidR="00EA233F">
        <w:rPr>
          <w:u w:val="single"/>
        </w:rPr>
        <w:t> </w:t>
      </w:r>
      <w:r w:rsidRPr="006A64EE">
        <w:rPr>
          <w:u w:val="single"/>
        </w:rPr>
        <w:t>30</w:t>
      </w:r>
      <w:r w:rsidR="00EA233F">
        <w:rPr>
          <w:u w:val="single"/>
        </w:rPr>
        <w:t> </w:t>
      </w:r>
      <w:r w:rsidRPr="006A64EE">
        <w:rPr>
          <w:u w:val="single"/>
        </w:rPr>
        <w:t>kg</w:t>
      </w:r>
    </w:p>
    <w:p w14:paraId="653842CC" w14:textId="5C0492F3" w:rsidR="00093A5E" w:rsidRPr="006A64EE" w:rsidRDefault="009C2544" w:rsidP="004255F8">
      <w:pPr>
        <w:pStyle w:val="a3"/>
        <w:widowControl/>
      </w:pPr>
      <w:r w:rsidRPr="006A64EE">
        <w:t>Entnehmen Sie aus dem 50-ml-Infusionsbeutel mit steriler, pyrogenfreier 0,9%iger Natriumchlorid-Lösung (9</w:t>
      </w:r>
      <w:r w:rsidR="00EA233F">
        <w:t> </w:t>
      </w:r>
      <w:r w:rsidRPr="006A64EE">
        <w:t xml:space="preserve">mg/ml Natriumchlorid) </w:t>
      </w:r>
      <w:r w:rsidR="00CC206F">
        <w:t xml:space="preserve">oder </w:t>
      </w:r>
      <w:r w:rsidR="00D76D23">
        <w:rPr>
          <w:rFonts w:eastAsia="맑은 고딕" w:hint="eastAsia"/>
          <w:lang w:eastAsia="ko-KR"/>
        </w:rPr>
        <w:t>0,45%</w:t>
      </w:r>
      <w:r w:rsidR="00660643">
        <w:rPr>
          <w:rFonts w:eastAsia="맑은 고딕" w:hint="eastAsia"/>
          <w:lang w:eastAsia="ko-KR"/>
        </w:rPr>
        <w:t>iger</w:t>
      </w:r>
      <w:r w:rsidR="00D76D23">
        <w:rPr>
          <w:rFonts w:eastAsia="맑은 고딕" w:hint="eastAsia"/>
          <w:lang w:eastAsia="ko-KR"/>
        </w:rPr>
        <w:t xml:space="preserve"> Natriumchlorid-L</w:t>
      </w:r>
      <w:r w:rsidR="00D76D23">
        <w:t>ö</w:t>
      </w:r>
      <w:r w:rsidR="00D76D23">
        <w:rPr>
          <w:rFonts w:eastAsia="맑은 고딕" w:hint="eastAsia"/>
          <w:lang w:eastAsia="ko-KR"/>
        </w:rPr>
        <w:t>sung (</w:t>
      </w:r>
      <w:r w:rsidR="000E33CE">
        <w:rPr>
          <w:rFonts w:eastAsia="맑은 고딕" w:hint="eastAsia"/>
          <w:lang w:eastAsia="ko-KR"/>
        </w:rPr>
        <w:t>4</w:t>
      </w:r>
      <w:r w:rsidR="00587220">
        <w:rPr>
          <w:rFonts w:eastAsia="맑은 고딕" w:hint="eastAsia"/>
          <w:lang w:eastAsia="ko-KR"/>
        </w:rPr>
        <w:t>,</w:t>
      </w:r>
      <w:r w:rsidR="000E33CE">
        <w:rPr>
          <w:rFonts w:eastAsia="맑은 고딕" w:hint="eastAsia"/>
          <w:lang w:eastAsia="ko-KR"/>
        </w:rPr>
        <w:t>5</w:t>
      </w:r>
      <w:r w:rsidR="00EA233F">
        <w:rPr>
          <w:rFonts w:eastAsia="맑은 고딕"/>
          <w:lang w:eastAsia="ko-KR"/>
        </w:rPr>
        <w:t> </w:t>
      </w:r>
      <w:r w:rsidR="00D76D23">
        <w:rPr>
          <w:rFonts w:eastAsia="맑은 고딕" w:hint="eastAsia"/>
          <w:lang w:eastAsia="ko-KR"/>
        </w:rPr>
        <w:t xml:space="preserve">mg/ml Natriumchlorid) </w:t>
      </w:r>
      <w:r w:rsidRPr="006A64EE">
        <w:t xml:space="preserve">unter aseptischen Bedingungen jene Menge, die dem Volumen des benötigten Konzentrats von </w:t>
      </w:r>
      <w:r w:rsidR="00CC206F">
        <w:t>Avtozma</w:t>
      </w:r>
      <w:r w:rsidRPr="006A64EE">
        <w:t xml:space="preserve">, welches für die Dosis des Patienten benötigt wird, entspricht. Die benötigte Menge </w:t>
      </w:r>
      <w:r w:rsidR="00CC206F">
        <w:t>Avtozma-</w:t>
      </w:r>
      <w:r w:rsidRPr="006A64EE">
        <w:t xml:space="preserve">Konzentrat </w:t>
      </w:r>
      <w:r w:rsidRPr="006A64EE">
        <w:rPr>
          <w:b/>
        </w:rPr>
        <w:t>(0,6</w:t>
      </w:r>
      <w:r w:rsidR="00D9580C">
        <w:rPr>
          <w:b/>
        </w:rPr>
        <w:t> </w:t>
      </w:r>
      <w:r w:rsidRPr="006A64EE">
        <w:rPr>
          <w:b/>
        </w:rPr>
        <w:t xml:space="preserve">ml/kg) </w:t>
      </w:r>
      <w:r w:rsidRPr="006A64EE">
        <w:t>sollte aus der Durchstechflasche entnommen und in den 50-ml-Infusionsbeutel gegeben werden. Dies sollte ein finales Volumen von 50</w:t>
      </w:r>
      <w:r w:rsidR="00EA233F">
        <w:t> </w:t>
      </w:r>
      <w:r w:rsidRPr="006A64EE">
        <w:t>ml ergeben. Zur Mischung der Lösung drehen Sie den Infusionsbeutel vorsichtig um, um eine Schaumbildung zu vermeiden.</w:t>
      </w:r>
    </w:p>
    <w:p w14:paraId="3A677D54" w14:textId="77777777" w:rsidR="00093A5E" w:rsidRPr="006A64EE" w:rsidRDefault="00093A5E" w:rsidP="004255F8">
      <w:pPr>
        <w:pStyle w:val="a3"/>
        <w:widowControl/>
      </w:pPr>
    </w:p>
    <w:p w14:paraId="3C660D8E" w14:textId="58B1EF1B" w:rsidR="00093A5E" w:rsidRPr="006A64EE" w:rsidRDefault="009C2544" w:rsidP="004255F8">
      <w:pPr>
        <w:pStyle w:val="a3"/>
        <w:widowControl/>
      </w:pPr>
      <w:r w:rsidRPr="006A64EE">
        <w:rPr>
          <w:u w:val="single"/>
        </w:rPr>
        <w:t>Patienten mit pJIA &lt;</w:t>
      </w:r>
      <w:r w:rsidR="006D2C63">
        <w:rPr>
          <w:u w:val="single"/>
        </w:rPr>
        <w:t> </w:t>
      </w:r>
      <w:r w:rsidRPr="006A64EE">
        <w:rPr>
          <w:u w:val="single"/>
        </w:rPr>
        <w:t>30</w:t>
      </w:r>
      <w:r w:rsidR="006D2C63">
        <w:rPr>
          <w:u w:val="single"/>
        </w:rPr>
        <w:t> </w:t>
      </w:r>
      <w:r w:rsidRPr="006A64EE">
        <w:rPr>
          <w:u w:val="single"/>
        </w:rPr>
        <w:t>kg</w:t>
      </w:r>
    </w:p>
    <w:p w14:paraId="7CA9CA35" w14:textId="60A57EFB" w:rsidR="00093A5E" w:rsidRPr="006A64EE" w:rsidRDefault="009C2544" w:rsidP="004255F8">
      <w:pPr>
        <w:pStyle w:val="a3"/>
        <w:widowControl/>
      </w:pPr>
      <w:r w:rsidRPr="006A64EE">
        <w:t>Entnehmen Sie aus dem 50-ml-Infusionsbeutel mit steriler, pyrogenfreier 0,9%iger Natriumchlorid-Lösung (9</w:t>
      </w:r>
      <w:r w:rsidR="006D2C63">
        <w:t> </w:t>
      </w:r>
      <w:r w:rsidRPr="006A64EE">
        <w:t xml:space="preserve">mg/ml Natriumchlorid) </w:t>
      </w:r>
      <w:r w:rsidR="00D97F8E">
        <w:t xml:space="preserve">oder </w:t>
      </w:r>
      <w:r w:rsidR="00D76D23">
        <w:rPr>
          <w:rFonts w:eastAsia="맑은 고딕" w:hint="eastAsia"/>
          <w:lang w:eastAsia="ko-KR"/>
        </w:rPr>
        <w:t>0,45%</w:t>
      </w:r>
      <w:r w:rsidR="00660643">
        <w:rPr>
          <w:rFonts w:eastAsia="맑은 고딕" w:hint="eastAsia"/>
          <w:lang w:eastAsia="ko-KR"/>
        </w:rPr>
        <w:t xml:space="preserve">iger </w:t>
      </w:r>
      <w:r w:rsidR="00D76D23">
        <w:rPr>
          <w:rFonts w:eastAsia="맑은 고딕" w:hint="eastAsia"/>
          <w:lang w:eastAsia="ko-KR"/>
        </w:rPr>
        <w:t>Natriumchlorid-L</w:t>
      </w:r>
      <w:r w:rsidR="00D76D23">
        <w:t>ö</w:t>
      </w:r>
      <w:r w:rsidR="00D76D23">
        <w:rPr>
          <w:rFonts w:eastAsia="맑은 고딕" w:hint="eastAsia"/>
          <w:lang w:eastAsia="ko-KR"/>
        </w:rPr>
        <w:t>sung (</w:t>
      </w:r>
      <w:r w:rsidR="000E33CE">
        <w:rPr>
          <w:rFonts w:eastAsia="맑은 고딕" w:hint="eastAsia"/>
          <w:lang w:eastAsia="ko-KR"/>
        </w:rPr>
        <w:t>4</w:t>
      </w:r>
      <w:r w:rsidR="00587220">
        <w:rPr>
          <w:rFonts w:eastAsia="맑은 고딕" w:hint="eastAsia"/>
          <w:lang w:eastAsia="ko-KR"/>
        </w:rPr>
        <w:t>,</w:t>
      </w:r>
      <w:r w:rsidR="000E33CE">
        <w:rPr>
          <w:rFonts w:eastAsia="맑은 고딕" w:hint="eastAsia"/>
          <w:lang w:eastAsia="ko-KR"/>
        </w:rPr>
        <w:t>5</w:t>
      </w:r>
      <w:r w:rsidR="006D2C63">
        <w:rPr>
          <w:rFonts w:eastAsia="맑은 고딕"/>
          <w:lang w:eastAsia="ko-KR"/>
        </w:rPr>
        <w:t> </w:t>
      </w:r>
      <w:r w:rsidR="00D76D23">
        <w:rPr>
          <w:rFonts w:eastAsia="맑은 고딕" w:hint="eastAsia"/>
          <w:lang w:eastAsia="ko-KR"/>
        </w:rPr>
        <w:t xml:space="preserve">mg/ml Natriumchlorid) </w:t>
      </w:r>
      <w:r w:rsidRPr="006A64EE">
        <w:t xml:space="preserve">unter aseptischen Bedingungen jene Menge, die dem Volumen des benötigten Konzentrats von </w:t>
      </w:r>
      <w:r w:rsidR="00CC206F">
        <w:t>Avtozma</w:t>
      </w:r>
      <w:r w:rsidRPr="006A64EE">
        <w:t xml:space="preserve">, welches für die Dosis des Patienten benötigt wird, entspricht. Die benötigte Menge </w:t>
      </w:r>
      <w:r w:rsidR="00CC206F">
        <w:t>Avtozma-</w:t>
      </w:r>
      <w:r w:rsidRPr="006A64EE">
        <w:t xml:space="preserve">Konzentrat </w:t>
      </w:r>
      <w:r w:rsidRPr="006A64EE">
        <w:rPr>
          <w:b/>
        </w:rPr>
        <w:t>(0,5</w:t>
      </w:r>
      <w:r w:rsidR="00A827C8">
        <w:rPr>
          <w:b/>
        </w:rPr>
        <w:t> </w:t>
      </w:r>
      <w:r w:rsidRPr="006A64EE">
        <w:rPr>
          <w:b/>
        </w:rPr>
        <w:t xml:space="preserve">ml/kg) </w:t>
      </w:r>
      <w:r w:rsidRPr="006A64EE">
        <w:t>sollte aus der Durchstechflasche entnommen und in den 50-ml-Infusionsbeutel gegeben werden. Dies sollte ein finales Volumen von 50</w:t>
      </w:r>
      <w:r w:rsidR="006D2C63">
        <w:t> </w:t>
      </w:r>
      <w:r w:rsidRPr="006A64EE">
        <w:t>ml ergeben. Zur Mischung der Lösung drehen Sie den Infusionsbeutel vorsichtig um, um eine Schaumbildung zu vermeiden.</w:t>
      </w:r>
    </w:p>
    <w:p w14:paraId="18BF55C8" w14:textId="77777777" w:rsidR="00093A5E" w:rsidRPr="006A64EE" w:rsidRDefault="00093A5E" w:rsidP="004255F8">
      <w:pPr>
        <w:pStyle w:val="a3"/>
        <w:widowControl/>
      </w:pPr>
    </w:p>
    <w:p w14:paraId="6C820716" w14:textId="38078E20" w:rsidR="00093A5E" w:rsidRPr="006A64EE" w:rsidRDefault="00CC206F" w:rsidP="004255F8">
      <w:pPr>
        <w:pStyle w:val="a3"/>
        <w:widowControl/>
      </w:pPr>
      <w:r>
        <w:t>Avtozma</w:t>
      </w:r>
      <w:r w:rsidRPr="006A64EE">
        <w:t xml:space="preserve"> </w:t>
      </w:r>
      <w:r w:rsidR="009C2544" w:rsidRPr="006A64EE">
        <w:t>ist nur für einen einmaligen Gebrauch bestimmt.</w:t>
      </w:r>
    </w:p>
    <w:p w14:paraId="4453F8E1" w14:textId="77777777" w:rsidR="00093A5E" w:rsidRPr="006A64EE" w:rsidRDefault="009C2544" w:rsidP="004255F8">
      <w:pPr>
        <w:pStyle w:val="a3"/>
        <w:widowControl/>
      </w:pPr>
      <w:r w:rsidRPr="006A64EE">
        <w:t>Nicht verwendetes Arzneimittel oder Abfallmaterial ist entsprechend den nationalen Anforderungen zu beseitigen.</w:t>
      </w:r>
    </w:p>
    <w:p w14:paraId="647FA0CF" w14:textId="77777777" w:rsidR="00093A5E" w:rsidRPr="006A64EE" w:rsidRDefault="00093A5E" w:rsidP="004255F8">
      <w:pPr>
        <w:pStyle w:val="a3"/>
        <w:widowControl/>
      </w:pPr>
    </w:p>
    <w:p w14:paraId="0F491392" w14:textId="77777777" w:rsidR="00093A5E" w:rsidRPr="006A64EE" w:rsidRDefault="00093A5E" w:rsidP="004255F8">
      <w:pPr>
        <w:pStyle w:val="a3"/>
        <w:widowControl/>
      </w:pPr>
    </w:p>
    <w:p w14:paraId="3C4283C5" w14:textId="77777777" w:rsidR="00093A5E" w:rsidRPr="006A64EE" w:rsidRDefault="0059713A" w:rsidP="004255F8">
      <w:pPr>
        <w:pStyle w:val="1"/>
      </w:pPr>
      <w:r w:rsidRPr="006A64EE">
        <w:t>7.</w:t>
      </w:r>
      <w:r w:rsidRPr="006A64EE">
        <w:tab/>
        <w:t>INHABER DER ZULASSUNG</w:t>
      </w:r>
    </w:p>
    <w:p w14:paraId="5EC5DE5A" w14:textId="77777777" w:rsidR="00093A5E" w:rsidRPr="006A64EE" w:rsidRDefault="00093A5E" w:rsidP="004255F8">
      <w:pPr>
        <w:pStyle w:val="a3"/>
        <w:widowControl/>
      </w:pPr>
    </w:p>
    <w:p w14:paraId="24E9BF8E" w14:textId="77777777" w:rsidR="00CC206F" w:rsidRPr="0007114D" w:rsidRDefault="00CC206F" w:rsidP="00CC206F">
      <w:pPr>
        <w:keepNext/>
      </w:pPr>
      <w:r w:rsidRPr="0007114D">
        <w:t xml:space="preserve">Celltrion Healthcare Hungary Kft. </w:t>
      </w:r>
    </w:p>
    <w:p w14:paraId="36666CF9" w14:textId="77777777" w:rsidR="00CC206F" w:rsidRPr="00B320E1" w:rsidRDefault="00CC206F" w:rsidP="00CC206F">
      <w:pPr>
        <w:keepNext/>
        <w:rPr>
          <w:lang w:val="en-US"/>
        </w:rPr>
      </w:pPr>
      <w:r w:rsidRPr="00B320E1">
        <w:rPr>
          <w:lang w:val="en-US"/>
        </w:rPr>
        <w:t>1062 Budapest</w:t>
      </w:r>
    </w:p>
    <w:p w14:paraId="126F63C0" w14:textId="77777777" w:rsidR="00CC206F" w:rsidRPr="00B320E1" w:rsidRDefault="00CC206F" w:rsidP="00CC206F">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565287AD" w14:textId="7E92501F" w:rsidR="00CC206F" w:rsidRPr="0007114D" w:rsidRDefault="00CC206F" w:rsidP="00CC206F">
      <w:r w:rsidRPr="00B320E1">
        <w:t>Ungarn</w:t>
      </w:r>
    </w:p>
    <w:p w14:paraId="1DE87B10" w14:textId="77777777" w:rsidR="00093A5E" w:rsidRPr="0007114D" w:rsidRDefault="00093A5E" w:rsidP="004255F8">
      <w:pPr>
        <w:pStyle w:val="a3"/>
        <w:widowControl/>
      </w:pPr>
    </w:p>
    <w:p w14:paraId="7AC5CB5B" w14:textId="77777777" w:rsidR="00093A5E" w:rsidRPr="0007114D" w:rsidRDefault="00093A5E" w:rsidP="004255F8">
      <w:pPr>
        <w:pStyle w:val="a3"/>
        <w:widowControl/>
      </w:pPr>
    </w:p>
    <w:p w14:paraId="4A7A6691" w14:textId="77777777" w:rsidR="00093A5E" w:rsidRPr="006A64EE" w:rsidRDefault="0059713A" w:rsidP="004255F8">
      <w:pPr>
        <w:pStyle w:val="1"/>
      </w:pPr>
      <w:r w:rsidRPr="006A64EE">
        <w:t>8.</w:t>
      </w:r>
      <w:r w:rsidRPr="006A64EE">
        <w:tab/>
        <w:t>ZULASSUNGSNUMMER(N)</w:t>
      </w:r>
    </w:p>
    <w:p w14:paraId="54BDAD3B" w14:textId="77777777" w:rsidR="00093A5E" w:rsidRPr="006A64EE" w:rsidRDefault="00093A5E" w:rsidP="004255F8">
      <w:pPr>
        <w:pStyle w:val="a3"/>
        <w:widowControl/>
        <w:jc w:val="both"/>
      </w:pPr>
    </w:p>
    <w:p w14:paraId="79E7DD79" w14:textId="110C9849" w:rsidR="00D97F8E" w:rsidRPr="003452D3" w:rsidRDefault="00D97F8E" w:rsidP="00D97F8E">
      <w:pPr>
        <w:rPr>
          <w:lang w:val="fr-FR"/>
        </w:rPr>
      </w:pPr>
      <w:r w:rsidRPr="003452D3">
        <w:rPr>
          <w:lang w:val="fr-FR"/>
        </w:rPr>
        <w:t>EU/</w:t>
      </w:r>
      <w:r w:rsidRPr="003452D3">
        <w:rPr>
          <w:spacing w:val="-1"/>
          <w:lang w:val="fr-FR"/>
        </w:rPr>
        <w:t>1/24/1896/001</w:t>
      </w:r>
    </w:p>
    <w:p w14:paraId="4F28768C" w14:textId="2B3AD614" w:rsidR="00D97F8E" w:rsidRPr="003452D3" w:rsidRDefault="00D97F8E" w:rsidP="00D97F8E">
      <w:pPr>
        <w:rPr>
          <w:lang w:val="fr-FR"/>
        </w:rPr>
      </w:pPr>
      <w:r w:rsidRPr="003452D3">
        <w:rPr>
          <w:lang w:val="fr-FR"/>
        </w:rPr>
        <w:t>EU/</w:t>
      </w:r>
      <w:r w:rsidRPr="003452D3">
        <w:rPr>
          <w:spacing w:val="-1"/>
          <w:lang w:val="fr-FR"/>
        </w:rPr>
        <w:t>1/24/1896/00</w:t>
      </w:r>
      <w:r w:rsidRPr="003452D3">
        <w:rPr>
          <w:rFonts w:eastAsia="맑은 고딕"/>
          <w:spacing w:val="-1"/>
          <w:lang w:val="fr-FR" w:eastAsia="ko-KR"/>
        </w:rPr>
        <w:t>2</w:t>
      </w:r>
    </w:p>
    <w:p w14:paraId="5E58C1FB" w14:textId="0B338187" w:rsidR="00D97F8E" w:rsidRPr="003452D3" w:rsidRDefault="00D97F8E" w:rsidP="00D97F8E">
      <w:pPr>
        <w:rPr>
          <w:lang w:val="fr-FR"/>
        </w:rPr>
      </w:pPr>
      <w:r w:rsidRPr="003452D3">
        <w:rPr>
          <w:lang w:val="fr-FR"/>
        </w:rPr>
        <w:t>EU/</w:t>
      </w:r>
      <w:r w:rsidRPr="003452D3">
        <w:rPr>
          <w:spacing w:val="-1"/>
          <w:lang w:val="fr-FR"/>
        </w:rPr>
        <w:t>1/24/1896/00</w:t>
      </w:r>
      <w:r w:rsidRPr="003452D3">
        <w:rPr>
          <w:rFonts w:eastAsia="맑은 고딕"/>
          <w:spacing w:val="-1"/>
          <w:lang w:val="fr-FR" w:eastAsia="ko-KR"/>
        </w:rPr>
        <w:t>3</w:t>
      </w:r>
    </w:p>
    <w:p w14:paraId="0E16B452" w14:textId="51FCDDBA" w:rsidR="00D97F8E" w:rsidRPr="003452D3" w:rsidRDefault="00D97F8E" w:rsidP="00D97F8E">
      <w:pPr>
        <w:rPr>
          <w:lang w:val="fr-FR"/>
        </w:rPr>
      </w:pPr>
      <w:r w:rsidRPr="003452D3">
        <w:rPr>
          <w:lang w:val="fr-FR"/>
        </w:rPr>
        <w:t>EU/</w:t>
      </w:r>
      <w:r w:rsidRPr="003452D3">
        <w:rPr>
          <w:spacing w:val="-1"/>
          <w:lang w:val="fr-FR"/>
        </w:rPr>
        <w:t>1/24/1896/00</w:t>
      </w:r>
      <w:r w:rsidRPr="003452D3">
        <w:rPr>
          <w:rFonts w:eastAsia="맑은 고딕"/>
          <w:spacing w:val="-1"/>
          <w:lang w:val="fr-FR" w:eastAsia="ko-KR"/>
        </w:rPr>
        <w:t>4</w:t>
      </w:r>
    </w:p>
    <w:p w14:paraId="1810641D" w14:textId="6CD2FF8F" w:rsidR="00D97F8E" w:rsidRPr="003452D3" w:rsidRDefault="00D97F8E" w:rsidP="00D97F8E">
      <w:pPr>
        <w:rPr>
          <w:lang w:val="fr-FR"/>
        </w:rPr>
      </w:pPr>
      <w:r w:rsidRPr="003452D3">
        <w:rPr>
          <w:lang w:val="fr-FR"/>
        </w:rPr>
        <w:t>EU/</w:t>
      </w:r>
      <w:r w:rsidRPr="003452D3">
        <w:rPr>
          <w:spacing w:val="-1"/>
          <w:lang w:val="fr-FR"/>
        </w:rPr>
        <w:t>1/24/1896/00</w:t>
      </w:r>
      <w:r w:rsidRPr="003452D3">
        <w:rPr>
          <w:rFonts w:eastAsia="맑은 고딕"/>
          <w:spacing w:val="-1"/>
          <w:lang w:val="fr-FR" w:eastAsia="ko-KR"/>
        </w:rPr>
        <w:t>5</w:t>
      </w:r>
    </w:p>
    <w:p w14:paraId="47DD7A76" w14:textId="75A30CBA" w:rsidR="00D97F8E" w:rsidRPr="001879E9" w:rsidRDefault="00D97F8E" w:rsidP="00D97F8E">
      <w:r w:rsidRPr="001879E9">
        <w:t>EU/</w:t>
      </w:r>
      <w:r w:rsidRPr="00231CE5">
        <w:rPr>
          <w:spacing w:val="-1"/>
        </w:rPr>
        <w:t>1/24/1896/00</w:t>
      </w:r>
      <w:r>
        <w:rPr>
          <w:spacing w:val="-1"/>
        </w:rPr>
        <w:t>6</w:t>
      </w:r>
    </w:p>
    <w:p w14:paraId="1201ECFD" w14:textId="77777777" w:rsidR="00093A5E" w:rsidRPr="003452D3" w:rsidRDefault="00093A5E" w:rsidP="004255F8">
      <w:pPr>
        <w:pStyle w:val="a3"/>
        <w:widowControl/>
      </w:pPr>
    </w:p>
    <w:p w14:paraId="6EED58C9" w14:textId="77777777" w:rsidR="00093A5E" w:rsidRPr="003452D3" w:rsidRDefault="00093A5E" w:rsidP="004255F8">
      <w:pPr>
        <w:pStyle w:val="a3"/>
        <w:widowControl/>
      </w:pPr>
    </w:p>
    <w:p w14:paraId="56D783A1" w14:textId="77777777" w:rsidR="00093A5E" w:rsidRPr="006A64EE" w:rsidRDefault="0059713A" w:rsidP="004255F8">
      <w:pPr>
        <w:pStyle w:val="1"/>
      </w:pPr>
      <w:r w:rsidRPr="006A64EE">
        <w:t>9.</w:t>
      </w:r>
      <w:r w:rsidRPr="006A64EE">
        <w:tab/>
        <w:t>DATUM DER ERTEILUNG DER ZULASSUNG/VERLÄNGERUNG DER ZULASSUNG</w:t>
      </w:r>
    </w:p>
    <w:p w14:paraId="24E190A8" w14:textId="77777777" w:rsidR="00093A5E" w:rsidRPr="006A64EE" w:rsidRDefault="00093A5E" w:rsidP="004255F8">
      <w:pPr>
        <w:pStyle w:val="a3"/>
        <w:widowControl/>
      </w:pPr>
    </w:p>
    <w:p w14:paraId="046CF2D1" w14:textId="28BB1C7F" w:rsidR="00093A5E" w:rsidRPr="006A64EE" w:rsidRDefault="009C2544" w:rsidP="004255F8">
      <w:pPr>
        <w:pStyle w:val="a3"/>
        <w:widowControl/>
      </w:pPr>
      <w:r w:rsidRPr="006A64EE">
        <w:t xml:space="preserve">Datum der Erteilung der Zulassung: </w:t>
      </w:r>
      <w:r w:rsidR="00115ACE">
        <w:rPr>
          <w:rFonts w:eastAsia="맑은 고딕" w:hint="eastAsia"/>
          <w:lang w:eastAsia="ko-KR"/>
        </w:rPr>
        <w:t>14</w:t>
      </w:r>
      <w:r w:rsidR="00984917">
        <w:rPr>
          <w:rFonts w:eastAsia="맑은 고딕"/>
          <w:lang w:eastAsia="ko-KR"/>
        </w:rPr>
        <w:t>.</w:t>
      </w:r>
      <w:r w:rsidR="00115ACE">
        <w:rPr>
          <w:rFonts w:eastAsia="맑은 고딕" w:hint="eastAsia"/>
          <w:lang w:eastAsia="ko-KR"/>
        </w:rPr>
        <w:t xml:space="preserve"> </w:t>
      </w:r>
      <w:r w:rsidR="009A42E9" w:rsidRPr="004C41FF">
        <w:t>Februar</w:t>
      </w:r>
      <w:r w:rsidR="009A42E9">
        <w:rPr>
          <w:rFonts w:eastAsia="맑은 고딕" w:hint="eastAsia"/>
          <w:lang w:eastAsia="ko-KR"/>
        </w:rPr>
        <w:t xml:space="preserve"> 2025</w:t>
      </w:r>
    </w:p>
    <w:p w14:paraId="3868D59D" w14:textId="77777777" w:rsidR="00093A5E" w:rsidRPr="006A64EE" w:rsidRDefault="00093A5E" w:rsidP="004255F8">
      <w:pPr>
        <w:pStyle w:val="a3"/>
        <w:widowControl/>
      </w:pPr>
    </w:p>
    <w:p w14:paraId="28D7B823" w14:textId="77777777" w:rsidR="00093A5E" w:rsidRPr="006A64EE" w:rsidRDefault="00093A5E" w:rsidP="004255F8">
      <w:pPr>
        <w:pStyle w:val="a3"/>
        <w:widowControl/>
      </w:pPr>
    </w:p>
    <w:p w14:paraId="37BC5FF7" w14:textId="77777777" w:rsidR="00093A5E" w:rsidRPr="006A64EE" w:rsidRDefault="0059713A" w:rsidP="004255F8">
      <w:pPr>
        <w:pStyle w:val="1"/>
      </w:pPr>
      <w:r w:rsidRPr="006A64EE">
        <w:t>10.</w:t>
      </w:r>
      <w:r w:rsidRPr="006A64EE">
        <w:tab/>
        <w:t>STAND DER INFORMATION</w:t>
      </w:r>
    </w:p>
    <w:p w14:paraId="50BA4AB1" w14:textId="77777777" w:rsidR="00093A5E" w:rsidRPr="006A64EE" w:rsidRDefault="00093A5E" w:rsidP="004255F8">
      <w:pPr>
        <w:pStyle w:val="a3"/>
        <w:widowControl/>
      </w:pPr>
    </w:p>
    <w:p w14:paraId="7013616E" w14:textId="1D833B54" w:rsidR="00093A5E" w:rsidRPr="006A64EE" w:rsidRDefault="009C2544" w:rsidP="004255F8">
      <w:pPr>
        <w:pStyle w:val="a3"/>
        <w:widowControl/>
      </w:pPr>
      <w:r w:rsidRPr="006A64EE">
        <w:t xml:space="preserve">Ausführliche Informationen zu diesem Arzneimittel sind auf den Internetseiten der Europäischen Arzneimittel-Agentur </w:t>
      </w:r>
      <w:r w:rsidR="005A173B">
        <w:fldChar w:fldCharType="begin"/>
      </w:r>
      <w:r w:rsidR="005A173B">
        <w:instrText>HYPERLINK "https://www.ema.europa.eu/"</w:instrText>
      </w:r>
      <w:r w:rsidR="005A173B">
        <w:fldChar w:fldCharType="separate"/>
      </w:r>
      <w:r w:rsidR="005A173B" w:rsidRPr="005A173B">
        <w:rPr>
          <w:rStyle w:val="a8"/>
        </w:rPr>
        <w:t>http</w:t>
      </w:r>
      <w:r w:rsidR="005A173B" w:rsidRPr="005A173B">
        <w:rPr>
          <w:rStyle w:val="a8"/>
          <w:rFonts w:eastAsia="맑은 고딕" w:hint="eastAsia"/>
          <w:lang w:eastAsia="ko-KR"/>
        </w:rPr>
        <w:t>s</w:t>
      </w:r>
      <w:r w:rsidR="005A173B" w:rsidRPr="005A173B">
        <w:rPr>
          <w:rStyle w:val="a8"/>
        </w:rPr>
        <w:t>://www.ema.europa.eu/</w:t>
      </w:r>
      <w:r w:rsidR="005A173B">
        <w:fldChar w:fldCharType="end"/>
      </w:r>
      <w:r w:rsidRPr="006A64EE">
        <w:t xml:space="preserve"> verfügbar.</w:t>
      </w:r>
    </w:p>
    <w:p w14:paraId="01223C27" w14:textId="570CB461" w:rsidR="00093A5E" w:rsidRDefault="00F9761F" w:rsidP="004255F8">
      <w:pPr>
        <w:widowControl/>
      </w:pPr>
      <w:r w:rsidRPr="006A64EE">
        <w:br w:type="page"/>
      </w:r>
      <w:r w:rsidR="00A16FF2">
        <w:rPr>
          <w:noProof/>
          <w:lang w:val="en-US" w:eastAsia="ko-KR"/>
        </w:rPr>
        <w:lastRenderedPageBreak/>
        <w:drawing>
          <wp:inline distT="0" distB="0" distL="0" distR="0" wp14:anchorId="614B5231" wp14:editId="08A5ADE4">
            <wp:extent cx="201930" cy="170180"/>
            <wp:effectExtent l="0" t="0" r="0" b="0"/>
            <wp:docPr id="3" name="그림 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E85F65" w:rsidRPr="00C119D8">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p>
    <w:p w14:paraId="0FD090FE" w14:textId="77777777" w:rsidR="00E85F65" w:rsidRDefault="00E85F65" w:rsidP="004255F8">
      <w:pPr>
        <w:widowControl/>
      </w:pPr>
    </w:p>
    <w:p w14:paraId="5D3D37EB" w14:textId="77777777" w:rsidR="00E85F65" w:rsidRPr="006A64EE" w:rsidRDefault="00E85F65" w:rsidP="004255F8">
      <w:pPr>
        <w:widowControl/>
        <w:rPr>
          <w:b/>
        </w:rPr>
      </w:pPr>
    </w:p>
    <w:p w14:paraId="1CABE968" w14:textId="77777777" w:rsidR="00093A5E" w:rsidRPr="006A64EE" w:rsidRDefault="0059713A" w:rsidP="004255F8">
      <w:pPr>
        <w:pStyle w:val="1"/>
      </w:pPr>
      <w:r w:rsidRPr="006A64EE">
        <w:t>1.</w:t>
      </w:r>
      <w:r w:rsidRPr="006A64EE">
        <w:tab/>
      </w:r>
      <w:r w:rsidR="007D680A" w:rsidRPr="006A64EE">
        <w:t>BEZEICHNUNG DES ARZNEIMITTELS</w:t>
      </w:r>
    </w:p>
    <w:p w14:paraId="0A25F557" w14:textId="77777777" w:rsidR="00093A5E" w:rsidRPr="006A64EE" w:rsidRDefault="00093A5E" w:rsidP="004255F8">
      <w:pPr>
        <w:pStyle w:val="a3"/>
        <w:widowControl/>
      </w:pPr>
    </w:p>
    <w:p w14:paraId="10BF6F5D" w14:textId="480542F1" w:rsidR="00093A5E" w:rsidRPr="006A64EE" w:rsidRDefault="00E85F65" w:rsidP="004255F8">
      <w:pPr>
        <w:pStyle w:val="a3"/>
        <w:widowControl/>
      </w:pPr>
      <w:r w:rsidRPr="001879E9">
        <w:t>Avtozma</w:t>
      </w:r>
      <w:r w:rsidR="009C2544" w:rsidRPr="006A64EE">
        <w:t xml:space="preserve"> 162</w:t>
      </w:r>
      <w:r w:rsidR="008D73EB">
        <w:t> </w:t>
      </w:r>
      <w:r w:rsidR="009C2544" w:rsidRPr="006A64EE">
        <w:t>mg Injektionslösung in einer Fertigspritze</w:t>
      </w:r>
    </w:p>
    <w:p w14:paraId="1B200E17" w14:textId="77777777" w:rsidR="00093A5E" w:rsidRPr="006A64EE" w:rsidRDefault="00093A5E" w:rsidP="004255F8">
      <w:pPr>
        <w:pStyle w:val="a3"/>
        <w:widowControl/>
      </w:pPr>
    </w:p>
    <w:p w14:paraId="37C950E3" w14:textId="77777777" w:rsidR="00093A5E" w:rsidRPr="006A64EE" w:rsidRDefault="00093A5E" w:rsidP="004255F8">
      <w:pPr>
        <w:pStyle w:val="a3"/>
        <w:widowControl/>
      </w:pPr>
    </w:p>
    <w:p w14:paraId="0C360364" w14:textId="77777777" w:rsidR="00093A5E" w:rsidRPr="006A64EE" w:rsidRDefault="0059713A" w:rsidP="004255F8">
      <w:pPr>
        <w:pStyle w:val="1"/>
      </w:pPr>
      <w:r w:rsidRPr="006A64EE">
        <w:t>2.</w:t>
      </w:r>
      <w:r w:rsidRPr="006A64EE">
        <w:tab/>
        <w:t>QUALITATIVE UND QUANTITATIVE ZUSAMMENSETZUNG</w:t>
      </w:r>
    </w:p>
    <w:p w14:paraId="0F2CD7BE" w14:textId="77777777" w:rsidR="00093A5E" w:rsidRPr="006A64EE" w:rsidRDefault="00093A5E" w:rsidP="004255F8">
      <w:pPr>
        <w:pStyle w:val="a3"/>
        <w:widowControl/>
      </w:pPr>
    </w:p>
    <w:p w14:paraId="029E35E9" w14:textId="6D3391F2" w:rsidR="00093A5E" w:rsidRPr="006A64EE" w:rsidRDefault="009C2544" w:rsidP="004255F8">
      <w:pPr>
        <w:pStyle w:val="a3"/>
        <w:widowControl/>
      </w:pPr>
      <w:r w:rsidRPr="006A64EE">
        <w:t>Jede Fertigspritze enthält 162</w:t>
      </w:r>
      <w:r w:rsidR="006B5972">
        <w:t> </w:t>
      </w:r>
      <w:r w:rsidRPr="006A64EE">
        <w:t>mg Tocilizumab in 0,9</w:t>
      </w:r>
      <w:r w:rsidR="006B5972">
        <w:t> </w:t>
      </w:r>
      <w:r w:rsidRPr="006A64EE">
        <w:t>ml.</w:t>
      </w:r>
    </w:p>
    <w:p w14:paraId="0A86DB74" w14:textId="77777777" w:rsidR="00093A5E" w:rsidRPr="006A64EE" w:rsidRDefault="00093A5E" w:rsidP="004255F8">
      <w:pPr>
        <w:pStyle w:val="a3"/>
        <w:widowControl/>
      </w:pPr>
    </w:p>
    <w:p w14:paraId="241A7191" w14:textId="6E72DCBC" w:rsidR="00093A5E" w:rsidRPr="006A64EE" w:rsidRDefault="009C2544" w:rsidP="004255F8">
      <w:pPr>
        <w:pStyle w:val="a3"/>
        <w:widowControl/>
      </w:pPr>
      <w:r w:rsidRPr="006A64EE">
        <w:t>Tocilizumab ist ein rekombinanter, humanisierter, anti-humaner monoklonaler Antikörper der Immunglobulin-Subklasse G1 (IgG1), der gegen lösliche und membrangebundene Interleukin-6-Rezeptoren gerichtet ist.</w:t>
      </w:r>
    </w:p>
    <w:p w14:paraId="258391A2" w14:textId="77777777" w:rsidR="00093A5E" w:rsidRDefault="00093A5E" w:rsidP="004255F8">
      <w:pPr>
        <w:pStyle w:val="a3"/>
        <w:widowControl/>
      </w:pPr>
    </w:p>
    <w:p w14:paraId="74C1CCB3" w14:textId="77777777" w:rsidR="00D97F8E" w:rsidRPr="00890245" w:rsidRDefault="00D97F8E" w:rsidP="00D97F8E">
      <w:pPr>
        <w:keepNext/>
        <w:rPr>
          <w:u w:val="single"/>
        </w:rPr>
      </w:pPr>
      <w:r w:rsidRPr="00890245">
        <w:rPr>
          <w:u w:val="single"/>
        </w:rPr>
        <w:t>Sonstige Bestandteile mit bekannter Wirkung</w:t>
      </w:r>
    </w:p>
    <w:p w14:paraId="56C9AEFD" w14:textId="77777777" w:rsidR="00D97F8E" w:rsidRPr="00890245" w:rsidRDefault="00D97F8E" w:rsidP="00D97F8E">
      <w:pPr>
        <w:keepNext/>
        <w:rPr>
          <w:i/>
          <w:iCs/>
        </w:rPr>
      </w:pPr>
      <w:r w:rsidRPr="00890245">
        <w:rPr>
          <w:i/>
        </w:rPr>
        <w:t>Polysorbat</w:t>
      </w:r>
    </w:p>
    <w:p w14:paraId="124B01EB" w14:textId="478B00D2" w:rsidR="00D97F8E" w:rsidRDefault="00D97F8E" w:rsidP="00D97F8E">
      <w:r w:rsidRPr="00890245">
        <w:t>Jede Fertigspritze mit 162 mg enthält 0,2 mg Polysorbat</w:t>
      </w:r>
      <w:r w:rsidR="00BB3354">
        <w:t> 80</w:t>
      </w:r>
      <w:r w:rsidRPr="00890245">
        <w:t>.</w:t>
      </w:r>
    </w:p>
    <w:p w14:paraId="768AA248" w14:textId="77777777" w:rsidR="00BA5767" w:rsidRPr="00890245" w:rsidRDefault="00BA5767" w:rsidP="00D97F8E"/>
    <w:p w14:paraId="3B9920B2" w14:textId="3AAB611D" w:rsidR="00093A5E" w:rsidRPr="006A64EE" w:rsidRDefault="009C2544" w:rsidP="004255F8">
      <w:pPr>
        <w:pStyle w:val="a3"/>
        <w:widowControl/>
      </w:pPr>
      <w:r w:rsidRPr="006A64EE">
        <w:t>Vollständige Auflistung der sonstigen Bestandteile, siehe Abschnitt</w:t>
      </w:r>
      <w:r w:rsidR="00BB3354">
        <w:t> </w:t>
      </w:r>
      <w:r w:rsidRPr="006A64EE">
        <w:t>6.1.</w:t>
      </w:r>
    </w:p>
    <w:p w14:paraId="7C881830" w14:textId="77777777" w:rsidR="00093A5E" w:rsidRPr="006A64EE" w:rsidRDefault="00093A5E" w:rsidP="004255F8">
      <w:pPr>
        <w:pStyle w:val="a3"/>
        <w:widowControl/>
      </w:pPr>
    </w:p>
    <w:p w14:paraId="0C14ED3D" w14:textId="77777777" w:rsidR="00093A5E" w:rsidRPr="006A64EE" w:rsidRDefault="00093A5E" w:rsidP="004255F8">
      <w:pPr>
        <w:pStyle w:val="a3"/>
        <w:widowControl/>
      </w:pPr>
    </w:p>
    <w:p w14:paraId="7550CD42" w14:textId="77777777" w:rsidR="00093A5E" w:rsidRPr="006A64EE" w:rsidRDefault="0059713A" w:rsidP="004255F8">
      <w:pPr>
        <w:pStyle w:val="1"/>
      </w:pPr>
      <w:r w:rsidRPr="006A64EE">
        <w:t>3.</w:t>
      </w:r>
      <w:r w:rsidRPr="006A64EE">
        <w:tab/>
        <w:t>DARREICHUNGSFORM</w:t>
      </w:r>
    </w:p>
    <w:p w14:paraId="37DF5F6D" w14:textId="77777777" w:rsidR="00093A5E" w:rsidRPr="006A64EE" w:rsidRDefault="00093A5E" w:rsidP="004255F8">
      <w:pPr>
        <w:pStyle w:val="a3"/>
        <w:widowControl/>
      </w:pPr>
    </w:p>
    <w:p w14:paraId="7394F494" w14:textId="77777777" w:rsidR="00093A5E" w:rsidRPr="006A64EE" w:rsidRDefault="009C2544" w:rsidP="004255F8">
      <w:pPr>
        <w:pStyle w:val="a3"/>
        <w:widowControl/>
      </w:pPr>
      <w:r w:rsidRPr="006A64EE">
        <w:t xml:space="preserve">Injektionslösung in einer Fertigspritze. </w:t>
      </w:r>
    </w:p>
    <w:p w14:paraId="3477CD79" w14:textId="77777777" w:rsidR="00093A5E" w:rsidRPr="006A64EE" w:rsidRDefault="00093A5E" w:rsidP="004255F8">
      <w:pPr>
        <w:pStyle w:val="a3"/>
        <w:widowControl/>
      </w:pPr>
    </w:p>
    <w:p w14:paraId="3409EA11" w14:textId="1F51B7D7" w:rsidR="00467BB4" w:rsidRPr="006A64EE" w:rsidRDefault="00E85F65" w:rsidP="00B320E1">
      <w:pPr>
        <w:pStyle w:val="a3"/>
        <w:ind w:right="524"/>
      </w:pPr>
      <w:r w:rsidRPr="00890245">
        <w:t>Klare bis leicht opales</w:t>
      </w:r>
      <w:r>
        <w:t>zente</w:t>
      </w:r>
      <w:r w:rsidRPr="00890245">
        <w:t>, farblose bis gelbe Lösung mit einem pH-Wert von 5,7 – 6,3 und einer Osmolalität von 280 – 340 mmol/kg.</w:t>
      </w:r>
    </w:p>
    <w:p w14:paraId="5059B351" w14:textId="77777777" w:rsidR="00093A5E" w:rsidRPr="006A64EE" w:rsidRDefault="00093A5E" w:rsidP="004255F8">
      <w:pPr>
        <w:pStyle w:val="a3"/>
        <w:widowControl/>
      </w:pPr>
    </w:p>
    <w:p w14:paraId="1C4117F9" w14:textId="77777777" w:rsidR="00093A5E" w:rsidRPr="006A64EE" w:rsidRDefault="00093A5E" w:rsidP="004255F8">
      <w:pPr>
        <w:pStyle w:val="a3"/>
        <w:widowControl/>
      </w:pPr>
    </w:p>
    <w:p w14:paraId="5219E382" w14:textId="77777777" w:rsidR="00093A5E" w:rsidRPr="006A64EE" w:rsidRDefault="0059713A" w:rsidP="004255F8">
      <w:pPr>
        <w:pStyle w:val="1"/>
      </w:pPr>
      <w:r w:rsidRPr="006A64EE">
        <w:t>4.</w:t>
      </w:r>
      <w:r w:rsidRPr="006A64EE">
        <w:tab/>
        <w:t>KLINISCHE ANGABEN</w:t>
      </w:r>
    </w:p>
    <w:p w14:paraId="4639D641" w14:textId="77777777" w:rsidR="00093A5E" w:rsidRPr="006A64EE" w:rsidRDefault="00093A5E" w:rsidP="004255F8">
      <w:pPr>
        <w:pStyle w:val="a3"/>
        <w:widowControl/>
        <w:rPr>
          <w:b/>
        </w:rPr>
      </w:pPr>
    </w:p>
    <w:p w14:paraId="4FF5945A" w14:textId="77777777" w:rsidR="00093A5E" w:rsidRPr="006A64EE" w:rsidRDefault="0059713A" w:rsidP="004255F8">
      <w:pPr>
        <w:pStyle w:val="2"/>
        <w:ind w:left="0" w:firstLine="0"/>
      </w:pPr>
      <w:r w:rsidRPr="006A64EE">
        <w:t>4.1</w:t>
      </w:r>
      <w:r w:rsidRPr="006A64EE">
        <w:tab/>
        <w:t>Anwendungsgebiete</w:t>
      </w:r>
    </w:p>
    <w:p w14:paraId="1B491B83" w14:textId="77777777" w:rsidR="00093A5E" w:rsidRPr="006A64EE" w:rsidRDefault="00093A5E" w:rsidP="00121CB7"/>
    <w:p w14:paraId="3932A657" w14:textId="05AD3784" w:rsidR="00C6210F" w:rsidRPr="00B436C7" w:rsidRDefault="00C6210F" w:rsidP="004255F8">
      <w:pPr>
        <w:pStyle w:val="a3"/>
        <w:widowControl/>
        <w:rPr>
          <w:rFonts w:eastAsia="맑은 고딕"/>
          <w:u w:val="single"/>
          <w:lang w:eastAsia="ko-KR"/>
        </w:rPr>
      </w:pPr>
      <w:r w:rsidRPr="00B436C7">
        <w:rPr>
          <w:rFonts w:eastAsia="맑은 고딕"/>
          <w:u w:val="single"/>
          <w:lang w:eastAsia="ko-KR"/>
        </w:rPr>
        <w:t>Rheumatoide Arthritis (RA)</w:t>
      </w:r>
    </w:p>
    <w:p w14:paraId="4D9BE805" w14:textId="3F5BA0BF" w:rsidR="00093A5E" w:rsidRPr="006A64EE" w:rsidRDefault="00E85F65" w:rsidP="004255F8">
      <w:pPr>
        <w:pStyle w:val="a3"/>
        <w:widowControl/>
      </w:pPr>
      <w:r w:rsidRPr="001879E9">
        <w:t>Avtozma</w:t>
      </w:r>
      <w:r w:rsidR="009C2544" w:rsidRPr="006A64EE">
        <w:t xml:space="preserve"> ist, in Kombination mit Methotrexat (MTX), indiziert für:</w:t>
      </w:r>
    </w:p>
    <w:p w14:paraId="7120DAE9" w14:textId="77777777" w:rsidR="00093A5E" w:rsidRPr="006A64EE" w:rsidRDefault="00093A5E" w:rsidP="004255F8">
      <w:pPr>
        <w:pStyle w:val="a3"/>
        <w:widowControl/>
      </w:pPr>
    </w:p>
    <w:p w14:paraId="4ED5879F"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die Behandlung der schweren, aktiven und progressiven rheumatoiden Arthritis (RA) bei Erwachsenen, die zuvor nicht mit Methotrexat behandelt worden sind.</w:t>
      </w:r>
    </w:p>
    <w:p w14:paraId="2B6B69A5" w14:textId="544D55EB" w:rsidR="00093A5E" w:rsidRPr="006A64EE" w:rsidRDefault="0059713A" w:rsidP="004255F8">
      <w:pPr>
        <w:pStyle w:val="bullet"/>
      </w:pPr>
      <w:r w:rsidRPr="006A64EE">
        <w:rPr>
          <w:rFonts w:ascii="Symbol" w:hAnsi="Symbol"/>
        </w:rPr>
        <w:t></w:t>
      </w:r>
      <w:r w:rsidRPr="006A64EE">
        <w:rPr>
          <w:rFonts w:ascii="Symbol" w:hAnsi="Symbol"/>
        </w:rPr>
        <w:tab/>
      </w:r>
      <w:r w:rsidRPr="006A64EE">
        <w:t>die Behandlung erwachsener Patienten mit mäßiger bis schwerer aktiver RA, die unzureichend auf eine vorangegangene Behandlung mit einem oder mehreren krankheitsmodifizierenden Antirheumatika (DMARDs) oder Tumornekrosefaktor</w:t>
      </w:r>
      <w:r w:rsidR="0003076D">
        <w:t xml:space="preserve"> </w:t>
      </w:r>
      <w:r w:rsidRPr="006A64EE">
        <w:t>(TNF)-Inhibitoren angesprochen oder diese nicht vertragen haben.</w:t>
      </w:r>
    </w:p>
    <w:p w14:paraId="52C0B808" w14:textId="77777777" w:rsidR="00093A5E" w:rsidRPr="006A64EE" w:rsidRDefault="00093A5E" w:rsidP="00121CB7"/>
    <w:p w14:paraId="0E092700" w14:textId="5BB973CB" w:rsidR="00093A5E" w:rsidRPr="006A64EE" w:rsidRDefault="00E85F65" w:rsidP="004255F8">
      <w:pPr>
        <w:pStyle w:val="a3"/>
        <w:widowControl/>
      </w:pPr>
      <w:r w:rsidRPr="001879E9">
        <w:t>Avtozma</w:t>
      </w:r>
      <w:r w:rsidR="009C2544" w:rsidRPr="006A64EE">
        <w:t xml:space="preserve"> kann bei diesen Patienten als Monotherapie verabreicht werden, falls eine Methotrexat-Unverträglichkeit vorliegt oder eine Fortsetzung der Therapie mit Methotrexat unangemessen erscheint.</w:t>
      </w:r>
    </w:p>
    <w:p w14:paraId="1029F57B" w14:textId="77777777" w:rsidR="00093A5E" w:rsidRPr="006A64EE" w:rsidRDefault="00093A5E" w:rsidP="004255F8">
      <w:pPr>
        <w:pStyle w:val="a3"/>
        <w:widowControl/>
      </w:pPr>
    </w:p>
    <w:p w14:paraId="0D6B491A" w14:textId="60CD02AC" w:rsidR="00093A5E" w:rsidRPr="006A64EE" w:rsidRDefault="00E85F65" w:rsidP="004255F8">
      <w:pPr>
        <w:pStyle w:val="a3"/>
        <w:widowControl/>
      </w:pPr>
      <w:r w:rsidRPr="001879E9">
        <w:t>Avtozma</w:t>
      </w:r>
      <w:r w:rsidR="009C2544" w:rsidRPr="006A64EE">
        <w:t xml:space="preserve"> vermindert in Kombination mit Methotrexat das Fortschreiten der radiologisch nachweisbaren strukturellen Gelenkschädigungen und verbessert die körperliche Funktionsfähigkeit.</w:t>
      </w:r>
    </w:p>
    <w:p w14:paraId="67E0123B" w14:textId="77777777" w:rsidR="00093A5E" w:rsidRPr="006A64EE" w:rsidRDefault="00093A5E" w:rsidP="004255F8">
      <w:pPr>
        <w:pStyle w:val="a3"/>
        <w:widowControl/>
      </w:pPr>
    </w:p>
    <w:p w14:paraId="1C908B07" w14:textId="77777777" w:rsidR="00C6210F" w:rsidRDefault="00C6210F" w:rsidP="004255F8">
      <w:pPr>
        <w:pStyle w:val="a3"/>
        <w:widowControl/>
        <w:rPr>
          <w:rFonts w:eastAsia="맑은 고딕"/>
          <w:lang w:eastAsia="ko-KR"/>
        </w:rPr>
      </w:pPr>
    </w:p>
    <w:p w14:paraId="322FF772" w14:textId="77777777" w:rsidR="00C6210F" w:rsidRPr="00B436C7" w:rsidRDefault="00C6210F" w:rsidP="004255F8">
      <w:pPr>
        <w:pStyle w:val="a3"/>
        <w:widowControl/>
        <w:rPr>
          <w:rFonts w:eastAsia="맑은 고딕"/>
          <w:u w:val="single"/>
          <w:lang w:eastAsia="ko-KR"/>
        </w:rPr>
      </w:pPr>
      <w:r w:rsidRPr="00B436C7">
        <w:rPr>
          <w:u w:val="single"/>
        </w:rPr>
        <w:lastRenderedPageBreak/>
        <w:t xml:space="preserve">Systemische juvenile idiopathische Arthritis (sJIA) </w:t>
      </w:r>
    </w:p>
    <w:p w14:paraId="170EC03B" w14:textId="031405D2" w:rsidR="00093A5E" w:rsidRPr="006A64EE" w:rsidRDefault="00E85F65" w:rsidP="004255F8">
      <w:pPr>
        <w:pStyle w:val="a3"/>
        <w:widowControl/>
      </w:pPr>
      <w:r w:rsidRPr="001879E9">
        <w:t>Avtozma</w:t>
      </w:r>
      <w:r w:rsidR="009C2544" w:rsidRPr="006A64EE">
        <w:t xml:space="preserve"> ist zur Behandlung von Patienten im Alter von 1 Jahr und älter mit aktiver systemischer juveniler idiopathischer Arthritis (sJIA) angezeigt, die nur unzureichend auf eine vorangegangene Behandlung mit nicht steroidalen Antiphlogistika (NSAs) und systemischen Corticosteroiden angesprochen haben. </w:t>
      </w:r>
      <w:r w:rsidRPr="001879E9">
        <w:t>Avtozma</w:t>
      </w:r>
      <w:r w:rsidR="009C2544" w:rsidRPr="006A64EE">
        <w:t xml:space="preserve"> kann als Monotherapie (falls eine Methotrexat-Unverträglichkeit vorliegt oder eine Therapie mit Methotrexat unangemessen erscheint) oder in Kombination mit Methotrexat verabreicht werden.</w:t>
      </w:r>
    </w:p>
    <w:p w14:paraId="2BF15194" w14:textId="77777777" w:rsidR="00093A5E" w:rsidRPr="006A64EE" w:rsidRDefault="00093A5E" w:rsidP="004255F8">
      <w:pPr>
        <w:pStyle w:val="a3"/>
        <w:widowControl/>
      </w:pPr>
    </w:p>
    <w:p w14:paraId="77AFC03B" w14:textId="746808A7" w:rsidR="00C6210F" w:rsidRPr="00B436C7" w:rsidRDefault="00C6210F" w:rsidP="004255F8">
      <w:pPr>
        <w:pStyle w:val="a3"/>
        <w:widowControl/>
        <w:rPr>
          <w:rFonts w:eastAsia="맑은 고딕"/>
          <w:u w:val="single"/>
          <w:lang w:eastAsia="ko-KR"/>
        </w:rPr>
      </w:pPr>
      <w:r w:rsidRPr="00B436C7">
        <w:rPr>
          <w:rFonts w:eastAsia="맑은 고딕"/>
          <w:u w:val="single"/>
          <w:lang w:eastAsia="ko-KR"/>
        </w:rPr>
        <w:t>Polyartikuläre juvenile idiopathische Arthritis (pJIA)</w:t>
      </w:r>
    </w:p>
    <w:p w14:paraId="41E83316" w14:textId="749C1FEA" w:rsidR="00093A5E" w:rsidRPr="006A64EE" w:rsidRDefault="00E85F65" w:rsidP="004255F8">
      <w:pPr>
        <w:pStyle w:val="a3"/>
        <w:widowControl/>
      </w:pPr>
      <w:r w:rsidRPr="001879E9">
        <w:t>Avtozma</w:t>
      </w:r>
      <w:r w:rsidR="009C2544" w:rsidRPr="006A64EE">
        <w:t xml:space="preserve"> ist in Kombination mit Methotrexat (MTX) zur Behandlung von Patienten im Alter von 2</w:t>
      </w:r>
      <w:r w:rsidR="00341837">
        <w:t> </w:t>
      </w:r>
      <w:r w:rsidR="009C2544" w:rsidRPr="006A64EE">
        <w:t>Jahren und älter mit polyartikulärer juveniler idiopathischer Arthritis (pJIA; Rheumafaktor-positiv oder -negativ und erweiterte Oligoarthritis) angezeigt, die nur unzureichend auf eine vorangegangene Behandlung mit MTX angesprochen haben.</w:t>
      </w:r>
    </w:p>
    <w:p w14:paraId="03FC9C33" w14:textId="77777777" w:rsidR="00093A5E" w:rsidRPr="006A64EE" w:rsidRDefault="00093A5E" w:rsidP="004255F8">
      <w:pPr>
        <w:pStyle w:val="a3"/>
        <w:widowControl/>
      </w:pPr>
    </w:p>
    <w:p w14:paraId="7DACAD62" w14:textId="60098FEC" w:rsidR="00093A5E" w:rsidRPr="006A64EE" w:rsidRDefault="00E85F65" w:rsidP="004255F8">
      <w:pPr>
        <w:pStyle w:val="a3"/>
        <w:widowControl/>
      </w:pPr>
      <w:r w:rsidRPr="001879E9">
        <w:t>Avtozma</w:t>
      </w:r>
      <w:r w:rsidR="009C2544" w:rsidRPr="006A64EE">
        <w:t xml:space="preserve"> kann als Monotherapie verabreicht werden, falls eine Methotrexat-Unverträglichkeit vorliegt oder eine Fortsetzung der Therapie mit Methotrexat unangemessen erscheint.</w:t>
      </w:r>
    </w:p>
    <w:p w14:paraId="648476BF" w14:textId="77777777" w:rsidR="00093A5E" w:rsidRPr="006A64EE" w:rsidRDefault="00093A5E" w:rsidP="004255F8">
      <w:pPr>
        <w:widowControl/>
      </w:pPr>
    </w:p>
    <w:p w14:paraId="2554E307" w14:textId="3DEF8DD5" w:rsidR="00C6210F" w:rsidRPr="00B436C7" w:rsidRDefault="00C6210F" w:rsidP="004255F8">
      <w:pPr>
        <w:widowControl/>
        <w:rPr>
          <w:rFonts w:eastAsia="맑은 고딕"/>
          <w:u w:val="single"/>
          <w:lang w:eastAsia="ko-KR"/>
        </w:rPr>
      </w:pPr>
      <w:r w:rsidRPr="00B436C7">
        <w:rPr>
          <w:rFonts w:eastAsia="맑은 고딕"/>
          <w:u w:val="single"/>
          <w:lang w:eastAsia="ko-KR"/>
        </w:rPr>
        <w:t>Riesenzellarteriitis (RZA)</w:t>
      </w:r>
    </w:p>
    <w:p w14:paraId="62521CB5" w14:textId="28E2F16E" w:rsidR="00093A5E" w:rsidRPr="006A64EE" w:rsidRDefault="00E85F65" w:rsidP="004255F8">
      <w:pPr>
        <w:widowControl/>
      </w:pPr>
      <w:r w:rsidRPr="001879E9">
        <w:t>Avtozma</w:t>
      </w:r>
      <w:r w:rsidR="007D680A" w:rsidRPr="006A64EE">
        <w:t xml:space="preserve"> ist indiziert für die Behandlung der Riesenzellarteriitis (RZA) bei Erwachsenen.</w:t>
      </w:r>
    </w:p>
    <w:p w14:paraId="03242A8B" w14:textId="77777777" w:rsidR="00093A5E" w:rsidRPr="006A64EE" w:rsidRDefault="00093A5E" w:rsidP="004255F8">
      <w:pPr>
        <w:pStyle w:val="a3"/>
        <w:widowControl/>
      </w:pPr>
    </w:p>
    <w:p w14:paraId="6F869600" w14:textId="77777777" w:rsidR="00093A5E" w:rsidRPr="006A64EE" w:rsidRDefault="0059713A" w:rsidP="004255F8">
      <w:pPr>
        <w:pStyle w:val="2"/>
        <w:ind w:left="0" w:firstLine="0"/>
      </w:pPr>
      <w:r w:rsidRPr="006A64EE">
        <w:t>4.2</w:t>
      </w:r>
      <w:r w:rsidRPr="006A64EE">
        <w:tab/>
        <w:t>Dosierung und Art der Anwendung</w:t>
      </w:r>
    </w:p>
    <w:p w14:paraId="19357BF5" w14:textId="77777777" w:rsidR="00093A5E" w:rsidRPr="006A64EE" w:rsidRDefault="00093A5E" w:rsidP="004255F8">
      <w:pPr>
        <w:pStyle w:val="a3"/>
        <w:widowControl/>
      </w:pPr>
    </w:p>
    <w:p w14:paraId="57730328" w14:textId="4A891F36" w:rsidR="00E85F65" w:rsidRDefault="009C2544" w:rsidP="004255F8">
      <w:pPr>
        <w:pStyle w:val="a3"/>
        <w:widowControl/>
      </w:pPr>
      <w:r w:rsidRPr="006A64EE">
        <w:t>Die subkutane Darreichungsform von Tocilizumab wird mithilfe einer Fertigspritze mit Nadelsicherheitsvorrichtung zum einmaligen Gebrauch verabreicht. Die Behandlung sollte durch einen in der Diagnose und Behandlung der RA, sJIA, pJIA und/oder RZA erfahrenen Arzt begonnen werden.</w:t>
      </w:r>
    </w:p>
    <w:p w14:paraId="42ECBE43" w14:textId="77777777" w:rsidR="00E85F65" w:rsidRDefault="00E85F65" w:rsidP="004255F8">
      <w:pPr>
        <w:pStyle w:val="a3"/>
        <w:widowControl/>
      </w:pPr>
    </w:p>
    <w:p w14:paraId="5F8F7EDA" w14:textId="097F44CB" w:rsidR="00093A5E" w:rsidRPr="006A64EE" w:rsidRDefault="009C2544" w:rsidP="004255F8">
      <w:pPr>
        <w:pStyle w:val="a3"/>
        <w:widowControl/>
      </w:pPr>
      <w:r w:rsidRPr="006A64EE">
        <w:t xml:space="preserve">Die erste Injektion sollte unter Aufsicht von qualifiziertem medizinischen Fachpersonal durchgeführt werden. Erst nach angemessener Unterweisung bezüglich der Injektionstechnik können Patienten oder Eltern/Erziehungsberechtigte die Injektion von </w:t>
      </w:r>
      <w:r w:rsidR="00E85F65" w:rsidRPr="001879E9">
        <w:t>Avtozma</w:t>
      </w:r>
      <w:r w:rsidRPr="006A64EE">
        <w:t xml:space="preserve"> selber vornehmen, sofern ihr Arzt entscheidet, dass dies angemessen ist und der Patient oder die Eltern/Erziehungsberechtigten einer medizinischen Nachbeobachtung, falls notwendig, zustimmen.</w:t>
      </w:r>
    </w:p>
    <w:p w14:paraId="1F02566D" w14:textId="77777777" w:rsidR="00093A5E" w:rsidRPr="006A64EE" w:rsidRDefault="00093A5E" w:rsidP="004255F8">
      <w:pPr>
        <w:pStyle w:val="a3"/>
        <w:widowControl/>
      </w:pPr>
    </w:p>
    <w:p w14:paraId="028CFB53" w14:textId="77777777" w:rsidR="00093A5E" w:rsidRPr="006A64EE" w:rsidRDefault="009C2544" w:rsidP="004255F8">
      <w:pPr>
        <w:pStyle w:val="a3"/>
        <w:widowControl/>
      </w:pPr>
      <w:r w:rsidRPr="006A64EE">
        <w:t>Patienten, die von der intravenösen auf die subkutane Darreichungsform von Tocilizumab wechseln, sollten die erste subkutane Dosis zum Zeitpunkt der nächsten geplanten intravenösen Dosis unter Aufsicht von qualifiziertem medizinischen Fachpersonal anwenden.</w:t>
      </w:r>
    </w:p>
    <w:p w14:paraId="75925998" w14:textId="77777777" w:rsidR="00093A5E" w:rsidRPr="006A64EE" w:rsidRDefault="00093A5E" w:rsidP="004255F8">
      <w:pPr>
        <w:pStyle w:val="a3"/>
        <w:widowControl/>
      </w:pPr>
    </w:p>
    <w:p w14:paraId="076BD91F" w14:textId="727EE1FB" w:rsidR="00093A5E" w:rsidRPr="006A64EE" w:rsidRDefault="009C2544" w:rsidP="004255F8">
      <w:pPr>
        <w:pStyle w:val="a3"/>
        <w:widowControl/>
      </w:pPr>
      <w:r w:rsidRPr="006A64EE">
        <w:t xml:space="preserve">Alle Patienten, die mit </w:t>
      </w:r>
      <w:r w:rsidR="00E85F65" w:rsidRPr="001879E9">
        <w:t>Avtozma</w:t>
      </w:r>
      <w:r w:rsidRPr="006A64EE">
        <w:t xml:space="preserve"> behandelt werden, sollten den Patientenpass erhalten.</w:t>
      </w:r>
    </w:p>
    <w:p w14:paraId="4F753BE6" w14:textId="77777777" w:rsidR="00093A5E" w:rsidRPr="006A64EE" w:rsidRDefault="00093A5E" w:rsidP="004255F8">
      <w:pPr>
        <w:pStyle w:val="a3"/>
        <w:widowControl/>
      </w:pPr>
    </w:p>
    <w:p w14:paraId="76992C9A" w14:textId="77777777" w:rsidR="00093A5E" w:rsidRPr="006A64EE" w:rsidRDefault="009C2544" w:rsidP="004255F8">
      <w:pPr>
        <w:pStyle w:val="a3"/>
        <w:widowControl/>
      </w:pPr>
      <w:r w:rsidRPr="006A64EE">
        <w:t>Die Eignung des Patienten oder der Eltern/Erziehungsberechtigten für eine subkutane Anwendung zu Hause sollte überprüft und die Patienten oder die Eltern/Erziehungsberechtigten angewiesen werden, vor Verabreichung der nächsten Dosis einen Arzt zu informieren, wenn bei ihnen Symptome einer allergischen Reaktion auftreten. Die Patienten müssen sofort einen Arzt aufsuchen, wenn sie Symptome einer schwerwiegenden allergischen Reaktion entwickeln (siehe Abschnitt 4.4).</w:t>
      </w:r>
    </w:p>
    <w:p w14:paraId="6D50FE9D" w14:textId="77777777" w:rsidR="00093A5E" w:rsidRPr="006A64EE" w:rsidRDefault="00093A5E" w:rsidP="004255F8">
      <w:pPr>
        <w:pStyle w:val="a3"/>
        <w:widowControl/>
      </w:pPr>
    </w:p>
    <w:p w14:paraId="01665E3F" w14:textId="77777777" w:rsidR="00093A5E" w:rsidRPr="006A64EE" w:rsidRDefault="009C2544" w:rsidP="004255F8">
      <w:pPr>
        <w:pStyle w:val="a3"/>
        <w:widowControl/>
      </w:pPr>
      <w:r w:rsidRPr="006A64EE">
        <w:rPr>
          <w:u w:val="single"/>
        </w:rPr>
        <w:t>Dosierung</w:t>
      </w:r>
    </w:p>
    <w:p w14:paraId="4F3A36A8" w14:textId="77777777" w:rsidR="00093A5E" w:rsidRPr="006A64EE" w:rsidRDefault="00093A5E" w:rsidP="004255F8">
      <w:pPr>
        <w:pStyle w:val="a3"/>
        <w:widowControl/>
      </w:pPr>
    </w:p>
    <w:p w14:paraId="158BDB1E" w14:textId="77777777" w:rsidR="00093A5E" w:rsidRPr="006A64EE" w:rsidRDefault="009C2544" w:rsidP="004255F8">
      <w:pPr>
        <w:pStyle w:val="a3"/>
        <w:widowControl/>
      </w:pPr>
      <w:r w:rsidRPr="006A64EE">
        <w:rPr>
          <w:u w:val="single"/>
        </w:rPr>
        <w:t>RA</w:t>
      </w:r>
    </w:p>
    <w:p w14:paraId="0DCE76DA" w14:textId="248146CD" w:rsidR="00093A5E" w:rsidRPr="006A64EE" w:rsidRDefault="009C2544" w:rsidP="004255F8">
      <w:pPr>
        <w:pStyle w:val="a3"/>
        <w:widowControl/>
        <w:jc w:val="both"/>
      </w:pPr>
      <w:r w:rsidRPr="006A64EE">
        <w:t>Die empfohlene Dosierung beträgt 162</w:t>
      </w:r>
      <w:r w:rsidR="008D73EB">
        <w:t> </w:t>
      </w:r>
      <w:r w:rsidRPr="006A64EE">
        <w:t>mg subkutan einmal pro Woche.</w:t>
      </w:r>
    </w:p>
    <w:p w14:paraId="44B24BBB" w14:textId="77777777" w:rsidR="00093A5E" w:rsidRPr="006A64EE" w:rsidRDefault="00093A5E" w:rsidP="004255F8">
      <w:pPr>
        <w:pStyle w:val="a3"/>
        <w:widowControl/>
      </w:pPr>
    </w:p>
    <w:p w14:paraId="122E4FF2" w14:textId="6E0FF629" w:rsidR="00093A5E" w:rsidRPr="006A64EE" w:rsidRDefault="009C2544" w:rsidP="004255F8">
      <w:pPr>
        <w:pStyle w:val="a3"/>
        <w:widowControl/>
        <w:jc w:val="both"/>
      </w:pPr>
      <w:r w:rsidRPr="006A64EE">
        <w:t xml:space="preserve">Bezüglich einer Umstellung der Patienten von der intravenösen Darreichungsform von </w:t>
      </w:r>
      <w:r w:rsidR="00E85F65" w:rsidRPr="001879E9">
        <w:t>Avtozma</w:t>
      </w:r>
      <w:r w:rsidRPr="006A64EE">
        <w:t xml:space="preserve"> auf die subkutane Darreichungsform von </w:t>
      </w:r>
      <w:r w:rsidR="00E85F65" w:rsidRPr="001879E9">
        <w:t>Avtozma</w:t>
      </w:r>
      <w:r w:rsidRPr="006A64EE">
        <w:t xml:space="preserve"> als Fixdosis sind nur begrenzte Daten verfügbar. Das einmal wöchentliche Dosierungsintervall sollte eingehalten werden.</w:t>
      </w:r>
    </w:p>
    <w:p w14:paraId="15BDC3B8" w14:textId="77777777" w:rsidR="00093A5E" w:rsidRPr="006A64EE" w:rsidRDefault="00093A5E" w:rsidP="004255F8">
      <w:pPr>
        <w:pStyle w:val="a3"/>
        <w:widowControl/>
      </w:pPr>
    </w:p>
    <w:p w14:paraId="1C1EF870" w14:textId="77777777" w:rsidR="00093A5E" w:rsidRPr="006A64EE" w:rsidRDefault="009C2544" w:rsidP="004255F8">
      <w:pPr>
        <w:pStyle w:val="a3"/>
        <w:widowControl/>
      </w:pPr>
      <w:r w:rsidRPr="006A64EE">
        <w:lastRenderedPageBreak/>
        <w:t>Patienten, die von der intravenösen auf die subkutane Darreichungsform wechseln, sollten ihre erste subkutane Dosis anstelle der nächsten geplanten intravenösen Dosis unter Aufsicht von qualifiziertem medizinischen Fachpersonal anwenden.</w:t>
      </w:r>
    </w:p>
    <w:p w14:paraId="6B2D9416" w14:textId="77777777" w:rsidR="00093A5E" w:rsidRPr="006A64EE" w:rsidRDefault="00093A5E" w:rsidP="004255F8">
      <w:pPr>
        <w:pStyle w:val="a3"/>
        <w:widowControl/>
      </w:pPr>
    </w:p>
    <w:p w14:paraId="690CBD82" w14:textId="0E85E471" w:rsidR="00093A5E" w:rsidRPr="006A64EE" w:rsidRDefault="009C2544" w:rsidP="00513B08">
      <w:pPr>
        <w:pStyle w:val="a3"/>
        <w:widowControl/>
      </w:pPr>
      <w:r w:rsidRPr="006A64EE">
        <w:rPr>
          <w:u w:val="single"/>
        </w:rPr>
        <w:t>RZA</w:t>
      </w:r>
      <w:r w:rsidR="005806E0">
        <w:rPr>
          <w:u w:val="single"/>
        </w:rPr>
        <w:br/>
      </w:r>
      <w:r w:rsidRPr="006A64EE">
        <w:t>Die empfohlene Dosierung beträgt 162</w:t>
      </w:r>
      <w:r w:rsidR="008D73EB">
        <w:t> </w:t>
      </w:r>
      <w:r w:rsidRPr="006A64EE">
        <w:t xml:space="preserve">mg subkutan einmal wöchentlich in Kombination mit einer Ausschleichtherapie der Glucocorticoide. </w:t>
      </w:r>
      <w:r w:rsidR="00E85F65" w:rsidRPr="001879E9">
        <w:t>Avtozma</w:t>
      </w:r>
      <w:r w:rsidRPr="006A64EE">
        <w:t xml:space="preserve"> kann nach Absetzen der Glucocorticoide als Monotherapie angewendet werden.</w:t>
      </w:r>
    </w:p>
    <w:p w14:paraId="2906B790" w14:textId="43A4E95D" w:rsidR="00093A5E" w:rsidRPr="006A64EE" w:rsidRDefault="00E85F65" w:rsidP="00513B08">
      <w:pPr>
        <w:pStyle w:val="a3"/>
        <w:widowControl/>
      </w:pPr>
      <w:r w:rsidRPr="001879E9">
        <w:t>Avtozma</w:t>
      </w:r>
      <w:r w:rsidR="003F61C2">
        <w:t>-</w:t>
      </w:r>
      <w:r w:rsidR="009C2544" w:rsidRPr="006A64EE">
        <w:t>Monotherapie sollte nicht zur Behandlung akuter Rezidive angewendet werden (siehe Abschnitt 4.4).</w:t>
      </w:r>
    </w:p>
    <w:p w14:paraId="01BCE0D7" w14:textId="77777777" w:rsidR="00093A5E" w:rsidRPr="006A64EE" w:rsidRDefault="00093A5E" w:rsidP="004255F8">
      <w:pPr>
        <w:pStyle w:val="a3"/>
        <w:widowControl/>
        <w:jc w:val="both"/>
      </w:pPr>
    </w:p>
    <w:p w14:paraId="11DA7DA3" w14:textId="77777777" w:rsidR="00093A5E" w:rsidRPr="006A64EE" w:rsidRDefault="009C2544" w:rsidP="004255F8">
      <w:pPr>
        <w:pStyle w:val="a3"/>
        <w:widowControl/>
      </w:pPr>
      <w:r w:rsidRPr="006A64EE">
        <w:t>Aufgrund der chronischen Natur der RZA sollte eine Behandlung über 52 Wochen hinaus anhand der Krankheitsaktivität, der Erwägung des Arztes und der Entscheidung des Patienten beurteilt werden.</w:t>
      </w:r>
    </w:p>
    <w:p w14:paraId="061291DD" w14:textId="77777777" w:rsidR="00093A5E" w:rsidRPr="006A64EE" w:rsidRDefault="00093A5E" w:rsidP="004255F8">
      <w:pPr>
        <w:widowControl/>
      </w:pPr>
    </w:p>
    <w:p w14:paraId="6E146BED" w14:textId="77777777" w:rsidR="00093A5E" w:rsidRPr="006A64EE" w:rsidRDefault="007D680A" w:rsidP="004255F8">
      <w:pPr>
        <w:keepNext/>
        <w:widowControl/>
        <w:rPr>
          <w:u w:val="single"/>
        </w:rPr>
      </w:pPr>
      <w:r w:rsidRPr="006A64EE">
        <w:rPr>
          <w:u w:val="single"/>
        </w:rPr>
        <w:t>RA und RZA</w:t>
      </w:r>
    </w:p>
    <w:p w14:paraId="747EC68A" w14:textId="77777777" w:rsidR="00093A5E" w:rsidRPr="006A64EE" w:rsidRDefault="009C2544" w:rsidP="004255F8">
      <w:pPr>
        <w:pStyle w:val="a3"/>
        <w:keepNext/>
        <w:widowControl/>
      </w:pPr>
      <w:r w:rsidRPr="006A64EE">
        <w:rPr>
          <w:u w:val="single"/>
        </w:rPr>
        <w:t>Dosisanpassungen aufgrund von Laborwertveränderungen (siehe Abschnitt 4.4).</w:t>
      </w:r>
    </w:p>
    <w:p w14:paraId="3E938542" w14:textId="77777777" w:rsidR="00093A5E" w:rsidRPr="006A64EE" w:rsidRDefault="00093A5E" w:rsidP="004255F8">
      <w:pPr>
        <w:pStyle w:val="a3"/>
        <w:keepNext/>
        <w:widowControl/>
      </w:pPr>
    </w:p>
    <w:p w14:paraId="179B43F2" w14:textId="77777777" w:rsidR="00093A5E" w:rsidRPr="006A64EE" w:rsidRDefault="0059713A" w:rsidP="00B443C6">
      <w:pPr>
        <w:pStyle w:val="bullet"/>
        <w:keepNext/>
      </w:pPr>
      <w:r w:rsidRPr="006A64EE">
        <w:rPr>
          <w:rFonts w:ascii="Symbol" w:hAnsi="Symbol"/>
        </w:rPr>
        <w:t></w:t>
      </w:r>
      <w:r w:rsidRPr="006A64EE">
        <w:rPr>
          <w:rFonts w:ascii="Symbol" w:hAnsi="Symbol"/>
        </w:rPr>
        <w:tab/>
      </w:r>
      <w:r w:rsidRPr="006A64EE">
        <w:t>Leberenzymabweichungen</w:t>
      </w:r>
    </w:p>
    <w:p w14:paraId="6F0DF354" w14:textId="3C6C08D2" w:rsidR="002D5756" w:rsidRPr="006A64EE" w:rsidRDefault="002D5756" w:rsidP="004255F8">
      <w:pPr>
        <w:pStyle w:val="a3"/>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18"/>
        <w:gridCol w:w="7145"/>
      </w:tblGrid>
      <w:tr w:rsidR="00593482" w:rsidRPr="00FB6898" w14:paraId="45EABDAD" w14:textId="77777777" w:rsidTr="00782FBF">
        <w:trPr>
          <w:cantSplit/>
        </w:trPr>
        <w:tc>
          <w:tcPr>
            <w:tcW w:w="1918" w:type="dxa"/>
          </w:tcPr>
          <w:p w14:paraId="053CBE7A" w14:textId="77777777" w:rsidR="002D5756" w:rsidRPr="00B436C7" w:rsidRDefault="009C2544" w:rsidP="00B436C7">
            <w:pPr>
              <w:pStyle w:val="TableParagraph"/>
              <w:widowControl/>
              <w:suppressAutoHyphens/>
              <w:jc w:val="center"/>
              <w:rPr>
                <w:b/>
              </w:rPr>
            </w:pPr>
            <w:r w:rsidRPr="00B436C7">
              <w:rPr>
                <w:b/>
              </w:rPr>
              <w:t>Laborwert</w:t>
            </w:r>
          </w:p>
        </w:tc>
        <w:tc>
          <w:tcPr>
            <w:tcW w:w="7145" w:type="dxa"/>
          </w:tcPr>
          <w:p w14:paraId="06640399" w14:textId="77777777" w:rsidR="002D5756" w:rsidRPr="00B436C7" w:rsidRDefault="009C2544" w:rsidP="004255F8">
            <w:pPr>
              <w:pStyle w:val="TableParagraph"/>
              <w:widowControl/>
              <w:suppressAutoHyphens/>
              <w:jc w:val="center"/>
              <w:rPr>
                <w:b/>
              </w:rPr>
            </w:pPr>
            <w:r w:rsidRPr="00B436C7">
              <w:rPr>
                <w:b/>
              </w:rPr>
              <w:t>Vorgehen</w:t>
            </w:r>
          </w:p>
        </w:tc>
      </w:tr>
      <w:tr w:rsidR="00593482" w:rsidRPr="00FB6898" w14:paraId="4673C70E" w14:textId="77777777" w:rsidTr="00782FBF">
        <w:trPr>
          <w:cantSplit/>
        </w:trPr>
        <w:tc>
          <w:tcPr>
            <w:tcW w:w="1918" w:type="dxa"/>
          </w:tcPr>
          <w:p w14:paraId="6A46BD75" w14:textId="77777777" w:rsidR="00093A5E" w:rsidRPr="00B436C7" w:rsidRDefault="009C2544" w:rsidP="004255F8">
            <w:pPr>
              <w:pStyle w:val="TableParagraph"/>
              <w:widowControl/>
              <w:suppressAutoHyphens/>
            </w:pPr>
            <w:r w:rsidRPr="00B436C7">
              <w:t>&gt; 1 bis 3 x oberer Normalwert (ULN</w:t>
            </w:r>
          </w:p>
          <w:p w14:paraId="71D42973" w14:textId="3A8A64B8" w:rsidR="002D5756" w:rsidRPr="00B436C7" w:rsidRDefault="009C2544" w:rsidP="004255F8">
            <w:pPr>
              <w:pStyle w:val="TableParagraph"/>
              <w:widowControl/>
              <w:suppressAutoHyphens/>
            </w:pPr>
            <w:r w:rsidRPr="00B436C7">
              <w:t>= Upper Limit of Normal)</w:t>
            </w:r>
          </w:p>
        </w:tc>
        <w:tc>
          <w:tcPr>
            <w:tcW w:w="7145" w:type="dxa"/>
          </w:tcPr>
          <w:p w14:paraId="2B603FFB" w14:textId="77777777" w:rsidR="00093A5E" w:rsidRPr="00B436C7" w:rsidRDefault="009C2544" w:rsidP="004255F8">
            <w:pPr>
              <w:pStyle w:val="TableParagraph"/>
              <w:widowControl/>
              <w:suppressAutoHyphens/>
            </w:pPr>
            <w:r w:rsidRPr="00B436C7">
              <w:t>Dosisanpassung der gleichzeitig verabreichten DMARDs (RA) oder immunmodulatorischen Wirkstoffe (RZA), falls angemessen.</w:t>
            </w:r>
          </w:p>
          <w:p w14:paraId="26833E4D" w14:textId="77777777" w:rsidR="00093A5E" w:rsidRPr="00B436C7" w:rsidRDefault="00093A5E" w:rsidP="004255F8">
            <w:pPr>
              <w:pStyle w:val="TableParagraph"/>
              <w:widowControl/>
              <w:suppressAutoHyphens/>
            </w:pPr>
          </w:p>
          <w:p w14:paraId="73219E09" w14:textId="1F5B7723" w:rsidR="00093A5E" w:rsidRPr="00B436C7" w:rsidRDefault="009C2544" w:rsidP="004255F8">
            <w:pPr>
              <w:pStyle w:val="TableParagraph"/>
              <w:widowControl/>
              <w:suppressAutoHyphens/>
            </w:pPr>
            <w:r w:rsidRPr="00B436C7">
              <w:t xml:space="preserve">Im Falle anhaltender Erhöhungen innerhalb dieser Bandbreite, Häufigkeit der Dosis der </w:t>
            </w:r>
            <w:r w:rsidR="00E85F65" w:rsidRPr="00B436C7">
              <w:t>Avtozma</w:t>
            </w:r>
            <w:r w:rsidRPr="00B436C7">
              <w:t xml:space="preserve"> Injektion auf einmal alle zwei Wochen verringern oder Unterbrechung von </w:t>
            </w:r>
            <w:r w:rsidR="00E85F65" w:rsidRPr="00B436C7">
              <w:t>Avtozma</w:t>
            </w:r>
            <w:r w:rsidRPr="00B436C7">
              <w:t>, bis sich Alaninaminotransferase (ALAT) oder Aspartataminotransferase (ASAT) normalisiert haben.</w:t>
            </w:r>
          </w:p>
          <w:p w14:paraId="6BB8C2B1" w14:textId="77777777" w:rsidR="00093A5E" w:rsidRPr="00B436C7" w:rsidRDefault="00093A5E" w:rsidP="004255F8">
            <w:pPr>
              <w:pStyle w:val="TableParagraph"/>
              <w:widowControl/>
              <w:suppressAutoHyphens/>
            </w:pPr>
          </w:p>
          <w:p w14:paraId="15FDD8D3" w14:textId="77777777" w:rsidR="002D5756" w:rsidRPr="00B436C7" w:rsidRDefault="009C2544" w:rsidP="004255F8">
            <w:pPr>
              <w:pStyle w:val="TableParagraph"/>
              <w:widowControl/>
              <w:suppressAutoHyphens/>
            </w:pPr>
            <w:r w:rsidRPr="00B436C7">
              <w:t>Neubeginn mit wöchentlicher Injektion oder einmal alle zwei Wochen, wie klinisch angemessen.</w:t>
            </w:r>
          </w:p>
        </w:tc>
      </w:tr>
      <w:tr w:rsidR="00593482" w:rsidRPr="00FB6898" w14:paraId="180D1C97" w14:textId="77777777" w:rsidTr="00782FBF">
        <w:trPr>
          <w:cantSplit/>
        </w:trPr>
        <w:tc>
          <w:tcPr>
            <w:tcW w:w="1918" w:type="dxa"/>
          </w:tcPr>
          <w:p w14:paraId="62A84AF6" w14:textId="77777777" w:rsidR="002D5756" w:rsidRPr="00B436C7" w:rsidRDefault="009C2544" w:rsidP="004255F8">
            <w:pPr>
              <w:pStyle w:val="TableParagraph"/>
              <w:widowControl/>
              <w:suppressAutoHyphens/>
            </w:pPr>
            <w:r w:rsidRPr="00B436C7">
              <w:t>&gt; 3 bis 5 x ULN</w:t>
            </w:r>
          </w:p>
        </w:tc>
        <w:tc>
          <w:tcPr>
            <w:tcW w:w="7145" w:type="dxa"/>
          </w:tcPr>
          <w:p w14:paraId="0D5FC0FF" w14:textId="12F6488B" w:rsidR="00093A5E" w:rsidRPr="00B436C7" w:rsidRDefault="009C2544" w:rsidP="004255F8">
            <w:pPr>
              <w:pStyle w:val="TableParagraph"/>
              <w:widowControl/>
              <w:suppressAutoHyphens/>
            </w:pPr>
            <w:r w:rsidRPr="00B436C7">
              <w:t xml:space="preserve">Unterbrechung der Anwendung von </w:t>
            </w:r>
            <w:r w:rsidR="00E85F65" w:rsidRPr="00B436C7">
              <w:t>Avtozma</w:t>
            </w:r>
            <w:r w:rsidRPr="00B436C7">
              <w:t xml:space="preserve"> bis &lt; 3 x ULN und Befolgen der obenstehenden Empfehlungen für Werte &gt; 1 bis 3 x ULN.</w:t>
            </w:r>
          </w:p>
          <w:p w14:paraId="2D7BAD56" w14:textId="77777777" w:rsidR="00093A5E" w:rsidRPr="00B436C7" w:rsidRDefault="00093A5E" w:rsidP="004255F8">
            <w:pPr>
              <w:pStyle w:val="TableParagraph"/>
              <w:widowControl/>
              <w:suppressAutoHyphens/>
            </w:pPr>
          </w:p>
          <w:p w14:paraId="4A541DEE" w14:textId="0D49B346" w:rsidR="002D5756" w:rsidRPr="00B436C7" w:rsidRDefault="009C2544" w:rsidP="004255F8">
            <w:pPr>
              <w:pStyle w:val="TableParagraph"/>
              <w:widowControl/>
              <w:suppressAutoHyphens/>
            </w:pPr>
            <w:r w:rsidRPr="00B436C7">
              <w:t xml:space="preserve">Bei anhaltenden Erhöhungen von &gt; 3 x ULN (bestätigt durch wiederholte Untersuchung, siehe Abschnitt 4.4) Absetzen von </w:t>
            </w:r>
            <w:r w:rsidR="00E85F65" w:rsidRPr="00B436C7">
              <w:t>Avtozma</w:t>
            </w:r>
            <w:r w:rsidRPr="00B436C7">
              <w:t>.</w:t>
            </w:r>
          </w:p>
        </w:tc>
      </w:tr>
      <w:tr w:rsidR="00593482" w:rsidRPr="00FB6898" w14:paraId="34198F78" w14:textId="77777777" w:rsidTr="00782FBF">
        <w:trPr>
          <w:cantSplit/>
        </w:trPr>
        <w:tc>
          <w:tcPr>
            <w:tcW w:w="1918" w:type="dxa"/>
          </w:tcPr>
          <w:p w14:paraId="4A0E7A43" w14:textId="77777777" w:rsidR="002D5756" w:rsidRPr="00B436C7" w:rsidRDefault="009C2544" w:rsidP="004255F8">
            <w:pPr>
              <w:pStyle w:val="TableParagraph"/>
              <w:widowControl/>
              <w:suppressAutoHyphens/>
            </w:pPr>
            <w:r w:rsidRPr="00B436C7">
              <w:t>&gt; 5 x ULN</w:t>
            </w:r>
          </w:p>
        </w:tc>
        <w:tc>
          <w:tcPr>
            <w:tcW w:w="7145" w:type="dxa"/>
          </w:tcPr>
          <w:p w14:paraId="28753907" w14:textId="5F6F2F70" w:rsidR="002D5756" w:rsidRPr="00B436C7" w:rsidRDefault="009C2544" w:rsidP="004255F8">
            <w:pPr>
              <w:pStyle w:val="TableParagraph"/>
              <w:widowControl/>
              <w:suppressAutoHyphens/>
            </w:pPr>
            <w:r w:rsidRPr="00B436C7">
              <w:t xml:space="preserve">Absetzen von </w:t>
            </w:r>
            <w:r w:rsidR="00E85F65" w:rsidRPr="00B436C7">
              <w:t>Avtozma</w:t>
            </w:r>
          </w:p>
        </w:tc>
      </w:tr>
    </w:tbl>
    <w:p w14:paraId="7CB586A5" w14:textId="77777777" w:rsidR="00093A5E" w:rsidRPr="006A64EE" w:rsidRDefault="00093A5E" w:rsidP="004255F8">
      <w:pPr>
        <w:pStyle w:val="bullet"/>
      </w:pPr>
    </w:p>
    <w:p w14:paraId="7636AEE2"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Niedrige absolute Anzahl neutrophiler Granulozyten (ANC = Absolute Neutrophil Count)</w:t>
      </w:r>
    </w:p>
    <w:p w14:paraId="2AE0083E" w14:textId="77777777" w:rsidR="00093A5E" w:rsidRPr="006A64EE" w:rsidRDefault="00093A5E" w:rsidP="00121CB7"/>
    <w:p w14:paraId="40B13B76" w14:textId="477BBF91" w:rsidR="00093A5E" w:rsidRPr="006A64EE" w:rsidRDefault="009C2544" w:rsidP="004255F8">
      <w:pPr>
        <w:pStyle w:val="a3"/>
        <w:widowControl/>
      </w:pPr>
      <w:r w:rsidRPr="006A64EE">
        <w:t xml:space="preserve">Bei Patienten, die noch nicht mit </w:t>
      </w:r>
      <w:r w:rsidR="00E85F65">
        <w:t>Tocilizumab</w:t>
      </w:r>
      <w:r w:rsidRPr="006A64EE">
        <w:t xml:space="preserve"> behandelt wurden und eine absolute Neutrophilenzahl (ANC) von weniger als 2 x 10</w:t>
      </w:r>
      <w:r w:rsidRPr="006A64EE">
        <w:rPr>
          <w:vertAlign w:val="superscript"/>
        </w:rPr>
        <w:t>9</w:t>
      </w:r>
      <w:r w:rsidRPr="006A64EE">
        <w:t>/l aufweisen, wird ein Beginn der Behandlung nicht empfohlen.</w:t>
      </w:r>
    </w:p>
    <w:p w14:paraId="79720445" w14:textId="6FA8FAFA" w:rsidR="002D5756" w:rsidRPr="006A64EE" w:rsidRDefault="002D5756" w:rsidP="004255F8">
      <w:pPr>
        <w:pStyle w:val="a3"/>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80"/>
        <w:gridCol w:w="7082"/>
      </w:tblGrid>
      <w:tr w:rsidR="00593482" w:rsidRPr="00FB6898" w14:paraId="72AA6475" w14:textId="77777777" w:rsidTr="00782FBF">
        <w:trPr>
          <w:cantSplit/>
        </w:trPr>
        <w:tc>
          <w:tcPr>
            <w:tcW w:w="1980" w:type="dxa"/>
          </w:tcPr>
          <w:p w14:paraId="19F1CD71" w14:textId="41997ED8" w:rsidR="00FB6898" w:rsidRDefault="009C2544" w:rsidP="004255F8">
            <w:pPr>
              <w:pStyle w:val="TableParagraph"/>
              <w:widowControl/>
              <w:suppressAutoHyphens/>
              <w:rPr>
                <w:b/>
              </w:rPr>
            </w:pPr>
            <w:r w:rsidRPr="00B436C7">
              <w:rPr>
                <w:b/>
              </w:rPr>
              <w:t>Laborwert</w:t>
            </w:r>
          </w:p>
          <w:p w14:paraId="261AD40A" w14:textId="38A3FC5C" w:rsidR="002D5756" w:rsidRPr="00B436C7" w:rsidRDefault="009C2544" w:rsidP="004255F8">
            <w:pPr>
              <w:pStyle w:val="TableParagraph"/>
              <w:widowControl/>
              <w:suppressAutoHyphens/>
              <w:rPr>
                <w:b/>
              </w:rPr>
            </w:pPr>
            <w:r w:rsidRPr="00B436C7">
              <w:rPr>
                <w:b/>
              </w:rPr>
              <w:t>(Zellen x 10</w:t>
            </w:r>
            <w:r w:rsidRPr="00B436C7">
              <w:rPr>
                <w:b/>
                <w:vertAlign w:val="superscript"/>
              </w:rPr>
              <w:t>9</w:t>
            </w:r>
            <w:r w:rsidRPr="00B436C7">
              <w:rPr>
                <w:b/>
              </w:rPr>
              <w:t>/l)</w:t>
            </w:r>
          </w:p>
        </w:tc>
        <w:tc>
          <w:tcPr>
            <w:tcW w:w="7082" w:type="dxa"/>
          </w:tcPr>
          <w:p w14:paraId="6E454664" w14:textId="77777777" w:rsidR="002D5756" w:rsidRPr="00B436C7" w:rsidRDefault="009C2544" w:rsidP="004255F8">
            <w:pPr>
              <w:pStyle w:val="TableParagraph"/>
              <w:widowControl/>
              <w:suppressAutoHyphens/>
              <w:jc w:val="center"/>
              <w:rPr>
                <w:b/>
              </w:rPr>
            </w:pPr>
            <w:r w:rsidRPr="00B436C7">
              <w:rPr>
                <w:b/>
              </w:rPr>
              <w:t>Vorgehen</w:t>
            </w:r>
          </w:p>
        </w:tc>
      </w:tr>
      <w:tr w:rsidR="00593482" w:rsidRPr="00FB6898" w14:paraId="363DE37C" w14:textId="77777777" w:rsidTr="00782FBF">
        <w:trPr>
          <w:cantSplit/>
        </w:trPr>
        <w:tc>
          <w:tcPr>
            <w:tcW w:w="1980" w:type="dxa"/>
          </w:tcPr>
          <w:p w14:paraId="0DDCDFB5" w14:textId="77777777" w:rsidR="002D5756" w:rsidRPr="00B436C7" w:rsidRDefault="009C2544" w:rsidP="004255F8">
            <w:pPr>
              <w:pStyle w:val="TableParagraph"/>
              <w:widowControl/>
              <w:suppressAutoHyphens/>
            </w:pPr>
            <w:r w:rsidRPr="00B436C7">
              <w:t>ANC &gt; 1</w:t>
            </w:r>
          </w:p>
        </w:tc>
        <w:tc>
          <w:tcPr>
            <w:tcW w:w="7082" w:type="dxa"/>
          </w:tcPr>
          <w:p w14:paraId="6D7ED853" w14:textId="77777777" w:rsidR="002D5756" w:rsidRPr="00B436C7" w:rsidRDefault="009C2544" w:rsidP="004255F8">
            <w:pPr>
              <w:pStyle w:val="TableParagraph"/>
              <w:widowControl/>
              <w:suppressAutoHyphens/>
            </w:pPr>
            <w:r w:rsidRPr="00B436C7">
              <w:t>Dosis beibehalten</w:t>
            </w:r>
          </w:p>
        </w:tc>
      </w:tr>
      <w:tr w:rsidR="00593482" w:rsidRPr="00FB6898" w14:paraId="6A034F27" w14:textId="77777777" w:rsidTr="00782FBF">
        <w:trPr>
          <w:cantSplit/>
        </w:trPr>
        <w:tc>
          <w:tcPr>
            <w:tcW w:w="1980" w:type="dxa"/>
          </w:tcPr>
          <w:p w14:paraId="7F4CE548" w14:textId="77777777" w:rsidR="002D5756" w:rsidRPr="00B436C7" w:rsidRDefault="009C2544" w:rsidP="004255F8">
            <w:pPr>
              <w:pStyle w:val="TableParagraph"/>
              <w:widowControl/>
              <w:suppressAutoHyphens/>
            </w:pPr>
            <w:r w:rsidRPr="00B436C7">
              <w:t>ANC 0,5 bis 1</w:t>
            </w:r>
          </w:p>
        </w:tc>
        <w:tc>
          <w:tcPr>
            <w:tcW w:w="7082" w:type="dxa"/>
          </w:tcPr>
          <w:p w14:paraId="25A7321E" w14:textId="7170FC62" w:rsidR="00093A5E" w:rsidRPr="00B436C7" w:rsidRDefault="009C2544" w:rsidP="004255F8">
            <w:pPr>
              <w:pStyle w:val="TableParagraph"/>
              <w:widowControl/>
              <w:suppressAutoHyphens/>
            </w:pPr>
            <w:r w:rsidRPr="00B436C7">
              <w:t xml:space="preserve">Unterbrechung der Anwendung von </w:t>
            </w:r>
            <w:r w:rsidR="00E85F65" w:rsidRPr="00B436C7">
              <w:t>Avtozma</w:t>
            </w:r>
          </w:p>
          <w:p w14:paraId="10175422" w14:textId="168F2C39" w:rsidR="002D5756" w:rsidRPr="00B436C7" w:rsidRDefault="009C2544" w:rsidP="004255F8">
            <w:pPr>
              <w:pStyle w:val="TableParagraph"/>
              <w:widowControl/>
              <w:suppressAutoHyphens/>
            </w:pPr>
            <w:r w:rsidRPr="00B436C7">
              <w:t>Wenn die ANC auf &gt; 1 x 10</w:t>
            </w:r>
            <w:r w:rsidRPr="00B436C7">
              <w:rPr>
                <w:vertAlign w:val="superscript"/>
              </w:rPr>
              <w:t>9</w:t>
            </w:r>
            <w:r w:rsidRPr="00B436C7">
              <w:t xml:space="preserve">/l ansteigt, Wiederaufnahme der Anwendung von </w:t>
            </w:r>
            <w:r w:rsidR="00E85F65" w:rsidRPr="00B436C7">
              <w:t>Avtozma</w:t>
            </w:r>
            <w:r w:rsidRPr="00B436C7">
              <w:t xml:space="preserve"> alle zwei Wochen und Steigerung auf wöchentliche Injektion, wie klinisch angemessen.</w:t>
            </w:r>
          </w:p>
        </w:tc>
      </w:tr>
      <w:tr w:rsidR="00593482" w:rsidRPr="00FB6898" w14:paraId="1CA898EB" w14:textId="77777777" w:rsidTr="00782FBF">
        <w:trPr>
          <w:cantSplit/>
        </w:trPr>
        <w:tc>
          <w:tcPr>
            <w:tcW w:w="1980" w:type="dxa"/>
          </w:tcPr>
          <w:p w14:paraId="1C006ADB" w14:textId="77777777" w:rsidR="002D5756" w:rsidRPr="00B436C7" w:rsidRDefault="009C2544" w:rsidP="004255F8">
            <w:pPr>
              <w:pStyle w:val="TableParagraph"/>
              <w:widowControl/>
              <w:suppressAutoHyphens/>
            </w:pPr>
            <w:r w:rsidRPr="00B436C7">
              <w:t>ANC &lt; 0,5</w:t>
            </w:r>
          </w:p>
        </w:tc>
        <w:tc>
          <w:tcPr>
            <w:tcW w:w="7082" w:type="dxa"/>
          </w:tcPr>
          <w:p w14:paraId="5710054F" w14:textId="0DA03A7C" w:rsidR="002D5756" w:rsidRPr="00B436C7" w:rsidRDefault="009C2544" w:rsidP="004255F8">
            <w:pPr>
              <w:pStyle w:val="TableParagraph"/>
              <w:widowControl/>
              <w:suppressAutoHyphens/>
            </w:pPr>
            <w:r w:rsidRPr="00B436C7">
              <w:t xml:space="preserve">Absetzen von </w:t>
            </w:r>
            <w:r w:rsidR="00E85F65" w:rsidRPr="00B436C7">
              <w:t>Avtozma</w:t>
            </w:r>
          </w:p>
        </w:tc>
      </w:tr>
    </w:tbl>
    <w:p w14:paraId="1A3A77CD" w14:textId="77777777" w:rsidR="00093A5E" w:rsidRPr="006A64EE" w:rsidRDefault="00093A5E" w:rsidP="004255F8">
      <w:pPr>
        <w:widowControl/>
      </w:pPr>
    </w:p>
    <w:p w14:paraId="7825583A" w14:textId="77777777" w:rsidR="00093A5E" w:rsidRPr="006A64EE" w:rsidRDefault="0059713A" w:rsidP="004255F8">
      <w:pPr>
        <w:pStyle w:val="bullet"/>
      </w:pPr>
      <w:r w:rsidRPr="006A64EE">
        <w:rPr>
          <w:rFonts w:ascii="Symbol" w:hAnsi="Symbol"/>
        </w:rPr>
        <w:t></w:t>
      </w:r>
      <w:r w:rsidRPr="006A64EE">
        <w:rPr>
          <w:rFonts w:ascii="Symbol" w:hAnsi="Symbol"/>
        </w:rPr>
        <w:tab/>
      </w:r>
      <w:r w:rsidR="007D680A" w:rsidRPr="006A64EE">
        <w:t>Niedrige Thrombozytenanzahl</w:t>
      </w:r>
    </w:p>
    <w:p w14:paraId="4C6B528F" w14:textId="5012B137" w:rsidR="002D5756" w:rsidRPr="006A64EE" w:rsidRDefault="002D5756" w:rsidP="004255F8">
      <w:pPr>
        <w:pStyle w:val="a3"/>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71"/>
        <w:gridCol w:w="6391"/>
      </w:tblGrid>
      <w:tr w:rsidR="00593482" w:rsidRPr="00FB6898" w14:paraId="2783FEEA" w14:textId="77777777" w:rsidTr="00782FBF">
        <w:trPr>
          <w:cantSplit/>
        </w:trPr>
        <w:tc>
          <w:tcPr>
            <w:tcW w:w="2671" w:type="dxa"/>
          </w:tcPr>
          <w:p w14:paraId="3B184247" w14:textId="77777777" w:rsidR="00093A5E" w:rsidRPr="00B436C7" w:rsidRDefault="009C2544" w:rsidP="004255F8">
            <w:pPr>
              <w:pStyle w:val="TableParagraph"/>
              <w:widowControl/>
              <w:suppressAutoHyphens/>
              <w:jc w:val="center"/>
              <w:rPr>
                <w:b/>
              </w:rPr>
            </w:pPr>
            <w:r w:rsidRPr="00B436C7">
              <w:rPr>
                <w:b/>
              </w:rPr>
              <w:t>Laborwert</w:t>
            </w:r>
          </w:p>
          <w:p w14:paraId="4C4B117D" w14:textId="4BB6B3B0" w:rsidR="002D5756" w:rsidRPr="00B436C7" w:rsidRDefault="009C2544" w:rsidP="004255F8">
            <w:pPr>
              <w:pStyle w:val="TableParagraph"/>
              <w:widowControl/>
              <w:suppressAutoHyphens/>
              <w:jc w:val="center"/>
              <w:rPr>
                <w:b/>
              </w:rPr>
            </w:pPr>
            <w:r w:rsidRPr="00B436C7">
              <w:rPr>
                <w:b/>
              </w:rPr>
              <w:t>(Zellen x 10</w:t>
            </w:r>
            <w:r w:rsidRPr="00B436C7">
              <w:rPr>
                <w:b/>
                <w:vertAlign w:val="superscript"/>
              </w:rPr>
              <w:t>3</w:t>
            </w:r>
            <w:r w:rsidRPr="00B436C7">
              <w:rPr>
                <w:b/>
              </w:rPr>
              <w:t>/µl)</w:t>
            </w:r>
          </w:p>
        </w:tc>
        <w:tc>
          <w:tcPr>
            <w:tcW w:w="6391" w:type="dxa"/>
          </w:tcPr>
          <w:p w14:paraId="76EAC492" w14:textId="77777777" w:rsidR="002D5756" w:rsidRPr="00B436C7" w:rsidRDefault="009C2544" w:rsidP="004255F8">
            <w:pPr>
              <w:pStyle w:val="TableParagraph"/>
              <w:widowControl/>
              <w:suppressAutoHyphens/>
              <w:jc w:val="center"/>
              <w:rPr>
                <w:b/>
              </w:rPr>
            </w:pPr>
            <w:r w:rsidRPr="00B436C7">
              <w:rPr>
                <w:b/>
              </w:rPr>
              <w:t>Vorgehen</w:t>
            </w:r>
          </w:p>
        </w:tc>
      </w:tr>
      <w:tr w:rsidR="00593482" w:rsidRPr="00FB6898" w14:paraId="6A87348E" w14:textId="77777777" w:rsidTr="00782FBF">
        <w:trPr>
          <w:cantSplit/>
        </w:trPr>
        <w:tc>
          <w:tcPr>
            <w:tcW w:w="2671" w:type="dxa"/>
          </w:tcPr>
          <w:p w14:paraId="0DD723D0" w14:textId="77777777" w:rsidR="002D5756" w:rsidRPr="00B436C7" w:rsidRDefault="009C2544" w:rsidP="004255F8">
            <w:pPr>
              <w:pStyle w:val="TableParagraph"/>
              <w:widowControl/>
              <w:suppressAutoHyphens/>
            </w:pPr>
            <w:r w:rsidRPr="00B436C7">
              <w:t>50 bis 100</w:t>
            </w:r>
          </w:p>
        </w:tc>
        <w:tc>
          <w:tcPr>
            <w:tcW w:w="6391" w:type="dxa"/>
          </w:tcPr>
          <w:p w14:paraId="78AB99EE" w14:textId="56F06E3A" w:rsidR="00093A5E" w:rsidRPr="00B436C7" w:rsidRDefault="009C2544" w:rsidP="004255F8">
            <w:pPr>
              <w:pStyle w:val="TableParagraph"/>
              <w:widowControl/>
              <w:suppressAutoHyphens/>
            </w:pPr>
            <w:r w:rsidRPr="00B436C7">
              <w:t xml:space="preserve">Unterbrechung der Anwendung von </w:t>
            </w:r>
            <w:r w:rsidR="00E85F65" w:rsidRPr="00B436C7">
              <w:t>Avtozma</w:t>
            </w:r>
          </w:p>
          <w:p w14:paraId="6A3D3B8A" w14:textId="77777777" w:rsidR="00093A5E" w:rsidRPr="00B436C7" w:rsidRDefault="00093A5E" w:rsidP="004255F8">
            <w:pPr>
              <w:pStyle w:val="TableParagraph"/>
              <w:widowControl/>
              <w:suppressAutoHyphens/>
            </w:pPr>
          </w:p>
          <w:p w14:paraId="4DE52347" w14:textId="60C19656" w:rsidR="002D5756" w:rsidRPr="00B436C7" w:rsidRDefault="009C2544" w:rsidP="004255F8">
            <w:pPr>
              <w:pStyle w:val="TableParagraph"/>
              <w:widowControl/>
              <w:suppressAutoHyphens/>
            </w:pPr>
            <w:r w:rsidRPr="00B436C7">
              <w:t>Wenn die Thrombozytenanzahl auf &gt; 100 x 10</w:t>
            </w:r>
            <w:r w:rsidRPr="00B436C7">
              <w:rPr>
                <w:vertAlign w:val="superscript"/>
              </w:rPr>
              <w:t>3</w:t>
            </w:r>
            <w:r w:rsidRPr="00B436C7">
              <w:t xml:space="preserve">/µl ansteigt, Wiederaufnahme der Anwendung von </w:t>
            </w:r>
            <w:r w:rsidR="00E85F65" w:rsidRPr="00B436C7">
              <w:t>Avtozma</w:t>
            </w:r>
            <w:r w:rsidRPr="00B436C7">
              <w:t xml:space="preserve"> alle zwei Wochen und Steigerung auf wöchentliche Injektion, wie klinisch angemessen.</w:t>
            </w:r>
          </w:p>
        </w:tc>
      </w:tr>
      <w:tr w:rsidR="00593482" w:rsidRPr="00FB6898" w14:paraId="02298291" w14:textId="77777777" w:rsidTr="00782FBF">
        <w:trPr>
          <w:cantSplit/>
        </w:trPr>
        <w:tc>
          <w:tcPr>
            <w:tcW w:w="2671" w:type="dxa"/>
          </w:tcPr>
          <w:p w14:paraId="5FF81CA7" w14:textId="77777777" w:rsidR="002D5756" w:rsidRPr="00B436C7" w:rsidRDefault="009C2544" w:rsidP="004255F8">
            <w:pPr>
              <w:pStyle w:val="TableParagraph"/>
              <w:widowControl/>
              <w:suppressAutoHyphens/>
            </w:pPr>
            <w:r w:rsidRPr="00B436C7">
              <w:t>&lt; 50</w:t>
            </w:r>
          </w:p>
        </w:tc>
        <w:tc>
          <w:tcPr>
            <w:tcW w:w="6391" w:type="dxa"/>
          </w:tcPr>
          <w:p w14:paraId="4C70102E" w14:textId="7DB15753" w:rsidR="002D5756" w:rsidRPr="00B436C7" w:rsidRDefault="009C2544" w:rsidP="004255F8">
            <w:pPr>
              <w:pStyle w:val="TableParagraph"/>
              <w:widowControl/>
              <w:suppressAutoHyphens/>
            </w:pPr>
            <w:r w:rsidRPr="00B436C7">
              <w:t xml:space="preserve">Absetzen von </w:t>
            </w:r>
            <w:r w:rsidR="00E85F65" w:rsidRPr="00B436C7">
              <w:t>Avtozma</w:t>
            </w:r>
          </w:p>
        </w:tc>
      </w:tr>
    </w:tbl>
    <w:p w14:paraId="4A22158B" w14:textId="77777777" w:rsidR="00093A5E" w:rsidRPr="006A64EE" w:rsidRDefault="00093A5E" w:rsidP="004255F8">
      <w:pPr>
        <w:pStyle w:val="a3"/>
        <w:widowControl/>
        <w:rPr>
          <w:u w:val="single"/>
        </w:rPr>
      </w:pPr>
    </w:p>
    <w:p w14:paraId="23646CD1" w14:textId="77777777" w:rsidR="005806E0" w:rsidRDefault="009C2544" w:rsidP="004255F8">
      <w:pPr>
        <w:pStyle w:val="a3"/>
        <w:widowControl/>
      </w:pPr>
      <w:r w:rsidRPr="006A64EE">
        <w:rPr>
          <w:u w:val="single"/>
        </w:rPr>
        <w:t>RA und RZA</w:t>
      </w:r>
      <w:r w:rsidRPr="006A64EE">
        <w:t xml:space="preserve"> </w:t>
      </w:r>
    </w:p>
    <w:p w14:paraId="7ED50EC4" w14:textId="6948A810" w:rsidR="00093A5E" w:rsidRPr="006A64EE" w:rsidRDefault="009C2544" w:rsidP="004255F8">
      <w:pPr>
        <w:pStyle w:val="a3"/>
        <w:widowControl/>
      </w:pPr>
      <w:r w:rsidRPr="006A64EE">
        <w:rPr>
          <w:u w:val="single"/>
        </w:rPr>
        <w:t>Versäumte Dosis</w:t>
      </w:r>
    </w:p>
    <w:p w14:paraId="14645D89" w14:textId="41F76238" w:rsidR="00093A5E" w:rsidRPr="006A64EE" w:rsidRDefault="009C2544" w:rsidP="004255F8">
      <w:pPr>
        <w:pStyle w:val="a3"/>
        <w:widowControl/>
      </w:pPr>
      <w:r w:rsidRPr="006A64EE">
        <w:t xml:space="preserve">Wenn der Patient eine subkutane wöchentliche Injektion von </w:t>
      </w:r>
      <w:r w:rsidR="00E85F65" w:rsidRPr="001879E9">
        <w:t>Avtozma</w:t>
      </w:r>
      <w:r w:rsidRPr="006A64EE">
        <w:t xml:space="preserve"> um 7 Tage oder weniger versäumt, sollte er/sie angewiesen werden, die versäumte Dosis am nächsten geplanten Termin anzuwenden. Wenn der Patient eine subkutane einmal alle zwei Wochen angewendete Injektion von </w:t>
      </w:r>
      <w:r w:rsidR="00E85F65" w:rsidRPr="001879E9">
        <w:t>Avtozma</w:t>
      </w:r>
      <w:r w:rsidRPr="006A64EE">
        <w:t xml:space="preserve"> um 7 Tage oder weniger versäumt, sollte er/sie angewiesen werden, die versäumte Dosis sofort und die nächste Dosis am nächsten geplanten Termin anzuwenden.</w:t>
      </w:r>
    </w:p>
    <w:p w14:paraId="6965175A" w14:textId="77777777" w:rsidR="00093A5E" w:rsidRPr="006A64EE" w:rsidRDefault="00093A5E" w:rsidP="004255F8">
      <w:pPr>
        <w:pStyle w:val="a3"/>
        <w:widowControl/>
      </w:pPr>
    </w:p>
    <w:p w14:paraId="686BDF75" w14:textId="77777777" w:rsidR="00093A5E" w:rsidRPr="006A64EE" w:rsidRDefault="009C2544" w:rsidP="00B443C6">
      <w:pPr>
        <w:pStyle w:val="a3"/>
        <w:keepNext/>
        <w:widowControl/>
        <w:rPr>
          <w:u w:val="single"/>
        </w:rPr>
      </w:pPr>
      <w:r w:rsidRPr="006A64EE">
        <w:rPr>
          <w:u w:val="single"/>
        </w:rPr>
        <w:t>Spezielle Patientengruppen</w:t>
      </w:r>
    </w:p>
    <w:p w14:paraId="0D686C8A" w14:textId="77777777" w:rsidR="00093A5E" w:rsidRPr="006A64EE" w:rsidRDefault="00093A5E" w:rsidP="004255F8">
      <w:pPr>
        <w:pStyle w:val="a3"/>
        <w:widowControl/>
      </w:pPr>
    </w:p>
    <w:p w14:paraId="1EADCC79" w14:textId="77777777" w:rsidR="00093A5E" w:rsidRPr="006A64EE" w:rsidRDefault="009C2544" w:rsidP="004255F8">
      <w:pPr>
        <w:widowControl/>
        <w:rPr>
          <w:i/>
        </w:rPr>
      </w:pPr>
      <w:r w:rsidRPr="006A64EE">
        <w:rPr>
          <w:i/>
        </w:rPr>
        <w:t>Ältere Patienten:</w:t>
      </w:r>
    </w:p>
    <w:p w14:paraId="26A916D6" w14:textId="77777777" w:rsidR="00093A5E" w:rsidRPr="006A64EE" w:rsidRDefault="009C2544" w:rsidP="004255F8">
      <w:pPr>
        <w:pStyle w:val="a3"/>
        <w:widowControl/>
      </w:pPr>
      <w:r w:rsidRPr="006A64EE">
        <w:t>Bei älteren Patienten &gt; 65 Jahre ist keine Dosisanpassung erforderlich.</w:t>
      </w:r>
    </w:p>
    <w:p w14:paraId="3FDDE862" w14:textId="77777777" w:rsidR="00093A5E" w:rsidRPr="006A64EE" w:rsidRDefault="00093A5E" w:rsidP="004255F8">
      <w:pPr>
        <w:pStyle w:val="a3"/>
        <w:widowControl/>
      </w:pPr>
    </w:p>
    <w:p w14:paraId="1B48559D" w14:textId="77777777" w:rsidR="00093A5E" w:rsidRPr="006A64EE" w:rsidRDefault="009C2544" w:rsidP="004255F8">
      <w:pPr>
        <w:widowControl/>
        <w:rPr>
          <w:i/>
        </w:rPr>
      </w:pPr>
      <w:r w:rsidRPr="006A64EE">
        <w:rPr>
          <w:i/>
        </w:rPr>
        <w:t>Patienten mit Nierenfunktionsstörungen:</w:t>
      </w:r>
    </w:p>
    <w:p w14:paraId="188D7E71" w14:textId="061531BD" w:rsidR="00093A5E" w:rsidRPr="006A64EE" w:rsidRDefault="009C2544" w:rsidP="004255F8">
      <w:pPr>
        <w:pStyle w:val="a3"/>
        <w:widowControl/>
      </w:pPr>
      <w:r w:rsidRPr="006A64EE">
        <w:t xml:space="preserve">Bei Patienten mit leichter oder mäßiger Nierenfunktionsstörung ist keine Dosisanpassung erforderlich. </w:t>
      </w:r>
      <w:r w:rsidR="00E85F65" w:rsidRPr="001879E9">
        <w:t>Avtozma</w:t>
      </w:r>
      <w:r w:rsidRPr="006A64EE">
        <w:t xml:space="preserve"> wurde bei Patienten mit schwerer Nierenfunktionsstörung nicht untersucht (siehe Abschnitt</w:t>
      </w:r>
      <w:r w:rsidR="00341837">
        <w:t> </w:t>
      </w:r>
      <w:r w:rsidRPr="006A64EE">
        <w:t>5.2). Bei diesen Patienten muss die Nierenfunktion engmaschig überwacht werden.</w:t>
      </w:r>
    </w:p>
    <w:p w14:paraId="07387172" w14:textId="77777777" w:rsidR="00093A5E" w:rsidRPr="006A64EE" w:rsidRDefault="00093A5E" w:rsidP="004255F8">
      <w:pPr>
        <w:pStyle w:val="a3"/>
        <w:widowControl/>
      </w:pPr>
    </w:p>
    <w:p w14:paraId="08BE82DD" w14:textId="77777777" w:rsidR="00093A5E" w:rsidRPr="006A64EE" w:rsidRDefault="009C2544" w:rsidP="004255F8">
      <w:pPr>
        <w:widowControl/>
        <w:rPr>
          <w:i/>
        </w:rPr>
      </w:pPr>
      <w:r w:rsidRPr="006A64EE">
        <w:rPr>
          <w:i/>
        </w:rPr>
        <w:t>Patienten mit Leberfunktionsstörungen:</w:t>
      </w:r>
    </w:p>
    <w:p w14:paraId="489412D3" w14:textId="230E91D9" w:rsidR="00093A5E" w:rsidRPr="006A64EE" w:rsidRDefault="00E85F65" w:rsidP="004255F8">
      <w:pPr>
        <w:pStyle w:val="a3"/>
        <w:widowControl/>
      </w:pPr>
      <w:r w:rsidRPr="001879E9">
        <w:t>Avtozma</w:t>
      </w:r>
      <w:r w:rsidR="009C2544" w:rsidRPr="006A64EE">
        <w:t xml:space="preserve"> wurde bei Patienten mit Leberfunktionsstörungen nicht untersucht. Daher kann keine Dosierungsempfehlung gegeben werden.</w:t>
      </w:r>
    </w:p>
    <w:p w14:paraId="73A2F7D9" w14:textId="77777777" w:rsidR="00093A5E" w:rsidRPr="006A64EE" w:rsidRDefault="00093A5E" w:rsidP="004255F8">
      <w:pPr>
        <w:pStyle w:val="a3"/>
        <w:widowControl/>
      </w:pPr>
    </w:p>
    <w:p w14:paraId="209BCB55" w14:textId="77777777" w:rsidR="00093A5E" w:rsidRPr="006A64EE" w:rsidRDefault="009C2544" w:rsidP="004255F8">
      <w:pPr>
        <w:widowControl/>
        <w:rPr>
          <w:i/>
        </w:rPr>
      </w:pPr>
      <w:r w:rsidRPr="006A64EE">
        <w:rPr>
          <w:i/>
        </w:rPr>
        <w:t>Kinder und Jugendliche:</w:t>
      </w:r>
    </w:p>
    <w:p w14:paraId="4FF2932B" w14:textId="00FDEB62" w:rsidR="00093A5E" w:rsidRPr="006A64EE" w:rsidRDefault="009C2544" w:rsidP="004255F8">
      <w:pPr>
        <w:pStyle w:val="a3"/>
        <w:widowControl/>
      </w:pPr>
      <w:r w:rsidRPr="006A64EE">
        <w:t xml:space="preserve">Die Sicherheit und Wirksamkeit der subkutanen Darreichungsform von </w:t>
      </w:r>
      <w:r w:rsidR="00E85F65" w:rsidRPr="001879E9">
        <w:t>Avtozma</w:t>
      </w:r>
      <w:r w:rsidRPr="006A64EE">
        <w:t xml:space="preserve"> sind bei Kindern unter 1 Jahr nicht erwiesen. Es stehen keine Daten zur Verfügung.</w:t>
      </w:r>
    </w:p>
    <w:p w14:paraId="2804AEF1" w14:textId="77777777" w:rsidR="00093A5E" w:rsidRPr="006A64EE" w:rsidRDefault="00093A5E" w:rsidP="004255F8">
      <w:pPr>
        <w:pStyle w:val="a3"/>
        <w:widowControl/>
      </w:pPr>
    </w:p>
    <w:p w14:paraId="6E6258A9" w14:textId="283BAEE6" w:rsidR="00093A5E" w:rsidRPr="006A64EE" w:rsidRDefault="009C2544" w:rsidP="004255F8">
      <w:pPr>
        <w:pStyle w:val="a3"/>
        <w:widowControl/>
      </w:pPr>
      <w:r w:rsidRPr="006A64EE">
        <w:t xml:space="preserve">Eine Änderung der Dosierung sollte nur bei einer dauerhaften Veränderung des Gewichts des Patienten erfolgen. </w:t>
      </w:r>
      <w:r w:rsidR="00E85F65" w:rsidRPr="001879E9">
        <w:t>Avtozma</w:t>
      </w:r>
      <w:r w:rsidRPr="006A64EE">
        <w:t xml:space="preserve"> kann allein oder in Kombination mit MTX verabreicht werden.</w:t>
      </w:r>
    </w:p>
    <w:p w14:paraId="4DF02E60" w14:textId="77777777" w:rsidR="00093A5E" w:rsidRPr="006A64EE" w:rsidRDefault="00093A5E" w:rsidP="004255F8">
      <w:pPr>
        <w:pStyle w:val="a3"/>
        <w:widowControl/>
      </w:pPr>
    </w:p>
    <w:p w14:paraId="54346B84" w14:textId="77777777" w:rsidR="00093A5E" w:rsidRPr="006A64EE" w:rsidRDefault="009C2544" w:rsidP="004255F8">
      <w:pPr>
        <w:widowControl/>
        <w:rPr>
          <w:i/>
        </w:rPr>
      </w:pPr>
      <w:r w:rsidRPr="006A64EE">
        <w:rPr>
          <w:i/>
        </w:rPr>
        <w:t>Patienten mit sJIA</w:t>
      </w:r>
    </w:p>
    <w:p w14:paraId="71D0CBE6" w14:textId="096BC5E0" w:rsidR="00093A5E" w:rsidRPr="006A64EE" w:rsidRDefault="009C2544" w:rsidP="004255F8">
      <w:pPr>
        <w:pStyle w:val="a3"/>
        <w:widowControl/>
      </w:pPr>
      <w:r w:rsidRPr="006A64EE">
        <w:t>Die empfohlene Dosierung bei Patienten im Alter von 1 Jahr und älter mit einem Mindestgewicht von 30 kg beträgt 162</w:t>
      </w:r>
      <w:r w:rsidR="008D73EB">
        <w:t> </w:t>
      </w:r>
      <w:r w:rsidRPr="006A64EE">
        <w:t>mg subkutan einmal pro Woche und bei Patienten, die weniger als 30 kg wiegen, 162</w:t>
      </w:r>
      <w:r w:rsidR="008D73EB">
        <w:t> </w:t>
      </w:r>
      <w:r w:rsidRPr="006A64EE">
        <w:t xml:space="preserve">mg subkutan einmal alle 2 Wochen. Patienten müssen ein Körpergewicht von mindestens 10 kg haben, wenn sie mit </w:t>
      </w:r>
      <w:r w:rsidR="00E85F65" w:rsidRPr="001879E9">
        <w:t>Avtozma</w:t>
      </w:r>
      <w:r w:rsidRPr="006A64EE">
        <w:t xml:space="preserve"> subkutan behandelt werden.</w:t>
      </w:r>
    </w:p>
    <w:p w14:paraId="722B37A7" w14:textId="77777777" w:rsidR="00093A5E" w:rsidRPr="006A64EE" w:rsidRDefault="00093A5E" w:rsidP="004255F8">
      <w:pPr>
        <w:pStyle w:val="a3"/>
        <w:widowControl/>
      </w:pPr>
    </w:p>
    <w:p w14:paraId="313D9BD4" w14:textId="77777777" w:rsidR="00093A5E" w:rsidRPr="006A64EE" w:rsidRDefault="009C2544" w:rsidP="004255F8">
      <w:pPr>
        <w:widowControl/>
        <w:rPr>
          <w:i/>
        </w:rPr>
      </w:pPr>
      <w:r w:rsidRPr="006A64EE">
        <w:rPr>
          <w:i/>
        </w:rPr>
        <w:t>Patienten mit pJIA:</w:t>
      </w:r>
    </w:p>
    <w:p w14:paraId="6303C379" w14:textId="4A455C51" w:rsidR="00093A5E" w:rsidRPr="006A64EE" w:rsidRDefault="009C2544" w:rsidP="004255F8">
      <w:pPr>
        <w:pStyle w:val="a3"/>
        <w:widowControl/>
      </w:pPr>
      <w:r w:rsidRPr="006A64EE">
        <w:t>Die empfohlene Dosierung bei Patienten im Alter von 2 Jahren und älter mit einem Mindestgewicht von 30 kg beträgt 162</w:t>
      </w:r>
      <w:r w:rsidR="008D73EB">
        <w:t> </w:t>
      </w:r>
      <w:r w:rsidRPr="006A64EE">
        <w:t>mg subkutan einmal alle 2 Wochen und bei Patienten, die weniger als 30 kg wiegen, 162</w:t>
      </w:r>
      <w:r w:rsidR="008D73EB">
        <w:t> </w:t>
      </w:r>
      <w:r w:rsidRPr="006A64EE">
        <w:t>mg subkutan einmal alle 3 Wochen.</w:t>
      </w:r>
    </w:p>
    <w:p w14:paraId="226ED2F3" w14:textId="77777777" w:rsidR="00093A5E" w:rsidRPr="006A64EE" w:rsidRDefault="00093A5E" w:rsidP="004255F8">
      <w:pPr>
        <w:pStyle w:val="a3"/>
        <w:widowControl/>
      </w:pPr>
    </w:p>
    <w:p w14:paraId="4F397ED4" w14:textId="77777777" w:rsidR="00093A5E" w:rsidRPr="006A64EE" w:rsidRDefault="009C2544" w:rsidP="004255F8">
      <w:pPr>
        <w:pStyle w:val="a3"/>
        <w:keepNext/>
        <w:widowControl/>
        <w:rPr>
          <w:u w:val="single"/>
        </w:rPr>
      </w:pPr>
      <w:r w:rsidRPr="006A64EE">
        <w:rPr>
          <w:u w:val="single"/>
        </w:rPr>
        <w:t>Dosisanpassungen aufgrund von Laborwertveränderungen (sJIA und pJIA)</w:t>
      </w:r>
    </w:p>
    <w:p w14:paraId="6BC359FD" w14:textId="77777777" w:rsidR="00093A5E" w:rsidRPr="006A64EE" w:rsidRDefault="00093A5E" w:rsidP="004255F8">
      <w:pPr>
        <w:pStyle w:val="a3"/>
        <w:keepNext/>
        <w:widowControl/>
      </w:pPr>
    </w:p>
    <w:p w14:paraId="443771C0" w14:textId="77777777" w:rsidR="00093A5E" w:rsidRPr="006A64EE" w:rsidRDefault="009C2544" w:rsidP="004255F8">
      <w:pPr>
        <w:pStyle w:val="a3"/>
        <w:widowControl/>
      </w:pPr>
      <w:r w:rsidRPr="006A64EE">
        <w:t>Falls angebracht, sollte die Dosierung von gleichzeitig verabreichtem MTX und/oder anderen</w:t>
      </w:r>
      <w:r w:rsidR="00E96793" w:rsidRPr="006A64EE">
        <w:t xml:space="preserve"> </w:t>
      </w:r>
      <w:r w:rsidR="007D680A" w:rsidRPr="006A64EE">
        <w:t xml:space="preserve">Arzneimitteln modifiziert oder die Gabe abgebrochen und die Anwendung von Tocilizumab unterbrochen werden, bis die klinische Situation evaluiert wurde. Da es eine Vielzahl an </w:t>
      </w:r>
      <w:r w:rsidR="007D680A" w:rsidRPr="006A64EE">
        <w:lastRenderedPageBreak/>
        <w:t>Begleiterkrankungen gibt, die die Laborwerte bei Patienten mit sJIA oder pJIA beeinflussen können, sollte die Entscheidung, Tocilizumab aufgrund abnormaler Laborwerte abzusetzen, auf der Grundlage einer medizinischen Beurteilung des einzelnen Patienten erfolgen.</w:t>
      </w:r>
    </w:p>
    <w:p w14:paraId="1E13BE59" w14:textId="77777777" w:rsidR="00093A5E" w:rsidRPr="006A64EE" w:rsidRDefault="00093A5E" w:rsidP="004255F8">
      <w:pPr>
        <w:pStyle w:val="a3"/>
        <w:widowControl/>
      </w:pPr>
    </w:p>
    <w:p w14:paraId="488B9285"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Leberenzymabweichungen</w:t>
      </w:r>
    </w:p>
    <w:p w14:paraId="0B2CCEE3" w14:textId="767A2FE0" w:rsidR="002D5756" w:rsidRPr="006A64EE" w:rsidRDefault="002D5756" w:rsidP="004255F8">
      <w:pPr>
        <w:pStyle w:val="a3"/>
        <w:widowControl/>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937"/>
        <w:gridCol w:w="7126"/>
      </w:tblGrid>
      <w:tr w:rsidR="00593482" w:rsidRPr="00FB6898" w14:paraId="23DBD155" w14:textId="77777777" w:rsidTr="00B443C6">
        <w:trPr>
          <w:tblHeader/>
        </w:trPr>
        <w:tc>
          <w:tcPr>
            <w:tcW w:w="1937" w:type="dxa"/>
          </w:tcPr>
          <w:p w14:paraId="51098E77" w14:textId="77777777" w:rsidR="002D5756" w:rsidRPr="00B436C7" w:rsidRDefault="009C2544" w:rsidP="00B436C7">
            <w:pPr>
              <w:pStyle w:val="TableParagraph"/>
              <w:widowControl/>
              <w:suppressAutoHyphens/>
              <w:jc w:val="center"/>
              <w:rPr>
                <w:b/>
                <w:bCs/>
              </w:rPr>
            </w:pPr>
            <w:r w:rsidRPr="00B436C7">
              <w:rPr>
                <w:b/>
                <w:bCs/>
              </w:rPr>
              <w:t>Laborwert</w:t>
            </w:r>
          </w:p>
        </w:tc>
        <w:tc>
          <w:tcPr>
            <w:tcW w:w="7126" w:type="dxa"/>
          </w:tcPr>
          <w:p w14:paraId="76AB4750" w14:textId="77777777" w:rsidR="002D5756" w:rsidRPr="00B436C7" w:rsidRDefault="009C2544" w:rsidP="004255F8">
            <w:pPr>
              <w:pStyle w:val="TableParagraph"/>
              <w:widowControl/>
              <w:suppressAutoHyphens/>
              <w:jc w:val="center"/>
              <w:rPr>
                <w:b/>
                <w:bCs/>
              </w:rPr>
            </w:pPr>
            <w:r w:rsidRPr="00B436C7">
              <w:rPr>
                <w:b/>
                <w:bCs/>
              </w:rPr>
              <w:t>Vorgehen</w:t>
            </w:r>
          </w:p>
        </w:tc>
      </w:tr>
      <w:tr w:rsidR="00593482" w:rsidRPr="00FB6898" w14:paraId="1173EBA4" w14:textId="77777777" w:rsidTr="00782FBF">
        <w:trPr>
          <w:cantSplit/>
        </w:trPr>
        <w:tc>
          <w:tcPr>
            <w:tcW w:w="1937" w:type="dxa"/>
          </w:tcPr>
          <w:p w14:paraId="42FA7ABA" w14:textId="77777777" w:rsidR="002D5756" w:rsidRPr="00B436C7" w:rsidRDefault="009C2544" w:rsidP="004255F8">
            <w:pPr>
              <w:pStyle w:val="TableParagraph"/>
              <w:widowControl/>
              <w:suppressAutoHyphens/>
            </w:pPr>
            <w:r w:rsidRPr="00B436C7">
              <w:t>&gt; 1 bis 3 x ULN</w:t>
            </w:r>
          </w:p>
        </w:tc>
        <w:tc>
          <w:tcPr>
            <w:tcW w:w="7126" w:type="dxa"/>
          </w:tcPr>
          <w:p w14:paraId="4222192B" w14:textId="77777777" w:rsidR="00093A5E" w:rsidRPr="00B436C7" w:rsidRDefault="009C2544" w:rsidP="004255F8">
            <w:pPr>
              <w:pStyle w:val="TableParagraph"/>
              <w:widowControl/>
              <w:suppressAutoHyphens/>
            </w:pPr>
            <w:r w:rsidRPr="00B436C7">
              <w:t>Dosisanpassung des gleichzeitig verabreichten MTX, falls angemessen</w:t>
            </w:r>
          </w:p>
          <w:p w14:paraId="312C6568" w14:textId="77777777" w:rsidR="00093A5E" w:rsidRPr="00B436C7" w:rsidRDefault="00093A5E" w:rsidP="004255F8">
            <w:pPr>
              <w:pStyle w:val="TableParagraph"/>
              <w:widowControl/>
              <w:suppressAutoHyphens/>
            </w:pPr>
          </w:p>
          <w:p w14:paraId="00DBF5DE" w14:textId="758ADA11" w:rsidR="002D5756" w:rsidRPr="00B436C7" w:rsidRDefault="009C2544" w:rsidP="004255F8">
            <w:pPr>
              <w:pStyle w:val="TableParagraph"/>
              <w:widowControl/>
              <w:suppressAutoHyphens/>
            </w:pPr>
            <w:r w:rsidRPr="00B436C7">
              <w:t xml:space="preserve">Im Falle anhaltender Erhöhungen innerhalb dieser Bandbreite, Unterbrechung von </w:t>
            </w:r>
            <w:r w:rsidR="00E85F65" w:rsidRPr="00B436C7">
              <w:t>Avtozma</w:t>
            </w:r>
            <w:r w:rsidRPr="00B436C7">
              <w:t>, bis sich ALAT/ASAT normalisiert haben.</w:t>
            </w:r>
          </w:p>
        </w:tc>
      </w:tr>
      <w:tr w:rsidR="00593482" w:rsidRPr="00FB6898" w14:paraId="76C823A1" w14:textId="77777777" w:rsidTr="00782FBF">
        <w:trPr>
          <w:cantSplit/>
        </w:trPr>
        <w:tc>
          <w:tcPr>
            <w:tcW w:w="1937" w:type="dxa"/>
          </w:tcPr>
          <w:p w14:paraId="2723A994" w14:textId="77777777" w:rsidR="002D5756" w:rsidRPr="00B436C7" w:rsidRDefault="009C2544" w:rsidP="004255F8">
            <w:pPr>
              <w:pStyle w:val="TableParagraph"/>
              <w:widowControl/>
              <w:suppressAutoHyphens/>
            </w:pPr>
            <w:r w:rsidRPr="00B436C7">
              <w:t>&gt; 3 x ULN bis 5 x ULN</w:t>
            </w:r>
          </w:p>
        </w:tc>
        <w:tc>
          <w:tcPr>
            <w:tcW w:w="7126" w:type="dxa"/>
          </w:tcPr>
          <w:p w14:paraId="6914B44E" w14:textId="77777777" w:rsidR="00093A5E" w:rsidRPr="00B436C7" w:rsidRDefault="009C2544" w:rsidP="004255F8">
            <w:pPr>
              <w:pStyle w:val="TableParagraph"/>
              <w:widowControl/>
              <w:suppressAutoHyphens/>
            </w:pPr>
            <w:r w:rsidRPr="00B436C7">
              <w:t>Dosisanpassung des gleichzeitig verabreichten MTX, falls angemessen</w:t>
            </w:r>
          </w:p>
          <w:p w14:paraId="5A55FB49" w14:textId="77777777" w:rsidR="00093A5E" w:rsidRPr="00B436C7" w:rsidRDefault="00093A5E" w:rsidP="004255F8">
            <w:pPr>
              <w:pStyle w:val="TableParagraph"/>
              <w:widowControl/>
              <w:suppressAutoHyphens/>
            </w:pPr>
          </w:p>
          <w:p w14:paraId="335FA19F" w14:textId="6ADCAE3B" w:rsidR="002D5756" w:rsidRPr="00B436C7" w:rsidRDefault="009C2544" w:rsidP="004255F8">
            <w:pPr>
              <w:pStyle w:val="TableParagraph"/>
              <w:widowControl/>
              <w:suppressAutoHyphens/>
            </w:pPr>
            <w:r w:rsidRPr="00B436C7">
              <w:t xml:space="preserve">Unterbrechung der Anwendung von </w:t>
            </w:r>
            <w:r w:rsidR="00E85F65" w:rsidRPr="00B436C7">
              <w:t>Avtozma</w:t>
            </w:r>
            <w:r w:rsidRPr="00B436C7">
              <w:t xml:space="preserve"> bis &lt; 3 x ULN und Befolgen der oben stehenden Empfehlungen für Werte &gt; 1 bis 3 x ULN</w:t>
            </w:r>
          </w:p>
        </w:tc>
      </w:tr>
      <w:tr w:rsidR="00593482" w:rsidRPr="00FB6898" w14:paraId="070CE960" w14:textId="77777777" w:rsidTr="00782FBF">
        <w:trPr>
          <w:cantSplit/>
        </w:trPr>
        <w:tc>
          <w:tcPr>
            <w:tcW w:w="1937" w:type="dxa"/>
          </w:tcPr>
          <w:p w14:paraId="770BD3A4" w14:textId="77777777" w:rsidR="002D5756" w:rsidRPr="00B436C7" w:rsidRDefault="009C2544" w:rsidP="004255F8">
            <w:pPr>
              <w:pStyle w:val="TableParagraph"/>
              <w:widowControl/>
              <w:suppressAutoHyphens/>
            </w:pPr>
            <w:r w:rsidRPr="00B436C7">
              <w:t>&gt; 5 x ULN</w:t>
            </w:r>
          </w:p>
        </w:tc>
        <w:tc>
          <w:tcPr>
            <w:tcW w:w="7126" w:type="dxa"/>
          </w:tcPr>
          <w:p w14:paraId="2AD92A13" w14:textId="2F14ECD2" w:rsidR="00093A5E" w:rsidRPr="00B436C7" w:rsidRDefault="009C2544" w:rsidP="004255F8">
            <w:pPr>
              <w:pStyle w:val="TableParagraph"/>
              <w:widowControl/>
              <w:suppressAutoHyphens/>
            </w:pPr>
            <w:r w:rsidRPr="00B436C7">
              <w:t xml:space="preserve">Absetzen von </w:t>
            </w:r>
            <w:r w:rsidR="00E85F65" w:rsidRPr="00B436C7">
              <w:t>Avtozma</w:t>
            </w:r>
          </w:p>
          <w:p w14:paraId="682FDDF6" w14:textId="77777777" w:rsidR="00093A5E" w:rsidRPr="00B436C7" w:rsidRDefault="00093A5E" w:rsidP="004255F8">
            <w:pPr>
              <w:pStyle w:val="TableParagraph"/>
              <w:widowControl/>
              <w:suppressAutoHyphens/>
            </w:pPr>
          </w:p>
          <w:p w14:paraId="38FE18DF" w14:textId="50CDF09B" w:rsidR="002D5756" w:rsidRPr="00B436C7" w:rsidRDefault="009C2544" w:rsidP="004255F8">
            <w:pPr>
              <w:pStyle w:val="TableParagraph"/>
              <w:widowControl/>
              <w:suppressAutoHyphens/>
            </w:pPr>
            <w:r w:rsidRPr="00B436C7">
              <w:t xml:space="preserve">Die Entscheidung, </w:t>
            </w:r>
            <w:r w:rsidR="00E85F65" w:rsidRPr="00B436C7">
              <w:t>Avtozma</w:t>
            </w:r>
            <w:r w:rsidRPr="00B436C7">
              <w:t xml:space="preserve"> bei Patienten mit sJIA oder pJIA aufgrund abnormaler Laborwerte abzusetzen, sollte auf Grundlage einer medizinischen Beurteilung des einzelnen Patienten erfolgen.</w:t>
            </w:r>
          </w:p>
        </w:tc>
      </w:tr>
    </w:tbl>
    <w:p w14:paraId="0F631603" w14:textId="77777777" w:rsidR="00093A5E" w:rsidRPr="006A64EE" w:rsidRDefault="00093A5E" w:rsidP="004255F8">
      <w:pPr>
        <w:pStyle w:val="bullet"/>
      </w:pPr>
    </w:p>
    <w:p w14:paraId="0C4C35AC"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Niedrige absolute Anzahl neutrophiler Granulozyten (ANC = Absolute Neutrophil Count)</w:t>
      </w:r>
    </w:p>
    <w:p w14:paraId="5ED67A77" w14:textId="67503D4A" w:rsidR="002D5756" w:rsidRPr="006A64EE" w:rsidRDefault="002D5756" w:rsidP="004255F8">
      <w:pPr>
        <w:pStyle w:val="a3"/>
        <w:widowControl/>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944"/>
        <w:gridCol w:w="7118"/>
      </w:tblGrid>
      <w:tr w:rsidR="00593482" w:rsidRPr="00FB6898" w14:paraId="1C622F27" w14:textId="77777777" w:rsidTr="00782FBF">
        <w:trPr>
          <w:tblHeader/>
        </w:trPr>
        <w:tc>
          <w:tcPr>
            <w:tcW w:w="1944" w:type="dxa"/>
          </w:tcPr>
          <w:p w14:paraId="7696C790" w14:textId="327FED91" w:rsidR="00FB6898" w:rsidRPr="00B436C7" w:rsidRDefault="009C2544" w:rsidP="00B436C7">
            <w:pPr>
              <w:pStyle w:val="TableParagraph"/>
              <w:widowControl/>
              <w:suppressAutoHyphens/>
              <w:jc w:val="center"/>
              <w:rPr>
                <w:b/>
                <w:bCs/>
              </w:rPr>
            </w:pPr>
            <w:r w:rsidRPr="00B436C7">
              <w:rPr>
                <w:b/>
                <w:bCs/>
              </w:rPr>
              <w:t>Laborwert</w:t>
            </w:r>
          </w:p>
          <w:p w14:paraId="65250723" w14:textId="631D5019" w:rsidR="002D5756" w:rsidRPr="00B436C7" w:rsidRDefault="009C2544" w:rsidP="00B436C7">
            <w:pPr>
              <w:pStyle w:val="TableParagraph"/>
              <w:widowControl/>
              <w:suppressAutoHyphens/>
              <w:jc w:val="center"/>
              <w:rPr>
                <w:b/>
                <w:bCs/>
              </w:rPr>
            </w:pPr>
            <w:r w:rsidRPr="00B436C7">
              <w:rPr>
                <w:b/>
                <w:bCs/>
              </w:rPr>
              <w:t>(Zellen x 10</w:t>
            </w:r>
            <w:r w:rsidRPr="00B436C7">
              <w:rPr>
                <w:b/>
                <w:bCs/>
                <w:vertAlign w:val="superscript"/>
              </w:rPr>
              <w:t>9</w:t>
            </w:r>
            <w:r w:rsidRPr="00B436C7">
              <w:rPr>
                <w:b/>
                <w:bCs/>
              </w:rPr>
              <w:t>/l)</w:t>
            </w:r>
          </w:p>
        </w:tc>
        <w:tc>
          <w:tcPr>
            <w:tcW w:w="7118" w:type="dxa"/>
          </w:tcPr>
          <w:p w14:paraId="588FB6BC" w14:textId="77777777" w:rsidR="002D5756" w:rsidRPr="00B436C7" w:rsidRDefault="009C2544" w:rsidP="004255F8">
            <w:pPr>
              <w:pStyle w:val="TableParagraph"/>
              <w:widowControl/>
              <w:suppressAutoHyphens/>
              <w:jc w:val="center"/>
              <w:rPr>
                <w:b/>
                <w:bCs/>
              </w:rPr>
            </w:pPr>
            <w:r w:rsidRPr="00B436C7">
              <w:rPr>
                <w:b/>
                <w:bCs/>
              </w:rPr>
              <w:t>Vorgehen</w:t>
            </w:r>
          </w:p>
        </w:tc>
      </w:tr>
      <w:tr w:rsidR="00593482" w:rsidRPr="00FB6898" w14:paraId="61FE5617" w14:textId="77777777" w:rsidTr="00AB5C6C">
        <w:trPr>
          <w:cantSplit/>
        </w:trPr>
        <w:tc>
          <w:tcPr>
            <w:tcW w:w="1944" w:type="dxa"/>
          </w:tcPr>
          <w:p w14:paraId="7DB7B15F" w14:textId="77777777" w:rsidR="002D5756" w:rsidRPr="00B436C7" w:rsidRDefault="009C2544" w:rsidP="004255F8">
            <w:pPr>
              <w:pStyle w:val="TableParagraph"/>
              <w:widowControl/>
              <w:suppressAutoHyphens/>
            </w:pPr>
            <w:r w:rsidRPr="00B436C7">
              <w:t>ANC &gt; 1</w:t>
            </w:r>
          </w:p>
        </w:tc>
        <w:tc>
          <w:tcPr>
            <w:tcW w:w="7118" w:type="dxa"/>
          </w:tcPr>
          <w:p w14:paraId="0B1C9149" w14:textId="77777777" w:rsidR="002D5756" w:rsidRPr="00B436C7" w:rsidRDefault="009C2544" w:rsidP="004255F8">
            <w:pPr>
              <w:pStyle w:val="TableParagraph"/>
              <w:widowControl/>
              <w:suppressAutoHyphens/>
            </w:pPr>
            <w:r w:rsidRPr="00B436C7">
              <w:t>Dosis beibehalten</w:t>
            </w:r>
          </w:p>
        </w:tc>
      </w:tr>
      <w:tr w:rsidR="00593482" w:rsidRPr="00FB6898" w14:paraId="3DA71CD8" w14:textId="77777777" w:rsidTr="00AB5C6C">
        <w:trPr>
          <w:cantSplit/>
        </w:trPr>
        <w:tc>
          <w:tcPr>
            <w:tcW w:w="1944" w:type="dxa"/>
          </w:tcPr>
          <w:p w14:paraId="75398F83" w14:textId="77777777" w:rsidR="002D5756" w:rsidRPr="00B436C7" w:rsidRDefault="009C2544" w:rsidP="004255F8">
            <w:pPr>
              <w:pStyle w:val="TableParagraph"/>
              <w:widowControl/>
              <w:suppressAutoHyphens/>
            </w:pPr>
            <w:r w:rsidRPr="00B436C7">
              <w:t>ANC 0,5 bis 1</w:t>
            </w:r>
          </w:p>
        </w:tc>
        <w:tc>
          <w:tcPr>
            <w:tcW w:w="7118" w:type="dxa"/>
          </w:tcPr>
          <w:p w14:paraId="27319D59" w14:textId="07944C9E" w:rsidR="00093A5E" w:rsidRPr="00B436C7" w:rsidRDefault="009C2544" w:rsidP="004255F8">
            <w:pPr>
              <w:pStyle w:val="TableParagraph"/>
              <w:widowControl/>
              <w:suppressAutoHyphens/>
            </w:pPr>
            <w:r w:rsidRPr="00B436C7">
              <w:t xml:space="preserve">Unterbrechung der Anwendung von </w:t>
            </w:r>
            <w:r w:rsidR="00E85F65" w:rsidRPr="00B436C7">
              <w:t>Avtozma</w:t>
            </w:r>
          </w:p>
          <w:p w14:paraId="356E1FD9" w14:textId="77777777" w:rsidR="00093A5E" w:rsidRPr="00B436C7" w:rsidRDefault="00093A5E" w:rsidP="004255F8">
            <w:pPr>
              <w:pStyle w:val="TableParagraph"/>
              <w:widowControl/>
              <w:suppressAutoHyphens/>
            </w:pPr>
          </w:p>
          <w:p w14:paraId="05DE5673" w14:textId="5F4C08DC" w:rsidR="002D5756" w:rsidRPr="00B436C7" w:rsidRDefault="009C2544" w:rsidP="004255F8">
            <w:pPr>
              <w:pStyle w:val="TableParagraph"/>
              <w:widowControl/>
              <w:suppressAutoHyphens/>
            </w:pPr>
            <w:r w:rsidRPr="00B436C7">
              <w:t>Wenn die ANC auf &gt; 1 x 10</w:t>
            </w:r>
            <w:r w:rsidRPr="00B436C7">
              <w:rPr>
                <w:vertAlign w:val="superscript"/>
              </w:rPr>
              <w:t>9</w:t>
            </w:r>
            <w:r w:rsidRPr="00B436C7">
              <w:t xml:space="preserve">/l ansteigt, Wiederaufnahme der Anwendung von </w:t>
            </w:r>
            <w:r w:rsidR="00E85F65" w:rsidRPr="00B436C7">
              <w:t>Avtozma</w:t>
            </w:r>
          </w:p>
        </w:tc>
      </w:tr>
      <w:tr w:rsidR="002D5756" w:rsidRPr="00FB6898" w14:paraId="6E0D29F4" w14:textId="77777777" w:rsidTr="00AB5C6C">
        <w:trPr>
          <w:cantSplit/>
        </w:trPr>
        <w:tc>
          <w:tcPr>
            <w:tcW w:w="1944" w:type="dxa"/>
          </w:tcPr>
          <w:p w14:paraId="4F0A649B" w14:textId="77777777" w:rsidR="002D5756" w:rsidRPr="00B436C7" w:rsidRDefault="009C2544" w:rsidP="004255F8">
            <w:pPr>
              <w:pStyle w:val="TableParagraph"/>
              <w:widowControl/>
              <w:suppressAutoHyphens/>
            </w:pPr>
            <w:r w:rsidRPr="00B436C7">
              <w:t>ANC &lt; 0,5</w:t>
            </w:r>
          </w:p>
        </w:tc>
        <w:tc>
          <w:tcPr>
            <w:tcW w:w="7118" w:type="dxa"/>
          </w:tcPr>
          <w:p w14:paraId="14711D61" w14:textId="02FCDA5C" w:rsidR="00093A5E" w:rsidRPr="00B436C7" w:rsidRDefault="009C2544" w:rsidP="004255F8">
            <w:pPr>
              <w:pStyle w:val="TableParagraph"/>
              <w:widowControl/>
              <w:suppressAutoHyphens/>
            </w:pPr>
            <w:r w:rsidRPr="00B436C7">
              <w:t xml:space="preserve">Absetzen von </w:t>
            </w:r>
            <w:r w:rsidR="00E85F65" w:rsidRPr="00B436C7">
              <w:t>Avtozma</w:t>
            </w:r>
          </w:p>
          <w:p w14:paraId="5280D4EC" w14:textId="77777777" w:rsidR="00093A5E" w:rsidRPr="00B436C7" w:rsidRDefault="00093A5E" w:rsidP="004255F8">
            <w:pPr>
              <w:pStyle w:val="TableParagraph"/>
              <w:widowControl/>
              <w:suppressAutoHyphens/>
            </w:pPr>
          </w:p>
          <w:p w14:paraId="2C164977" w14:textId="3951A741" w:rsidR="002D5756" w:rsidRPr="00B436C7" w:rsidRDefault="009C2544" w:rsidP="004255F8">
            <w:pPr>
              <w:pStyle w:val="TableParagraph"/>
              <w:widowControl/>
              <w:suppressAutoHyphens/>
            </w:pPr>
            <w:r w:rsidRPr="00B436C7">
              <w:t xml:space="preserve">Die Entscheidung, </w:t>
            </w:r>
            <w:r w:rsidR="00E85F65" w:rsidRPr="00B436C7">
              <w:t>Avtozma</w:t>
            </w:r>
            <w:r w:rsidRPr="00B436C7">
              <w:t xml:space="preserve"> bei Patienten mit sJIA oder pJIA aufgrund abnormaler Laborwerte abzusetzen, sollte auf Grundlage einer medizinischen Beurteilung des einzelnen Patienten erfolgen.</w:t>
            </w:r>
          </w:p>
        </w:tc>
      </w:tr>
    </w:tbl>
    <w:p w14:paraId="337554E6" w14:textId="77777777" w:rsidR="00093A5E" w:rsidRPr="006A64EE" w:rsidRDefault="00093A5E" w:rsidP="004255F8">
      <w:pPr>
        <w:pStyle w:val="bullet"/>
      </w:pPr>
    </w:p>
    <w:p w14:paraId="3480A956" w14:textId="77777777" w:rsidR="00093A5E" w:rsidRPr="006A64EE" w:rsidRDefault="0059713A" w:rsidP="004255F8">
      <w:pPr>
        <w:pStyle w:val="bullet"/>
      </w:pPr>
      <w:r w:rsidRPr="006A64EE">
        <w:rPr>
          <w:rFonts w:ascii="Symbol" w:hAnsi="Symbol"/>
        </w:rPr>
        <w:t></w:t>
      </w:r>
      <w:r w:rsidRPr="006A64EE">
        <w:rPr>
          <w:rFonts w:ascii="Symbol" w:hAnsi="Symbol"/>
        </w:rPr>
        <w:tab/>
      </w:r>
      <w:r w:rsidR="007D680A" w:rsidRPr="006A64EE">
        <w:t>Niedrige Thrombozytenanzahl</w:t>
      </w:r>
    </w:p>
    <w:p w14:paraId="52B7E473" w14:textId="3746DC5D" w:rsidR="002D5756" w:rsidRPr="006A64EE" w:rsidRDefault="002D5756" w:rsidP="004255F8">
      <w:pPr>
        <w:pStyle w:val="a3"/>
        <w:keepNext/>
        <w:widowControl/>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bottom w:w="28" w:type="dxa"/>
        </w:tblCellMar>
        <w:tblLook w:val="01E0" w:firstRow="1" w:lastRow="1" w:firstColumn="1" w:lastColumn="1" w:noHBand="0" w:noVBand="0"/>
      </w:tblPr>
      <w:tblGrid>
        <w:gridCol w:w="1951"/>
        <w:gridCol w:w="7229"/>
      </w:tblGrid>
      <w:tr w:rsidR="00593482" w:rsidRPr="00FB6898" w14:paraId="29754086" w14:textId="77777777" w:rsidTr="00AB5C6C">
        <w:trPr>
          <w:cantSplit/>
          <w:tblHeader/>
        </w:trPr>
        <w:tc>
          <w:tcPr>
            <w:tcW w:w="1951" w:type="dxa"/>
          </w:tcPr>
          <w:p w14:paraId="40B49907" w14:textId="3BB80860" w:rsidR="00FB6898" w:rsidRPr="00B436C7" w:rsidRDefault="009C2544" w:rsidP="00B436C7">
            <w:pPr>
              <w:pStyle w:val="TableParagraph"/>
              <w:keepNext/>
              <w:widowControl/>
              <w:suppressAutoHyphens/>
              <w:jc w:val="center"/>
              <w:rPr>
                <w:b/>
              </w:rPr>
            </w:pPr>
            <w:r w:rsidRPr="00B436C7">
              <w:rPr>
                <w:b/>
              </w:rPr>
              <w:t>Laborwert</w:t>
            </w:r>
          </w:p>
          <w:p w14:paraId="73C3E677" w14:textId="0EB49494" w:rsidR="002D5756" w:rsidRPr="00B436C7" w:rsidRDefault="009C2544" w:rsidP="00B436C7">
            <w:pPr>
              <w:pStyle w:val="TableParagraph"/>
              <w:keepNext/>
              <w:widowControl/>
              <w:suppressAutoHyphens/>
              <w:jc w:val="center"/>
              <w:rPr>
                <w:b/>
              </w:rPr>
            </w:pPr>
            <w:r w:rsidRPr="00B436C7">
              <w:rPr>
                <w:b/>
              </w:rPr>
              <w:t>(Zellen x 10</w:t>
            </w:r>
            <w:r w:rsidRPr="00B436C7">
              <w:rPr>
                <w:b/>
                <w:vertAlign w:val="superscript"/>
              </w:rPr>
              <w:t>3</w:t>
            </w:r>
            <w:r w:rsidRPr="00B436C7">
              <w:rPr>
                <w:b/>
              </w:rPr>
              <w:t>/µl)</w:t>
            </w:r>
          </w:p>
        </w:tc>
        <w:tc>
          <w:tcPr>
            <w:tcW w:w="7229" w:type="dxa"/>
          </w:tcPr>
          <w:p w14:paraId="3D6D6981" w14:textId="77777777" w:rsidR="002D5756" w:rsidRPr="00B436C7" w:rsidRDefault="009C2544" w:rsidP="004255F8">
            <w:pPr>
              <w:pStyle w:val="TableParagraph"/>
              <w:keepNext/>
              <w:widowControl/>
              <w:suppressAutoHyphens/>
              <w:jc w:val="center"/>
              <w:rPr>
                <w:b/>
              </w:rPr>
            </w:pPr>
            <w:r w:rsidRPr="00B436C7">
              <w:rPr>
                <w:b/>
              </w:rPr>
              <w:t>Vorgehen</w:t>
            </w:r>
          </w:p>
        </w:tc>
      </w:tr>
      <w:tr w:rsidR="00593482" w:rsidRPr="00FB6898" w14:paraId="3D73B230" w14:textId="77777777" w:rsidTr="00AB5C6C">
        <w:trPr>
          <w:cantSplit/>
        </w:trPr>
        <w:tc>
          <w:tcPr>
            <w:tcW w:w="1951" w:type="dxa"/>
          </w:tcPr>
          <w:p w14:paraId="1239132C" w14:textId="77777777" w:rsidR="002D5756" w:rsidRPr="00B436C7" w:rsidRDefault="009C2544" w:rsidP="004255F8">
            <w:pPr>
              <w:pStyle w:val="TableParagraph"/>
              <w:widowControl/>
              <w:suppressAutoHyphens/>
            </w:pPr>
            <w:r w:rsidRPr="00B436C7">
              <w:t>50 bis 100</w:t>
            </w:r>
          </w:p>
        </w:tc>
        <w:tc>
          <w:tcPr>
            <w:tcW w:w="7229" w:type="dxa"/>
          </w:tcPr>
          <w:p w14:paraId="123E716F" w14:textId="0C8A4C6C" w:rsidR="00093A5E" w:rsidRPr="00B436C7" w:rsidRDefault="009C2544" w:rsidP="004255F8">
            <w:pPr>
              <w:pStyle w:val="TableParagraph"/>
              <w:widowControl/>
              <w:suppressAutoHyphens/>
            </w:pPr>
            <w:r w:rsidRPr="00B436C7">
              <w:t xml:space="preserve">Dosisanpassung des gleichzeitig verabreichten MTX, falls angemessen Unterbrechung der Anwendung von </w:t>
            </w:r>
            <w:r w:rsidR="00E85F65" w:rsidRPr="00B436C7">
              <w:t>Avtozma</w:t>
            </w:r>
          </w:p>
          <w:p w14:paraId="0092667A" w14:textId="77777777" w:rsidR="00093A5E" w:rsidRPr="00B436C7" w:rsidRDefault="00093A5E" w:rsidP="004255F8">
            <w:pPr>
              <w:pStyle w:val="TableParagraph"/>
              <w:widowControl/>
              <w:suppressAutoHyphens/>
            </w:pPr>
          </w:p>
          <w:p w14:paraId="6FE84A34" w14:textId="30A2939E" w:rsidR="002D5756" w:rsidRPr="00B436C7" w:rsidRDefault="009C2544" w:rsidP="004255F8">
            <w:pPr>
              <w:pStyle w:val="TableParagraph"/>
              <w:widowControl/>
              <w:suppressAutoHyphens/>
            </w:pPr>
            <w:r w:rsidRPr="00B436C7">
              <w:t>Wenn die Thrombozytenanzahl auf &gt; 100 x 10</w:t>
            </w:r>
            <w:r w:rsidRPr="00B436C7">
              <w:rPr>
                <w:vertAlign w:val="superscript"/>
              </w:rPr>
              <w:t>3</w:t>
            </w:r>
            <w:r w:rsidRPr="00B436C7">
              <w:t xml:space="preserve">/µl ansteigt, Wiederaufnahme der Anwendung von </w:t>
            </w:r>
            <w:r w:rsidR="00E85F65" w:rsidRPr="00B436C7">
              <w:t>Avtozma</w:t>
            </w:r>
          </w:p>
        </w:tc>
      </w:tr>
      <w:tr w:rsidR="002D5756" w:rsidRPr="00FB6898" w14:paraId="0B6ECC97" w14:textId="77777777" w:rsidTr="00AB5C6C">
        <w:trPr>
          <w:cantSplit/>
        </w:trPr>
        <w:tc>
          <w:tcPr>
            <w:tcW w:w="1951" w:type="dxa"/>
          </w:tcPr>
          <w:p w14:paraId="1A87BAAD" w14:textId="77777777" w:rsidR="002D5756" w:rsidRPr="00B436C7" w:rsidRDefault="009C2544" w:rsidP="004255F8">
            <w:pPr>
              <w:pStyle w:val="TableParagraph"/>
              <w:widowControl/>
              <w:suppressAutoHyphens/>
            </w:pPr>
            <w:r w:rsidRPr="00B436C7">
              <w:t>&lt; 50</w:t>
            </w:r>
          </w:p>
        </w:tc>
        <w:tc>
          <w:tcPr>
            <w:tcW w:w="7229" w:type="dxa"/>
          </w:tcPr>
          <w:p w14:paraId="2F22BD7A" w14:textId="6805D9B4" w:rsidR="00093A5E" w:rsidRPr="00B436C7" w:rsidRDefault="009C2544" w:rsidP="004255F8">
            <w:pPr>
              <w:pStyle w:val="TableParagraph"/>
              <w:widowControl/>
              <w:suppressAutoHyphens/>
            </w:pPr>
            <w:r w:rsidRPr="00B436C7">
              <w:t xml:space="preserve">Absetzen von </w:t>
            </w:r>
            <w:r w:rsidR="00E85F65" w:rsidRPr="00B436C7">
              <w:t>Avtozma</w:t>
            </w:r>
          </w:p>
          <w:p w14:paraId="01FE14C0" w14:textId="437DCF44" w:rsidR="002D5756" w:rsidRPr="00B436C7" w:rsidRDefault="009C2544" w:rsidP="004255F8">
            <w:pPr>
              <w:pStyle w:val="TableParagraph"/>
              <w:widowControl/>
              <w:suppressAutoHyphens/>
            </w:pPr>
            <w:r w:rsidRPr="00B436C7">
              <w:t xml:space="preserve">Die Entscheidung, </w:t>
            </w:r>
            <w:r w:rsidR="00E85F65" w:rsidRPr="00B436C7">
              <w:t>Avtozma</w:t>
            </w:r>
            <w:r w:rsidRPr="00B436C7">
              <w:t xml:space="preserve"> bei Patienten mit sJIA oder pJIA aufgrund abnormaler Laborwerte abzusetzen, sollte auf Grundlage einer medizinischen Beurteilung des einzelnen Patienten erfolgen.</w:t>
            </w:r>
          </w:p>
        </w:tc>
      </w:tr>
    </w:tbl>
    <w:p w14:paraId="62CBB70A" w14:textId="77777777" w:rsidR="00093A5E" w:rsidRPr="006A64EE" w:rsidRDefault="00093A5E" w:rsidP="004255F8">
      <w:pPr>
        <w:pStyle w:val="a3"/>
        <w:widowControl/>
      </w:pPr>
    </w:p>
    <w:p w14:paraId="14914563" w14:textId="77777777" w:rsidR="00093A5E" w:rsidRPr="006A64EE" w:rsidRDefault="009C2544" w:rsidP="004255F8">
      <w:pPr>
        <w:pStyle w:val="a3"/>
        <w:widowControl/>
      </w:pPr>
      <w:r w:rsidRPr="006A64EE">
        <w:t>Eine Reduktion der Häufigkeit der Tocilizumab-Dosis aufgrund abnormaler Laborwerte wurde bei Patienten mit sJIA oder pJIA nicht untersucht.</w:t>
      </w:r>
    </w:p>
    <w:p w14:paraId="241FAD06" w14:textId="77777777" w:rsidR="00093A5E" w:rsidRPr="006A64EE" w:rsidRDefault="00093A5E" w:rsidP="004255F8">
      <w:pPr>
        <w:pStyle w:val="a3"/>
        <w:widowControl/>
      </w:pPr>
    </w:p>
    <w:p w14:paraId="4B2FD17B" w14:textId="4C854DBA" w:rsidR="00093A5E" w:rsidRPr="006A64EE" w:rsidRDefault="009C2544" w:rsidP="004255F8">
      <w:pPr>
        <w:pStyle w:val="a3"/>
        <w:widowControl/>
      </w:pPr>
      <w:r w:rsidRPr="006A64EE">
        <w:lastRenderedPageBreak/>
        <w:t xml:space="preserve">Die Sicherheit und Wirksamkeit der subkutanen Darreichungsform von </w:t>
      </w:r>
      <w:r w:rsidR="00E85F65" w:rsidRPr="001879E9">
        <w:t>Avtozma</w:t>
      </w:r>
      <w:r w:rsidRPr="006A64EE">
        <w:t xml:space="preserve"> sind bei Kindern mit anderen Erkrankungen als sJIA oder pJIA nicht erwiesen.</w:t>
      </w:r>
    </w:p>
    <w:p w14:paraId="04843A2C" w14:textId="77777777" w:rsidR="00093A5E" w:rsidRPr="006A64EE" w:rsidRDefault="00093A5E" w:rsidP="004255F8">
      <w:pPr>
        <w:pStyle w:val="a3"/>
        <w:widowControl/>
      </w:pPr>
    </w:p>
    <w:p w14:paraId="3F2E264E" w14:textId="61F35DB9" w:rsidR="00093A5E" w:rsidRPr="006A64EE" w:rsidRDefault="009C2544" w:rsidP="004255F8">
      <w:pPr>
        <w:pStyle w:val="a3"/>
        <w:widowControl/>
      </w:pPr>
      <w:r w:rsidRPr="006A64EE">
        <w:t>Verfügbare Daten der intravenösen Darreichungsform deuten darauf hin, dass innerhalb von</w:t>
      </w:r>
      <w:r w:rsidR="00587D6E" w:rsidRPr="006A64EE">
        <w:t xml:space="preserve"> </w:t>
      </w:r>
      <w:r w:rsidRPr="006A64EE">
        <w:t>12</w:t>
      </w:r>
      <w:r w:rsidR="00341837">
        <w:t> </w:t>
      </w:r>
      <w:r w:rsidRPr="006A64EE">
        <w:t xml:space="preserve">Wochen nach Beginn der Therapie mit </w:t>
      </w:r>
      <w:r w:rsidR="00FB0187">
        <w:t>Tocilizumab</w:t>
      </w:r>
      <w:r w:rsidR="00FB0187" w:rsidRPr="006A64EE">
        <w:t xml:space="preserve"> </w:t>
      </w:r>
      <w:r w:rsidRPr="006A64EE">
        <w:t>eine klinische Verbesserung beobachtet wird. Eine Weiterbehandlung sollte bei Patienten, bei denen es innerhalb dieses Zeitraums nicht zu einer Verbesserung kommt, sorgfältig abgewogen werden.</w:t>
      </w:r>
    </w:p>
    <w:p w14:paraId="688063C9" w14:textId="77777777" w:rsidR="00093A5E" w:rsidRPr="006A64EE" w:rsidRDefault="00093A5E" w:rsidP="004255F8">
      <w:pPr>
        <w:pStyle w:val="a3"/>
        <w:widowControl/>
      </w:pPr>
    </w:p>
    <w:p w14:paraId="12E81E43" w14:textId="77777777" w:rsidR="00093A5E" w:rsidRPr="006A64EE" w:rsidRDefault="009C2544" w:rsidP="004255F8">
      <w:pPr>
        <w:pStyle w:val="a3"/>
        <w:widowControl/>
      </w:pPr>
      <w:r w:rsidRPr="006A64EE">
        <w:rPr>
          <w:u w:val="single"/>
        </w:rPr>
        <w:t>Versäumte Dosis</w:t>
      </w:r>
    </w:p>
    <w:p w14:paraId="6C18CCA1" w14:textId="72D0B31C" w:rsidR="00093A5E" w:rsidRPr="006A64EE" w:rsidRDefault="009C2544" w:rsidP="004255F8">
      <w:pPr>
        <w:pStyle w:val="a3"/>
        <w:widowControl/>
      </w:pPr>
      <w:r w:rsidRPr="006A64EE">
        <w:t xml:space="preserve">Wenn ein Patient mit sJIA eine subkutane wöchentliche Injektion von </w:t>
      </w:r>
      <w:r w:rsidR="005556CB" w:rsidRPr="001879E9">
        <w:t>Avtozma</w:t>
      </w:r>
      <w:r w:rsidRPr="006A64EE">
        <w:t xml:space="preserve"> um 7 Tage oder weniger versäumt, sollte er/sie angewiesen werden, die versäumte Dosis am nächsten geplanten Termin anzuwenden. Wenn ein Patient eine subkutane einmal alle zwei Wochen angewendete Injektion von </w:t>
      </w:r>
      <w:r w:rsidR="005556CB" w:rsidRPr="001879E9">
        <w:t>Avtozma</w:t>
      </w:r>
      <w:r w:rsidRPr="006A64EE">
        <w:t xml:space="preserve"> um 7 Tage oder weniger versäumt, sollte er/sie angewiesen werden, die versäumte Dosis sofort und die nächste Dosis am nächsten geplanten Termin anzuwenden.</w:t>
      </w:r>
    </w:p>
    <w:p w14:paraId="0E6F2551" w14:textId="77777777" w:rsidR="00093A5E" w:rsidRPr="006A64EE" w:rsidRDefault="00093A5E" w:rsidP="004255F8">
      <w:pPr>
        <w:pStyle w:val="a3"/>
        <w:widowControl/>
      </w:pPr>
    </w:p>
    <w:p w14:paraId="223AB2D5" w14:textId="7D92FC0D" w:rsidR="00093A5E" w:rsidRPr="006A64EE" w:rsidRDefault="009C2544" w:rsidP="004255F8">
      <w:pPr>
        <w:pStyle w:val="a3"/>
        <w:widowControl/>
      </w:pPr>
      <w:r w:rsidRPr="006A64EE">
        <w:t xml:space="preserve">Wenn ein Patient mit pJIA eine subkutane Injektion von </w:t>
      </w:r>
      <w:r w:rsidR="005556CB" w:rsidRPr="001879E9">
        <w:t>Avtozma</w:t>
      </w:r>
      <w:r w:rsidRPr="006A64EE">
        <w:t xml:space="preserve"> um 7 Tage oder weniger versäumt, sollte er/sie angewiesen werden, die versäumte Dosis sofort und die nächste Dosis am nächsten geplanten Termin anzuwenden. Wenn der Patient eine subkutane Injektion von </w:t>
      </w:r>
      <w:r w:rsidR="005556CB" w:rsidRPr="001879E9">
        <w:t>Avtozma</w:t>
      </w:r>
      <w:r w:rsidRPr="006A64EE">
        <w:t xml:space="preserve"> um mehr als 7 Tage versäumt oder sich nicht sicher ist, wann er </w:t>
      </w:r>
      <w:r w:rsidR="005556CB" w:rsidRPr="001879E9">
        <w:t>Avtozma</w:t>
      </w:r>
      <w:r w:rsidRPr="006A64EE">
        <w:t xml:space="preserve"> anwenden soll, sollte er sich mit einem Arzt oder Apotheker in Verbindung setzen.</w:t>
      </w:r>
    </w:p>
    <w:p w14:paraId="40EB5DAF" w14:textId="77777777" w:rsidR="00093A5E" w:rsidRPr="006A64EE" w:rsidRDefault="00093A5E" w:rsidP="004255F8">
      <w:pPr>
        <w:pStyle w:val="a3"/>
        <w:widowControl/>
      </w:pPr>
    </w:p>
    <w:p w14:paraId="66366D6D" w14:textId="77777777" w:rsidR="00093A5E" w:rsidRPr="006A64EE" w:rsidRDefault="009C2544" w:rsidP="004255F8">
      <w:pPr>
        <w:pStyle w:val="a3"/>
        <w:widowControl/>
      </w:pPr>
      <w:r w:rsidRPr="006A64EE">
        <w:rPr>
          <w:u w:val="single"/>
        </w:rPr>
        <w:t>Art der Anwendung</w:t>
      </w:r>
    </w:p>
    <w:p w14:paraId="0E44C713" w14:textId="0ADC7018" w:rsidR="00093A5E" w:rsidRPr="006A64EE" w:rsidRDefault="005556CB" w:rsidP="004255F8">
      <w:pPr>
        <w:pStyle w:val="a3"/>
        <w:widowControl/>
      </w:pPr>
      <w:r w:rsidRPr="001879E9">
        <w:t>Avtozma</w:t>
      </w:r>
      <w:r w:rsidR="009C2544" w:rsidRPr="006A64EE">
        <w:t xml:space="preserve"> ist zur subkutanen Anwendung bestimmt.</w:t>
      </w:r>
    </w:p>
    <w:p w14:paraId="344EC093" w14:textId="45C4F573" w:rsidR="00093A5E" w:rsidRPr="006A64EE" w:rsidRDefault="009C2544" w:rsidP="004255F8">
      <w:pPr>
        <w:pStyle w:val="a3"/>
        <w:widowControl/>
      </w:pPr>
      <w:r w:rsidRPr="006A64EE">
        <w:t xml:space="preserve">Nach angemessener Unterweisung bezüglich der Injektionstechnik können Patienten die Injektion von </w:t>
      </w:r>
      <w:r w:rsidR="005556CB" w:rsidRPr="001879E9">
        <w:t>Avtozma</w:t>
      </w:r>
      <w:r w:rsidRPr="006A64EE">
        <w:t xml:space="preserve"> selber vornehmen, sofern ihr Arzt entscheidet, dass dies angemessen ist. Der gesamte Inhalt (0,9 ml) der Fertigspritze muss als subkutane Injektion verabreicht werden. Die empfohlenen Injektionsstellen (Bauch, Oberschenkel und Oberarm) sollten abwechselnd genutzt werden und eine Injektion niemals in Leberflecken, Narbengewebe oder Stellen, an denen die Haut empfindlich, geschwollen, gerötet, verhärtet oder verletzt ist, gegeben werden.</w:t>
      </w:r>
    </w:p>
    <w:p w14:paraId="4C3E8511" w14:textId="77777777" w:rsidR="00093A5E" w:rsidRPr="006A64EE" w:rsidRDefault="00093A5E" w:rsidP="004255F8">
      <w:pPr>
        <w:pStyle w:val="a3"/>
        <w:widowControl/>
      </w:pPr>
    </w:p>
    <w:p w14:paraId="7BE265A9" w14:textId="77777777" w:rsidR="00093A5E" w:rsidRPr="006A64EE" w:rsidRDefault="009C2544" w:rsidP="004255F8">
      <w:pPr>
        <w:pStyle w:val="a3"/>
        <w:widowControl/>
      </w:pPr>
      <w:r w:rsidRPr="006A64EE">
        <w:t>Die Fertigspritze darf nicht geschüttelt werden.</w:t>
      </w:r>
    </w:p>
    <w:p w14:paraId="37630592" w14:textId="77777777" w:rsidR="00093A5E" w:rsidRPr="006A64EE" w:rsidRDefault="00093A5E" w:rsidP="004255F8">
      <w:pPr>
        <w:pStyle w:val="a3"/>
        <w:widowControl/>
      </w:pPr>
    </w:p>
    <w:p w14:paraId="71B27E94" w14:textId="6A3C3FF8" w:rsidR="00093A5E" w:rsidRPr="006A64EE" w:rsidRDefault="009C2544" w:rsidP="004255F8">
      <w:pPr>
        <w:pStyle w:val="a3"/>
        <w:widowControl/>
      </w:pPr>
      <w:r w:rsidRPr="006A64EE">
        <w:t xml:space="preserve">Umfassende Informationen zur Anwendung der </w:t>
      </w:r>
      <w:r w:rsidR="005556CB" w:rsidRPr="001879E9">
        <w:t>Avtozma</w:t>
      </w:r>
      <w:r w:rsidR="008C692C">
        <w:t>-</w:t>
      </w:r>
      <w:r w:rsidRPr="006A64EE">
        <w:t>Fertigspritze werden in der Packungsbeilage gegeben, siehe Abschnitt 6.6.</w:t>
      </w:r>
    </w:p>
    <w:p w14:paraId="67AEED5F" w14:textId="77777777" w:rsidR="00093A5E" w:rsidRPr="006A64EE" w:rsidRDefault="00093A5E" w:rsidP="004255F8">
      <w:pPr>
        <w:widowControl/>
      </w:pPr>
    </w:p>
    <w:p w14:paraId="5E26AC15" w14:textId="77777777" w:rsidR="00093A5E" w:rsidRPr="006A64EE" w:rsidRDefault="0059713A" w:rsidP="004255F8">
      <w:pPr>
        <w:pStyle w:val="2"/>
        <w:ind w:left="0" w:firstLine="0"/>
      </w:pPr>
      <w:r w:rsidRPr="006A64EE">
        <w:t>4.3</w:t>
      </w:r>
      <w:r w:rsidRPr="006A64EE">
        <w:tab/>
      </w:r>
      <w:r w:rsidR="007D680A" w:rsidRPr="006A64EE">
        <w:t>Gegenanzeigen</w:t>
      </w:r>
    </w:p>
    <w:p w14:paraId="0CA4977F" w14:textId="77777777" w:rsidR="00093A5E" w:rsidRPr="006A64EE" w:rsidRDefault="00093A5E" w:rsidP="004255F8">
      <w:pPr>
        <w:pStyle w:val="a3"/>
        <w:widowControl/>
      </w:pPr>
    </w:p>
    <w:p w14:paraId="4387C933" w14:textId="77777777" w:rsidR="00093A5E" w:rsidRPr="006A64EE" w:rsidRDefault="009C2544" w:rsidP="004255F8">
      <w:pPr>
        <w:pStyle w:val="a3"/>
        <w:widowControl/>
      </w:pPr>
      <w:r w:rsidRPr="006A64EE">
        <w:t>Überempfindlichkeit gegen den Wirkstoff oder einen der in Abschnitt 6.1 genannten sonstigen Bestandteile.</w:t>
      </w:r>
    </w:p>
    <w:p w14:paraId="4B3E90C7" w14:textId="77777777" w:rsidR="00093A5E" w:rsidRPr="006A64EE" w:rsidRDefault="00093A5E" w:rsidP="004255F8">
      <w:pPr>
        <w:pStyle w:val="a3"/>
        <w:widowControl/>
      </w:pPr>
    </w:p>
    <w:p w14:paraId="0544221C" w14:textId="77777777" w:rsidR="00093A5E" w:rsidRPr="006A64EE" w:rsidRDefault="009C2544" w:rsidP="004255F8">
      <w:pPr>
        <w:pStyle w:val="a3"/>
        <w:widowControl/>
      </w:pPr>
      <w:r w:rsidRPr="006A64EE">
        <w:t>Aktive, schwere Infektionen (siehe Abschnitt 4.4).</w:t>
      </w:r>
    </w:p>
    <w:p w14:paraId="21DD50BC" w14:textId="77777777" w:rsidR="00093A5E" w:rsidRPr="006A64EE" w:rsidRDefault="00093A5E" w:rsidP="004255F8">
      <w:pPr>
        <w:pStyle w:val="a3"/>
        <w:widowControl/>
      </w:pPr>
    </w:p>
    <w:p w14:paraId="36196348" w14:textId="77777777" w:rsidR="00093A5E" w:rsidRPr="006A64EE" w:rsidRDefault="0059713A" w:rsidP="004255F8">
      <w:pPr>
        <w:pStyle w:val="2"/>
        <w:ind w:left="0" w:firstLine="0"/>
      </w:pPr>
      <w:r w:rsidRPr="006A64EE">
        <w:t>4.4</w:t>
      </w:r>
      <w:r w:rsidRPr="006A64EE">
        <w:tab/>
        <w:t>Besondere Warnhinweise und Vorsichtsmaßnahmen für die Anwendung</w:t>
      </w:r>
    </w:p>
    <w:p w14:paraId="07029814" w14:textId="77777777" w:rsidR="00093A5E" w:rsidRPr="006A64EE" w:rsidRDefault="00093A5E" w:rsidP="004255F8">
      <w:pPr>
        <w:pStyle w:val="a3"/>
        <w:widowControl/>
      </w:pPr>
    </w:p>
    <w:p w14:paraId="15D5605B" w14:textId="246F0654" w:rsidR="00093A5E" w:rsidRPr="006A64EE" w:rsidRDefault="009C2544" w:rsidP="004255F8">
      <w:pPr>
        <w:pStyle w:val="a3"/>
        <w:widowControl/>
      </w:pPr>
      <w:r w:rsidRPr="006A64EE">
        <w:t xml:space="preserve">Die subkutane Darreichungsform von </w:t>
      </w:r>
      <w:r w:rsidR="005556CB" w:rsidRPr="001879E9">
        <w:t>Avtozma</w:t>
      </w:r>
      <w:r w:rsidRPr="006A64EE">
        <w:t xml:space="preserve"> ist nicht für eine intravenöse Anwendung vorgesehen.</w:t>
      </w:r>
    </w:p>
    <w:p w14:paraId="35DE42AC" w14:textId="77777777" w:rsidR="00093A5E" w:rsidRPr="006A64EE" w:rsidRDefault="00093A5E" w:rsidP="004255F8">
      <w:pPr>
        <w:pStyle w:val="a3"/>
        <w:widowControl/>
      </w:pPr>
    </w:p>
    <w:p w14:paraId="555685BA" w14:textId="52529A4F" w:rsidR="00093A5E" w:rsidRPr="006A64EE" w:rsidRDefault="009C2544" w:rsidP="004255F8">
      <w:pPr>
        <w:pStyle w:val="a3"/>
        <w:widowControl/>
      </w:pPr>
      <w:r w:rsidRPr="006A64EE">
        <w:t xml:space="preserve">Die subkutane Darreichungsform von </w:t>
      </w:r>
      <w:r w:rsidR="005556CB" w:rsidRPr="001879E9">
        <w:t>Avtozma</w:t>
      </w:r>
      <w:r w:rsidRPr="006A64EE">
        <w:t xml:space="preserve"> ist nicht für eine Anwendung bei Kindern mit sJIA mit einem Körpergewicht von weniger als 10 kg vorgesehen.</w:t>
      </w:r>
    </w:p>
    <w:p w14:paraId="7355151F" w14:textId="77777777" w:rsidR="00093A5E" w:rsidRPr="006A64EE" w:rsidRDefault="00093A5E" w:rsidP="004255F8">
      <w:pPr>
        <w:pStyle w:val="a3"/>
        <w:widowControl/>
      </w:pPr>
    </w:p>
    <w:p w14:paraId="16F564C2" w14:textId="77777777" w:rsidR="00093A5E" w:rsidRPr="006A64EE" w:rsidRDefault="009C2544" w:rsidP="004255F8">
      <w:pPr>
        <w:keepNext/>
        <w:widowControl/>
        <w:rPr>
          <w:i/>
        </w:rPr>
      </w:pPr>
      <w:r w:rsidRPr="006A64EE">
        <w:rPr>
          <w:i/>
        </w:rPr>
        <w:t>Rückverfolgbarkeit</w:t>
      </w:r>
    </w:p>
    <w:p w14:paraId="7BB0C513" w14:textId="77777777" w:rsidR="00093A5E" w:rsidRPr="006A64EE" w:rsidRDefault="009C2544" w:rsidP="004255F8">
      <w:pPr>
        <w:pStyle w:val="a3"/>
        <w:widowControl/>
      </w:pPr>
      <w:r w:rsidRPr="006A64EE">
        <w:t>Um die Rückverfolgbarkeit biologischer Arzneimittel zu verbessern, müssen die Bezeichnung des Arzneimittels und die Chargenbezeichnung des angewendeten Arzneimittels eindeutig dokumentiert werden.</w:t>
      </w:r>
    </w:p>
    <w:p w14:paraId="47856409" w14:textId="77777777" w:rsidR="00093A5E" w:rsidRPr="006A64EE" w:rsidRDefault="00093A5E" w:rsidP="004255F8">
      <w:pPr>
        <w:pStyle w:val="a3"/>
        <w:widowControl/>
      </w:pPr>
    </w:p>
    <w:p w14:paraId="49CE09AC" w14:textId="77777777" w:rsidR="00093A5E" w:rsidRPr="006A64EE" w:rsidRDefault="009C2544" w:rsidP="004255F8">
      <w:pPr>
        <w:widowControl/>
        <w:rPr>
          <w:i/>
        </w:rPr>
      </w:pPr>
      <w:r w:rsidRPr="006A64EE">
        <w:rPr>
          <w:i/>
        </w:rPr>
        <w:t>Infektionen</w:t>
      </w:r>
    </w:p>
    <w:p w14:paraId="78854741" w14:textId="2E70C611" w:rsidR="00093A5E" w:rsidRPr="006A64EE" w:rsidRDefault="009C2544" w:rsidP="004255F8">
      <w:pPr>
        <w:pStyle w:val="a3"/>
        <w:widowControl/>
      </w:pPr>
      <w:r w:rsidRPr="006A64EE">
        <w:lastRenderedPageBreak/>
        <w:t xml:space="preserve">Bei Patienten, die immunsuppressive Wirkstoffe wie </w:t>
      </w:r>
      <w:r w:rsidR="005556CB">
        <w:t>Tocilizumab</w:t>
      </w:r>
      <w:r w:rsidRPr="006A64EE">
        <w:t xml:space="preserve"> erhalten, wurden schwerwiegende und manchmal tödliche Infektionen berichtet (siehe Abschnitt 4.8, Nebenwirkungen). Eine Behandlung mit </w:t>
      </w:r>
      <w:r w:rsidR="005556CB" w:rsidRPr="001879E9">
        <w:t>Avtozma</w:t>
      </w:r>
      <w:r w:rsidRPr="006A64EE">
        <w:t xml:space="preserve"> darf bei Patienten mit aktiven Infektionen nicht begonnen werden (siehe Abschnitt 4.3). Falls bei einem Patienten eine schwerwiegende Infektion auftritt, muss die Anwendung von </w:t>
      </w:r>
      <w:r w:rsidR="005556CB">
        <w:t>Tocilizumab</w:t>
      </w:r>
      <w:r w:rsidR="005556CB" w:rsidRPr="006A64EE">
        <w:t xml:space="preserve"> </w:t>
      </w:r>
      <w:r w:rsidRPr="006A64EE">
        <w:t xml:space="preserve">unterbrochen werden, bis diese Infektion unter Kontrolle gebracht wurde (siehe Abschnitt 4.8). Bei Patienten mit wiederkehrenden oder chronischen Infektionen oder Grunderkrankungen (z. B. Divertikulitis, Diabetes und interstitielle Lungenerkrankung) in der Anamnese, die diese Patienten für Infektionen anfällig machen, sollte der Arzt bei der Erwägung einer Anwendung von </w:t>
      </w:r>
      <w:r w:rsidR="005556CB" w:rsidRPr="001879E9">
        <w:t>Avtozma</w:t>
      </w:r>
      <w:r w:rsidRPr="006A64EE">
        <w:t xml:space="preserve"> Vorsicht walten lassen.</w:t>
      </w:r>
    </w:p>
    <w:p w14:paraId="2C0B8752" w14:textId="77777777" w:rsidR="00093A5E" w:rsidRPr="006A64EE" w:rsidRDefault="00093A5E" w:rsidP="004255F8">
      <w:pPr>
        <w:pStyle w:val="a3"/>
        <w:widowControl/>
      </w:pPr>
    </w:p>
    <w:p w14:paraId="7C7EC732" w14:textId="376B464E" w:rsidR="00093A5E" w:rsidRPr="006A64EE" w:rsidRDefault="009C2544" w:rsidP="004255F8">
      <w:pPr>
        <w:pStyle w:val="a3"/>
        <w:widowControl/>
      </w:pPr>
      <w:r w:rsidRPr="006A64EE">
        <w:t xml:space="preserve">Bei Patienten, die eine Therapie mit immunsuppressiven Wirkstoffen wie </w:t>
      </w:r>
      <w:r w:rsidR="005556CB" w:rsidRPr="001879E9">
        <w:t>Avtozma</w:t>
      </w:r>
      <w:r w:rsidRPr="006A64EE">
        <w:t xml:space="preserve"> erhalten, wird besondere Aufmerksamkeit in Bezug auf ein frühzeitiges Erkennen schwerwiegender Infektionen empfohlen, da Anzeichen und Symptome einer akuten Entzündung aufgrund der Unterdrückung der Akut-Phase-Reaktanten abgeschwächt sein können. Die Wirkung von Tocilizumab auf das C-reaktive Protein (CRP), auf neutrophile Granulozyten und auf Anzeichen und Symptome einer Infektion sollte berücksichtigt werden, wenn ein Patient auf eine mögliche Infektion untersucht wird. Patienten (darunter auch kleine Kinder mit sJIA oder pJIA, die möglicherweise ihre Symptome nicht so gut mitteilen können) und Eltern/Erziehungsberechtigte von Patienten mit sJIA und pJIA, müssen darüber informiert werden, dass sie ihren Arzt umgehend kontaktieren müssen, sobald Symptome auftreten, die mit einer Infektion in Verbindung gebracht werden können, um eine rasche Abklärung und angemessene Behandlung sicherzustellen.</w:t>
      </w:r>
    </w:p>
    <w:p w14:paraId="26ACC087" w14:textId="77777777" w:rsidR="00093A5E" w:rsidRPr="006A64EE" w:rsidRDefault="00093A5E" w:rsidP="004255F8">
      <w:pPr>
        <w:pStyle w:val="a3"/>
        <w:widowControl/>
      </w:pPr>
    </w:p>
    <w:p w14:paraId="02D91E74" w14:textId="77777777" w:rsidR="00093A5E" w:rsidRPr="006A64EE" w:rsidRDefault="009C2544" w:rsidP="004255F8">
      <w:pPr>
        <w:widowControl/>
        <w:rPr>
          <w:i/>
        </w:rPr>
      </w:pPr>
      <w:r w:rsidRPr="006A64EE">
        <w:rPr>
          <w:i/>
        </w:rPr>
        <w:t>Tuberkulose</w:t>
      </w:r>
    </w:p>
    <w:p w14:paraId="5852911A" w14:textId="04C6C607" w:rsidR="00093A5E" w:rsidRPr="006A64EE" w:rsidRDefault="009C2544" w:rsidP="004255F8">
      <w:pPr>
        <w:pStyle w:val="a3"/>
        <w:widowControl/>
      </w:pPr>
      <w:r w:rsidRPr="006A64EE">
        <w:t xml:space="preserve">Wie auch für andere biologische Therapien empfohlen wird, müssen alle Patienten vor Beginn der Behandlung mit </w:t>
      </w:r>
      <w:r w:rsidR="005556CB" w:rsidRPr="001879E9">
        <w:t>Avtozma</w:t>
      </w:r>
      <w:r w:rsidRPr="006A64EE">
        <w:t xml:space="preserve"> auf eine latente Tuberkulose (TB) untersucht werden. Patienten mit latenter TB-Infektion sollten mit einer antimykobakteriellen Standardtherapie behandelt werden, bevor eine Behandlung mit </w:t>
      </w:r>
      <w:r w:rsidR="005556CB" w:rsidRPr="001879E9">
        <w:t>Avtozma</w:t>
      </w:r>
      <w:r w:rsidRPr="006A64EE">
        <w:t xml:space="preserve"> eingeleitet wird. Verschreibende Ärzte sollten insbesondere bei schwerkranken und immunsupprimierten Patienten daran denken, dass beim Tuberkulin-Hauttest und dem Tuberkulose-Interferon-gamma-Bluttest das Risiko falsch-negativer Ergebnisse besteht.</w:t>
      </w:r>
    </w:p>
    <w:p w14:paraId="72958070" w14:textId="77777777" w:rsidR="00093A5E" w:rsidRPr="006A64EE" w:rsidRDefault="00093A5E" w:rsidP="004255F8">
      <w:pPr>
        <w:pStyle w:val="a3"/>
        <w:widowControl/>
      </w:pPr>
    </w:p>
    <w:p w14:paraId="358CBBDB" w14:textId="58A7AA92" w:rsidR="00093A5E" w:rsidRPr="006A64EE" w:rsidRDefault="009C2544" w:rsidP="004255F8">
      <w:pPr>
        <w:pStyle w:val="a3"/>
        <w:widowControl/>
      </w:pPr>
      <w:r w:rsidRPr="006A64EE">
        <w:t xml:space="preserve">Patienten und Eltern/Erziehungsberechtigte von Patienten mit sJIA und pJIA sollten angewiesen werden medizinischen Rat einzuholen, falls während oder nach einer Behandlung mit </w:t>
      </w:r>
      <w:r w:rsidR="005556CB" w:rsidRPr="001879E9">
        <w:t>Avtozma</w:t>
      </w:r>
      <w:r w:rsidRPr="006A64EE">
        <w:t xml:space="preserve"> Anzeichen/Symptome (z. B. anhaltender Husten, Auszehrung/Gewichtsverlust, leichtes Fieber) auftreten, die auf eine Infektion mit Tuberkulose hindeuten.</w:t>
      </w:r>
    </w:p>
    <w:p w14:paraId="730F8783" w14:textId="77777777" w:rsidR="00093A5E" w:rsidRPr="006A64EE" w:rsidRDefault="00093A5E" w:rsidP="004255F8">
      <w:pPr>
        <w:widowControl/>
      </w:pPr>
    </w:p>
    <w:p w14:paraId="54DBD8A9" w14:textId="77777777" w:rsidR="00093A5E" w:rsidRPr="006A64EE" w:rsidRDefault="007D680A" w:rsidP="004255F8">
      <w:pPr>
        <w:widowControl/>
      </w:pPr>
      <w:r w:rsidRPr="006A64EE">
        <w:rPr>
          <w:i/>
        </w:rPr>
        <w:t>Virale Reaktivierung</w:t>
      </w:r>
    </w:p>
    <w:p w14:paraId="3D2938C4" w14:textId="33478D70" w:rsidR="00093A5E" w:rsidRPr="006A64EE" w:rsidRDefault="009C2544" w:rsidP="004255F8">
      <w:pPr>
        <w:pStyle w:val="a3"/>
        <w:widowControl/>
      </w:pPr>
      <w:r w:rsidRPr="006A64EE">
        <w:t xml:space="preserve">Unter biologischer Therapie der RA wurde über virale Reaktivierung (z. B. Hepatitis-B-Virus) berichtet. Patienten, die positiv auf Hepatitis getestet wurden, wurden von den klinischen Prüfungen mit </w:t>
      </w:r>
      <w:r w:rsidR="005556CB">
        <w:t>Tocilizumab</w:t>
      </w:r>
      <w:r w:rsidR="005556CB" w:rsidRPr="006A64EE">
        <w:t xml:space="preserve"> </w:t>
      </w:r>
      <w:r w:rsidRPr="006A64EE">
        <w:t>ausgeschlossen.</w:t>
      </w:r>
    </w:p>
    <w:p w14:paraId="7173916A" w14:textId="77777777" w:rsidR="00093A5E" w:rsidRPr="006A64EE" w:rsidRDefault="00093A5E" w:rsidP="004255F8">
      <w:pPr>
        <w:pStyle w:val="a3"/>
        <w:widowControl/>
      </w:pPr>
    </w:p>
    <w:p w14:paraId="513B9F0A" w14:textId="77777777" w:rsidR="00093A5E" w:rsidRPr="006A64EE" w:rsidRDefault="009C2544" w:rsidP="004255F8">
      <w:pPr>
        <w:widowControl/>
        <w:rPr>
          <w:i/>
        </w:rPr>
      </w:pPr>
      <w:r w:rsidRPr="006A64EE">
        <w:rPr>
          <w:i/>
        </w:rPr>
        <w:t>Komplikationen einer Divertikulitis</w:t>
      </w:r>
    </w:p>
    <w:p w14:paraId="7D56A448" w14:textId="23D0205F" w:rsidR="00093A5E" w:rsidRPr="006A64EE" w:rsidRDefault="009C2544" w:rsidP="004255F8">
      <w:pPr>
        <w:pStyle w:val="a3"/>
        <w:widowControl/>
      </w:pPr>
      <w:r w:rsidRPr="006A64EE">
        <w:t xml:space="preserve">Fälle von Divertikelperforationen als Komplikation einer Divertikulitis wurden gelegentlich bei Patienten unter Therapie mit </w:t>
      </w:r>
      <w:r w:rsidR="005556CB">
        <w:t>Tocilizumab</w:t>
      </w:r>
      <w:r w:rsidR="005556CB" w:rsidRPr="006A64EE">
        <w:t xml:space="preserve"> </w:t>
      </w:r>
      <w:r w:rsidRPr="006A64EE">
        <w:t xml:space="preserve">gemeldet (siehe Abschnitt 4.8). Bei Patienten mit intestinalen Ulzerationen oder Divertikulitis in der Anamnese sollte </w:t>
      </w:r>
      <w:r w:rsidR="005556CB" w:rsidRPr="001879E9">
        <w:t>Avtozma</w:t>
      </w:r>
      <w:r w:rsidRPr="006A64EE">
        <w:t xml:space="preserve"> mit Vorsicht angewendet werden. Patienten, die sich mit Symptomen vorstellen, die potenziell mit der Komplikation einer Divertikulitis in Verbindung gebracht werden können, wie abdominale Schmerzen, Blutungen und/oder ungeklärte Veränderungen bei der Verdauung, einhergehend mit Fieber, sollten umgehend untersucht werden, um eine Divertikulitis, die mit einer gastrointestinalen Perforation verbunden sein kann, frühzeitig zu diagnostizieren.</w:t>
      </w:r>
    </w:p>
    <w:p w14:paraId="7FE958F6" w14:textId="77777777" w:rsidR="00093A5E" w:rsidRPr="006A64EE" w:rsidRDefault="00093A5E" w:rsidP="004255F8">
      <w:pPr>
        <w:pStyle w:val="a3"/>
        <w:widowControl/>
      </w:pPr>
    </w:p>
    <w:p w14:paraId="3D92A6ED" w14:textId="77777777" w:rsidR="00093A5E" w:rsidRPr="006A64EE" w:rsidRDefault="009C2544" w:rsidP="004255F8">
      <w:pPr>
        <w:widowControl/>
        <w:rPr>
          <w:i/>
        </w:rPr>
      </w:pPr>
      <w:r w:rsidRPr="006A64EE">
        <w:rPr>
          <w:i/>
        </w:rPr>
        <w:t>Überempfindlichkeitsreaktionen</w:t>
      </w:r>
    </w:p>
    <w:p w14:paraId="20A78356" w14:textId="3114035C" w:rsidR="00093A5E" w:rsidRPr="006A64EE" w:rsidRDefault="009C2544" w:rsidP="004255F8">
      <w:pPr>
        <w:pStyle w:val="a3"/>
        <w:widowControl/>
      </w:pPr>
      <w:r w:rsidRPr="006A64EE">
        <w:t xml:space="preserve">Schwerwiegende Überempfindlichkeitsreaktionen, einschließlich Anaphylaxie, wurden in Zusammenhang mit </w:t>
      </w:r>
      <w:r w:rsidR="005556CB">
        <w:t>Tocilizumab</w:t>
      </w:r>
      <w:r w:rsidR="005556CB" w:rsidRPr="006A64EE">
        <w:t xml:space="preserve"> </w:t>
      </w:r>
      <w:r w:rsidRPr="006A64EE">
        <w:t xml:space="preserve">beobachtet (siehe Abschnitt 4.8). Diese Reaktionen können bei Patienten, die während vorangegangener Behandlung mit </w:t>
      </w:r>
      <w:r w:rsidR="005556CB" w:rsidRPr="001879E9">
        <w:t>Avtozma</w:t>
      </w:r>
      <w:r w:rsidRPr="006A64EE">
        <w:t xml:space="preserve"> Überempfindlichkeitsreaktionen hatten, schwerer und potenziell tödlich verlaufen, auch wenn sie eine Prämedikation mit Corticosteroiden und Antihistaminika erhielten. Wenn eine anaphylaktische Reaktion oder eine andere </w:t>
      </w:r>
      <w:r w:rsidRPr="006A64EE">
        <w:lastRenderedPageBreak/>
        <w:t xml:space="preserve">schwerwiegende Überempfindlichkeitsreaktion auftritt, muss die Anwendung von </w:t>
      </w:r>
      <w:r w:rsidR="005556CB" w:rsidRPr="001879E9">
        <w:t>Avtozma</w:t>
      </w:r>
      <w:r w:rsidRPr="006A64EE">
        <w:t xml:space="preserve"> sofort abgebrochen, eine geeignete Behandlung eingeleitet und die Behandlung mit </w:t>
      </w:r>
      <w:r w:rsidR="005556CB" w:rsidRPr="001879E9">
        <w:t>Avtozma</w:t>
      </w:r>
      <w:r w:rsidRPr="006A64EE">
        <w:t xml:space="preserve"> dauerhaft beendet werden.</w:t>
      </w:r>
    </w:p>
    <w:p w14:paraId="5566367C" w14:textId="77777777" w:rsidR="00093A5E" w:rsidRPr="006A64EE" w:rsidRDefault="00093A5E" w:rsidP="004255F8">
      <w:pPr>
        <w:pStyle w:val="a3"/>
        <w:widowControl/>
      </w:pPr>
    </w:p>
    <w:p w14:paraId="6D45AF8C" w14:textId="77777777" w:rsidR="00093A5E" w:rsidRPr="006A64EE" w:rsidRDefault="009C2544" w:rsidP="004255F8">
      <w:pPr>
        <w:widowControl/>
        <w:rPr>
          <w:i/>
        </w:rPr>
      </w:pPr>
      <w:r w:rsidRPr="006A64EE">
        <w:rPr>
          <w:i/>
        </w:rPr>
        <w:t>Aktive Lebererkrankung und Leberfunktionsstörungen</w:t>
      </w:r>
    </w:p>
    <w:p w14:paraId="4FA7182A" w14:textId="67D19B2A" w:rsidR="00093A5E" w:rsidRPr="006A64EE" w:rsidRDefault="009C2544" w:rsidP="004255F8">
      <w:pPr>
        <w:pStyle w:val="a3"/>
        <w:widowControl/>
      </w:pPr>
      <w:r w:rsidRPr="006A64EE">
        <w:t xml:space="preserve">Die Behandlung mit </w:t>
      </w:r>
      <w:r w:rsidR="005556CB">
        <w:t>Tocilizumab</w:t>
      </w:r>
      <w:r w:rsidRPr="006A64EE">
        <w:t>, vor allem in Verbindung mit Methotrexat, kann mit einer Erhöhung der Lebertransaminasen verbunden sein. Daher sollte man bei der Erwägung, einen Patienten mit aktiver Lebererkrankung oder Leberfunktionsstörungen zu behandeln, Vorsicht walten lassen (siehe Abschnitte 4.2 und 4.8).</w:t>
      </w:r>
    </w:p>
    <w:p w14:paraId="5856DC45" w14:textId="77777777" w:rsidR="00093A5E" w:rsidRPr="006A64EE" w:rsidRDefault="00093A5E" w:rsidP="004255F8">
      <w:pPr>
        <w:pStyle w:val="a3"/>
        <w:widowControl/>
      </w:pPr>
    </w:p>
    <w:p w14:paraId="08E40DB6" w14:textId="77777777" w:rsidR="00093A5E" w:rsidRPr="006A64EE" w:rsidRDefault="009C2544" w:rsidP="004255F8">
      <w:pPr>
        <w:widowControl/>
        <w:rPr>
          <w:i/>
        </w:rPr>
      </w:pPr>
      <w:r w:rsidRPr="006A64EE">
        <w:rPr>
          <w:i/>
        </w:rPr>
        <w:t>Hepatotoxizität</w:t>
      </w:r>
    </w:p>
    <w:p w14:paraId="70EA9E0C" w14:textId="32DA99DB" w:rsidR="00093A5E" w:rsidRPr="006A64EE" w:rsidRDefault="009C2544" w:rsidP="004255F8">
      <w:pPr>
        <w:pStyle w:val="a3"/>
        <w:widowControl/>
      </w:pPr>
      <w:r w:rsidRPr="006A64EE">
        <w:t xml:space="preserve">Bei der Behandlung mit </w:t>
      </w:r>
      <w:r w:rsidR="005556CB">
        <w:t>Tocilizumab</w:t>
      </w:r>
      <w:r w:rsidR="005556CB" w:rsidRPr="006A64EE">
        <w:t xml:space="preserve"> </w:t>
      </w:r>
      <w:r w:rsidRPr="006A64EE">
        <w:t xml:space="preserve">wurden häufig vorübergehende oder intermittierende, leichte und mäßige Erhöhungen der Lebertransaminasen beobachtet (siehe Abschnitt 4.8). Wenn </w:t>
      </w:r>
      <w:r w:rsidR="005556CB">
        <w:t>Tocilizumab</w:t>
      </w:r>
      <w:r w:rsidR="005556CB" w:rsidRPr="006A64EE">
        <w:t xml:space="preserve"> </w:t>
      </w:r>
      <w:r w:rsidRPr="006A64EE">
        <w:t>zusammen mit potenziell hepatotoxischen Arzneimitteln (z. B. MTX) verabreicht wurde, wurde ein häufigeres Auftreten dieser Erhöhungen beobachtet. Wenn klinisch indiziert, sollten weitere Leberfunktionstests, einschließlich Bilirubin, erwogen werden.</w:t>
      </w:r>
    </w:p>
    <w:p w14:paraId="73BE212D" w14:textId="77777777" w:rsidR="00093A5E" w:rsidRPr="006A64EE" w:rsidRDefault="00093A5E" w:rsidP="004255F8">
      <w:pPr>
        <w:pStyle w:val="a3"/>
        <w:widowControl/>
      </w:pPr>
    </w:p>
    <w:p w14:paraId="3B217940" w14:textId="37A6F202" w:rsidR="00093A5E" w:rsidRPr="006A64EE" w:rsidRDefault="009C2544" w:rsidP="004255F8">
      <w:pPr>
        <w:pStyle w:val="a3"/>
        <w:widowControl/>
      </w:pPr>
      <w:r w:rsidRPr="006A64EE">
        <w:t xml:space="preserve">Schwerwiegende arzneimittelinduzierte Leberschäden, einschließlich akutem Leberversagen, Hepatitis und Gelbsucht, wurden mit </w:t>
      </w:r>
      <w:r w:rsidR="00E66A0E">
        <w:t>Tocilizumab</w:t>
      </w:r>
      <w:r w:rsidRPr="006A64EE">
        <w:t xml:space="preserve"> beobachtet (siehe Abschnitt 4.8). Schwerwiegende Leberschädigung trat zwischen 2 Wochen und bis zu mehr als 5 Jahre nach Beginn der Therapie mit </w:t>
      </w:r>
      <w:r w:rsidR="00E66A0E">
        <w:t>Tocilizumab</w:t>
      </w:r>
      <w:r w:rsidRPr="006A64EE">
        <w:t xml:space="preserve"> auf. Fälle von Leberversagen, die zu einer Lebertransplantation führten, wurden berichtet. Patienten sollen angewiesen werden, sofort einen Arzt aufzusuchen, wenn Anzeichen und Symptome einer Leberschädigung auftreten.</w:t>
      </w:r>
    </w:p>
    <w:p w14:paraId="0E355323" w14:textId="77777777" w:rsidR="00093A5E" w:rsidRPr="006A64EE" w:rsidRDefault="00093A5E" w:rsidP="004255F8">
      <w:pPr>
        <w:pStyle w:val="a3"/>
        <w:widowControl/>
      </w:pPr>
    </w:p>
    <w:p w14:paraId="0CB30999" w14:textId="1A9EF6A5" w:rsidR="00093A5E" w:rsidRPr="006A64EE" w:rsidRDefault="009C2544" w:rsidP="004255F8">
      <w:pPr>
        <w:pStyle w:val="a3"/>
        <w:widowControl/>
      </w:pPr>
      <w:r w:rsidRPr="006A64EE">
        <w:t xml:space="preserve">Bei Patienten mit einer Erhöhung der ALAT oder ASAT auf das &gt; 1,5-Fache des oberen Normalwertes (&gt; 1,5 x ULN) muss das Nutzen-Risiko-Verhältnis vor einer Behandlung mit </w:t>
      </w:r>
      <w:r w:rsidR="005556CB" w:rsidRPr="001879E9">
        <w:t>Avtozma</w:t>
      </w:r>
      <w:r w:rsidRPr="006A64EE">
        <w:t xml:space="preserve"> sorgfältig abgewogen werden. Bei Patienten mit ALAT oder ASAT &gt; 5 x ULN vor Behandlungsbeginn wird eine Behandlung nicht empfohlen.</w:t>
      </w:r>
    </w:p>
    <w:p w14:paraId="4B83EEC0" w14:textId="77777777" w:rsidR="00093A5E" w:rsidRPr="006A64EE" w:rsidRDefault="00093A5E" w:rsidP="004255F8">
      <w:pPr>
        <w:pStyle w:val="a3"/>
        <w:widowControl/>
      </w:pPr>
    </w:p>
    <w:p w14:paraId="69563CF7" w14:textId="140AF918" w:rsidR="00093A5E" w:rsidRPr="006A64EE" w:rsidRDefault="009C2544" w:rsidP="004255F8">
      <w:pPr>
        <w:pStyle w:val="a3"/>
        <w:widowControl/>
      </w:pPr>
      <w:r w:rsidRPr="006A64EE">
        <w:t>Bei Patienten mit RA, RZA, pJIA und sJIA müssen ALAT/ASAT während der ersten 6</w:t>
      </w:r>
      <w:r w:rsidR="006B5972">
        <w:t> </w:t>
      </w:r>
      <w:r w:rsidRPr="006A64EE">
        <w:t>Monate der Behandlung alle 4 bis 8</w:t>
      </w:r>
      <w:r w:rsidR="006B5972">
        <w:t> </w:t>
      </w:r>
      <w:r w:rsidRPr="006A64EE">
        <w:t>Wochen und danach alle 12</w:t>
      </w:r>
      <w:r w:rsidR="006B5972">
        <w:t> </w:t>
      </w:r>
      <w:r w:rsidRPr="006A64EE">
        <w:t xml:space="preserve">Wochen kontrolliert werden. Für Empfehlungen zur Anpassung, einschließlich Absetzen von </w:t>
      </w:r>
      <w:r w:rsidR="005556CB" w:rsidRPr="001879E9">
        <w:t>Avtozma</w:t>
      </w:r>
      <w:r w:rsidRPr="006A64EE">
        <w:t>, auf Basis der Transaminasenwerte siehe Abschnitt</w:t>
      </w:r>
      <w:r w:rsidR="006B5972">
        <w:t> </w:t>
      </w:r>
      <w:r w:rsidRPr="006A64EE">
        <w:t>4.2. Bei einer ALAT- oder ASAT-Erhöhung von &gt;</w:t>
      </w:r>
      <w:r w:rsidR="006B5972">
        <w:t> </w:t>
      </w:r>
      <w:r w:rsidRPr="006A64EE">
        <w:t>3</w:t>
      </w:r>
      <w:r w:rsidR="006B5972">
        <w:t> </w:t>
      </w:r>
      <w:r w:rsidRPr="006A64EE">
        <w:t>–</w:t>
      </w:r>
      <w:r w:rsidR="006B5972">
        <w:t> </w:t>
      </w:r>
      <w:r w:rsidRPr="006A64EE">
        <w:t>5</w:t>
      </w:r>
      <w:r w:rsidR="006B5972">
        <w:t> </w:t>
      </w:r>
      <w:r w:rsidRPr="006A64EE">
        <w:t>x</w:t>
      </w:r>
      <w:r w:rsidR="006B5972">
        <w:t> </w:t>
      </w:r>
      <w:r w:rsidRPr="006A64EE">
        <w:t xml:space="preserve">ULN sollte die Behandlung mit </w:t>
      </w:r>
      <w:r w:rsidR="005556CB" w:rsidRPr="001879E9">
        <w:t>Avtozma</w:t>
      </w:r>
      <w:r w:rsidRPr="006A64EE">
        <w:t xml:space="preserve"> unterbrochen werden.</w:t>
      </w:r>
    </w:p>
    <w:p w14:paraId="2C6DC96A" w14:textId="77777777" w:rsidR="00093A5E" w:rsidRPr="006A64EE" w:rsidRDefault="00093A5E" w:rsidP="004255F8">
      <w:pPr>
        <w:widowControl/>
      </w:pPr>
    </w:p>
    <w:p w14:paraId="1EF3460A" w14:textId="77777777" w:rsidR="00093A5E" w:rsidRPr="006A64EE" w:rsidRDefault="007D680A" w:rsidP="004255F8">
      <w:pPr>
        <w:widowControl/>
      </w:pPr>
      <w:r w:rsidRPr="006A64EE">
        <w:rPr>
          <w:i/>
        </w:rPr>
        <w:t>Hämatologische Abweichungen</w:t>
      </w:r>
    </w:p>
    <w:p w14:paraId="315B08B8" w14:textId="0402C52B" w:rsidR="00093A5E" w:rsidRPr="006A64EE" w:rsidRDefault="009C2544" w:rsidP="004255F8">
      <w:pPr>
        <w:pStyle w:val="a3"/>
        <w:widowControl/>
      </w:pPr>
      <w:r w:rsidRPr="006A64EE">
        <w:t>Nach Behandlung mit Tocilizumab 8</w:t>
      </w:r>
      <w:r w:rsidR="008D73EB">
        <w:t> </w:t>
      </w:r>
      <w:r w:rsidRPr="006A64EE">
        <w:t>mg/kg in Kombination mit MTX kam es zu einem Rückgang der Anzahl neutrophiler Granulozyten und der Thrombozyten (siehe Abschnitt 4.8). Patienten, die zuvor mit einem TNF-Inhibitor behandelt wurden, könnten ein erhöhtes Neutropenierisiko haben.</w:t>
      </w:r>
    </w:p>
    <w:p w14:paraId="0C6A3C69" w14:textId="77777777" w:rsidR="00093A5E" w:rsidRPr="006A64EE" w:rsidRDefault="00093A5E" w:rsidP="004255F8">
      <w:pPr>
        <w:pStyle w:val="a3"/>
        <w:widowControl/>
      </w:pPr>
    </w:p>
    <w:p w14:paraId="1E4938B4" w14:textId="5F8DCB75" w:rsidR="00093A5E" w:rsidRPr="006A64EE" w:rsidRDefault="009C2544" w:rsidP="004255F8">
      <w:pPr>
        <w:pStyle w:val="a3"/>
        <w:widowControl/>
      </w:pPr>
      <w:r w:rsidRPr="006A64EE">
        <w:t xml:space="preserve">Bei Patienten, die noch nicht mit </w:t>
      </w:r>
      <w:r w:rsidR="005556CB">
        <w:t>Tocilizumab</w:t>
      </w:r>
      <w:r w:rsidR="005556CB" w:rsidRPr="006A64EE">
        <w:t xml:space="preserve"> </w:t>
      </w:r>
      <w:r w:rsidRPr="006A64EE">
        <w:t>behandelt wurden und eine ANC von weniger als 2</w:t>
      </w:r>
      <w:r w:rsidR="00DC1C5B">
        <w:t> </w:t>
      </w:r>
      <w:r w:rsidRPr="006A64EE">
        <w:t>x</w:t>
      </w:r>
      <w:r w:rsidR="00DC1C5B">
        <w:t> </w:t>
      </w:r>
      <w:r w:rsidRPr="006A64EE">
        <w:t>10</w:t>
      </w:r>
      <w:r w:rsidRPr="006A64EE">
        <w:rPr>
          <w:vertAlign w:val="superscript"/>
        </w:rPr>
        <w:t>9</w:t>
      </w:r>
      <w:r w:rsidRPr="006A64EE">
        <w:t>/l haben, wird ein Beginn der Behandlung nicht empfohlen. Bei Patienten mit niedriger Thrombozytenanzahl (z. B. Thrombozytenanzahl von unter 100 x 10</w:t>
      </w:r>
      <w:r w:rsidRPr="006A64EE">
        <w:rPr>
          <w:vertAlign w:val="superscript"/>
        </w:rPr>
        <w:t>3</w:t>
      </w:r>
      <w:r w:rsidRPr="006A64EE">
        <w:t xml:space="preserve">/µl) muss vor Beginn einer Behandlung mit </w:t>
      </w:r>
      <w:r w:rsidR="005556CB" w:rsidRPr="001879E9">
        <w:t>Avtozma</w:t>
      </w:r>
      <w:r w:rsidRPr="006A64EE">
        <w:t xml:space="preserve"> das Nutzen-Risiko-Verhältnis sorgfältig abgewogen werden. Bei Patienten, die eine ANC von &lt; 0,5 x 10</w:t>
      </w:r>
      <w:r w:rsidRPr="006A64EE">
        <w:rPr>
          <w:vertAlign w:val="superscript"/>
        </w:rPr>
        <w:t>9</w:t>
      </w:r>
      <w:r w:rsidRPr="006A64EE">
        <w:t>/l oder eine Thrombozytenanzahl von &lt; 50 x 10</w:t>
      </w:r>
      <w:r w:rsidRPr="006A64EE">
        <w:rPr>
          <w:vertAlign w:val="superscript"/>
        </w:rPr>
        <w:t>3</w:t>
      </w:r>
      <w:r w:rsidRPr="006A64EE">
        <w:t>/µl entwickeln, wird eine Weiterbehandlung nicht empfohlen.</w:t>
      </w:r>
    </w:p>
    <w:p w14:paraId="7A111952" w14:textId="77777777" w:rsidR="00093A5E" w:rsidRPr="006A64EE" w:rsidRDefault="00093A5E" w:rsidP="004255F8">
      <w:pPr>
        <w:pStyle w:val="a3"/>
        <w:widowControl/>
      </w:pPr>
    </w:p>
    <w:p w14:paraId="4E823167" w14:textId="0C20599E" w:rsidR="00093A5E" w:rsidRPr="006A64EE" w:rsidRDefault="009C2544" w:rsidP="004255F8">
      <w:pPr>
        <w:pStyle w:val="a3"/>
        <w:widowControl/>
      </w:pPr>
      <w:r w:rsidRPr="006A64EE">
        <w:t xml:space="preserve">Eine schwere Neutropenie kann mit einem erhöhten Risiko für schwerwiegende Infektionen verbunden sein, auch wenn in klinischen Prüfungen mit </w:t>
      </w:r>
      <w:r w:rsidR="005556CB">
        <w:t>Tocilizumab</w:t>
      </w:r>
      <w:r w:rsidR="005556CB" w:rsidRPr="006A64EE">
        <w:t xml:space="preserve"> </w:t>
      </w:r>
      <w:r w:rsidRPr="006A64EE">
        <w:t>bisher kein eindeutiger Zusammenhang zwischen einem Abfall der neutrophilen Granulozyten und dem Auftreten einer schwerwiegenden Infektion hergestellt werden konnte.</w:t>
      </w:r>
    </w:p>
    <w:p w14:paraId="73AE2B3C" w14:textId="77777777" w:rsidR="00093A5E" w:rsidRPr="006A64EE" w:rsidRDefault="00093A5E" w:rsidP="004255F8">
      <w:pPr>
        <w:pStyle w:val="a3"/>
        <w:widowControl/>
      </w:pPr>
    </w:p>
    <w:p w14:paraId="3234923B" w14:textId="77821355" w:rsidR="00093A5E" w:rsidRPr="006A64EE" w:rsidRDefault="009C2544" w:rsidP="004255F8">
      <w:pPr>
        <w:pStyle w:val="a3"/>
        <w:widowControl/>
      </w:pPr>
      <w:r w:rsidRPr="006A64EE">
        <w:t>Bei Patienten mit RA und RZA müssen neutrophile Granulozyten und Thrombozyten 4 bis 8</w:t>
      </w:r>
      <w:r w:rsidR="006B5972">
        <w:t> </w:t>
      </w:r>
      <w:r w:rsidRPr="006A64EE">
        <w:t>Wochen nach Behandlungsbeginn kontrolliert werden und danach regelmäßig entsprechend normaler klinischer Praxis. Für Empfehlungen zur Dosismodifikation auf Basis der ANC und der Thrombozytenanzahl siehe Abschnitt</w:t>
      </w:r>
      <w:r w:rsidR="006B5972">
        <w:t> </w:t>
      </w:r>
      <w:r w:rsidRPr="006A64EE">
        <w:t>4.2.</w:t>
      </w:r>
    </w:p>
    <w:p w14:paraId="25DAB37B" w14:textId="77777777" w:rsidR="00093A5E" w:rsidRPr="006A64EE" w:rsidRDefault="00093A5E" w:rsidP="004255F8">
      <w:pPr>
        <w:pStyle w:val="a3"/>
        <w:widowControl/>
      </w:pPr>
    </w:p>
    <w:p w14:paraId="55734034" w14:textId="542CAC79" w:rsidR="00093A5E" w:rsidRPr="006A64EE" w:rsidRDefault="009C2544" w:rsidP="004255F8">
      <w:pPr>
        <w:pStyle w:val="a3"/>
        <w:widowControl/>
      </w:pPr>
      <w:r w:rsidRPr="006A64EE">
        <w:t>Bei Patienten mit sJIA oder pJIA müssen neutrophile Granulozyten und Thrombozyten zum Zeitpunkt der zweiten Anwendung und danach gemäß guter klinischer Praxis kontrolliert werden (siehe Abschnitt</w:t>
      </w:r>
      <w:r w:rsidR="006B5972">
        <w:t> </w:t>
      </w:r>
      <w:r w:rsidRPr="006A64EE">
        <w:t>4.2).</w:t>
      </w:r>
    </w:p>
    <w:p w14:paraId="4172FEE1" w14:textId="77777777" w:rsidR="00093A5E" w:rsidRPr="006A64EE" w:rsidRDefault="00093A5E" w:rsidP="004255F8">
      <w:pPr>
        <w:pStyle w:val="a3"/>
        <w:widowControl/>
      </w:pPr>
    </w:p>
    <w:p w14:paraId="306B8E8A" w14:textId="77777777" w:rsidR="00093A5E" w:rsidRPr="006A64EE" w:rsidRDefault="009C2544" w:rsidP="004255F8">
      <w:pPr>
        <w:widowControl/>
        <w:rPr>
          <w:i/>
        </w:rPr>
      </w:pPr>
      <w:r w:rsidRPr="006A64EE">
        <w:rPr>
          <w:i/>
        </w:rPr>
        <w:t>Lipidwerte</w:t>
      </w:r>
    </w:p>
    <w:p w14:paraId="4F53A3E3" w14:textId="501AC0F7" w:rsidR="00093A5E" w:rsidRPr="006A64EE" w:rsidRDefault="009C2544" w:rsidP="004255F8">
      <w:pPr>
        <w:pStyle w:val="a3"/>
        <w:widowControl/>
      </w:pPr>
      <w:r w:rsidRPr="006A64EE">
        <w:t xml:space="preserve">Erhöhungen der Lipidwerte, wie z. B. Gesamtcholesterin, Low Density Lipoprotein (LDL), High Density Lipoprotein (HDL) und Triglyceride, wurden bei Patienten, die mit </w:t>
      </w:r>
      <w:r w:rsidR="005556CB">
        <w:t>Tocilizumab</w:t>
      </w:r>
      <w:r w:rsidR="005556CB" w:rsidRPr="006A64EE">
        <w:t xml:space="preserve"> </w:t>
      </w:r>
      <w:r w:rsidRPr="006A64EE">
        <w:t>behandelt wurden, beobachtet (siehe Abschnitt 4.8). Bei den meisten Patienten kam es nicht zu einer Erhöhung der atherogenen Indizes und die Erhöhungen des Gesamtcholesterins sprachen auf eine Behandlung mit Lipidsenkern an.</w:t>
      </w:r>
    </w:p>
    <w:p w14:paraId="56C31441" w14:textId="77777777" w:rsidR="00093A5E" w:rsidRPr="006A64EE" w:rsidRDefault="00093A5E" w:rsidP="004255F8">
      <w:pPr>
        <w:pStyle w:val="a3"/>
        <w:widowControl/>
      </w:pPr>
    </w:p>
    <w:p w14:paraId="5F1312A5" w14:textId="2D6990E8" w:rsidR="00093A5E" w:rsidRPr="006A64EE" w:rsidRDefault="009C2544" w:rsidP="004255F8">
      <w:pPr>
        <w:pStyle w:val="a3"/>
        <w:widowControl/>
      </w:pPr>
      <w:r w:rsidRPr="006A64EE">
        <w:t xml:space="preserve">4 bis 8 Wochen nach Beginn der Behandlung mit </w:t>
      </w:r>
      <w:r w:rsidR="005556CB" w:rsidRPr="001879E9">
        <w:t>Avtozma</w:t>
      </w:r>
      <w:r w:rsidRPr="006A64EE">
        <w:t xml:space="preserve"> muss bei allen Patienten eine Überprüfung der Lipidwerte erfolgen. Die Patienten sollten gemäß lokaler Therapieleitlinien für Hyperlipidämien behandelt werden.</w:t>
      </w:r>
    </w:p>
    <w:p w14:paraId="79BF3348" w14:textId="77777777" w:rsidR="00093A5E" w:rsidRPr="006A64EE" w:rsidRDefault="00093A5E" w:rsidP="004255F8">
      <w:pPr>
        <w:pStyle w:val="a3"/>
        <w:widowControl/>
      </w:pPr>
    </w:p>
    <w:p w14:paraId="47084D9A" w14:textId="77777777" w:rsidR="00093A5E" w:rsidRPr="006A64EE" w:rsidRDefault="009C2544" w:rsidP="00B443C6">
      <w:pPr>
        <w:keepNext/>
        <w:widowControl/>
        <w:rPr>
          <w:i/>
        </w:rPr>
      </w:pPr>
      <w:r w:rsidRPr="006A64EE">
        <w:rPr>
          <w:i/>
        </w:rPr>
        <w:t>Neurologische Störungen</w:t>
      </w:r>
    </w:p>
    <w:p w14:paraId="23EEF3C6" w14:textId="45E8F191" w:rsidR="00093A5E" w:rsidRPr="006A64EE" w:rsidRDefault="009C2544" w:rsidP="004255F8">
      <w:pPr>
        <w:pStyle w:val="a3"/>
        <w:widowControl/>
      </w:pPr>
      <w:r w:rsidRPr="006A64EE">
        <w:t xml:space="preserve">Ärzte müssen aufmerksam auf Symptome achten, die möglicherweise auf den Beginn einer demyelinisierenden Erkrankung des zentralen Nervensystems hindeuten könnten. Das Risikopotenzial für das Auftreten einer Demyelinisierung des zentralen Nervensystems durch </w:t>
      </w:r>
      <w:r w:rsidR="005556CB" w:rsidRPr="001879E9">
        <w:t>Avtozma</w:t>
      </w:r>
      <w:r w:rsidRPr="006A64EE">
        <w:t xml:space="preserve"> ist bislang unbekannt.</w:t>
      </w:r>
    </w:p>
    <w:p w14:paraId="210AB984" w14:textId="77777777" w:rsidR="00093A5E" w:rsidRPr="006A64EE" w:rsidRDefault="00093A5E" w:rsidP="004255F8">
      <w:pPr>
        <w:pStyle w:val="a3"/>
        <w:widowControl/>
      </w:pPr>
    </w:p>
    <w:p w14:paraId="2BC776A7" w14:textId="77777777" w:rsidR="00093A5E" w:rsidRPr="006A64EE" w:rsidRDefault="009C2544" w:rsidP="004255F8">
      <w:pPr>
        <w:widowControl/>
        <w:rPr>
          <w:i/>
        </w:rPr>
      </w:pPr>
      <w:r w:rsidRPr="006A64EE">
        <w:rPr>
          <w:i/>
        </w:rPr>
        <w:t>Maligne Erkrankungen</w:t>
      </w:r>
    </w:p>
    <w:p w14:paraId="3E3088B3" w14:textId="77777777" w:rsidR="00093A5E" w:rsidRPr="006A64EE" w:rsidRDefault="009C2544" w:rsidP="004255F8">
      <w:pPr>
        <w:pStyle w:val="a3"/>
        <w:widowControl/>
      </w:pPr>
      <w:r w:rsidRPr="006A64EE">
        <w:t>Patienten mit RA haben ein erhöhtes Risiko für maligne Erkrankungen. Immunmodulierende Arzneimittel können das Risiko für maligne Erkrankungen erhöhen.</w:t>
      </w:r>
    </w:p>
    <w:p w14:paraId="66F9086D" w14:textId="77777777" w:rsidR="00093A5E" w:rsidRPr="006A64EE" w:rsidRDefault="00093A5E" w:rsidP="004255F8">
      <w:pPr>
        <w:pStyle w:val="a3"/>
        <w:widowControl/>
      </w:pPr>
    </w:p>
    <w:p w14:paraId="79C72B53" w14:textId="77777777" w:rsidR="00093A5E" w:rsidRPr="006A64EE" w:rsidRDefault="009C2544" w:rsidP="004255F8">
      <w:pPr>
        <w:widowControl/>
        <w:rPr>
          <w:i/>
        </w:rPr>
      </w:pPr>
      <w:r w:rsidRPr="006A64EE">
        <w:rPr>
          <w:i/>
        </w:rPr>
        <w:t>Impfungen</w:t>
      </w:r>
    </w:p>
    <w:p w14:paraId="778AE2A1" w14:textId="5793E1FB" w:rsidR="00093A5E" w:rsidRPr="006A64EE" w:rsidRDefault="009C2544" w:rsidP="004255F8">
      <w:pPr>
        <w:pStyle w:val="a3"/>
        <w:widowControl/>
      </w:pPr>
      <w:r w:rsidRPr="006A64EE">
        <w:t xml:space="preserve">Lebendimpfstoffe und attenuierte Lebendimpfstoffe sollten nicht gleichzeitig mit </w:t>
      </w:r>
      <w:r w:rsidR="005556CB" w:rsidRPr="005556CB">
        <w:t>Avtozma</w:t>
      </w:r>
      <w:r w:rsidRPr="006A64EE">
        <w:t xml:space="preserve"> verabreicht werden, da die klinische Sicherheit noch nicht nachgewiesen wurde. In einer offenen randomisierten Studie zeigten erwachsene Patienten mit RA, die mit </w:t>
      </w:r>
      <w:r w:rsidR="005556CB">
        <w:t>Tocilizumab</w:t>
      </w:r>
      <w:r w:rsidR="005556CB" w:rsidRPr="006A64EE">
        <w:t xml:space="preserve"> </w:t>
      </w:r>
      <w:r w:rsidRPr="006A64EE">
        <w:t xml:space="preserve">und MTX behandelt wurden, ein wirksames Ansprechen auf sowohl 23-valente Pneumokokken-Polysaccharid-Impfstoffe als auch Tetanus-Toxoid-Impfstoffe; die Ansprechrate war vergleichbar mit der bei Patienten, die nur MTX erhielten. Es wird empfohlen, dass alle Patienten, insbesondere pädiatrische und ältere Patienten, alle gemäß den aktuellen Impfempfehlungen notwendigen Impfungen erhalten, bevor eine Behandlung mit </w:t>
      </w:r>
      <w:r w:rsidR="005556CB" w:rsidRPr="001879E9">
        <w:t>Avtozma</w:t>
      </w:r>
      <w:r w:rsidRPr="006A64EE">
        <w:t xml:space="preserve"> begonnen wird. Der Zeitraum zwischen der Impfung mit Lebendimpfstoffen und dem Beginn der Behandlung mit </w:t>
      </w:r>
      <w:r w:rsidR="005556CB" w:rsidRPr="001879E9">
        <w:t>Avtozma</w:t>
      </w:r>
      <w:r w:rsidRPr="006A64EE">
        <w:t xml:space="preserve"> sollte entsprechend den aktuellen Impfempfehlungen in</w:t>
      </w:r>
      <w:r w:rsidR="00587D6E" w:rsidRPr="006A64EE">
        <w:t xml:space="preserve"> </w:t>
      </w:r>
      <w:r w:rsidR="007D680A" w:rsidRPr="006A64EE">
        <w:t>Bezug auf Immunsuppressiva gewählt werden.</w:t>
      </w:r>
    </w:p>
    <w:p w14:paraId="262535D2" w14:textId="77777777" w:rsidR="00093A5E" w:rsidRPr="006A64EE" w:rsidRDefault="00093A5E" w:rsidP="004255F8">
      <w:pPr>
        <w:pStyle w:val="a3"/>
        <w:widowControl/>
      </w:pPr>
    </w:p>
    <w:p w14:paraId="04982BB3" w14:textId="77777777" w:rsidR="00093A5E" w:rsidRPr="006A64EE" w:rsidRDefault="009C2544" w:rsidP="004255F8">
      <w:pPr>
        <w:widowControl/>
        <w:rPr>
          <w:i/>
        </w:rPr>
      </w:pPr>
      <w:r w:rsidRPr="006A64EE">
        <w:rPr>
          <w:i/>
        </w:rPr>
        <w:t>Kardiovaskuläres Risiko</w:t>
      </w:r>
    </w:p>
    <w:p w14:paraId="5DBE215D" w14:textId="77777777" w:rsidR="00093A5E" w:rsidRPr="006A64EE" w:rsidRDefault="009C2544" w:rsidP="004255F8">
      <w:pPr>
        <w:pStyle w:val="a3"/>
        <w:widowControl/>
      </w:pPr>
      <w:r w:rsidRPr="006A64EE">
        <w:t>Patienten mit RA haben ein erhöhtes Risiko für kardiovaskuläre Erkrankungen. Risikofaktoren</w:t>
      </w:r>
      <w:r w:rsidR="00587D6E" w:rsidRPr="006A64EE">
        <w:t xml:space="preserve"> </w:t>
      </w:r>
      <w:r w:rsidRPr="006A64EE">
        <w:t>(z. B. Hypertonie, Hyperlipidämie) müssen im Rahmen der üblichen Therapiestandards überwacht und behandelt werden.</w:t>
      </w:r>
    </w:p>
    <w:p w14:paraId="6212CC78" w14:textId="77777777" w:rsidR="00093A5E" w:rsidRPr="006A64EE" w:rsidRDefault="00093A5E" w:rsidP="004255F8">
      <w:pPr>
        <w:pStyle w:val="a3"/>
        <w:widowControl/>
      </w:pPr>
    </w:p>
    <w:p w14:paraId="1E0AE3F9" w14:textId="77777777" w:rsidR="00093A5E" w:rsidRPr="006A64EE" w:rsidRDefault="009C2544" w:rsidP="004255F8">
      <w:pPr>
        <w:widowControl/>
        <w:rPr>
          <w:i/>
        </w:rPr>
      </w:pPr>
      <w:r w:rsidRPr="006A64EE">
        <w:rPr>
          <w:i/>
        </w:rPr>
        <w:t>Kombination mit TNF-Inhibitoren</w:t>
      </w:r>
    </w:p>
    <w:p w14:paraId="6894761A" w14:textId="48E3E040" w:rsidR="00093A5E" w:rsidRPr="006A64EE" w:rsidRDefault="0051616F" w:rsidP="004255F8">
      <w:pPr>
        <w:pStyle w:val="a3"/>
        <w:widowControl/>
      </w:pPr>
      <w:r w:rsidRPr="001879E9">
        <w:t>Avtozma</w:t>
      </w:r>
      <w:r w:rsidR="009C2544" w:rsidRPr="006A64EE">
        <w:t xml:space="preserve"> wurde nicht in Kombination mit TNF-Inhibitoren oder anderen biologischen Therapien bei Patienten mit RA untersucht. Die Anwendung von </w:t>
      </w:r>
      <w:r w:rsidRPr="001879E9">
        <w:t>Avtozma</w:t>
      </w:r>
      <w:r w:rsidR="009C2544" w:rsidRPr="006A64EE">
        <w:t xml:space="preserve"> zusammen mit anderen biologischen Wirkstoffen wird nicht empfohlen.</w:t>
      </w:r>
    </w:p>
    <w:p w14:paraId="2283B9D6" w14:textId="77777777" w:rsidR="00093A5E" w:rsidRPr="006A64EE" w:rsidRDefault="00093A5E" w:rsidP="004255F8">
      <w:pPr>
        <w:pStyle w:val="a3"/>
        <w:widowControl/>
      </w:pPr>
    </w:p>
    <w:p w14:paraId="7F8C8888" w14:textId="77777777" w:rsidR="00093A5E" w:rsidRPr="006A64EE" w:rsidRDefault="009C2544" w:rsidP="004255F8">
      <w:pPr>
        <w:widowControl/>
        <w:rPr>
          <w:i/>
        </w:rPr>
      </w:pPr>
      <w:r w:rsidRPr="006A64EE">
        <w:rPr>
          <w:i/>
        </w:rPr>
        <w:t>RZA</w:t>
      </w:r>
    </w:p>
    <w:p w14:paraId="45109DF5" w14:textId="691EC34D" w:rsidR="00093A5E" w:rsidRPr="006A64EE" w:rsidRDefault="0051616F" w:rsidP="004255F8">
      <w:pPr>
        <w:pStyle w:val="a3"/>
        <w:widowControl/>
      </w:pPr>
      <w:r w:rsidRPr="001879E9">
        <w:t>Avtozma</w:t>
      </w:r>
      <w:r w:rsidR="009C2544" w:rsidRPr="006A64EE">
        <w:t xml:space="preserve"> Monotherapie sollte nicht zur Behandlung akuter Rezidive angewendet werden, da die Wirksamkeit in diesem Setting nicht untersucht wurde. Glucocorticoide sollen gemäß medizinischer Beurteilung und Behandlungsleitlinien gegeben werden.</w:t>
      </w:r>
    </w:p>
    <w:p w14:paraId="2988A0D0" w14:textId="77777777" w:rsidR="00093A5E" w:rsidRPr="006A64EE" w:rsidRDefault="00093A5E" w:rsidP="004255F8">
      <w:pPr>
        <w:pStyle w:val="a3"/>
        <w:widowControl/>
      </w:pPr>
    </w:p>
    <w:p w14:paraId="5B66474C" w14:textId="77777777" w:rsidR="00093A5E" w:rsidRPr="006A64EE" w:rsidRDefault="009C2544" w:rsidP="004255F8">
      <w:pPr>
        <w:widowControl/>
        <w:rPr>
          <w:i/>
        </w:rPr>
      </w:pPr>
      <w:r w:rsidRPr="006A64EE">
        <w:rPr>
          <w:i/>
        </w:rPr>
        <w:t>sJIA</w:t>
      </w:r>
    </w:p>
    <w:p w14:paraId="4E33CD19" w14:textId="5C3748D2" w:rsidR="00093A5E" w:rsidRPr="006A64EE" w:rsidRDefault="009C2544" w:rsidP="004255F8">
      <w:pPr>
        <w:pStyle w:val="a3"/>
        <w:widowControl/>
      </w:pPr>
      <w:r w:rsidRPr="006A64EE">
        <w:lastRenderedPageBreak/>
        <w:t xml:space="preserve">Das Makrophagenaktivierungssyndrom (MAS) ist eine schwerwiegende, lebensbedrohliche Erkrankung, die bei Patienten mit sJIA auftreten kann. Die Anwendung von </w:t>
      </w:r>
      <w:r w:rsidR="0051616F">
        <w:t>Tocilizumab</w:t>
      </w:r>
      <w:r w:rsidR="0051616F" w:rsidRPr="006A64EE">
        <w:t xml:space="preserve"> </w:t>
      </w:r>
      <w:r w:rsidRPr="006A64EE">
        <w:t>bei Patienten während einer aktiven MAS-Episode wurde in klinischen Studien nicht untersucht.</w:t>
      </w:r>
    </w:p>
    <w:p w14:paraId="3E300975" w14:textId="77777777" w:rsidR="0051616F" w:rsidRDefault="0051616F" w:rsidP="0051616F">
      <w:pPr>
        <w:keepNext/>
        <w:rPr>
          <w:u w:val="single"/>
        </w:rPr>
      </w:pPr>
    </w:p>
    <w:p w14:paraId="7D0E8120" w14:textId="68E5425E" w:rsidR="0051616F" w:rsidRPr="00890245" w:rsidRDefault="0051616F" w:rsidP="0051616F">
      <w:pPr>
        <w:keepNext/>
        <w:rPr>
          <w:u w:val="single"/>
        </w:rPr>
      </w:pPr>
      <w:r w:rsidRPr="00890245">
        <w:rPr>
          <w:u w:val="single"/>
        </w:rPr>
        <w:t>Sonstige Bestandteile mit bekannter Wirkung</w:t>
      </w:r>
    </w:p>
    <w:p w14:paraId="388B2898" w14:textId="77777777" w:rsidR="0051616F" w:rsidRPr="00890245" w:rsidRDefault="0051616F" w:rsidP="0051616F">
      <w:pPr>
        <w:keepNext/>
        <w:rPr>
          <w:i/>
          <w:iCs/>
        </w:rPr>
      </w:pPr>
      <w:r w:rsidRPr="00890245">
        <w:rPr>
          <w:i/>
        </w:rPr>
        <w:t>Polysorbat</w:t>
      </w:r>
    </w:p>
    <w:p w14:paraId="4DA10F82" w14:textId="50E17CE4" w:rsidR="0051616F" w:rsidRPr="00890245" w:rsidRDefault="0051616F" w:rsidP="0051616F">
      <w:r w:rsidRPr="00890245">
        <w:t>Jede Fertigspritze mit 162 mg enthält 0,2 mg Polysorbat</w:t>
      </w:r>
      <w:r w:rsidR="007E0977">
        <w:t> 80</w:t>
      </w:r>
      <w:r w:rsidRPr="00890245">
        <w:t>.</w:t>
      </w:r>
    </w:p>
    <w:p w14:paraId="36DCC239" w14:textId="77777777" w:rsidR="0051616F" w:rsidRPr="00890245" w:rsidRDefault="0051616F" w:rsidP="0051616F">
      <w:r w:rsidRPr="00890245">
        <w:t>Polysorbate können allergische Reaktionen hervorrufen. Patienten mit einer Allergie gegen Polysorbate sollten dieses Arzneimittel nicht anwenden.</w:t>
      </w:r>
    </w:p>
    <w:p w14:paraId="34502434" w14:textId="77777777" w:rsidR="00093A5E" w:rsidRPr="006A64EE" w:rsidRDefault="00093A5E" w:rsidP="004255F8">
      <w:pPr>
        <w:pStyle w:val="a3"/>
        <w:widowControl/>
      </w:pPr>
    </w:p>
    <w:p w14:paraId="1C1EC87F" w14:textId="77777777" w:rsidR="00093A5E" w:rsidRPr="006A64EE" w:rsidRDefault="0059713A" w:rsidP="004255F8">
      <w:pPr>
        <w:pStyle w:val="2"/>
      </w:pPr>
      <w:r w:rsidRPr="006A64EE">
        <w:t>4.5</w:t>
      </w:r>
      <w:r w:rsidRPr="006A64EE">
        <w:tab/>
        <w:t>Wechselwirkungen mit anderen Arzneimitteln und sonstige Wechselwirkungen</w:t>
      </w:r>
    </w:p>
    <w:p w14:paraId="63FE66AF" w14:textId="77777777" w:rsidR="00093A5E" w:rsidRPr="006A64EE" w:rsidRDefault="00093A5E" w:rsidP="004255F8">
      <w:pPr>
        <w:pStyle w:val="a3"/>
        <w:widowControl/>
      </w:pPr>
    </w:p>
    <w:p w14:paraId="363EDDD9" w14:textId="77777777" w:rsidR="00093A5E" w:rsidRPr="006A64EE" w:rsidRDefault="009C2544" w:rsidP="004255F8">
      <w:pPr>
        <w:pStyle w:val="a3"/>
        <w:widowControl/>
      </w:pPr>
      <w:r w:rsidRPr="006A64EE">
        <w:t>Studien zur Erfassung von Wechselwirkungen wurden nur bei Erwachsenen durchgeführt.</w:t>
      </w:r>
    </w:p>
    <w:p w14:paraId="24D19C22" w14:textId="77777777" w:rsidR="00093A5E" w:rsidRPr="006A64EE" w:rsidRDefault="00093A5E" w:rsidP="004255F8">
      <w:pPr>
        <w:pStyle w:val="a3"/>
        <w:widowControl/>
      </w:pPr>
    </w:p>
    <w:p w14:paraId="26337BC3" w14:textId="3D954073" w:rsidR="00093A5E" w:rsidRPr="006A64EE" w:rsidRDefault="009C2544" w:rsidP="004255F8">
      <w:pPr>
        <w:pStyle w:val="a3"/>
        <w:widowControl/>
      </w:pPr>
      <w:r w:rsidRPr="006A64EE">
        <w:t>Die gleichzeitige Anwendung einer Einzeldosis von 10</w:t>
      </w:r>
      <w:r w:rsidR="008D73EB">
        <w:t> </w:t>
      </w:r>
      <w:r w:rsidRPr="006A64EE">
        <w:t xml:space="preserve">mg/kg </w:t>
      </w:r>
      <w:r w:rsidR="007102D7" w:rsidRPr="001879E9">
        <w:t>Avtozma</w:t>
      </w:r>
      <w:r w:rsidRPr="006A64EE">
        <w:t xml:space="preserve"> mit 10</w:t>
      </w:r>
      <w:r w:rsidR="008D73EB">
        <w:t> </w:t>
      </w:r>
      <w:r w:rsidRPr="006A64EE">
        <w:t>mg – 25</w:t>
      </w:r>
      <w:r w:rsidR="008D73EB">
        <w:t> </w:t>
      </w:r>
      <w:r w:rsidRPr="006A64EE">
        <w:t>mg MTX einmal wöchentlich hatte keine klinisch signifikante Wirkung auf die MTX-Exposition.</w:t>
      </w:r>
    </w:p>
    <w:p w14:paraId="201FA2BC" w14:textId="77777777" w:rsidR="00093A5E" w:rsidRPr="006A64EE" w:rsidRDefault="00093A5E" w:rsidP="004255F8">
      <w:pPr>
        <w:pStyle w:val="a3"/>
        <w:widowControl/>
      </w:pPr>
    </w:p>
    <w:p w14:paraId="7FFA3FA5" w14:textId="6B627794" w:rsidR="00093A5E" w:rsidRPr="006A64EE" w:rsidRDefault="009C2544" w:rsidP="004255F8">
      <w:pPr>
        <w:pStyle w:val="a3"/>
        <w:widowControl/>
      </w:pPr>
      <w:r w:rsidRPr="006A64EE">
        <w:t xml:space="preserve">In Analysen zur Populationspharmakokinetik fand sich bei RA-Patienten kein Einfluss von MTX, nicht steroidalen Antiphlogistika (NSAs) oder Corticosteroiden auf die Clearance von </w:t>
      </w:r>
      <w:r w:rsidR="007102D7">
        <w:t>Tocilizumab</w:t>
      </w:r>
      <w:r w:rsidRPr="006A64EE">
        <w:t xml:space="preserve">. Bei RZA-Patienten wurden keine Auswirkungen von kumulativen Corticosteroid-Dosen auf die </w:t>
      </w:r>
      <w:r w:rsidR="007102D7">
        <w:t>Tocilizumab-</w:t>
      </w:r>
      <w:r w:rsidRPr="006A64EE">
        <w:t>Exposition beobachtet.</w:t>
      </w:r>
    </w:p>
    <w:p w14:paraId="3E689042" w14:textId="77777777" w:rsidR="00093A5E" w:rsidRPr="006A64EE" w:rsidRDefault="00093A5E" w:rsidP="004255F8">
      <w:pPr>
        <w:pStyle w:val="a3"/>
        <w:widowControl/>
      </w:pPr>
    </w:p>
    <w:p w14:paraId="724AFA99" w14:textId="3B925484" w:rsidR="00093A5E" w:rsidRPr="006A64EE" w:rsidRDefault="009C2544" w:rsidP="004255F8">
      <w:pPr>
        <w:pStyle w:val="a3"/>
        <w:widowControl/>
      </w:pPr>
      <w:r w:rsidRPr="006A64EE">
        <w:t xml:space="preserve">Die Bildung der hepatischen CYP450-Enzyme wird durch Zytokine, wie IL-6, das die chronische Entzündung stimuliert, unterdrückt. Daher ist zu erwarten, dass die Bildung von CYP450-Enzymen normalisiert wird, wenn eine wirksame Behandlung zur Zytokinhemmung, wie </w:t>
      </w:r>
      <w:r w:rsidR="007102D7" w:rsidRPr="001879E9">
        <w:t>Avtozma</w:t>
      </w:r>
      <w:r w:rsidRPr="006A64EE">
        <w:t>, eingeleitet wird.</w:t>
      </w:r>
    </w:p>
    <w:p w14:paraId="417CBC56" w14:textId="77777777" w:rsidR="00093A5E" w:rsidRPr="006A64EE" w:rsidRDefault="00093A5E" w:rsidP="004255F8">
      <w:pPr>
        <w:pStyle w:val="a3"/>
        <w:widowControl/>
      </w:pPr>
    </w:p>
    <w:p w14:paraId="0DB15F98" w14:textId="77C11E25" w:rsidR="00093A5E" w:rsidRPr="006A64EE" w:rsidRDefault="009C2544" w:rsidP="004255F8">
      <w:pPr>
        <w:pStyle w:val="a3"/>
        <w:widowControl/>
      </w:pPr>
      <w:r w:rsidRPr="006A64EE">
        <w:rPr>
          <w:i/>
        </w:rPr>
        <w:t>In-vitro-</w:t>
      </w:r>
      <w:r w:rsidRPr="006A64EE">
        <w:t xml:space="preserve">Studien mit kultivierten menschlichen Hepatozyten zeigten, dass IL-6 einen Rückgang der CYP1A2-, CYP2C9-, CYP2C19- und CYP3A4-Enzymexpression bewirkte. </w:t>
      </w:r>
      <w:r w:rsidR="007102D7">
        <w:t>Tocilizumab</w:t>
      </w:r>
      <w:r w:rsidRPr="006A64EE">
        <w:t xml:space="preserve"> normalisiert die Expression dieser Enzyme.</w:t>
      </w:r>
    </w:p>
    <w:p w14:paraId="68AD0316" w14:textId="77777777" w:rsidR="00093A5E" w:rsidRPr="006A64EE" w:rsidRDefault="00093A5E" w:rsidP="004255F8">
      <w:pPr>
        <w:pStyle w:val="a3"/>
        <w:widowControl/>
      </w:pPr>
    </w:p>
    <w:p w14:paraId="028FEFC3" w14:textId="77777777" w:rsidR="00093A5E" w:rsidRPr="006A64EE" w:rsidRDefault="009C2544" w:rsidP="004255F8">
      <w:pPr>
        <w:pStyle w:val="a3"/>
        <w:widowControl/>
        <w:jc w:val="both"/>
      </w:pPr>
      <w:r w:rsidRPr="006A64EE">
        <w:t>In einer Studie bei Patienten mit RA waren die Simvastatin-Spiegel (CYP3A4) eine Woche nach einer Einzeldosis von Tocilizumab um 57 % erniedrigt. Dies entspricht einem ähnlichen oder leicht höheren Spiegel als bei gesunden Probanden.</w:t>
      </w:r>
    </w:p>
    <w:p w14:paraId="66EDCEAD" w14:textId="77777777" w:rsidR="00093A5E" w:rsidRPr="006A64EE" w:rsidRDefault="00093A5E" w:rsidP="004255F8">
      <w:pPr>
        <w:pStyle w:val="a3"/>
        <w:widowControl/>
      </w:pPr>
    </w:p>
    <w:p w14:paraId="4D90730F" w14:textId="77777777" w:rsidR="00093A5E" w:rsidRPr="006A64EE" w:rsidRDefault="009C2544" w:rsidP="004255F8">
      <w:pPr>
        <w:pStyle w:val="a3"/>
        <w:widowControl/>
      </w:pPr>
      <w:r w:rsidRPr="006A64EE">
        <w:t>Wenn eine Therapie mit Tocilizumab begonnen oder beendet wird, sollten Patienten, die Arzneimittel einnehmen, für welche die Dosis individuell angepasst wird und die durch CYP450 3A4, 1A2 oder 2C9 metabolisiert werden (z. B. Methylprednisolon, Dexamethason [mit der Möglichkeit des Auftretens eines oralen Glucocorticoid-Entzugssyndroms], Atorvastatin, Calciumkanalblocker, Theophyllin, Warfarin, Phenprocoumon, Phenytoin, Ciclosporin oder Benzodiazepine), überwacht werden, da Dosiserhöhungen erforderlich sein könnten, um die therapeutische Wirkung zu erhalten. Aufgrund seiner langen Eliminationshalbwertszeit (t</w:t>
      </w:r>
      <w:r w:rsidRPr="00901DE4">
        <w:rPr>
          <w:vertAlign w:val="subscript"/>
        </w:rPr>
        <w:t>1/2</w:t>
      </w:r>
      <w:r w:rsidRPr="006A64EE">
        <w:t>) kann die Wirkung von Tocilizumab auf die CYP450-Enzymaktivität mehrere Wochen nach dem Ende der Therapie persistieren.</w:t>
      </w:r>
    </w:p>
    <w:p w14:paraId="399AF20C" w14:textId="77777777" w:rsidR="00093A5E" w:rsidRPr="006A64EE" w:rsidRDefault="00093A5E" w:rsidP="004255F8">
      <w:pPr>
        <w:widowControl/>
      </w:pPr>
    </w:p>
    <w:p w14:paraId="486B5110" w14:textId="77777777" w:rsidR="00093A5E" w:rsidRPr="006A64EE" w:rsidRDefault="0059713A" w:rsidP="004255F8">
      <w:pPr>
        <w:pStyle w:val="2"/>
      </w:pPr>
      <w:r w:rsidRPr="006A64EE">
        <w:t>4.6</w:t>
      </w:r>
      <w:r w:rsidRPr="006A64EE">
        <w:tab/>
      </w:r>
      <w:r w:rsidR="007D680A" w:rsidRPr="006A64EE">
        <w:t>Fertilität, Schwangerschaft und Stillzeit</w:t>
      </w:r>
    </w:p>
    <w:p w14:paraId="5811AD1A" w14:textId="77777777" w:rsidR="00093A5E" w:rsidRPr="006A64EE" w:rsidRDefault="00093A5E" w:rsidP="004255F8">
      <w:pPr>
        <w:pStyle w:val="a3"/>
        <w:widowControl/>
        <w:rPr>
          <w:u w:val="single"/>
        </w:rPr>
      </w:pPr>
    </w:p>
    <w:p w14:paraId="316BE257" w14:textId="77777777" w:rsidR="00093A5E" w:rsidRPr="006A64EE" w:rsidRDefault="009C2544" w:rsidP="004255F8">
      <w:pPr>
        <w:pStyle w:val="a3"/>
        <w:widowControl/>
      </w:pPr>
      <w:r w:rsidRPr="006A64EE">
        <w:rPr>
          <w:u w:val="single"/>
        </w:rPr>
        <w:t>Frauen im gebärfähigen Alter</w:t>
      </w:r>
    </w:p>
    <w:p w14:paraId="12D6F415" w14:textId="77777777" w:rsidR="00093A5E" w:rsidRPr="006A64EE" w:rsidRDefault="00093A5E" w:rsidP="004255F8">
      <w:pPr>
        <w:pStyle w:val="a3"/>
        <w:widowControl/>
      </w:pPr>
    </w:p>
    <w:p w14:paraId="536B010C" w14:textId="77777777" w:rsidR="00093A5E" w:rsidRPr="006A64EE" w:rsidRDefault="009C2544" w:rsidP="004255F8">
      <w:pPr>
        <w:pStyle w:val="a3"/>
        <w:widowControl/>
      </w:pPr>
      <w:r w:rsidRPr="006A64EE">
        <w:t>Frauen im gebärfähigen Alter müssen während der Behandlung und während 3 Monaten danach eine wirksame Kontrazeption anwenden.</w:t>
      </w:r>
    </w:p>
    <w:p w14:paraId="4B14157B" w14:textId="77777777" w:rsidR="00093A5E" w:rsidRPr="006A64EE" w:rsidRDefault="00093A5E" w:rsidP="004255F8">
      <w:pPr>
        <w:pStyle w:val="a3"/>
        <w:widowControl/>
      </w:pPr>
    </w:p>
    <w:p w14:paraId="0C11A43E" w14:textId="77777777" w:rsidR="00093A5E" w:rsidRPr="006A64EE" w:rsidRDefault="009C2544" w:rsidP="004255F8">
      <w:pPr>
        <w:pStyle w:val="a3"/>
        <w:widowControl/>
      </w:pPr>
      <w:r w:rsidRPr="006A64EE">
        <w:rPr>
          <w:u w:val="single"/>
        </w:rPr>
        <w:t>Schwangerschaft</w:t>
      </w:r>
    </w:p>
    <w:p w14:paraId="1BD69513" w14:textId="77777777" w:rsidR="00093A5E" w:rsidRPr="006A64EE" w:rsidRDefault="00093A5E" w:rsidP="004255F8">
      <w:pPr>
        <w:pStyle w:val="a3"/>
        <w:widowControl/>
      </w:pPr>
    </w:p>
    <w:p w14:paraId="325E2464" w14:textId="46AE7B9C" w:rsidR="00093A5E" w:rsidRPr="006A64EE" w:rsidRDefault="009C2544" w:rsidP="004255F8">
      <w:pPr>
        <w:pStyle w:val="a3"/>
        <w:widowControl/>
      </w:pPr>
      <w:r w:rsidRPr="006A64EE">
        <w:t xml:space="preserve">Es liegen keine hinreichenden Daten zur Verwendung von </w:t>
      </w:r>
      <w:r w:rsidR="00364146" w:rsidRPr="001879E9">
        <w:t>Avtozma</w:t>
      </w:r>
      <w:r w:rsidRPr="006A64EE">
        <w:t xml:space="preserve"> bei Schwangeren vor. Eine tierexperimentelle Studie hat bei einer hohen Dosierung ein erhöhtes Risiko für </w:t>
      </w:r>
      <w:r w:rsidRPr="006A64EE">
        <w:lastRenderedPageBreak/>
        <w:t>Spontanaborte/embryonal–fetalen Tod gezeigt (siehe Abschnitt 5.3). Das potenzielle Risiko für den Menschen ist nicht bekannt.</w:t>
      </w:r>
    </w:p>
    <w:p w14:paraId="60A6EDE9" w14:textId="77777777" w:rsidR="00093A5E" w:rsidRPr="006A64EE" w:rsidRDefault="00093A5E" w:rsidP="004255F8">
      <w:pPr>
        <w:pStyle w:val="a3"/>
        <w:widowControl/>
      </w:pPr>
    </w:p>
    <w:p w14:paraId="0A99D62C" w14:textId="2EC8E76A" w:rsidR="00093A5E" w:rsidRPr="006A64EE" w:rsidRDefault="00364146" w:rsidP="004255F8">
      <w:pPr>
        <w:pStyle w:val="a3"/>
        <w:widowControl/>
      </w:pPr>
      <w:r w:rsidRPr="001879E9">
        <w:t>Avtozma</w:t>
      </w:r>
      <w:r w:rsidR="009C2544" w:rsidRPr="006A64EE">
        <w:t xml:space="preserve"> sollte nicht während der Schwangerschaft angewendet werden, es sei denn, dies ist eindeutig erforderlich.</w:t>
      </w:r>
    </w:p>
    <w:p w14:paraId="4ABA10A7" w14:textId="77777777" w:rsidR="00093A5E" w:rsidRPr="006A64EE" w:rsidRDefault="00093A5E" w:rsidP="004255F8">
      <w:pPr>
        <w:pStyle w:val="a3"/>
        <w:widowControl/>
      </w:pPr>
    </w:p>
    <w:p w14:paraId="1253CE07" w14:textId="77777777" w:rsidR="00093A5E" w:rsidRPr="006A64EE" w:rsidRDefault="009C2544" w:rsidP="004255F8">
      <w:pPr>
        <w:pStyle w:val="a3"/>
        <w:widowControl/>
      </w:pPr>
      <w:r w:rsidRPr="006A64EE">
        <w:rPr>
          <w:u w:val="single"/>
        </w:rPr>
        <w:t>Stillzeit</w:t>
      </w:r>
    </w:p>
    <w:p w14:paraId="3413AE5F" w14:textId="77777777" w:rsidR="00093A5E" w:rsidRPr="006A64EE" w:rsidRDefault="00093A5E" w:rsidP="004255F8">
      <w:pPr>
        <w:pStyle w:val="a3"/>
        <w:widowControl/>
      </w:pPr>
    </w:p>
    <w:p w14:paraId="35167644" w14:textId="75285D8E" w:rsidR="00093A5E" w:rsidRPr="006A64EE" w:rsidRDefault="009C2544" w:rsidP="004255F8">
      <w:pPr>
        <w:pStyle w:val="a3"/>
        <w:widowControl/>
      </w:pPr>
      <w:r w:rsidRPr="006A64EE">
        <w:t xml:space="preserve">Es ist nicht bekannt, ob Tocilizumab beim Menschen in die Muttermilch übergeht. Die Ausscheidung von </w:t>
      </w:r>
      <w:r w:rsidR="00364146" w:rsidRPr="001879E9">
        <w:t>Avtozma</w:t>
      </w:r>
      <w:r w:rsidRPr="006A64EE">
        <w:t xml:space="preserve"> in die Milch wurde in Tierstudien nicht untersucht. Die Entscheidung, weiter zu stillen oder abzustillen oder die Behandlung mit </w:t>
      </w:r>
      <w:r w:rsidR="00364146" w:rsidRPr="001879E9">
        <w:t>Avtozma</w:t>
      </w:r>
      <w:r w:rsidRPr="006A64EE">
        <w:t xml:space="preserve"> weiterzuführen oder abzubrechen, sollte auf der Basis des Nutzens des Stillens für das Kind und des Nutzens der Therapie mit </w:t>
      </w:r>
      <w:r w:rsidR="00364146" w:rsidRPr="001879E9">
        <w:t>Avtozma</w:t>
      </w:r>
      <w:r w:rsidRPr="006A64EE">
        <w:t xml:space="preserve"> für die Frau getroffen werden.</w:t>
      </w:r>
    </w:p>
    <w:p w14:paraId="39C3E3BF" w14:textId="77777777" w:rsidR="00093A5E" w:rsidRPr="006A64EE" w:rsidRDefault="00093A5E" w:rsidP="004255F8">
      <w:pPr>
        <w:pStyle w:val="a3"/>
        <w:widowControl/>
      </w:pPr>
    </w:p>
    <w:p w14:paraId="786F4801" w14:textId="77777777" w:rsidR="00093A5E" w:rsidRPr="006A64EE" w:rsidRDefault="009C2544" w:rsidP="004255F8">
      <w:pPr>
        <w:pStyle w:val="a3"/>
        <w:widowControl/>
      </w:pPr>
      <w:r w:rsidRPr="006A64EE">
        <w:rPr>
          <w:u w:val="single"/>
        </w:rPr>
        <w:t>Fertilität</w:t>
      </w:r>
    </w:p>
    <w:p w14:paraId="602A5156" w14:textId="77777777" w:rsidR="00093A5E" w:rsidRPr="006A64EE" w:rsidRDefault="00093A5E" w:rsidP="004255F8">
      <w:pPr>
        <w:pStyle w:val="a3"/>
        <w:widowControl/>
      </w:pPr>
    </w:p>
    <w:p w14:paraId="766997AC" w14:textId="2899F930" w:rsidR="00093A5E" w:rsidRPr="006A64EE" w:rsidRDefault="009C2544" w:rsidP="004255F8">
      <w:pPr>
        <w:pStyle w:val="a3"/>
        <w:widowControl/>
      </w:pPr>
      <w:r w:rsidRPr="006A64EE">
        <w:t xml:space="preserve">Verfügbare nicht klinische Daten zur Behandlung mit </w:t>
      </w:r>
      <w:r w:rsidR="00364146" w:rsidRPr="001879E9">
        <w:t>Avtozma</w:t>
      </w:r>
      <w:r w:rsidRPr="006A64EE">
        <w:t xml:space="preserve"> geben keinen Hinweis auf eine Wirkung auf die Fertilität.</w:t>
      </w:r>
    </w:p>
    <w:p w14:paraId="4BECA3EF" w14:textId="77777777" w:rsidR="00093A5E" w:rsidRPr="006A64EE" w:rsidRDefault="00093A5E" w:rsidP="004255F8">
      <w:pPr>
        <w:pStyle w:val="a3"/>
        <w:widowControl/>
      </w:pPr>
    </w:p>
    <w:p w14:paraId="2491B8A7" w14:textId="77777777" w:rsidR="00093A5E" w:rsidRPr="006A64EE" w:rsidRDefault="0059713A" w:rsidP="004255F8">
      <w:pPr>
        <w:pStyle w:val="2"/>
      </w:pPr>
      <w:r w:rsidRPr="006A64EE">
        <w:t>4.7</w:t>
      </w:r>
      <w:r w:rsidRPr="006A64EE">
        <w:tab/>
        <w:t>Auswirkungen auf die Verkehrstüchtigkeit und die Fähigkeit zum Bedienen von Maschinen</w:t>
      </w:r>
    </w:p>
    <w:p w14:paraId="0565B404" w14:textId="77777777" w:rsidR="00093A5E" w:rsidRPr="006A64EE" w:rsidRDefault="00093A5E" w:rsidP="00121CB7"/>
    <w:p w14:paraId="06679382" w14:textId="35F96FCB" w:rsidR="00093A5E" w:rsidRPr="006A64EE" w:rsidRDefault="00E66A0E" w:rsidP="004255F8">
      <w:pPr>
        <w:pStyle w:val="a3"/>
        <w:widowControl/>
      </w:pPr>
      <w:r>
        <w:t>Tocilizumab</w:t>
      </w:r>
      <w:r w:rsidR="009C2544" w:rsidRPr="006A64EE">
        <w:t xml:space="preserve"> hat geringen Einfluss auf die Verkehrstüchtigkeit und die Fähigkeit zum Bedienen von Maschinen (siehe Abschnitt 4.8, Schwindel).</w:t>
      </w:r>
    </w:p>
    <w:p w14:paraId="4E9299F9" w14:textId="77777777" w:rsidR="00093A5E" w:rsidRPr="006A64EE" w:rsidRDefault="00093A5E" w:rsidP="004255F8">
      <w:pPr>
        <w:pStyle w:val="a3"/>
        <w:widowControl/>
      </w:pPr>
    </w:p>
    <w:p w14:paraId="026B8EF9" w14:textId="77777777" w:rsidR="00093A5E" w:rsidRPr="006A64EE" w:rsidRDefault="0059713A" w:rsidP="004255F8">
      <w:pPr>
        <w:pStyle w:val="2"/>
      </w:pPr>
      <w:r w:rsidRPr="006A64EE">
        <w:t>4.8</w:t>
      </w:r>
      <w:r w:rsidRPr="006A64EE">
        <w:tab/>
        <w:t>Nebenwirkungen</w:t>
      </w:r>
    </w:p>
    <w:p w14:paraId="7358A3AC" w14:textId="77777777" w:rsidR="00093A5E" w:rsidRPr="006A64EE" w:rsidRDefault="00093A5E" w:rsidP="00121CB7"/>
    <w:p w14:paraId="541DB964" w14:textId="77777777" w:rsidR="00093A5E" w:rsidRPr="006A64EE" w:rsidRDefault="009C2544" w:rsidP="004255F8">
      <w:pPr>
        <w:pStyle w:val="a3"/>
        <w:widowControl/>
      </w:pPr>
      <w:r w:rsidRPr="006A64EE">
        <w:rPr>
          <w:u w:val="single"/>
        </w:rPr>
        <w:t>Zusammenfassung des Sicherheitsprofils</w:t>
      </w:r>
    </w:p>
    <w:p w14:paraId="135E07CC" w14:textId="77777777" w:rsidR="00093A5E" w:rsidRPr="006A64EE" w:rsidRDefault="00093A5E" w:rsidP="004255F8">
      <w:pPr>
        <w:pStyle w:val="a3"/>
        <w:widowControl/>
      </w:pPr>
    </w:p>
    <w:p w14:paraId="429E738E" w14:textId="333F3FC4" w:rsidR="00093A5E" w:rsidRPr="006A64EE" w:rsidRDefault="009C2544" w:rsidP="004255F8">
      <w:pPr>
        <w:pStyle w:val="a3"/>
        <w:widowControl/>
      </w:pPr>
      <w:r w:rsidRPr="006A64EE">
        <w:t>Das Sicherheitsprofil wurde anhand der Daten von 4</w:t>
      </w:r>
      <w:r w:rsidR="006B2CAB">
        <w:t> </w:t>
      </w:r>
      <w:r w:rsidRPr="006A64EE">
        <w:t>510</w:t>
      </w:r>
      <w:r w:rsidR="006B2CAB">
        <w:t> </w:t>
      </w:r>
      <w:r w:rsidRPr="006A64EE">
        <w:t xml:space="preserve">Patienten erstellt, die in klinischen Studien </w:t>
      </w:r>
      <w:r w:rsidR="00364146">
        <w:t>Tocilizumab</w:t>
      </w:r>
      <w:r w:rsidR="00364146" w:rsidRPr="006A64EE">
        <w:t xml:space="preserve"> </w:t>
      </w:r>
      <w:r w:rsidRPr="006A64EE">
        <w:t>erhalten haben. Die meisten dieser Patienten nahmen an RA-Studien mit Erwachsenen teil (n = 4</w:t>
      </w:r>
      <w:r w:rsidR="006B2CAB">
        <w:t> </w:t>
      </w:r>
      <w:r w:rsidRPr="006A64EE">
        <w:t>009), die restlichen Daten stammen aus RZA-Studien (n = 149), pJIA (n = 240) und sJIA</w:t>
      </w:r>
      <w:r w:rsidR="00627A87" w:rsidRPr="006A64EE">
        <w:t xml:space="preserve"> </w:t>
      </w:r>
      <w:r w:rsidRPr="006A64EE">
        <w:t>(n</w:t>
      </w:r>
      <w:r w:rsidR="00DC1C5B">
        <w:t> </w:t>
      </w:r>
      <w:r w:rsidRPr="006A64EE">
        <w:t xml:space="preserve">= 112). Das Sicherheitsprofil von </w:t>
      </w:r>
      <w:r w:rsidR="00364146">
        <w:t>Tocilizumab</w:t>
      </w:r>
      <w:r w:rsidR="00364146" w:rsidRPr="006A64EE">
        <w:t xml:space="preserve"> </w:t>
      </w:r>
      <w:r w:rsidRPr="006A64EE">
        <w:t>ist über diese Indikationen hinweg ähnlich und nicht zu unterscheiden.</w:t>
      </w:r>
    </w:p>
    <w:p w14:paraId="53C3F251" w14:textId="77777777" w:rsidR="00093A5E" w:rsidRPr="006A64EE" w:rsidRDefault="00093A5E" w:rsidP="004255F8">
      <w:pPr>
        <w:pStyle w:val="a3"/>
        <w:widowControl/>
      </w:pPr>
    </w:p>
    <w:p w14:paraId="23E01D07" w14:textId="77777777" w:rsidR="00093A5E" w:rsidRPr="006A64EE" w:rsidRDefault="009C2544" w:rsidP="004255F8">
      <w:pPr>
        <w:pStyle w:val="a3"/>
        <w:widowControl/>
      </w:pPr>
      <w:r w:rsidRPr="006A64EE">
        <w:t>Die am häufigsten beobachteten Nebenwirkungen waren Infektionen des oberen Respirationstrakts, Nasopharyngitis, Kopfschmerzen, Hypertonie und erhöhte ALAT.</w:t>
      </w:r>
    </w:p>
    <w:p w14:paraId="67C6487E" w14:textId="77777777" w:rsidR="00093A5E" w:rsidRPr="006A64EE" w:rsidRDefault="00093A5E" w:rsidP="004255F8">
      <w:pPr>
        <w:pStyle w:val="a3"/>
        <w:widowControl/>
      </w:pPr>
    </w:p>
    <w:p w14:paraId="443AAD91" w14:textId="77777777" w:rsidR="00093A5E" w:rsidRPr="006A64EE" w:rsidRDefault="009C2544" w:rsidP="004255F8">
      <w:pPr>
        <w:pStyle w:val="a3"/>
        <w:widowControl/>
      </w:pPr>
      <w:r w:rsidRPr="006A64EE">
        <w:t>Die schwerwiegendsten Nebenwirkungen waren schwerwiegende Infektionen, Komplikationen einer Divertikulitis und Überempfindlichkeitsreaktionen.</w:t>
      </w:r>
    </w:p>
    <w:p w14:paraId="1A215F48" w14:textId="77777777" w:rsidR="00093A5E" w:rsidRPr="006A64EE" w:rsidRDefault="00093A5E" w:rsidP="004255F8">
      <w:pPr>
        <w:pStyle w:val="a3"/>
        <w:widowControl/>
      </w:pPr>
    </w:p>
    <w:p w14:paraId="79276649" w14:textId="77777777" w:rsidR="00093A5E" w:rsidRPr="006A64EE" w:rsidRDefault="009C2544" w:rsidP="004255F8">
      <w:pPr>
        <w:pStyle w:val="a3"/>
        <w:widowControl/>
      </w:pPr>
      <w:r w:rsidRPr="006A64EE">
        <w:rPr>
          <w:u w:val="single"/>
        </w:rPr>
        <w:t>Tabellarische Auflistung der Nebenwirkungen</w:t>
      </w:r>
    </w:p>
    <w:p w14:paraId="4FCEFB81" w14:textId="1750CE93" w:rsidR="00093A5E" w:rsidRPr="006A64EE" w:rsidRDefault="009C2544" w:rsidP="004255F8">
      <w:pPr>
        <w:pStyle w:val="a3"/>
        <w:widowControl/>
      </w:pPr>
      <w:r w:rsidRPr="006A64EE">
        <w:t xml:space="preserve">Nebenwirkungen aus klinischen Studien und/oder aus Erfahrungen nach der Markteinführung von </w:t>
      </w:r>
      <w:r w:rsidR="000C4DCB">
        <w:t>Tocilizumab</w:t>
      </w:r>
      <w:r w:rsidRPr="006A64EE">
        <w:t>, basierend auf Spontanmeldungen, Literaturfällen und Fällen aus nicht-interventionellen Studienprogrammen, sind in Tabelle</w:t>
      </w:r>
      <w:r w:rsidR="005A1E43">
        <w:t> </w:t>
      </w:r>
      <w:r w:rsidRPr="006A64EE">
        <w:t>1 aufgelistet und werden nach MedDRA-Systemorganklasse aufgeführt. Die entsprechende Häufigkeitskategorie für jede Nebenwirkung basiert auf folgender</w:t>
      </w:r>
      <w:r w:rsidR="00627A87" w:rsidRPr="006A64EE">
        <w:t xml:space="preserve"> </w:t>
      </w:r>
      <w:r w:rsidR="007D680A" w:rsidRPr="006A64EE">
        <w:t>Konvention: Sehr häufig (≥</w:t>
      </w:r>
      <w:r w:rsidR="005A1E43">
        <w:t> </w:t>
      </w:r>
      <w:r w:rsidR="007D680A" w:rsidRPr="006A64EE">
        <w:t>1/10), häufig (≥</w:t>
      </w:r>
      <w:r w:rsidR="005A1E43">
        <w:t> </w:t>
      </w:r>
      <w:r w:rsidR="007D680A" w:rsidRPr="006A64EE">
        <w:t>1/100 bis &lt;</w:t>
      </w:r>
      <w:r w:rsidR="005A1E43">
        <w:t> </w:t>
      </w:r>
      <w:r w:rsidR="007D680A" w:rsidRPr="006A64EE">
        <w:t>1/10), gelegentlich (≥</w:t>
      </w:r>
      <w:r w:rsidR="005A1E43">
        <w:t> </w:t>
      </w:r>
      <w:r w:rsidR="007D680A" w:rsidRPr="006A64EE">
        <w:t>1/1</w:t>
      </w:r>
      <w:r w:rsidR="005A1E43">
        <w:t> </w:t>
      </w:r>
      <w:r w:rsidR="007D680A" w:rsidRPr="006A64EE">
        <w:t>000 bis &lt;</w:t>
      </w:r>
      <w:r w:rsidR="005A1E43">
        <w:t> </w:t>
      </w:r>
      <w:r w:rsidR="007D680A" w:rsidRPr="006A64EE">
        <w:t>1/100), selten (≥</w:t>
      </w:r>
      <w:r w:rsidR="005A1E43">
        <w:t> </w:t>
      </w:r>
      <w:r w:rsidR="007D680A" w:rsidRPr="006A64EE">
        <w:t>1/10</w:t>
      </w:r>
      <w:r w:rsidR="005A1E43">
        <w:t> </w:t>
      </w:r>
      <w:r w:rsidR="007D680A" w:rsidRPr="006A64EE">
        <w:t>000 bis &lt;</w:t>
      </w:r>
      <w:r w:rsidR="005A1E43">
        <w:t> </w:t>
      </w:r>
      <w:r w:rsidR="007D680A" w:rsidRPr="006A64EE">
        <w:t>1/1</w:t>
      </w:r>
      <w:r w:rsidR="005A1E43">
        <w:t> </w:t>
      </w:r>
      <w:r w:rsidR="007D680A" w:rsidRPr="006A64EE">
        <w:t>000) oder sehr selten (&lt;</w:t>
      </w:r>
      <w:r w:rsidR="005A1E43">
        <w:t> </w:t>
      </w:r>
      <w:r w:rsidR="007D680A" w:rsidRPr="006A64EE">
        <w:t>1/10</w:t>
      </w:r>
      <w:r w:rsidR="005A1E43">
        <w:t> </w:t>
      </w:r>
      <w:r w:rsidR="007D680A" w:rsidRPr="006A64EE">
        <w:t>000). Innerhalb jeder Häufigkeitsgruppe werden die Nebenwirkungen nach abnehmendem Schweregrad angegeben.</w:t>
      </w:r>
    </w:p>
    <w:p w14:paraId="52935FCD" w14:textId="77777777" w:rsidR="00093A5E" w:rsidRPr="006A64EE" w:rsidRDefault="00093A5E" w:rsidP="004255F8">
      <w:pPr>
        <w:pStyle w:val="a3"/>
        <w:widowControl/>
      </w:pPr>
    </w:p>
    <w:p w14:paraId="74B69823" w14:textId="12119680" w:rsidR="00093A5E" w:rsidRPr="006A64EE" w:rsidRDefault="009C2544" w:rsidP="004255F8">
      <w:pPr>
        <w:pStyle w:val="Tabletittle"/>
      </w:pPr>
      <w:r w:rsidRPr="006A64EE">
        <w:lastRenderedPageBreak/>
        <w:t>Tabelle</w:t>
      </w:r>
      <w:r w:rsidR="005A1E43">
        <w:t> </w:t>
      </w:r>
      <w:r w:rsidRPr="006A64EE">
        <w:t>1:</w:t>
      </w:r>
      <w:r w:rsidR="006C56DF" w:rsidRPr="006A64EE">
        <w:tab/>
      </w:r>
      <w:r w:rsidRPr="006A64EE">
        <w:t xml:space="preserve">Zusammenfassung der Nebenwirkungen, die bei mit </w:t>
      </w:r>
      <w:r w:rsidR="000C4DCB">
        <w:t>Tocilizumab</w:t>
      </w:r>
      <w:r w:rsidR="000C4DCB" w:rsidRPr="006A64EE">
        <w:t xml:space="preserve"> </w:t>
      </w:r>
      <w:r w:rsidRPr="006A64EE">
        <w:t>behandelten Patienten auftraten</w:t>
      </w:r>
    </w:p>
    <w:p w14:paraId="18EC5284" w14:textId="7ACF1070" w:rsidR="002D5756" w:rsidRPr="006A64EE" w:rsidRDefault="002D5756" w:rsidP="004255F8">
      <w:pPr>
        <w:pStyle w:val="a3"/>
        <w:keepNext/>
        <w:widowControl/>
        <w:rPr>
          <w:i/>
        </w:rPr>
      </w:pP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2234"/>
        <w:gridCol w:w="1938"/>
        <w:gridCol w:w="1748"/>
        <w:gridCol w:w="1849"/>
        <w:gridCol w:w="1409"/>
      </w:tblGrid>
      <w:tr w:rsidR="00593482" w:rsidRPr="006A64EE" w14:paraId="75FCA0B4" w14:textId="77777777" w:rsidTr="00A77403">
        <w:trPr>
          <w:tblHeader/>
        </w:trPr>
        <w:tc>
          <w:tcPr>
            <w:tcW w:w="2234" w:type="dxa"/>
          </w:tcPr>
          <w:p w14:paraId="01B24E15" w14:textId="13B6BEEF" w:rsidR="002D5756" w:rsidRPr="006A64EE" w:rsidRDefault="009C2544" w:rsidP="00B443C6">
            <w:pPr>
              <w:pStyle w:val="TableParagraph"/>
              <w:widowControl/>
              <w:suppressAutoHyphens/>
              <w:jc w:val="center"/>
              <w:rPr>
                <w:b/>
                <w:sz w:val="20"/>
                <w:szCs w:val="20"/>
              </w:rPr>
            </w:pPr>
            <w:r w:rsidRPr="006A64EE">
              <w:rPr>
                <w:b/>
                <w:sz w:val="20"/>
                <w:szCs w:val="20"/>
              </w:rPr>
              <w:t>MedDRA-Systemorganklasse</w:t>
            </w:r>
          </w:p>
        </w:tc>
        <w:tc>
          <w:tcPr>
            <w:tcW w:w="6944" w:type="dxa"/>
            <w:gridSpan w:val="4"/>
          </w:tcPr>
          <w:p w14:paraId="306A383F" w14:textId="77777777" w:rsidR="002D5756" w:rsidRPr="006A64EE" w:rsidRDefault="009C2544" w:rsidP="004255F8">
            <w:pPr>
              <w:pStyle w:val="TableParagraph"/>
              <w:widowControl/>
              <w:suppressAutoHyphens/>
              <w:jc w:val="center"/>
              <w:rPr>
                <w:b/>
                <w:sz w:val="20"/>
                <w:szCs w:val="20"/>
              </w:rPr>
            </w:pPr>
            <w:r w:rsidRPr="006A64EE">
              <w:rPr>
                <w:b/>
                <w:sz w:val="20"/>
                <w:szCs w:val="20"/>
              </w:rPr>
              <w:t>Häufigkeitskategorien mit bevorzugter Bezeichnung (PT)</w:t>
            </w:r>
          </w:p>
        </w:tc>
      </w:tr>
      <w:tr w:rsidR="00593482" w:rsidRPr="006A64EE" w14:paraId="20580376" w14:textId="77777777" w:rsidTr="00B443C6">
        <w:trPr>
          <w:tblHeader/>
        </w:trPr>
        <w:tc>
          <w:tcPr>
            <w:tcW w:w="2234" w:type="dxa"/>
          </w:tcPr>
          <w:p w14:paraId="77AE05BC" w14:textId="77777777" w:rsidR="002D5756" w:rsidRPr="006A64EE" w:rsidRDefault="002D5756" w:rsidP="004255F8">
            <w:pPr>
              <w:pStyle w:val="TableParagraph"/>
              <w:widowControl/>
              <w:suppressAutoHyphens/>
              <w:jc w:val="center"/>
              <w:rPr>
                <w:sz w:val="20"/>
                <w:szCs w:val="20"/>
              </w:rPr>
            </w:pPr>
          </w:p>
        </w:tc>
        <w:tc>
          <w:tcPr>
            <w:tcW w:w="1938" w:type="dxa"/>
          </w:tcPr>
          <w:p w14:paraId="6A1EF04F" w14:textId="77777777" w:rsidR="002D5756" w:rsidRPr="006A64EE" w:rsidRDefault="009C2544" w:rsidP="004255F8">
            <w:pPr>
              <w:pStyle w:val="TableParagraph"/>
              <w:widowControl/>
              <w:suppressAutoHyphens/>
              <w:jc w:val="center"/>
              <w:rPr>
                <w:b/>
                <w:sz w:val="20"/>
                <w:szCs w:val="20"/>
              </w:rPr>
            </w:pPr>
            <w:r w:rsidRPr="006A64EE">
              <w:rPr>
                <w:b/>
                <w:sz w:val="20"/>
                <w:szCs w:val="20"/>
              </w:rPr>
              <w:t>Sehr häufig</w:t>
            </w:r>
          </w:p>
        </w:tc>
        <w:tc>
          <w:tcPr>
            <w:tcW w:w="1748" w:type="dxa"/>
          </w:tcPr>
          <w:p w14:paraId="3FF60002" w14:textId="77777777" w:rsidR="002D5756" w:rsidRPr="006A64EE" w:rsidRDefault="009C2544" w:rsidP="004255F8">
            <w:pPr>
              <w:pStyle w:val="TableParagraph"/>
              <w:widowControl/>
              <w:suppressAutoHyphens/>
              <w:jc w:val="center"/>
              <w:rPr>
                <w:b/>
                <w:sz w:val="20"/>
                <w:szCs w:val="20"/>
              </w:rPr>
            </w:pPr>
            <w:r w:rsidRPr="006A64EE">
              <w:rPr>
                <w:b/>
                <w:sz w:val="20"/>
                <w:szCs w:val="20"/>
              </w:rPr>
              <w:t>Häufig</w:t>
            </w:r>
          </w:p>
        </w:tc>
        <w:tc>
          <w:tcPr>
            <w:tcW w:w="1849" w:type="dxa"/>
          </w:tcPr>
          <w:p w14:paraId="5B6B297D" w14:textId="77777777" w:rsidR="002D5756" w:rsidRPr="006A64EE" w:rsidRDefault="009C2544" w:rsidP="004255F8">
            <w:pPr>
              <w:pStyle w:val="TableParagraph"/>
              <w:widowControl/>
              <w:suppressAutoHyphens/>
              <w:jc w:val="center"/>
              <w:rPr>
                <w:b/>
                <w:sz w:val="20"/>
                <w:szCs w:val="20"/>
              </w:rPr>
            </w:pPr>
            <w:r w:rsidRPr="006A64EE">
              <w:rPr>
                <w:b/>
                <w:sz w:val="20"/>
                <w:szCs w:val="20"/>
              </w:rPr>
              <w:t>Gelegentlich</w:t>
            </w:r>
          </w:p>
        </w:tc>
        <w:tc>
          <w:tcPr>
            <w:tcW w:w="1409" w:type="dxa"/>
          </w:tcPr>
          <w:p w14:paraId="3923754E" w14:textId="77777777" w:rsidR="002D5756" w:rsidRPr="006A64EE" w:rsidRDefault="009C2544" w:rsidP="004255F8">
            <w:pPr>
              <w:pStyle w:val="TableParagraph"/>
              <w:widowControl/>
              <w:suppressAutoHyphens/>
              <w:jc w:val="center"/>
              <w:rPr>
                <w:b/>
                <w:sz w:val="20"/>
                <w:szCs w:val="20"/>
              </w:rPr>
            </w:pPr>
            <w:r w:rsidRPr="006A64EE">
              <w:rPr>
                <w:b/>
                <w:sz w:val="20"/>
                <w:szCs w:val="20"/>
              </w:rPr>
              <w:t>Selten</w:t>
            </w:r>
          </w:p>
        </w:tc>
      </w:tr>
      <w:tr w:rsidR="00593482" w:rsidRPr="006A64EE" w14:paraId="162F3E41" w14:textId="77777777" w:rsidTr="00B443C6">
        <w:trPr>
          <w:cantSplit/>
        </w:trPr>
        <w:tc>
          <w:tcPr>
            <w:tcW w:w="2234" w:type="dxa"/>
          </w:tcPr>
          <w:p w14:paraId="6B897C56" w14:textId="77777777" w:rsidR="002D5756" w:rsidRPr="006A64EE" w:rsidRDefault="009C2544" w:rsidP="004255F8">
            <w:pPr>
              <w:pStyle w:val="TableParagraph"/>
              <w:widowControl/>
              <w:suppressAutoHyphens/>
              <w:rPr>
                <w:sz w:val="20"/>
                <w:szCs w:val="20"/>
              </w:rPr>
            </w:pPr>
            <w:r w:rsidRPr="006A64EE">
              <w:rPr>
                <w:sz w:val="20"/>
                <w:szCs w:val="20"/>
              </w:rPr>
              <w:t>Infektionen und parasitäre Erkrankungen</w:t>
            </w:r>
          </w:p>
        </w:tc>
        <w:tc>
          <w:tcPr>
            <w:tcW w:w="1938" w:type="dxa"/>
          </w:tcPr>
          <w:p w14:paraId="3F0356BF" w14:textId="779F5007" w:rsidR="002D5756" w:rsidRPr="006A64EE" w:rsidRDefault="009C2544" w:rsidP="004255F8">
            <w:pPr>
              <w:pStyle w:val="TableParagraph"/>
              <w:widowControl/>
              <w:suppressAutoHyphens/>
              <w:rPr>
                <w:sz w:val="20"/>
                <w:szCs w:val="20"/>
              </w:rPr>
            </w:pPr>
            <w:r w:rsidRPr="006A64EE">
              <w:rPr>
                <w:sz w:val="20"/>
                <w:szCs w:val="20"/>
              </w:rPr>
              <w:t>Infektionen des oberen Respirationstrakts</w:t>
            </w:r>
          </w:p>
        </w:tc>
        <w:tc>
          <w:tcPr>
            <w:tcW w:w="1748" w:type="dxa"/>
          </w:tcPr>
          <w:p w14:paraId="38114215" w14:textId="7C45663F" w:rsidR="002D5756" w:rsidRPr="006A64EE" w:rsidRDefault="009C2544" w:rsidP="004255F8">
            <w:pPr>
              <w:pStyle w:val="TableParagraph"/>
              <w:widowControl/>
              <w:suppressAutoHyphens/>
              <w:rPr>
                <w:sz w:val="20"/>
                <w:szCs w:val="20"/>
              </w:rPr>
            </w:pPr>
            <w:r w:rsidRPr="006A64EE">
              <w:rPr>
                <w:sz w:val="20"/>
                <w:szCs w:val="20"/>
              </w:rPr>
              <w:t>Zellulitis, Pneumonie, oraler Herpes simplex,</w:t>
            </w:r>
            <w:r w:rsidR="00AB5C6C" w:rsidRPr="006A64EE">
              <w:rPr>
                <w:sz w:val="20"/>
                <w:szCs w:val="20"/>
              </w:rPr>
              <w:t xml:space="preserve"> </w:t>
            </w:r>
            <w:r w:rsidRPr="006A64EE">
              <w:rPr>
                <w:sz w:val="20"/>
                <w:szCs w:val="20"/>
              </w:rPr>
              <w:t>Herpes zoster</w:t>
            </w:r>
          </w:p>
        </w:tc>
        <w:tc>
          <w:tcPr>
            <w:tcW w:w="1849" w:type="dxa"/>
          </w:tcPr>
          <w:p w14:paraId="09210037" w14:textId="77777777" w:rsidR="002D5756" w:rsidRPr="006A64EE" w:rsidRDefault="009C2544" w:rsidP="004255F8">
            <w:pPr>
              <w:pStyle w:val="TableParagraph"/>
              <w:widowControl/>
              <w:suppressAutoHyphens/>
              <w:rPr>
                <w:sz w:val="20"/>
                <w:szCs w:val="20"/>
              </w:rPr>
            </w:pPr>
            <w:r w:rsidRPr="006A64EE">
              <w:rPr>
                <w:sz w:val="20"/>
                <w:szCs w:val="20"/>
              </w:rPr>
              <w:t>Divertikulitis</w:t>
            </w:r>
          </w:p>
        </w:tc>
        <w:tc>
          <w:tcPr>
            <w:tcW w:w="1409" w:type="dxa"/>
          </w:tcPr>
          <w:p w14:paraId="5211F6A0" w14:textId="77777777" w:rsidR="002D5756" w:rsidRPr="006A64EE" w:rsidRDefault="002D5756" w:rsidP="004255F8">
            <w:pPr>
              <w:pStyle w:val="TableParagraph"/>
              <w:widowControl/>
              <w:suppressAutoHyphens/>
              <w:rPr>
                <w:sz w:val="20"/>
                <w:szCs w:val="20"/>
              </w:rPr>
            </w:pPr>
          </w:p>
        </w:tc>
      </w:tr>
      <w:tr w:rsidR="00593482" w:rsidRPr="006A64EE" w14:paraId="1743CF9C" w14:textId="77777777" w:rsidTr="00B443C6">
        <w:trPr>
          <w:cantSplit/>
        </w:trPr>
        <w:tc>
          <w:tcPr>
            <w:tcW w:w="2234" w:type="dxa"/>
          </w:tcPr>
          <w:p w14:paraId="582AF8E0" w14:textId="2FC5874F" w:rsidR="002D5756" w:rsidRPr="006A64EE" w:rsidRDefault="009C2544" w:rsidP="004255F8">
            <w:pPr>
              <w:pStyle w:val="TableParagraph"/>
              <w:widowControl/>
              <w:suppressAutoHyphens/>
              <w:rPr>
                <w:sz w:val="20"/>
                <w:szCs w:val="20"/>
              </w:rPr>
            </w:pPr>
            <w:r w:rsidRPr="006A64EE">
              <w:rPr>
                <w:sz w:val="20"/>
                <w:szCs w:val="20"/>
              </w:rPr>
              <w:t>Erkrankungen des</w:t>
            </w:r>
            <w:r w:rsidR="00AB5C6C" w:rsidRPr="006A64EE">
              <w:rPr>
                <w:sz w:val="20"/>
                <w:szCs w:val="20"/>
              </w:rPr>
              <w:t xml:space="preserve"> </w:t>
            </w:r>
            <w:r w:rsidRPr="006A64EE">
              <w:rPr>
                <w:sz w:val="20"/>
                <w:szCs w:val="20"/>
              </w:rPr>
              <w:t>Blutes und des Lymphsystems</w:t>
            </w:r>
          </w:p>
        </w:tc>
        <w:tc>
          <w:tcPr>
            <w:tcW w:w="1938" w:type="dxa"/>
          </w:tcPr>
          <w:p w14:paraId="039A8EAF" w14:textId="77777777" w:rsidR="002D5756" w:rsidRPr="006A64EE" w:rsidRDefault="002D5756" w:rsidP="004255F8">
            <w:pPr>
              <w:pStyle w:val="TableParagraph"/>
              <w:widowControl/>
              <w:suppressAutoHyphens/>
              <w:rPr>
                <w:sz w:val="20"/>
                <w:szCs w:val="20"/>
              </w:rPr>
            </w:pPr>
          </w:p>
        </w:tc>
        <w:tc>
          <w:tcPr>
            <w:tcW w:w="1748" w:type="dxa"/>
          </w:tcPr>
          <w:p w14:paraId="7EB52D3D" w14:textId="77777777" w:rsidR="00093A5E" w:rsidRPr="006A64EE" w:rsidRDefault="009C2544" w:rsidP="004255F8">
            <w:pPr>
              <w:pStyle w:val="TableParagraph"/>
              <w:widowControl/>
              <w:suppressAutoHyphens/>
              <w:rPr>
                <w:sz w:val="20"/>
                <w:szCs w:val="20"/>
              </w:rPr>
            </w:pPr>
            <w:r w:rsidRPr="006A64EE">
              <w:rPr>
                <w:sz w:val="20"/>
                <w:szCs w:val="20"/>
              </w:rPr>
              <w:t>Leukopenie,</w:t>
            </w:r>
          </w:p>
          <w:p w14:paraId="1E237755" w14:textId="466A7FC9" w:rsidR="002D5756" w:rsidRPr="006A64EE" w:rsidRDefault="009C2544" w:rsidP="004255F8">
            <w:pPr>
              <w:pStyle w:val="TableParagraph"/>
              <w:widowControl/>
              <w:suppressAutoHyphens/>
              <w:rPr>
                <w:sz w:val="20"/>
                <w:szCs w:val="20"/>
              </w:rPr>
            </w:pPr>
            <w:r w:rsidRPr="006A64EE">
              <w:rPr>
                <w:sz w:val="20"/>
                <w:szCs w:val="20"/>
              </w:rPr>
              <w:t>Neutropenie, Hypofibrinogenämie</w:t>
            </w:r>
          </w:p>
        </w:tc>
        <w:tc>
          <w:tcPr>
            <w:tcW w:w="1849" w:type="dxa"/>
          </w:tcPr>
          <w:p w14:paraId="51A5B2B2" w14:textId="77777777" w:rsidR="002D5756" w:rsidRPr="006A64EE" w:rsidRDefault="002D5756" w:rsidP="004255F8">
            <w:pPr>
              <w:pStyle w:val="TableParagraph"/>
              <w:widowControl/>
              <w:suppressAutoHyphens/>
              <w:rPr>
                <w:sz w:val="20"/>
                <w:szCs w:val="20"/>
              </w:rPr>
            </w:pPr>
          </w:p>
        </w:tc>
        <w:tc>
          <w:tcPr>
            <w:tcW w:w="1409" w:type="dxa"/>
          </w:tcPr>
          <w:p w14:paraId="5CC5470E" w14:textId="77777777" w:rsidR="002D5756" w:rsidRPr="006A64EE" w:rsidRDefault="002D5756" w:rsidP="004255F8">
            <w:pPr>
              <w:pStyle w:val="TableParagraph"/>
              <w:widowControl/>
              <w:suppressAutoHyphens/>
              <w:rPr>
                <w:sz w:val="20"/>
                <w:szCs w:val="20"/>
              </w:rPr>
            </w:pPr>
          </w:p>
        </w:tc>
      </w:tr>
      <w:tr w:rsidR="00593482" w:rsidRPr="006A64EE" w14:paraId="67EE06C3" w14:textId="77777777" w:rsidTr="00B443C6">
        <w:trPr>
          <w:cantSplit/>
        </w:trPr>
        <w:tc>
          <w:tcPr>
            <w:tcW w:w="2234" w:type="dxa"/>
          </w:tcPr>
          <w:p w14:paraId="1AF94328" w14:textId="29DF32A1" w:rsidR="002D5756" w:rsidRPr="006A64EE" w:rsidRDefault="009C2544" w:rsidP="004255F8">
            <w:pPr>
              <w:pStyle w:val="TableParagraph"/>
              <w:widowControl/>
              <w:suppressAutoHyphens/>
              <w:rPr>
                <w:sz w:val="20"/>
                <w:szCs w:val="20"/>
              </w:rPr>
            </w:pPr>
            <w:r w:rsidRPr="006A64EE">
              <w:rPr>
                <w:sz w:val="20"/>
                <w:szCs w:val="20"/>
              </w:rPr>
              <w:t>Erkrankungen des</w:t>
            </w:r>
            <w:r w:rsidR="00AB5C6C" w:rsidRPr="006A64EE">
              <w:rPr>
                <w:sz w:val="20"/>
                <w:szCs w:val="20"/>
              </w:rPr>
              <w:t xml:space="preserve"> </w:t>
            </w:r>
            <w:r w:rsidRPr="006A64EE">
              <w:rPr>
                <w:sz w:val="20"/>
                <w:szCs w:val="20"/>
              </w:rPr>
              <w:t>Immunsystems</w:t>
            </w:r>
          </w:p>
        </w:tc>
        <w:tc>
          <w:tcPr>
            <w:tcW w:w="1938" w:type="dxa"/>
          </w:tcPr>
          <w:p w14:paraId="67920914" w14:textId="77777777" w:rsidR="002D5756" w:rsidRPr="006A64EE" w:rsidRDefault="002D5756" w:rsidP="004255F8">
            <w:pPr>
              <w:pStyle w:val="TableParagraph"/>
              <w:widowControl/>
              <w:suppressAutoHyphens/>
              <w:rPr>
                <w:sz w:val="20"/>
                <w:szCs w:val="20"/>
              </w:rPr>
            </w:pPr>
          </w:p>
        </w:tc>
        <w:tc>
          <w:tcPr>
            <w:tcW w:w="1748" w:type="dxa"/>
          </w:tcPr>
          <w:p w14:paraId="68734344" w14:textId="77777777" w:rsidR="002D5756" w:rsidRPr="006A64EE" w:rsidRDefault="002D5756" w:rsidP="004255F8">
            <w:pPr>
              <w:pStyle w:val="TableParagraph"/>
              <w:widowControl/>
              <w:suppressAutoHyphens/>
              <w:rPr>
                <w:sz w:val="20"/>
                <w:szCs w:val="20"/>
              </w:rPr>
            </w:pPr>
          </w:p>
        </w:tc>
        <w:tc>
          <w:tcPr>
            <w:tcW w:w="1849" w:type="dxa"/>
          </w:tcPr>
          <w:p w14:paraId="28E88356" w14:textId="77777777" w:rsidR="002D5756" w:rsidRPr="006A64EE" w:rsidRDefault="002D5756" w:rsidP="004255F8">
            <w:pPr>
              <w:pStyle w:val="TableParagraph"/>
              <w:widowControl/>
              <w:suppressAutoHyphens/>
              <w:rPr>
                <w:sz w:val="20"/>
                <w:szCs w:val="20"/>
              </w:rPr>
            </w:pPr>
          </w:p>
        </w:tc>
        <w:tc>
          <w:tcPr>
            <w:tcW w:w="1409" w:type="dxa"/>
          </w:tcPr>
          <w:p w14:paraId="480E4EB3" w14:textId="579E2BCC" w:rsidR="002D5756" w:rsidRPr="006A64EE" w:rsidRDefault="009C2544" w:rsidP="00B443C6">
            <w:pPr>
              <w:pStyle w:val="TableParagraph"/>
              <w:widowControl/>
              <w:suppressAutoHyphens/>
              <w:rPr>
                <w:sz w:val="20"/>
                <w:szCs w:val="20"/>
              </w:rPr>
            </w:pPr>
            <w:r w:rsidRPr="006A64EE">
              <w:rPr>
                <w:sz w:val="20"/>
                <w:szCs w:val="20"/>
              </w:rPr>
              <w:t>Anaphylaxie</w:t>
            </w:r>
            <w:r w:rsidR="00B443C6" w:rsidRPr="006A64EE">
              <w:rPr>
                <w:sz w:val="20"/>
                <w:szCs w:val="20"/>
              </w:rPr>
              <w:t xml:space="preserve"> </w:t>
            </w:r>
            <w:r w:rsidRPr="006A64EE">
              <w:rPr>
                <w:sz w:val="20"/>
                <w:szCs w:val="20"/>
              </w:rPr>
              <w:t>(tödlich)</w:t>
            </w:r>
            <w:r w:rsidRPr="006A64EE">
              <w:rPr>
                <w:sz w:val="20"/>
                <w:szCs w:val="20"/>
                <w:vertAlign w:val="superscript"/>
              </w:rPr>
              <w:t>1,</w:t>
            </w:r>
            <w:r w:rsidRPr="006A64EE">
              <w:rPr>
                <w:sz w:val="20"/>
                <w:szCs w:val="20"/>
              </w:rPr>
              <w:t xml:space="preserve"> </w:t>
            </w:r>
            <w:r w:rsidRPr="006A64EE">
              <w:rPr>
                <w:sz w:val="20"/>
                <w:szCs w:val="20"/>
                <w:vertAlign w:val="superscript"/>
              </w:rPr>
              <w:t>2,</w:t>
            </w:r>
            <w:r w:rsidRPr="006A64EE">
              <w:rPr>
                <w:sz w:val="20"/>
                <w:szCs w:val="20"/>
              </w:rPr>
              <w:t xml:space="preserve"> </w:t>
            </w:r>
            <w:r w:rsidRPr="006A64EE">
              <w:rPr>
                <w:sz w:val="20"/>
                <w:szCs w:val="20"/>
                <w:vertAlign w:val="superscript"/>
              </w:rPr>
              <w:t>3</w:t>
            </w:r>
          </w:p>
        </w:tc>
      </w:tr>
      <w:tr w:rsidR="00593482" w:rsidRPr="006A64EE" w14:paraId="19F2B7F6" w14:textId="77777777" w:rsidTr="00B443C6">
        <w:trPr>
          <w:cantSplit/>
        </w:trPr>
        <w:tc>
          <w:tcPr>
            <w:tcW w:w="2234" w:type="dxa"/>
          </w:tcPr>
          <w:p w14:paraId="31864999" w14:textId="77777777" w:rsidR="002D5756" w:rsidRPr="006A64EE" w:rsidRDefault="009C2544" w:rsidP="004255F8">
            <w:pPr>
              <w:pStyle w:val="TableParagraph"/>
              <w:widowControl/>
              <w:suppressAutoHyphens/>
              <w:rPr>
                <w:sz w:val="20"/>
                <w:szCs w:val="20"/>
              </w:rPr>
            </w:pPr>
            <w:r w:rsidRPr="006A64EE">
              <w:rPr>
                <w:sz w:val="20"/>
                <w:szCs w:val="20"/>
              </w:rPr>
              <w:t>Endokrine Erkrankungen</w:t>
            </w:r>
          </w:p>
        </w:tc>
        <w:tc>
          <w:tcPr>
            <w:tcW w:w="1938" w:type="dxa"/>
          </w:tcPr>
          <w:p w14:paraId="07C2357F" w14:textId="77777777" w:rsidR="002D5756" w:rsidRPr="006A64EE" w:rsidRDefault="002D5756" w:rsidP="004255F8">
            <w:pPr>
              <w:pStyle w:val="TableParagraph"/>
              <w:widowControl/>
              <w:suppressAutoHyphens/>
              <w:rPr>
                <w:sz w:val="20"/>
                <w:szCs w:val="20"/>
              </w:rPr>
            </w:pPr>
          </w:p>
        </w:tc>
        <w:tc>
          <w:tcPr>
            <w:tcW w:w="1748" w:type="dxa"/>
          </w:tcPr>
          <w:p w14:paraId="408B047B" w14:textId="77777777" w:rsidR="002D5756" w:rsidRPr="006A64EE" w:rsidRDefault="002D5756" w:rsidP="004255F8">
            <w:pPr>
              <w:pStyle w:val="TableParagraph"/>
              <w:widowControl/>
              <w:suppressAutoHyphens/>
              <w:rPr>
                <w:sz w:val="20"/>
                <w:szCs w:val="20"/>
              </w:rPr>
            </w:pPr>
          </w:p>
        </w:tc>
        <w:tc>
          <w:tcPr>
            <w:tcW w:w="1849" w:type="dxa"/>
          </w:tcPr>
          <w:p w14:paraId="3037B721" w14:textId="604DD34D" w:rsidR="002D5756" w:rsidRPr="006A64EE" w:rsidRDefault="009C2544" w:rsidP="004255F8">
            <w:pPr>
              <w:pStyle w:val="TableParagraph"/>
              <w:widowControl/>
              <w:suppressAutoHyphens/>
              <w:rPr>
                <w:sz w:val="20"/>
                <w:szCs w:val="20"/>
              </w:rPr>
            </w:pPr>
            <w:r w:rsidRPr="006A64EE">
              <w:rPr>
                <w:sz w:val="20"/>
                <w:szCs w:val="20"/>
              </w:rPr>
              <w:t>Hypothyroidismus</w:t>
            </w:r>
          </w:p>
        </w:tc>
        <w:tc>
          <w:tcPr>
            <w:tcW w:w="1409" w:type="dxa"/>
          </w:tcPr>
          <w:p w14:paraId="64793BA9" w14:textId="77777777" w:rsidR="002D5756" w:rsidRPr="006A64EE" w:rsidRDefault="002D5756" w:rsidP="004255F8">
            <w:pPr>
              <w:pStyle w:val="TableParagraph"/>
              <w:widowControl/>
              <w:suppressAutoHyphens/>
              <w:rPr>
                <w:sz w:val="20"/>
                <w:szCs w:val="20"/>
              </w:rPr>
            </w:pPr>
          </w:p>
        </w:tc>
      </w:tr>
      <w:tr w:rsidR="00593482" w:rsidRPr="006A64EE" w14:paraId="0A664BB1" w14:textId="77777777" w:rsidTr="00B443C6">
        <w:trPr>
          <w:cantSplit/>
        </w:trPr>
        <w:tc>
          <w:tcPr>
            <w:tcW w:w="2234" w:type="dxa"/>
          </w:tcPr>
          <w:p w14:paraId="71328F87" w14:textId="6953ED21" w:rsidR="002D5756" w:rsidRPr="006A64EE" w:rsidRDefault="009C2544" w:rsidP="004255F8">
            <w:pPr>
              <w:pStyle w:val="TableParagraph"/>
              <w:widowControl/>
              <w:suppressAutoHyphens/>
              <w:rPr>
                <w:sz w:val="20"/>
                <w:szCs w:val="20"/>
              </w:rPr>
            </w:pPr>
            <w:r w:rsidRPr="006A64EE">
              <w:rPr>
                <w:sz w:val="20"/>
                <w:szCs w:val="20"/>
              </w:rPr>
              <w:t>Stoffwechsel- und</w:t>
            </w:r>
            <w:r w:rsidR="00AB5C6C" w:rsidRPr="006A64EE">
              <w:rPr>
                <w:sz w:val="20"/>
                <w:szCs w:val="20"/>
              </w:rPr>
              <w:t xml:space="preserve"> </w:t>
            </w:r>
            <w:r w:rsidRPr="006A64EE">
              <w:rPr>
                <w:sz w:val="20"/>
                <w:szCs w:val="20"/>
              </w:rPr>
              <w:t>Ernährungsstörungen</w:t>
            </w:r>
          </w:p>
        </w:tc>
        <w:tc>
          <w:tcPr>
            <w:tcW w:w="1938" w:type="dxa"/>
          </w:tcPr>
          <w:p w14:paraId="4639465C" w14:textId="70346691" w:rsidR="002D5756" w:rsidRPr="006A64EE" w:rsidRDefault="009C2544" w:rsidP="004255F8">
            <w:pPr>
              <w:pStyle w:val="TableParagraph"/>
              <w:widowControl/>
              <w:suppressAutoHyphens/>
              <w:rPr>
                <w:sz w:val="20"/>
                <w:szCs w:val="20"/>
              </w:rPr>
            </w:pPr>
            <w:r w:rsidRPr="006A64EE">
              <w:rPr>
                <w:sz w:val="20"/>
                <w:szCs w:val="20"/>
              </w:rPr>
              <w:t>Hypercholesterinämie*</w:t>
            </w:r>
          </w:p>
        </w:tc>
        <w:tc>
          <w:tcPr>
            <w:tcW w:w="1748" w:type="dxa"/>
          </w:tcPr>
          <w:p w14:paraId="1E4D1BAE" w14:textId="77777777" w:rsidR="002D5756" w:rsidRPr="006A64EE" w:rsidRDefault="002D5756" w:rsidP="004255F8">
            <w:pPr>
              <w:pStyle w:val="TableParagraph"/>
              <w:widowControl/>
              <w:suppressAutoHyphens/>
              <w:rPr>
                <w:sz w:val="20"/>
                <w:szCs w:val="20"/>
              </w:rPr>
            </w:pPr>
          </w:p>
        </w:tc>
        <w:tc>
          <w:tcPr>
            <w:tcW w:w="1849" w:type="dxa"/>
          </w:tcPr>
          <w:p w14:paraId="164E1049" w14:textId="62B5B6D8" w:rsidR="002D5756" w:rsidRPr="006A64EE" w:rsidRDefault="009C2544" w:rsidP="004255F8">
            <w:pPr>
              <w:pStyle w:val="TableParagraph"/>
              <w:widowControl/>
              <w:suppressAutoHyphens/>
              <w:rPr>
                <w:sz w:val="20"/>
                <w:szCs w:val="20"/>
              </w:rPr>
            </w:pPr>
            <w:r w:rsidRPr="006A64EE">
              <w:rPr>
                <w:sz w:val="20"/>
                <w:szCs w:val="20"/>
              </w:rPr>
              <w:t>Hypertriglyceridämie</w:t>
            </w:r>
          </w:p>
        </w:tc>
        <w:tc>
          <w:tcPr>
            <w:tcW w:w="1409" w:type="dxa"/>
          </w:tcPr>
          <w:p w14:paraId="4BD37618" w14:textId="77777777" w:rsidR="002D5756" w:rsidRPr="006A64EE" w:rsidRDefault="002D5756" w:rsidP="004255F8">
            <w:pPr>
              <w:pStyle w:val="TableParagraph"/>
              <w:widowControl/>
              <w:suppressAutoHyphens/>
              <w:rPr>
                <w:sz w:val="20"/>
                <w:szCs w:val="20"/>
              </w:rPr>
            </w:pPr>
          </w:p>
        </w:tc>
      </w:tr>
      <w:tr w:rsidR="00593482" w:rsidRPr="006A64EE" w14:paraId="4D91B610" w14:textId="77777777" w:rsidTr="00B443C6">
        <w:trPr>
          <w:cantSplit/>
        </w:trPr>
        <w:tc>
          <w:tcPr>
            <w:tcW w:w="2234" w:type="dxa"/>
          </w:tcPr>
          <w:p w14:paraId="11727808" w14:textId="77777777" w:rsidR="002D5756" w:rsidRPr="006A64EE" w:rsidRDefault="009C2544" w:rsidP="004255F8">
            <w:pPr>
              <w:pStyle w:val="TableParagraph"/>
              <w:widowControl/>
              <w:suppressAutoHyphens/>
              <w:rPr>
                <w:sz w:val="20"/>
                <w:szCs w:val="20"/>
              </w:rPr>
            </w:pPr>
            <w:r w:rsidRPr="006A64EE">
              <w:rPr>
                <w:sz w:val="20"/>
                <w:szCs w:val="20"/>
              </w:rPr>
              <w:t>Erkrankungen des Nervensystems</w:t>
            </w:r>
          </w:p>
        </w:tc>
        <w:tc>
          <w:tcPr>
            <w:tcW w:w="1938" w:type="dxa"/>
          </w:tcPr>
          <w:p w14:paraId="6F737D41" w14:textId="77777777" w:rsidR="002D5756" w:rsidRPr="006A64EE" w:rsidRDefault="002D5756" w:rsidP="004255F8">
            <w:pPr>
              <w:pStyle w:val="TableParagraph"/>
              <w:widowControl/>
              <w:suppressAutoHyphens/>
              <w:rPr>
                <w:sz w:val="20"/>
                <w:szCs w:val="20"/>
              </w:rPr>
            </w:pPr>
          </w:p>
        </w:tc>
        <w:tc>
          <w:tcPr>
            <w:tcW w:w="1748" w:type="dxa"/>
          </w:tcPr>
          <w:p w14:paraId="3C992937" w14:textId="77777777" w:rsidR="002D5756" w:rsidRPr="006A64EE" w:rsidRDefault="009C2544" w:rsidP="004255F8">
            <w:pPr>
              <w:pStyle w:val="TableParagraph"/>
              <w:widowControl/>
              <w:suppressAutoHyphens/>
              <w:rPr>
                <w:sz w:val="20"/>
                <w:szCs w:val="20"/>
              </w:rPr>
            </w:pPr>
            <w:r w:rsidRPr="006A64EE">
              <w:rPr>
                <w:sz w:val="20"/>
                <w:szCs w:val="20"/>
              </w:rPr>
              <w:t>Kopfschmerzen, Schwindel</w:t>
            </w:r>
          </w:p>
        </w:tc>
        <w:tc>
          <w:tcPr>
            <w:tcW w:w="1849" w:type="dxa"/>
          </w:tcPr>
          <w:p w14:paraId="5ACEED88" w14:textId="77777777" w:rsidR="002D5756" w:rsidRPr="006A64EE" w:rsidRDefault="002D5756" w:rsidP="004255F8">
            <w:pPr>
              <w:pStyle w:val="TableParagraph"/>
              <w:widowControl/>
              <w:suppressAutoHyphens/>
              <w:rPr>
                <w:sz w:val="20"/>
                <w:szCs w:val="20"/>
              </w:rPr>
            </w:pPr>
          </w:p>
        </w:tc>
        <w:tc>
          <w:tcPr>
            <w:tcW w:w="1409" w:type="dxa"/>
          </w:tcPr>
          <w:p w14:paraId="4F7B7058" w14:textId="77777777" w:rsidR="002D5756" w:rsidRPr="006A64EE" w:rsidRDefault="002D5756" w:rsidP="004255F8">
            <w:pPr>
              <w:pStyle w:val="TableParagraph"/>
              <w:widowControl/>
              <w:suppressAutoHyphens/>
              <w:rPr>
                <w:sz w:val="20"/>
                <w:szCs w:val="20"/>
              </w:rPr>
            </w:pPr>
          </w:p>
        </w:tc>
      </w:tr>
      <w:tr w:rsidR="00593482" w:rsidRPr="006A64EE" w14:paraId="7510A984" w14:textId="77777777" w:rsidTr="00B443C6">
        <w:trPr>
          <w:cantSplit/>
        </w:trPr>
        <w:tc>
          <w:tcPr>
            <w:tcW w:w="2234" w:type="dxa"/>
          </w:tcPr>
          <w:p w14:paraId="6A025256" w14:textId="77777777" w:rsidR="002D5756" w:rsidRPr="006A64EE" w:rsidRDefault="009C2544" w:rsidP="004255F8">
            <w:pPr>
              <w:pStyle w:val="TableParagraph"/>
              <w:widowControl/>
              <w:suppressAutoHyphens/>
              <w:rPr>
                <w:sz w:val="20"/>
                <w:szCs w:val="20"/>
              </w:rPr>
            </w:pPr>
            <w:r w:rsidRPr="006A64EE">
              <w:rPr>
                <w:sz w:val="20"/>
                <w:szCs w:val="20"/>
              </w:rPr>
              <w:t>Augenerkrankungen</w:t>
            </w:r>
          </w:p>
        </w:tc>
        <w:tc>
          <w:tcPr>
            <w:tcW w:w="1938" w:type="dxa"/>
          </w:tcPr>
          <w:p w14:paraId="761D94DD" w14:textId="77777777" w:rsidR="002D5756" w:rsidRPr="006A64EE" w:rsidRDefault="002D5756" w:rsidP="004255F8">
            <w:pPr>
              <w:pStyle w:val="TableParagraph"/>
              <w:widowControl/>
              <w:suppressAutoHyphens/>
              <w:rPr>
                <w:sz w:val="20"/>
                <w:szCs w:val="20"/>
              </w:rPr>
            </w:pPr>
          </w:p>
        </w:tc>
        <w:tc>
          <w:tcPr>
            <w:tcW w:w="1748" w:type="dxa"/>
          </w:tcPr>
          <w:p w14:paraId="67E4EA81" w14:textId="77777777" w:rsidR="002D5756" w:rsidRPr="006A64EE" w:rsidRDefault="009C2544" w:rsidP="004255F8">
            <w:pPr>
              <w:pStyle w:val="TableParagraph"/>
              <w:widowControl/>
              <w:suppressAutoHyphens/>
              <w:rPr>
                <w:sz w:val="20"/>
                <w:szCs w:val="20"/>
              </w:rPr>
            </w:pPr>
            <w:r w:rsidRPr="006A64EE">
              <w:rPr>
                <w:sz w:val="20"/>
                <w:szCs w:val="20"/>
              </w:rPr>
              <w:t>Konjunktivitis</w:t>
            </w:r>
          </w:p>
        </w:tc>
        <w:tc>
          <w:tcPr>
            <w:tcW w:w="1849" w:type="dxa"/>
          </w:tcPr>
          <w:p w14:paraId="54053965" w14:textId="77777777" w:rsidR="002D5756" w:rsidRPr="006A64EE" w:rsidRDefault="002D5756" w:rsidP="004255F8">
            <w:pPr>
              <w:pStyle w:val="TableParagraph"/>
              <w:widowControl/>
              <w:suppressAutoHyphens/>
              <w:rPr>
                <w:sz w:val="20"/>
                <w:szCs w:val="20"/>
              </w:rPr>
            </w:pPr>
          </w:p>
        </w:tc>
        <w:tc>
          <w:tcPr>
            <w:tcW w:w="1409" w:type="dxa"/>
          </w:tcPr>
          <w:p w14:paraId="6777AC0F" w14:textId="77777777" w:rsidR="002D5756" w:rsidRPr="006A64EE" w:rsidRDefault="002D5756" w:rsidP="004255F8">
            <w:pPr>
              <w:pStyle w:val="TableParagraph"/>
              <w:widowControl/>
              <w:suppressAutoHyphens/>
              <w:rPr>
                <w:sz w:val="20"/>
                <w:szCs w:val="20"/>
              </w:rPr>
            </w:pPr>
          </w:p>
        </w:tc>
      </w:tr>
      <w:tr w:rsidR="00593482" w:rsidRPr="006A64EE" w14:paraId="6B12662C" w14:textId="77777777" w:rsidTr="00B443C6">
        <w:trPr>
          <w:cantSplit/>
        </w:trPr>
        <w:tc>
          <w:tcPr>
            <w:tcW w:w="2234" w:type="dxa"/>
          </w:tcPr>
          <w:p w14:paraId="1B4426A4" w14:textId="77777777" w:rsidR="002D5756" w:rsidRPr="006A64EE" w:rsidRDefault="009C2544" w:rsidP="004255F8">
            <w:pPr>
              <w:pStyle w:val="TableParagraph"/>
              <w:widowControl/>
              <w:suppressAutoHyphens/>
              <w:rPr>
                <w:sz w:val="20"/>
                <w:szCs w:val="20"/>
              </w:rPr>
            </w:pPr>
            <w:r w:rsidRPr="006A64EE">
              <w:rPr>
                <w:sz w:val="20"/>
                <w:szCs w:val="20"/>
              </w:rPr>
              <w:t>Gefäßerkrankungen</w:t>
            </w:r>
          </w:p>
        </w:tc>
        <w:tc>
          <w:tcPr>
            <w:tcW w:w="1938" w:type="dxa"/>
          </w:tcPr>
          <w:p w14:paraId="208B1475" w14:textId="77777777" w:rsidR="002D5756" w:rsidRPr="006A64EE" w:rsidRDefault="002D5756" w:rsidP="004255F8">
            <w:pPr>
              <w:pStyle w:val="TableParagraph"/>
              <w:widowControl/>
              <w:suppressAutoHyphens/>
              <w:rPr>
                <w:sz w:val="20"/>
                <w:szCs w:val="20"/>
              </w:rPr>
            </w:pPr>
          </w:p>
        </w:tc>
        <w:tc>
          <w:tcPr>
            <w:tcW w:w="1748" w:type="dxa"/>
          </w:tcPr>
          <w:p w14:paraId="129C8CCC" w14:textId="77777777" w:rsidR="002D5756" w:rsidRPr="006A64EE" w:rsidRDefault="009C2544" w:rsidP="004255F8">
            <w:pPr>
              <w:pStyle w:val="TableParagraph"/>
              <w:widowControl/>
              <w:suppressAutoHyphens/>
              <w:rPr>
                <w:sz w:val="20"/>
                <w:szCs w:val="20"/>
              </w:rPr>
            </w:pPr>
            <w:r w:rsidRPr="006A64EE">
              <w:rPr>
                <w:sz w:val="20"/>
                <w:szCs w:val="20"/>
              </w:rPr>
              <w:t>Hypertonie</w:t>
            </w:r>
          </w:p>
        </w:tc>
        <w:tc>
          <w:tcPr>
            <w:tcW w:w="1849" w:type="dxa"/>
          </w:tcPr>
          <w:p w14:paraId="1AD21BBE" w14:textId="77777777" w:rsidR="002D5756" w:rsidRPr="006A64EE" w:rsidRDefault="002D5756" w:rsidP="004255F8">
            <w:pPr>
              <w:pStyle w:val="TableParagraph"/>
              <w:widowControl/>
              <w:suppressAutoHyphens/>
              <w:rPr>
                <w:sz w:val="20"/>
                <w:szCs w:val="20"/>
              </w:rPr>
            </w:pPr>
          </w:p>
        </w:tc>
        <w:tc>
          <w:tcPr>
            <w:tcW w:w="1409" w:type="dxa"/>
          </w:tcPr>
          <w:p w14:paraId="097F1341" w14:textId="77777777" w:rsidR="002D5756" w:rsidRPr="006A64EE" w:rsidRDefault="002D5756" w:rsidP="004255F8">
            <w:pPr>
              <w:pStyle w:val="TableParagraph"/>
              <w:widowControl/>
              <w:suppressAutoHyphens/>
              <w:rPr>
                <w:sz w:val="20"/>
                <w:szCs w:val="20"/>
              </w:rPr>
            </w:pPr>
          </w:p>
        </w:tc>
      </w:tr>
      <w:tr w:rsidR="00593482" w:rsidRPr="006A64EE" w14:paraId="367003A6" w14:textId="77777777" w:rsidTr="00B443C6">
        <w:trPr>
          <w:cantSplit/>
        </w:trPr>
        <w:tc>
          <w:tcPr>
            <w:tcW w:w="2234" w:type="dxa"/>
          </w:tcPr>
          <w:p w14:paraId="1A237588" w14:textId="10FF668D" w:rsidR="002D5756" w:rsidRPr="006A64EE" w:rsidRDefault="009C2544" w:rsidP="004255F8">
            <w:pPr>
              <w:pStyle w:val="TableParagraph"/>
              <w:widowControl/>
              <w:suppressAutoHyphens/>
              <w:rPr>
                <w:sz w:val="20"/>
                <w:szCs w:val="20"/>
              </w:rPr>
            </w:pPr>
            <w:r w:rsidRPr="006A64EE">
              <w:rPr>
                <w:sz w:val="20"/>
                <w:szCs w:val="20"/>
              </w:rPr>
              <w:t>Erkrankungen der Atemwege, des Brustraums und</w:t>
            </w:r>
            <w:r w:rsidR="00AB5C6C" w:rsidRPr="006A64EE">
              <w:rPr>
                <w:sz w:val="20"/>
                <w:szCs w:val="20"/>
              </w:rPr>
              <w:t xml:space="preserve"> </w:t>
            </w:r>
            <w:r w:rsidRPr="006A64EE">
              <w:rPr>
                <w:sz w:val="20"/>
                <w:szCs w:val="20"/>
              </w:rPr>
              <w:t>Mediastinums</w:t>
            </w:r>
          </w:p>
        </w:tc>
        <w:tc>
          <w:tcPr>
            <w:tcW w:w="1938" w:type="dxa"/>
          </w:tcPr>
          <w:p w14:paraId="5D6091E9" w14:textId="77777777" w:rsidR="002D5756" w:rsidRPr="006A64EE" w:rsidRDefault="002D5756" w:rsidP="004255F8">
            <w:pPr>
              <w:pStyle w:val="TableParagraph"/>
              <w:widowControl/>
              <w:suppressAutoHyphens/>
              <w:rPr>
                <w:sz w:val="20"/>
                <w:szCs w:val="20"/>
              </w:rPr>
            </w:pPr>
          </w:p>
        </w:tc>
        <w:tc>
          <w:tcPr>
            <w:tcW w:w="1748" w:type="dxa"/>
          </w:tcPr>
          <w:p w14:paraId="5CCA77A0" w14:textId="77777777" w:rsidR="002D5756" w:rsidRPr="006A64EE" w:rsidRDefault="009C2544" w:rsidP="004255F8">
            <w:pPr>
              <w:pStyle w:val="TableParagraph"/>
              <w:widowControl/>
              <w:suppressAutoHyphens/>
              <w:rPr>
                <w:sz w:val="20"/>
                <w:szCs w:val="20"/>
              </w:rPr>
            </w:pPr>
            <w:r w:rsidRPr="006A64EE">
              <w:rPr>
                <w:sz w:val="20"/>
                <w:szCs w:val="20"/>
              </w:rPr>
              <w:t>Husten, Dyspnoe</w:t>
            </w:r>
          </w:p>
        </w:tc>
        <w:tc>
          <w:tcPr>
            <w:tcW w:w="1849" w:type="dxa"/>
          </w:tcPr>
          <w:p w14:paraId="5E5C291D" w14:textId="77777777" w:rsidR="002D5756" w:rsidRPr="006A64EE" w:rsidRDefault="002D5756" w:rsidP="004255F8">
            <w:pPr>
              <w:pStyle w:val="TableParagraph"/>
              <w:widowControl/>
              <w:suppressAutoHyphens/>
              <w:rPr>
                <w:sz w:val="20"/>
                <w:szCs w:val="20"/>
              </w:rPr>
            </w:pPr>
          </w:p>
        </w:tc>
        <w:tc>
          <w:tcPr>
            <w:tcW w:w="1409" w:type="dxa"/>
          </w:tcPr>
          <w:p w14:paraId="10A21E45" w14:textId="77777777" w:rsidR="002D5756" w:rsidRPr="006A64EE" w:rsidRDefault="002D5756" w:rsidP="004255F8">
            <w:pPr>
              <w:pStyle w:val="TableParagraph"/>
              <w:widowControl/>
              <w:suppressAutoHyphens/>
              <w:rPr>
                <w:sz w:val="20"/>
                <w:szCs w:val="20"/>
              </w:rPr>
            </w:pPr>
          </w:p>
        </w:tc>
      </w:tr>
      <w:tr w:rsidR="00593482" w:rsidRPr="006A64EE" w14:paraId="1DFB3B74" w14:textId="77777777" w:rsidTr="00B443C6">
        <w:trPr>
          <w:cantSplit/>
        </w:trPr>
        <w:tc>
          <w:tcPr>
            <w:tcW w:w="2234" w:type="dxa"/>
          </w:tcPr>
          <w:p w14:paraId="0248D532" w14:textId="77777777" w:rsidR="002D5756" w:rsidRPr="006A64EE" w:rsidRDefault="009C2544" w:rsidP="004255F8">
            <w:pPr>
              <w:pStyle w:val="TableParagraph"/>
              <w:widowControl/>
              <w:suppressAutoHyphens/>
              <w:rPr>
                <w:sz w:val="20"/>
                <w:szCs w:val="20"/>
              </w:rPr>
            </w:pPr>
            <w:r w:rsidRPr="006A64EE">
              <w:rPr>
                <w:sz w:val="20"/>
                <w:szCs w:val="20"/>
              </w:rPr>
              <w:t>Erkrankungen des Gastrointestinaltrakts</w:t>
            </w:r>
          </w:p>
        </w:tc>
        <w:tc>
          <w:tcPr>
            <w:tcW w:w="1938" w:type="dxa"/>
          </w:tcPr>
          <w:p w14:paraId="3F278321" w14:textId="77777777" w:rsidR="002D5756" w:rsidRPr="006A64EE" w:rsidRDefault="002D5756" w:rsidP="004255F8">
            <w:pPr>
              <w:pStyle w:val="TableParagraph"/>
              <w:widowControl/>
              <w:suppressAutoHyphens/>
              <w:rPr>
                <w:sz w:val="20"/>
                <w:szCs w:val="20"/>
              </w:rPr>
            </w:pPr>
          </w:p>
        </w:tc>
        <w:tc>
          <w:tcPr>
            <w:tcW w:w="1748" w:type="dxa"/>
          </w:tcPr>
          <w:p w14:paraId="14963B47" w14:textId="7FE95A3A" w:rsidR="002D5756" w:rsidRPr="006A64EE" w:rsidRDefault="009C2544" w:rsidP="004255F8">
            <w:pPr>
              <w:pStyle w:val="TableParagraph"/>
              <w:widowControl/>
              <w:suppressAutoHyphens/>
              <w:jc w:val="both"/>
              <w:rPr>
                <w:sz w:val="20"/>
                <w:szCs w:val="20"/>
              </w:rPr>
            </w:pPr>
            <w:r w:rsidRPr="006A64EE">
              <w:rPr>
                <w:sz w:val="20"/>
                <w:szCs w:val="20"/>
              </w:rPr>
              <w:t>Abdominale Schmerzen, Mundulzera,</w:t>
            </w:r>
            <w:r w:rsidR="00AB5C6C" w:rsidRPr="006A64EE">
              <w:rPr>
                <w:sz w:val="20"/>
                <w:szCs w:val="20"/>
              </w:rPr>
              <w:t xml:space="preserve"> </w:t>
            </w:r>
            <w:r w:rsidRPr="006A64EE">
              <w:rPr>
                <w:sz w:val="20"/>
                <w:szCs w:val="20"/>
              </w:rPr>
              <w:t>Gastritis</w:t>
            </w:r>
          </w:p>
        </w:tc>
        <w:tc>
          <w:tcPr>
            <w:tcW w:w="1849" w:type="dxa"/>
          </w:tcPr>
          <w:p w14:paraId="626CD720" w14:textId="59A66A6E" w:rsidR="002D5756" w:rsidRPr="006A64EE" w:rsidRDefault="009C2544" w:rsidP="004255F8">
            <w:pPr>
              <w:pStyle w:val="TableParagraph"/>
              <w:widowControl/>
              <w:suppressAutoHyphens/>
              <w:rPr>
                <w:sz w:val="20"/>
                <w:szCs w:val="20"/>
              </w:rPr>
            </w:pPr>
            <w:r w:rsidRPr="006A64EE">
              <w:rPr>
                <w:sz w:val="20"/>
                <w:szCs w:val="20"/>
              </w:rPr>
              <w:t>Stomatitis, Magengeschwür</w:t>
            </w:r>
          </w:p>
        </w:tc>
        <w:tc>
          <w:tcPr>
            <w:tcW w:w="1409" w:type="dxa"/>
          </w:tcPr>
          <w:p w14:paraId="0485D9A5" w14:textId="77777777" w:rsidR="002D5756" w:rsidRPr="006A64EE" w:rsidRDefault="002D5756" w:rsidP="004255F8">
            <w:pPr>
              <w:pStyle w:val="TableParagraph"/>
              <w:widowControl/>
              <w:suppressAutoHyphens/>
              <w:rPr>
                <w:sz w:val="20"/>
                <w:szCs w:val="20"/>
              </w:rPr>
            </w:pPr>
          </w:p>
        </w:tc>
      </w:tr>
      <w:tr w:rsidR="00593482" w:rsidRPr="006A64EE" w14:paraId="70262389" w14:textId="77777777" w:rsidTr="00B443C6">
        <w:trPr>
          <w:cantSplit/>
        </w:trPr>
        <w:tc>
          <w:tcPr>
            <w:tcW w:w="2234" w:type="dxa"/>
          </w:tcPr>
          <w:p w14:paraId="4A248092" w14:textId="77777777" w:rsidR="002D5756" w:rsidRPr="006A64EE" w:rsidRDefault="009C2544" w:rsidP="004255F8">
            <w:pPr>
              <w:pStyle w:val="TableParagraph"/>
              <w:widowControl/>
              <w:suppressAutoHyphens/>
              <w:rPr>
                <w:sz w:val="20"/>
                <w:szCs w:val="20"/>
              </w:rPr>
            </w:pPr>
            <w:r w:rsidRPr="006A64EE">
              <w:rPr>
                <w:sz w:val="20"/>
                <w:szCs w:val="20"/>
              </w:rPr>
              <w:t>Leber- und Gallenerkrankungen</w:t>
            </w:r>
          </w:p>
        </w:tc>
        <w:tc>
          <w:tcPr>
            <w:tcW w:w="1938" w:type="dxa"/>
          </w:tcPr>
          <w:p w14:paraId="75653A0D" w14:textId="77777777" w:rsidR="002D5756" w:rsidRPr="006A64EE" w:rsidRDefault="002D5756" w:rsidP="004255F8">
            <w:pPr>
              <w:pStyle w:val="TableParagraph"/>
              <w:widowControl/>
              <w:suppressAutoHyphens/>
              <w:rPr>
                <w:sz w:val="20"/>
                <w:szCs w:val="20"/>
              </w:rPr>
            </w:pPr>
          </w:p>
        </w:tc>
        <w:tc>
          <w:tcPr>
            <w:tcW w:w="1748" w:type="dxa"/>
          </w:tcPr>
          <w:p w14:paraId="4770FCD5" w14:textId="77777777" w:rsidR="002D5756" w:rsidRPr="006A64EE" w:rsidRDefault="002D5756" w:rsidP="004255F8">
            <w:pPr>
              <w:pStyle w:val="TableParagraph"/>
              <w:widowControl/>
              <w:suppressAutoHyphens/>
              <w:rPr>
                <w:sz w:val="20"/>
                <w:szCs w:val="20"/>
              </w:rPr>
            </w:pPr>
          </w:p>
        </w:tc>
        <w:tc>
          <w:tcPr>
            <w:tcW w:w="1849" w:type="dxa"/>
          </w:tcPr>
          <w:p w14:paraId="54A057D0" w14:textId="77777777" w:rsidR="002D5756" w:rsidRPr="006A64EE" w:rsidRDefault="002D5756" w:rsidP="004255F8">
            <w:pPr>
              <w:pStyle w:val="TableParagraph"/>
              <w:widowControl/>
              <w:suppressAutoHyphens/>
              <w:rPr>
                <w:sz w:val="20"/>
                <w:szCs w:val="20"/>
              </w:rPr>
            </w:pPr>
          </w:p>
        </w:tc>
        <w:tc>
          <w:tcPr>
            <w:tcW w:w="1409" w:type="dxa"/>
          </w:tcPr>
          <w:p w14:paraId="3CA71039" w14:textId="47C76FB6" w:rsidR="002D5756" w:rsidRPr="006A64EE" w:rsidRDefault="009C2544" w:rsidP="004255F8">
            <w:pPr>
              <w:pStyle w:val="TableParagraph"/>
              <w:widowControl/>
              <w:suppressAutoHyphens/>
              <w:rPr>
                <w:sz w:val="20"/>
                <w:szCs w:val="20"/>
              </w:rPr>
            </w:pPr>
            <w:r w:rsidRPr="006A64EE">
              <w:rPr>
                <w:sz w:val="20"/>
                <w:szCs w:val="20"/>
              </w:rPr>
              <w:t>Arzneimittel-induzierte Leberschäden, Hepatitis, Gelbsucht, Sehr selten:</w:t>
            </w:r>
            <w:r w:rsidR="00AB5C6C" w:rsidRPr="006A64EE">
              <w:rPr>
                <w:sz w:val="20"/>
                <w:szCs w:val="20"/>
              </w:rPr>
              <w:t xml:space="preserve"> </w:t>
            </w:r>
            <w:r w:rsidRPr="006A64EE">
              <w:rPr>
                <w:sz w:val="20"/>
                <w:szCs w:val="20"/>
              </w:rPr>
              <w:t>Leberversagen</w:t>
            </w:r>
          </w:p>
        </w:tc>
      </w:tr>
      <w:tr w:rsidR="00593482" w:rsidRPr="006A64EE" w14:paraId="3EAB32CD" w14:textId="77777777" w:rsidTr="00B443C6">
        <w:trPr>
          <w:cantSplit/>
        </w:trPr>
        <w:tc>
          <w:tcPr>
            <w:tcW w:w="2234" w:type="dxa"/>
          </w:tcPr>
          <w:p w14:paraId="40A345B1" w14:textId="49157055" w:rsidR="002D5756" w:rsidRPr="006A64EE" w:rsidRDefault="009C2544" w:rsidP="004255F8">
            <w:pPr>
              <w:pStyle w:val="TableParagraph"/>
              <w:widowControl/>
              <w:suppressAutoHyphens/>
              <w:rPr>
                <w:sz w:val="20"/>
                <w:szCs w:val="20"/>
              </w:rPr>
            </w:pPr>
            <w:r w:rsidRPr="006A64EE">
              <w:rPr>
                <w:sz w:val="20"/>
                <w:szCs w:val="20"/>
              </w:rPr>
              <w:t>Erkrankungen der</w:t>
            </w:r>
            <w:r w:rsidR="00AB5C6C" w:rsidRPr="006A64EE">
              <w:rPr>
                <w:sz w:val="20"/>
                <w:szCs w:val="20"/>
              </w:rPr>
              <w:t xml:space="preserve"> </w:t>
            </w:r>
            <w:r w:rsidRPr="006A64EE">
              <w:rPr>
                <w:sz w:val="20"/>
                <w:szCs w:val="20"/>
              </w:rPr>
              <w:t>Haut und des Unterhautgewebes</w:t>
            </w:r>
          </w:p>
        </w:tc>
        <w:tc>
          <w:tcPr>
            <w:tcW w:w="1938" w:type="dxa"/>
          </w:tcPr>
          <w:p w14:paraId="52B5642E" w14:textId="77777777" w:rsidR="002D5756" w:rsidRPr="006A64EE" w:rsidRDefault="002D5756" w:rsidP="004255F8">
            <w:pPr>
              <w:pStyle w:val="TableParagraph"/>
              <w:widowControl/>
              <w:suppressAutoHyphens/>
              <w:rPr>
                <w:sz w:val="20"/>
                <w:szCs w:val="20"/>
              </w:rPr>
            </w:pPr>
          </w:p>
        </w:tc>
        <w:tc>
          <w:tcPr>
            <w:tcW w:w="1748" w:type="dxa"/>
          </w:tcPr>
          <w:p w14:paraId="13D11121" w14:textId="77777777" w:rsidR="002D5756" w:rsidRPr="006A64EE" w:rsidRDefault="009C2544" w:rsidP="004255F8">
            <w:pPr>
              <w:pStyle w:val="TableParagraph"/>
              <w:widowControl/>
              <w:suppressAutoHyphens/>
              <w:rPr>
                <w:sz w:val="20"/>
                <w:szCs w:val="20"/>
              </w:rPr>
            </w:pPr>
            <w:r w:rsidRPr="006A64EE">
              <w:rPr>
                <w:sz w:val="20"/>
                <w:szCs w:val="20"/>
              </w:rPr>
              <w:t>Exanthem, Pruritus, Urtikaria</w:t>
            </w:r>
          </w:p>
        </w:tc>
        <w:tc>
          <w:tcPr>
            <w:tcW w:w="1849" w:type="dxa"/>
          </w:tcPr>
          <w:p w14:paraId="568ADF5A" w14:textId="77777777" w:rsidR="002D5756" w:rsidRPr="006A64EE" w:rsidRDefault="002D5756" w:rsidP="004255F8">
            <w:pPr>
              <w:pStyle w:val="TableParagraph"/>
              <w:widowControl/>
              <w:suppressAutoHyphens/>
              <w:rPr>
                <w:sz w:val="20"/>
                <w:szCs w:val="20"/>
              </w:rPr>
            </w:pPr>
          </w:p>
        </w:tc>
        <w:tc>
          <w:tcPr>
            <w:tcW w:w="1409" w:type="dxa"/>
          </w:tcPr>
          <w:p w14:paraId="374DCC81" w14:textId="1B03C4E5" w:rsidR="002D5756" w:rsidRPr="006A64EE" w:rsidRDefault="009C2544" w:rsidP="004255F8">
            <w:pPr>
              <w:pStyle w:val="TableParagraph"/>
              <w:widowControl/>
              <w:suppressAutoHyphens/>
              <w:rPr>
                <w:sz w:val="20"/>
                <w:szCs w:val="20"/>
              </w:rPr>
            </w:pPr>
            <w:r w:rsidRPr="006A64EE">
              <w:rPr>
                <w:sz w:val="20"/>
                <w:szCs w:val="20"/>
              </w:rPr>
              <w:t>Stevens-Johnson- Syndrom</w:t>
            </w:r>
            <w:r w:rsidRPr="006A64EE">
              <w:rPr>
                <w:sz w:val="20"/>
                <w:szCs w:val="20"/>
                <w:vertAlign w:val="superscript"/>
              </w:rPr>
              <w:t>3</w:t>
            </w:r>
          </w:p>
        </w:tc>
      </w:tr>
      <w:tr w:rsidR="00593482" w:rsidRPr="006A64EE" w14:paraId="4B139E4A" w14:textId="77777777" w:rsidTr="00B443C6">
        <w:trPr>
          <w:cantSplit/>
        </w:trPr>
        <w:tc>
          <w:tcPr>
            <w:tcW w:w="2234" w:type="dxa"/>
          </w:tcPr>
          <w:p w14:paraId="57072514" w14:textId="3148663A" w:rsidR="002D5756" w:rsidRPr="006A64EE" w:rsidRDefault="009C2544" w:rsidP="004255F8">
            <w:pPr>
              <w:pStyle w:val="TableParagraph"/>
              <w:widowControl/>
              <w:suppressAutoHyphens/>
              <w:rPr>
                <w:sz w:val="20"/>
                <w:szCs w:val="20"/>
              </w:rPr>
            </w:pPr>
            <w:r w:rsidRPr="006A64EE">
              <w:rPr>
                <w:sz w:val="20"/>
                <w:szCs w:val="20"/>
              </w:rPr>
              <w:t>Erkrankungen der</w:t>
            </w:r>
            <w:r w:rsidR="00AB5C6C" w:rsidRPr="006A64EE">
              <w:rPr>
                <w:sz w:val="20"/>
                <w:szCs w:val="20"/>
              </w:rPr>
              <w:t xml:space="preserve"> </w:t>
            </w:r>
            <w:r w:rsidRPr="006A64EE">
              <w:rPr>
                <w:sz w:val="20"/>
                <w:szCs w:val="20"/>
              </w:rPr>
              <w:t>Nieren und Harnwege</w:t>
            </w:r>
          </w:p>
        </w:tc>
        <w:tc>
          <w:tcPr>
            <w:tcW w:w="1938" w:type="dxa"/>
          </w:tcPr>
          <w:p w14:paraId="4826606F" w14:textId="77777777" w:rsidR="002D5756" w:rsidRPr="006A64EE" w:rsidRDefault="002D5756" w:rsidP="004255F8">
            <w:pPr>
              <w:pStyle w:val="TableParagraph"/>
              <w:widowControl/>
              <w:suppressAutoHyphens/>
              <w:rPr>
                <w:sz w:val="20"/>
                <w:szCs w:val="20"/>
              </w:rPr>
            </w:pPr>
          </w:p>
        </w:tc>
        <w:tc>
          <w:tcPr>
            <w:tcW w:w="1748" w:type="dxa"/>
          </w:tcPr>
          <w:p w14:paraId="034E58F2" w14:textId="77777777" w:rsidR="002D5756" w:rsidRPr="006A64EE" w:rsidRDefault="002D5756" w:rsidP="004255F8">
            <w:pPr>
              <w:pStyle w:val="TableParagraph"/>
              <w:widowControl/>
              <w:suppressAutoHyphens/>
              <w:rPr>
                <w:sz w:val="20"/>
                <w:szCs w:val="20"/>
              </w:rPr>
            </w:pPr>
          </w:p>
        </w:tc>
        <w:tc>
          <w:tcPr>
            <w:tcW w:w="1849" w:type="dxa"/>
          </w:tcPr>
          <w:p w14:paraId="57E8228E" w14:textId="3F87D941" w:rsidR="002D5756" w:rsidRPr="006A64EE" w:rsidRDefault="009C2544" w:rsidP="004255F8">
            <w:pPr>
              <w:pStyle w:val="TableParagraph"/>
              <w:widowControl/>
              <w:suppressAutoHyphens/>
              <w:rPr>
                <w:sz w:val="20"/>
                <w:szCs w:val="20"/>
              </w:rPr>
            </w:pPr>
            <w:r w:rsidRPr="006A64EE">
              <w:rPr>
                <w:sz w:val="20"/>
                <w:szCs w:val="20"/>
              </w:rPr>
              <w:t>Nephrolithiasis</w:t>
            </w:r>
          </w:p>
        </w:tc>
        <w:tc>
          <w:tcPr>
            <w:tcW w:w="1409" w:type="dxa"/>
          </w:tcPr>
          <w:p w14:paraId="7F8276C7" w14:textId="77777777" w:rsidR="002D5756" w:rsidRPr="006A64EE" w:rsidRDefault="002D5756" w:rsidP="004255F8">
            <w:pPr>
              <w:pStyle w:val="TableParagraph"/>
              <w:widowControl/>
              <w:suppressAutoHyphens/>
              <w:rPr>
                <w:sz w:val="20"/>
                <w:szCs w:val="20"/>
              </w:rPr>
            </w:pPr>
          </w:p>
        </w:tc>
      </w:tr>
      <w:tr w:rsidR="00593482" w:rsidRPr="006A64EE" w14:paraId="5F50CB6C" w14:textId="77777777" w:rsidTr="00B443C6">
        <w:trPr>
          <w:cantSplit/>
        </w:trPr>
        <w:tc>
          <w:tcPr>
            <w:tcW w:w="2234" w:type="dxa"/>
          </w:tcPr>
          <w:p w14:paraId="4E826028" w14:textId="636E56C6" w:rsidR="002D5756" w:rsidRPr="006A64EE" w:rsidRDefault="009C2544" w:rsidP="004255F8">
            <w:pPr>
              <w:pStyle w:val="TableParagraph"/>
              <w:widowControl/>
              <w:suppressAutoHyphens/>
              <w:rPr>
                <w:sz w:val="20"/>
                <w:szCs w:val="20"/>
              </w:rPr>
            </w:pPr>
            <w:r w:rsidRPr="006A64EE">
              <w:rPr>
                <w:sz w:val="20"/>
                <w:szCs w:val="20"/>
              </w:rPr>
              <w:t>Allgemeine Erkrankungen und Beschwerden am</w:t>
            </w:r>
            <w:r w:rsidR="00AB5C6C" w:rsidRPr="006A64EE">
              <w:rPr>
                <w:sz w:val="20"/>
                <w:szCs w:val="20"/>
              </w:rPr>
              <w:t xml:space="preserve"> </w:t>
            </w:r>
            <w:r w:rsidRPr="006A64EE">
              <w:rPr>
                <w:sz w:val="20"/>
                <w:szCs w:val="20"/>
              </w:rPr>
              <w:t>Verabreichungsort</w:t>
            </w:r>
          </w:p>
        </w:tc>
        <w:tc>
          <w:tcPr>
            <w:tcW w:w="1938" w:type="dxa"/>
          </w:tcPr>
          <w:p w14:paraId="441E10B7" w14:textId="35CE1EFE" w:rsidR="002D5756" w:rsidRPr="006A64EE" w:rsidRDefault="009C2544" w:rsidP="004255F8">
            <w:pPr>
              <w:pStyle w:val="TableParagraph"/>
              <w:widowControl/>
              <w:suppressAutoHyphens/>
              <w:rPr>
                <w:sz w:val="20"/>
                <w:szCs w:val="20"/>
              </w:rPr>
            </w:pPr>
            <w:r w:rsidRPr="006A64EE">
              <w:rPr>
                <w:sz w:val="20"/>
                <w:szCs w:val="20"/>
              </w:rPr>
              <w:t>Reaktion an der Injektionsstelle</w:t>
            </w:r>
          </w:p>
        </w:tc>
        <w:tc>
          <w:tcPr>
            <w:tcW w:w="1748" w:type="dxa"/>
          </w:tcPr>
          <w:p w14:paraId="50741C50" w14:textId="0307725A" w:rsidR="002D5756" w:rsidRPr="006A64EE" w:rsidRDefault="009C2544" w:rsidP="004255F8">
            <w:pPr>
              <w:pStyle w:val="TableParagraph"/>
              <w:widowControl/>
              <w:suppressAutoHyphens/>
              <w:rPr>
                <w:sz w:val="20"/>
                <w:szCs w:val="20"/>
              </w:rPr>
            </w:pPr>
            <w:r w:rsidRPr="006A64EE">
              <w:rPr>
                <w:sz w:val="20"/>
                <w:szCs w:val="20"/>
              </w:rPr>
              <w:t>Peripheres Ödem, Überempfindlich</w:t>
            </w:r>
            <w:r w:rsidR="00C75FEC">
              <w:rPr>
                <w:sz w:val="20"/>
                <w:szCs w:val="20"/>
              </w:rPr>
              <w:t>-</w:t>
            </w:r>
            <w:r w:rsidRPr="006A64EE">
              <w:rPr>
                <w:sz w:val="20"/>
                <w:szCs w:val="20"/>
              </w:rPr>
              <w:t>keitsreaktion</w:t>
            </w:r>
          </w:p>
        </w:tc>
        <w:tc>
          <w:tcPr>
            <w:tcW w:w="1849" w:type="dxa"/>
          </w:tcPr>
          <w:p w14:paraId="116F0F1E" w14:textId="77777777" w:rsidR="002D5756" w:rsidRPr="006A64EE" w:rsidRDefault="002D5756" w:rsidP="004255F8">
            <w:pPr>
              <w:pStyle w:val="TableParagraph"/>
              <w:widowControl/>
              <w:suppressAutoHyphens/>
              <w:rPr>
                <w:sz w:val="20"/>
                <w:szCs w:val="20"/>
              </w:rPr>
            </w:pPr>
          </w:p>
        </w:tc>
        <w:tc>
          <w:tcPr>
            <w:tcW w:w="1409" w:type="dxa"/>
          </w:tcPr>
          <w:p w14:paraId="6CA3B482" w14:textId="77777777" w:rsidR="002D5756" w:rsidRPr="006A64EE" w:rsidRDefault="002D5756" w:rsidP="004255F8">
            <w:pPr>
              <w:pStyle w:val="TableParagraph"/>
              <w:widowControl/>
              <w:suppressAutoHyphens/>
              <w:rPr>
                <w:sz w:val="20"/>
                <w:szCs w:val="20"/>
              </w:rPr>
            </w:pPr>
          </w:p>
        </w:tc>
      </w:tr>
      <w:tr w:rsidR="00593482" w:rsidRPr="006A64EE" w14:paraId="21D50129" w14:textId="77777777" w:rsidTr="00B443C6">
        <w:trPr>
          <w:cantSplit/>
        </w:trPr>
        <w:tc>
          <w:tcPr>
            <w:tcW w:w="2234" w:type="dxa"/>
          </w:tcPr>
          <w:p w14:paraId="676E25FD" w14:textId="2EE39C4A" w:rsidR="00782FBF" w:rsidRPr="006A64EE" w:rsidRDefault="00782FBF" w:rsidP="004255F8">
            <w:pPr>
              <w:pStyle w:val="TableParagraph"/>
              <w:widowControl/>
              <w:suppressAutoHyphens/>
              <w:rPr>
                <w:sz w:val="20"/>
                <w:szCs w:val="20"/>
              </w:rPr>
            </w:pPr>
            <w:r w:rsidRPr="006A64EE">
              <w:rPr>
                <w:sz w:val="20"/>
                <w:szCs w:val="20"/>
              </w:rPr>
              <w:t>Untersuchungen</w:t>
            </w:r>
          </w:p>
        </w:tc>
        <w:tc>
          <w:tcPr>
            <w:tcW w:w="1938" w:type="dxa"/>
          </w:tcPr>
          <w:p w14:paraId="07B43859" w14:textId="77777777" w:rsidR="00782FBF" w:rsidRPr="006A64EE" w:rsidRDefault="00782FBF" w:rsidP="004255F8">
            <w:pPr>
              <w:pStyle w:val="TableParagraph"/>
              <w:widowControl/>
              <w:suppressAutoHyphens/>
              <w:rPr>
                <w:sz w:val="20"/>
                <w:szCs w:val="20"/>
              </w:rPr>
            </w:pPr>
          </w:p>
        </w:tc>
        <w:tc>
          <w:tcPr>
            <w:tcW w:w="1748" w:type="dxa"/>
          </w:tcPr>
          <w:p w14:paraId="27E27537" w14:textId="6CEF7F1F" w:rsidR="00782FBF" w:rsidRPr="006A64EE" w:rsidRDefault="00782FBF" w:rsidP="004255F8">
            <w:pPr>
              <w:pStyle w:val="TableParagraph"/>
              <w:widowControl/>
              <w:suppressAutoHyphens/>
              <w:rPr>
                <w:sz w:val="20"/>
                <w:szCs w:val="20"/>
              </w:rPr>
            </w:pPr>
            <w:r w:rsidRPr="006A64EE">
              <w:rPr>
                <w:sz w:val="20"/>
                <w:szCs w:val="20"/>
              </w:rPr>
              <w:t>Erhöhung der Lebertransaminasen, Gewichtszunahme, Erhöhung des Gesamtbilirubins*</w:t>
            </w:r>
          </w:p>
        </w:tc>
        <w:tc>
          <w:tcPr>
            <w:tcW w:w="1849" w:type="dxa"/>
          </w:tcPr>
          <w:p w14:paraId="35B79260" w14:textId="77777777" w:rsidR="00782FBF" w:rsidRPr="006A64EE" w:rsidRDefault="00782FBF" w:rsidP="004255F8">
            <w:pPr>
              <w:pStyle w:val="TableParagraph"/>
              <w:widowControl/>
              <w:suppressAutoHyphens/>
              <w:rPr>
                <w:sz w:val="20"/>
                <w:szCs w:val="20"/>
              </w:rPr>
            </w:pPr>
          </w:p>
        </w:tc>
        <w:tc>
          <w:tcPr>
            <w:tcW w:w="1409" w:type="dxa"/>
          </w:tcPr>
          <w:p w14:paraId="5E774D15" w14:textId="77777777" w:rsidR="00782FBF" w:rsidRPr="006A64EE" w:rsidRDefault="00782FBF" w:rsidP="004255F8">
            <w:pPr>
              <w:pStyle w:val="TableParagraph"/>
              <w:widowControl/>
              <w:suppressAutoHyphens/>
              <w:rPr>
                <w:sz w:val="20"/>
                <w:szCs w:val="20"/>
              </w:rPr>
            </w:pPr>
          </w:p>
        </w:tc>
      </w:tr>
    </w:tbl>
    <w:p w14:paraId="583592B2" w14:textId="77777777" w:rsidR="00093A5E" w:rsidRPr="006A64EE" w:rsidRDefault="009C2544" w:rsidP="004255F8">
      <w:pPr>
        <w:widowControl/>
        <w:rPr>
          <w:sz w:val="18"/>
          <w:szCs w:val="18"/>
        </w:rPr>
      </w:pPr>
      <w:r w:rsidRPr="006A64EE">
        <w:rPr>
          <w:sz w:val="18"/>
          <w:szCs w:val="18"/>
        </w:rPr>
        <w:t>* Beinhaltet Erhöhungen, die als Teil von routinemäßigen Laboruntersuchungen gesammelt wurden (siehe Text unten)</w:t>
      </w:r>
    </w:p>
    <w:p w14:paraId="1381534E" w14:textId="77777777" w:rsidR="00093A5E" w:rsidRPr="006A64EE" w:rsidRDefault="00941F47" w:rsidP="004255F8">
      <w:pPr>
        <w:widowControl/>
        <w:rPr>
          <w:sz w:val="18"/>
          <w:szCs w:val="18"/>
        </w:rPr>
      </w:pPr>
      <w:r w:rsidRPr="006A64EE">
        <w:rPr>
          <w:sz w:val="18"/>
          <w:szCs w:val="18"/>
          <w:vertAlign w:val="superscript"/>
        </w:rPr>
        <w:t>1</w:t>
      </w:r>
      <w:r w:rsidRPr="006A64EE">
        <w:rPr>
          <w:sz w:val="18"/>
          <w:szCs w:val="18"/>
        </w:rPr>
        <w:t xml:space="preserve"> Siehe Abschnitt 4.3</w:t>
      </w:r>
    </w:p>
    <w:p w14:paraId="4B48AB30" w14:textId="77777777" w:rsidR="00093A5E" w:rsidRPr="006A64EE" w:rsidRDefault="00941F47" w:rsidP="004255F8">
      <w:pPr>
        <w:widowControl/>
        <w:rPr>
          <w:sz w:val="18"/>
          <w:szCs w:val="18"/>
        </w:rPr>
      </w:pPr>
      <w:r w:rsidRPr="006A64EE">
        <w:rPr>
          <w:sz w:val="18"/>
          <w:szCs w:val="18"/>
          <w:vertAlign w:val="superscript"/>
        </w:rPr>
        <w:t>2</w:t>
      </w:r>
      <w:r w:rsidRPr="006A64EE">
        <w:rPr>
          <w:sz w:val="18"/>
          <w:szCs w:val="18"/>
        </w:rPr>
        <w:t xml:space="preserve"> Siehe Abschnitt 4.4</w:t>
      </w:r>
    </w:p>
    <w:p w14:paraId="44400117" w14:textId="07B53611" w:rsidR="00093A5E" w:rsidRPr="006A64EE" w:rsidRDefault="00941F47" w:rsidP="004255F8">
      <w:pPr>
        <w:widowControl/>
        <w:rPr>
          <w:sz w:val="18"/>
          <w:szCs w:val="18"/>
        </w:rPr>
      </w:pPr>
      <w:r w:rsidRPr="006A64EE">
        <w:rPr>
          <w:sz w:val="18"/>
          <w:szCs w:val="18"/>
          <w:vertAlign w:val="superscript"/>
        </w:rPr>
        <w:t>3</w:t>
      </w:r>
      <w:r w:rsidRPr="006A64EE">
        <w:rPr>
          <w:sz w:val="18"/>
          <w:szCs w:val="18"/>
        </w:rPr>
        <w:t xml:space="preserve"> Diese Nebenwirkung wurde durch Überwachung nach der Markteinführung festgestellt, in kontrollierten klinischen Studien jedoch nicht beobachtet. Die Häufigkeitskategorie wurde als die obere Grenze des 95</w:t>
      </w:r>
      <w:r w:rsidR="0018020B">
        <w:rPr>
          <w:sz w:val="18"/>
          <w:szCs w:val="18"/>
        </w:rPr>
        <w:t> </w:t>
      </w:r>
      <w:r w:rsidRPr="006A64EE">
        <w:rPr>
          <w:sz w:val="18"/>
          <w:szCs w:val="18"/>
        </w:rPr>
        <w:t xml:space="preserve">%-Konfidenzintervalls geschätzt, das auf Basis der Gesamtzahl an Patienten berechnet wurde, die </w:t>
      </w:r>
      <w:r w:rsidR="00A862F0" w:rsidRPr="00A862F0">
        <w:rPr>
          <w:sz w:val="18"/>
          <w:szCs w:val="18"/>
        </w:rPr>
        <w:t>Tocilizumab</w:t>
      </w:r>
      <w:r w:rsidRPr="006A64EE">
        <w:rPr>
          <w:sz w:val="18"/>
          <w:szCs w:val="18"/>
        </w:rPr>
        <w:t xml:space="preserve"> in klinischen Studien erhalten haben.</w:t>
      </w:r>
    </w:p>
    <w:p w14:paraId="6676B8B4" w14:textId="77777777" w:rsidR="00093A5E" w:rsidRPr="006A64EE" w:rsidRDefault="00093A5E" w:rsidP="004255F8">
      <w:pPr>
        <w:pStyle w:val="a3"/>
        <w:widowControl/>
        <w:rPr>
          <w:u w:val="single"/>
        </w:rPr>
      </w:pPr>
    </w:p>
    <w:p w14:paraId="4526EE80" w14:textId="77777777" w:rsidR="00093A5E" w:rsidRPr="006A64EE" w:rsidRDefault="009C2544" w:rsidP="004255F8">
      <w:pPr>
        <w:pStyle w:val="a3"/>
        <w:widowControl/>
      </w:pPr>
      <w:r w:rsidRPr="006A64EE">
        <w:rPr>
          <w:u w:val="single"/>
        </w:rPr>
        <w:lastRenderedPageBreak/>
        <w:t>Subkutane Anwendung</w:t>
      </w:r>
    </w:p>
    <w:p w14:paraId="5095B3E6" w14:textId="77777777" w:rsidR="00093A5E" w:rsidRPr="006A64EE" w:rsidRDefault="009C2544" w:rsidP="004255F8">
      <w:pPr>
        <w:widowControl/>
        <w:rPr>
          <w:b/>
        </w:rPr>
      </w:pPr>
      <w:r w:rsidRPr="006A64EE">
        <w:rPr>
          <w:b/>
          <w:u w:val="single"/>
        </w:rPr>
        <w:t>RA</w:t>
      </w:r>
    </w:p>
    <w:p w14:paraId="5BA39990" w14:textId="4B005D95" w:rsidR="00093A5E" w:rsidRPr="006A64EE" w:rsidRDefault="009C2544" w:rsidP="004255F8">
      <w:pPr>
        <w:pStyle w:val="a3"/>
        <w:widowControl/>
      </w:pPr>
      <w:r w:rsidRPr="006A64EE">
        <w:t xml:space="preserve">Die Sicherheit der subkutanen Anwendung von </w:t>
      </w:r>
      <w:r w:rsidR="000C4DCB">
        <w:t>Tocilizumab</w:t>
      </w:r>
      <w:r w:rsidR="000C4DCB" w:rsidRPr="006A64EE">
        <w:t xml:space="preserve"> </w:t>
      </w:r>
      <w:r w:rsidRPr="006A64EE">
        <w:t xml:space="preserve">bei Patienten mit RA wurde in der doppelblinden, kontrollierten, multizentrischen Studie SC-I untersucht. Bei der Studie SC-I handelt es sich um eine Nicht-Unterlegenheitsstudie, in der die Wirksamkeit und Sicherheit von </w:t>
      </w:r>
      <w:r w:rsidR="000C4DCB">
        <w:t>Tocilizumab</w:t>
      </w:r>
      <w:r w:rsidR="00EB7604" w:rsidRPr="006A64EE">
        <w:t xml:space="preserve"> </w:t>
      </w:r>
      <w:r w:rsidRPr="006A64EE">
        <w:t>162</w:t>
      </w:r>
      <w:r w:rsidR="005A1E43">
        <w:t> </w:t>
      </w:r>
      <w:r w:rsidRPr="006A64EE">
        <w:t>mg subkutan, einmal wöchentlich verabreicht, mit Tocilizumab 8</w:t>
      </w:r>
      <w:r w:rsidR="005A1E43">
        <w:t> </w:t>
      </w:r>
      <w:r w:rsidRPr="006A64EE">
        <w:t>mg/kg intravenös bei</w:t>
      </w:r>
      <w:r w:rsidR="00EB7604" w:rsidRPr="006A64EE">
        <w:t xml:space="preserve"> </w:t>
      </w:r>
      <w:r w:rsidRPr="006A64EE">
        <w:t>1</w:t>
      </w:r>
      <w:r w:rsidR="005A1E43">
        <w:t> </w:t>
      </w:r>
      <w:r w:rsidRPr="006A64EE">
        <w:t>262</w:t>
      </w:r>
      <w:r w:rsidR="005A1E43">
        <w:t> </w:t>
      </w:r>
      <w:r w:rsidRPr="006A64EE">
        <w:t xml:space="preserve">Patienten mit RA verglichen wurden. Alle Patienten erhielten eine Basismedikation mit nicht-biologischen DMARDs. Die für subkutan verabreichtes </w:t>
      </w:r>
      <w:r w:rsidR="000C4DCB">
        <w:t>Tocilizumab</w:t>
      </w:r>
      <w:r w:rsidRPr="006A64EE">
        <w:t xml:space="preserve"> beobachtete Sicherheit und Immunogenität stimmten mit dem bekannten Sicherheitsprofil von intravenös verabreichtem </w:t>
      </w:r>
      <w:r w:rsidR="000C4DCB">
        <w:t>Tocilizumab</w:t>
      </w:r>
      <w:r w:rsidRPr="006A64EE">
        <w:t xml:space="preserve"> überein, und es wurden keine neuen oder unerwarteten Nebenwirkungen beobachtet (siehe Tabelle</w:t>
      </w:r>
      <w:r w:rsidR="005A1E43">
        <w:t> </w:t>
      </w:r>
      <w:r w:rsidRPr="006A64EE">
        <w:t>1). In den Armen mit der subkutanen Darreichungsform wurde im Vergleich zu den subkutanen Placebo-Injektionen in den Armen mit der intravenösen Darreichungsform ein häufigeres Auftreten von Reaktionen an der Injektionsstelle beobachtet.</w:t>
      </w:r>
    </w:p>
    <w:p w14:paraId="2E471BCE" w14:textId="77777777" w:rsidR="00093A5E" w:rsidRPr="006A64EE" w:rsidRDefault="00093A5E" w:rsidP="004255F8">
      <w:pPr>
        <w:pStyle w:val="a3"/>
        <w:widowControl/>
      </w:pPr>
    </w:p>
    <w:p w14:paraId="1FAD1AC1" w14:textId="4D131BA2" w:rsidR="00093A5E" w:rsidRPr="006A64EE" w:rsidRDefault="009C2544" w:rsidP="00E303AE">
      <w:pPr>
        <w:widowControl/>
      </w:pPr>
      <w:r w:rsidRPr="006A64EE">
        <w:rPr>
          <w:i/>
        </w:rPr>
        <w:t>Reaktionen an der Injektionsstelle</w:t>
      </w:r>
      <w:r w:rsidR="00A862F0">
        <w:rPr>
          <w:i/>
        </w:rPr>
        <w:br/>
      </w:r>
      <w:r w:rsidRPr="006A64EE">
        <w:t xml:space="preserve">In der Studie SC-I betrug während des 6-monatigen kontrollierten Zeitraums die Häufigkeit von Reaktionen an der Injektionsstelle bei der Anwendung von </w:t>
      </w:r>
      <w:r w:rsidR="000C4DCB">
        <w:t>Tocilizumab</w:t>
      </w:r>
      <w:r w:rsidRPr="006A64EE">
        <w:t xml:space="preserve"> subkutan 10,1 % (64/631) und bei der Anwendung von Placebo subkutan (intravenöse Gruppe) 2,4 % (15/631) bei wöchentlichen Injektionen. Diese Reaktionen an der Injektionsstelle (einschließlich Erythem, Pruritus, Schmerzen und Hämatom) waren von leichtem bis mäßigem Schweregrad. Die Mehrzahl ging ohne Behandlung zurück und keine der Reaktionen erforderte ein Absetzen des Arzneimittels.</w:t>
      </w:r>
    </w:p>
    <w:p w14:paraId="56969226" w14:textId="77777777" w:rsidR="00093A5E" w:rsidRPr="006A64EE" w:rsidRDefault="00093A5E" w:rsidP="004255F8">
      <w:pPr>
        <w:pStyle w:val="a3"/>
        <w:widowControl/>
      </w:pPr>
    </w:p>
    <w:p w14:paraId="49A2BD48" w14:textId="77777777" w:rsidR="00093A5E" w:rsidRPr="006A64EE" w:rsidRDefault="009C2544" w:rsidP="004255F8">
      <w:pPr>
        <w:keepNext/>
        <w:widowControl/>
        <w:rPr>
          <w:i/>
        </w:rPr>
      </w:pPr>
      <w:r w:rsidRPr="006A64EE">
        <w:rPr>
          <w:i/>
        </w:rPr>
        <w:t>Hämatologische Anomalien:</w:t>
      </w:r>
    </w:p>
    <w:p w14:paraId="6C67BA08" w14:textId="77777777" w:rsidR="00093A5E" w:rsidRPr="006A64EE" w:rsidRDefault="009C2544" w:rsidP="004255F8">
      <w:pPr>
        <w:keepNext/>
        <w:widowControl/>
        <w:rPr>
          <w:i/>
        </w:rPr>
      </w:pPr>
      <w:r w:rsidRPr="006A64EE">
        <w:rPr>
          <w:i/>
        </w:rPr>
        <w:t>Neutrophile Granulozyten</w:t>
      </w:r>
    </w:p>
    <w:p w14:paraId="02C26986" w14:textId="1FDBAEE2" w:rsidR="00093A5E" w:rsidRPr="006A64EE" w:rsidRDefault="009C2544" w:rsidP="004255F8">
      <w:pPr>
        <w:pStyle w:val="a3"/>
        <w:keepNext/>
        <w:widowControl/>
      </w:pPr>
      <w:r w:rsidRPr="006A64EE">
        <w:t xml:space="preserve">In der 6-monatigen kontrollierten klinischen Studie SC-I mit </w:t>
      </w:r>
      <w:r w:rsidR="00AF2863">
        <w:t>Tocilizumab</w:t>
      </w:r>
      <w:r w:rsidRPr="006A64EE">
        <w:t xml:space="preserve"> wurde während routinemäßiger Laboruntersuchungen bei 2,9 % der Patienten mit wöchentlicher subkutaner Dosis eine</w:t>
      </w:r>
      <w:r w:rsidR="00941F47" w:rsidRPr="006A64EE">
        <w:t xml:space="preserve"> </w:t>
      </w:r>
      <w:r w:rsidR="007D680A" w:rsidRPr="006A64EE">
        <w:t>Verringerung der neutrophilen Granulozyten auf unter 1 x 10</w:t>
      </w:r>
      <w:r w:rsidR="007D680A" w:rsidRPr="006A64EE">
        <w:rPr>
          <w:vertAlign w:val="superscript"/>
        </w:rPr>
        <w:t>9</w:t>
      </w:r>
      <w:r w:rsidR="007D680A" w:rsidRPr="006A64EE">
        <w:t>/l beobachtet.</w:t>
      </w:r>
    </w:p>
    <w:p w14:paraId="7756E62F" w14:textId="77777777" w:rsidR="00093A5E" w:rsidRPr="006A64EE" w:rsidRDefault="00093A5E" w:rsidP="004255F8">
      <w:pPr>
        <w:pStyle w:val="a3"/>
        <w:widowControl/>
      </w:pPr>
    </w:p>
    <w:p w14:paraId="5F6EE873" w14:textId="77777777" w:rsidR="00093A5E" w:rsidRPr="006A64EE" w:rsidRDefault="009C2544" w:rsidP="004255F8">
      <w:pPr>
        <w:pStyle w:val="a3"/>
        <w:widowControl/>
      </w:pPr>
      <w:r w:rsidRPr="006A64EE">
        <w:t>Es gab keinen eindeutigen Zusammenhang zwischen einem Abfall der neutrophilen Granulozyten unter 1 x 10</w:t>
      </w:r>
      <w:r w:rsidRPr="006A64EE">
        <w:rPr>
          <w:vertAlign w:val="superscript"/>
        </w:rPr>
        <w:t>9</w:t>
      </w:r>
      <w:r w:rsidRPr="006A64EE">
        <w:t>/l und dem Auftreten schwerwiegender Infektionen.</w:t>
      </w:r>
    </w:p>
    <w:p w14:paraId="3CD872D2" w14:textId="77777777" w:rsidR="00093A5E" w:rsidRPr="006A64EE" w:rsidRDefault="00093A5E" w:rsidP="004255F8">
      <w:pPr>
        <w:pStyle w:val="a3"/>
        <w:widowControl/>
      </w:pPr>
    </w:p>
    <w:p w14:paraId="2F8CC2FD" w14:textId="77777777" w:rsidR="00093A5E" w:rsidRPr="006A64EE" w:rsidRDefault="009C2544" w:rsidP="004255F8">
      <w:pPr>
        <w:widowControl/>
        <w:rPr>
          <w:i/>
        </w:rPr>
      </w:pPr>
      <w:r w:rsidRPr="006A64EE">
        <w:rPr>
          <w:i/>
        </w:rPr>
        <w:t>Thrombozyten</w:t>
      </w:r>
    </w:p>
    <w:p w14:paraId="0131641F" w14:textId="49D0E0C1" w:rsidR="00093A5E" w:rsidRPr="006A64EE" w:rsidRDefault="009C2544" w:rsidP="004255F8">
      <w:pPr>
        <w:pStyle w:val="a3"/>
        <w:widowControl/>
      </w:pPr>
      <w:r w:rsidRPr="006A64EE">
        <w:t xml:space="preserve">In der 6-monatigen kontrollierten klinischen Studie SC-I mit </w:t>
      </w:r>
      <w:r w:rsidR="00AF2863">
        <w:t>Tocilizumab</w:t>
      </w:r>
      <w:r w:rsidRPr="006A64EE">
        <w:t xml:space="preserve"> sank während routinemäßiger Laboruntersuchungen bei keinem der Patienten mit wöchentlicher subkutaner Dosis die Thrombozytenzahl auf ≤ 50 x 10</w:t>
      </w:r>
      <w:r w:rsidRPr="006A64EE">
        <w:rPr>
          <w:vertAlign w:val="superscript"/>
        </w:rPr>
        <w:t>3</w:t>
      </w:r>
      <w:r w:rsidRPr="006A64EE">
        <w:t>/µl.</w:t>
      </w:r>
    </w:p>
    <w:p w14:paraId="5EDA9ECD" w14:textId="77777777" w:rsidR="00093A5E" w:rsidRPr="006A64EE" w:rsidRDefault="00093A5E" w:rsidP="004255F8">
      <w:pPr>
        <w:pStyle w:val="a3"/>
        <w:widowControl/>
      </w:pPr>
    </w:p>
    <w:p w14:paraId="33E7D212" w14:textId="77777777" w:rsidR="00093A5E" w:rsidRPr="006A64EE" w:rsidRDefault="009C2544" w:rsidP="004255F8">
      <w:pPr>
        <w:widowControl/>
        <w:rPr>
          <w:i/>
        </w:rPr>
      </w:pPr>
      <w:r w:rsidRPr="006A64EE">
        <w:rPr>
          <w:i/>
        </w:rPr>
        <w:t>Erhöhung der Lebertransaminasen</w:t>
      </w:r>
    </w:p>
    <w:p w14:paraId="51B42EA3" w14:textId="6D4B1EFB" w:rsidR="00093A5E" w:rsidRPr="006A64EE" w:rsidRDefault="009C2544" w:rsidP="004255F8">
      <w:pPr>
        <w:pStyle w:val="a3"/>
        <w:widowControl/>
      </w:pPr>
      <w:r w:rsidRPr="006A64EE">
        <w:t xml:space="preserve">In der 6-monatigen kontrollierten klinischen Studie SC-I mit </w:t>
      </w:r>
      <w:r w:rsidR="00AF2863">
        <w:t>Tocilizumab</w:t>
      </w:r>
      <w:r w:rsidRPr="006A64EE">
        <w:t xml:space="preserve"> traten während routinemäßiger Laboruntersuchungen bei 6,5 % der Patienten mit wöchentlicher subkutaner Dosis Erhöhungen der ALAT auf ≥ 3 x ULN und bei 1,4 % der Patienten Erhöhungen der ASAT auf</w:t>
      </w:r>
      <w:r w:rsidR="00941F47" w:rsidRPr="006A64EE">
        <w:t xml:space="preserve"> </w:t>
      </w:r>
      <w:r w:rsidRPr="006A64EE">
        <w:t>≥ 3 x ULN auf.</w:t>
      </w:r>
    </w:p>
    <w:p w14:paraId="086DFE68" w14:textId="77777777" w:rsidR="00093A5E" w:rsidRPr="006A64EE" w:rsidRDefault="00093A5E" w:rsidP="004255F8">
      <w:pPr>
        <w:pStyle w:val="a3"/>
        <w:widowControl/>
      </w:pPr>
    </w:p>
    <w:p w14:paraId="7C6904E5" w14:textId="77777777" w:rsidR="00093A5E" w:rsidRPr="006A64EE" w:rsidRDefault="009C2544" w:rsidP="004255F8">
      <w:pPr>
        <w:widowControl/>
        <w:rPr>
          <w:i/>
        </w:rPr>
      </w:pPr>
      <w:r w:rsidRPr="006A64EE">
        <w:rPr>
          <w:i/>
        </w:rPr>
        <w:t>Lipidwerte</w:t>
      </w:r>
    </w:p>
    <w:p w14:paraId="33028DB7" w14:textId="3B00D51C" w:rsidR="00093A5E" w:rsidRPr="006A64EE" w:rsidRDefault="009C2544" w:rsidP="004255F8">
      <w:pPr>
        <w:pStyle w:val="a3"/>
        <w:widowControl/>
      </w:pPr>
      <w:r w:rsidRPr="006A64EE">
        <w:t xml:space="preserve">In der 6-monatigen kontrollierten klinischen Studie SC-I mit </w:t>
      </w:r>
      <w:r w:rsidR="00AF2863">
        <w:t>Tocilizumab</w:t>
      </w:r>
      <w:r w:rsidRPr="006A64EE">
        <w:t xml:space="preserve"> trat während routinemäßiger Laboruntersuchungen bei 19 % der Patienten mit wöchentlicher subkutaner Dosis eine anhaltende Erhöhung des Gesamtcholesterins von &gt; 6,2 mmol/l (240</w:t>
      </w:r>
      <w:r w:rsidR="008D73EB">
        <w:t> </w:t>
      </w:r>
      <w:r w:rsidRPr="006A64EE">
        <w:t>mg/dl) auf. Von diesen Patienten hatten 9 % eine anhaltende Erhöhung des LDL auf ≥ 4,1 mmol/l (160</w:t>
      </w:r>
      <w:r w:rsidR="008D73EB">
        <w:t> </w:t>
      </w:r>
      <w:r w:rsidRPr="006A64EE">
        <w:t>mg/dl).</w:t>
      </w:r>
    </w:p>
    <w:p w14:paraId="0403810C" w14:textId="77777777" w:rsidR="00093A5E" w:rsidRPr="006A64EE" w:rsidRDefault="00093A5E" w:rsidP="004255F8">
      <w:pPr>
        <w:pStyle w:val="a3"/>
        <w:widowControl/>
      </w:pPr>
    </w:p>
    <w:p w14:paraId="121491BF" w14:textId="77777777" w:rsidR="00093A5E" w:rsidRPr="006A64EE" w:rsidRDefault="009C2544" w:rsidP="004255F8">
      <w:pPr>
        <w:widowControl/>
        <w:rPr>
          <w:b/>
        </w:rPr>
      </w:pPr>
      <w:r w:rsidRPr="006A64EE">
        <w:rPr>
          <w:b/>
          <w:u w:val="single"/>
        </w:rPr>
        <w:t>sJIA (s.c.)</w:t>
      </w:r>
    </w:p>
    <w:p w14:paraId="2B1C9822" w14:textId="265205B2" w:rsidR="00093A5E" w:rsidRPr="006A64EE" w:rsidRDefault="009C2544" w:rsidP="004255F8">
      <w:pPr>
        <w:pStyle w:val="a3"/>
        <w:widowControl/>
      </w:pPr>
      <w:r w:rsidRPr="006A64EE">
        <w:t xml:space="preserve">Das Sicherheitsprofil von </w:t>
      </w:r>
      <w:r w:rsidR="00AF2863">
        <w:t>Tocilizumab</w:t>
      </w:r>
      <w:r w:rsidRPr="006A64EE">
        <w:t xml:space="preserve"> subkutan wurde bei 51 pädiatrischen Patienten (im Alter zwischen 1 und 17 Jahren) mit sJIA untersucht. Im Allgemeinen waren die Nebenwirkungen bei Patienten mit sJIA ähnlich denen, die bei Patienten mit RA beobachtet wurden (siehe Abschnitt Nebenwirkungen oben).</w:t>
      </w:r>
    </w:p>
    <w:p w14:paraId="03050EC5" w14:textId="77777777" w:rsidR="00093A5E" w:rsidRPr="006A64EE" w:rsidRDefault="00093A5E" w:rsidP="004255F8">
      <w:pPr>
        <w:pStyle w:val="a3"/>
        <w:widowControl/>
      </w:pPr>
    </w:p>
    <w:p w14:paraId="4BEC765E" w14:textId="77777777" w:rsidR="00093A5E" w:rsidRPr="006A64EE" w:rsidRDefault="009C2544" w:rsidP="004255F8">
      <w:pPr>
        <w:widowControl/>
        <w:rPr>
          <w:i/>
        </w:rPr>
      </w:pPr>
      <w:r w:rsidRPr="006A64EE">
        <w:rPr>
          <w:i/>
        </w:rPr>
        <w:t>Infektionen</w:t>
      </w:r>
    </w:p>
    <w:p w14:paraId="2BA406F3" w14:textId="354E8359" w:rsidR="00093A5E" w:rsidRPr="006A64EE" w:rsidRDefault="009C2544" w:rsidP="004255F8">
      <w:pPr>
        <w:pStyle w:val="a3"/>
        <w:widowControl/>
      </w:pPr>
      <w:r w:rsidRPr="006A64EE">
        <w:lastRenderedPageBreak/>
        <w:t xml:space="preserve">Die Infektionsrate bei Patienten mit sJIA, die mit </w:t>
      </w:r>
      <w:r w:rsidR="00AF2863">
        <w:t>Tocilizumab</w:t>
      </w:r>
      <w:r w:rsidRPr="006A64EE">
        <w:t xml:space="preserve"> subkutan behandelt wurden, war vergleichbar mit der Rate bei sJIA-Patienten, die mit </w:t>
      </w:r>
      <w:r w:rsidR="00AF2863">
        <w:t>Tocilizumab</w:t>
      </w:r>
      <w:r w:rsidRPr="006A64EE">
        <w:t xml:space="preserve"> intravenös behandelt wurden.</w:t>
      </w:r>
    </w:p>
    <w:p w14:paraId="4EAB550B" w14:textId="77777777" w:rsidR="00093A5E" w:rsidRPr="006A64EE" w:rsidRDefault="00093A5E" w:rsidP="004255F8">
      <w:pPr>
        <w:pStyle w:val="a3"/>
        <w:widowControl/>
      </w:pPr>
    </w:p>
    <w:p w14:paraId="455ACEDA" w14:textId="77777777" w:rsidR="00093A5E" w:rsidRPr="006A64EE" w:rsidRDefault="009C2544" w:rsidP="004255F8">
      <w:pPr>
        <w:widowControl/>
        <w:rPr>
          <w:i/>
        </w:rPr>
      </w:pPr>
      <w:r w:rsidRPr="006A64EE">
        <w:rPr>
          <w:i/>
        </w:rPr>
        <w:t>Reaktionen an der Injektionsstelle (ISRs)</w:t>
      </w:r>
    </w:p>
    <w:p w14:paraId="6C302004" w14:textId="62275647" w:rsidR="00093A5E" w:rsidRPr="006A64EE" w:rsidRDefault="009C2544" w:rsidP="004255F8">
      <w:pPr>
        <w:pStyle w:val="a3"/>
        <w:widowControl/>
      </w:pPr>
      <w:r w:rsidRPr="006A64EE">
        <w:t xml:space="preserve">In der Studie mit </w:t>
      </w:r>
      <w:r w:rsidR="00AF2863">
        <w:t>Tocilizumab</w:t>
      </w:r>
      <w:r w:rsidRPr="006A64EE">
        <w:t xml:space="preserve"> subkutan (WA28118) zeigten insgesamt 41,2 % (21/51) der Patienten mit sJIA Reaktionen an der Injektionsstelle gegenüber </w:t>
      </w:r>
      <w:r w:rsidR="00E26B13">
        <w:t>Tocilizumab</w:t>
      </w:r>
      <w:r w:rsidR="00E26B13" w:rsidRPr="006A64EE">
        <w:t xml:space="preserve"> </w:t>
      </w:r>
      <w:r w:rsidRPr="006A64EE">
        <w:t>subkutan. Die häufigsten Reaktionen waren Erythem, Pruritus, Schmerzen und Schwellungen an der Injektionsstelle. Die Mehrzahl der gemeldeten Reaktionen an der Injektionsstelle waren Ereignisse vom Grad 1, und alle gemeldeten Reaktionen waren nicht schwerwiegend, und keine der Reaktionen erforderte einen Abbruch oder eine Unterbrechung der Behandlung.</w:t>
      </w:r>
    </w:p>
    <w:p w14:paraId="35865B7F" w14:textId="77777777" w:rsidR="00093A5E" w:rsidRPr="006A64EE" w:rsidRDefault="00093A5E" w:rsidP="004255F8">
      <w:pPr>
        <w:pStyle w:val="a3"/>
        <w:widowControl/>
      </w:pPr>
    </w:p>
    <w:p w14:paraId="4E101609" w14:textId="77777777" w:rsidR="00093A5E" w:rsidRPr="006A64EE" w:rsidRDefault="009C2544" w:rsidP="004255F8">
      <w:pPr>
        <w:widowControl/>
        <w:rPr>
          <w:i/>
        </w:rPr>
      </w:pPr>
      <w:r w:rsidRPr="006A64EE">
        <w:rPr>
          <w:i/>
        </w:rPr>
        <w:t>Abnormale Laborwerte</w:t>
      </w:r>
    </w:p>
    <w:p w14:paraId="1F601435" w14:textId="5DF07802" w:rsidR="00093A5E" w:rsidRPr="006A64EE" w:rsidRDefault="009C2544" w:rsidP="004255F8">
      <w:pPr>
        <w:pStyle w:val="a3"/>
        <w:widowControl/>
      </w:pPr>
      <w:r w:rsidRPr="006A64EE">
        <w:t xml:space="preserve">Während der 52-wöchigen offenen Studie mit </w:t>
      </w:r>
      <w:r w:rsidR="00933E33">
        <w:t>Tocilizumab</w:t>
      </w:r>
      <w:r w:rsidRPr="006A64EE">
        <w:t xml:space="preserve"> subkutan (WA28118) kam es bei 23,5 % der mit </w:t>
      </w:r>
      <w:r w:rsidR="00E26B13">
        <w:t>Tocilizumab</w:t>
      </w:r>
      <w:r w:rsidRPr="006A64EE">
        <w:t xml:space="preserve"> subkutan behandelten Patienten zu einem Rückgang der Neutrophilenzahl auf unter 1 x 10</w:t>
      </w:r>
      <w:r w:rsidRPr="006A64EE">
        <w:rPr>
          <w:vertAlign w:val="superscript"/>
        </w:rPr>
        <w:t>9</w:t>
      </w:r>
      <w:r w:rsidRPr="006A64EE">
        <w:t xml:space="preserve">/l. Bei 2 % der mit </w:t>
      </w:r>
      <w:r w:rsidR="00933E33">
        <w:t>Tocilizumab</w:t>
      </w:r>
      <w:r w:rsidRPr="006A64EE">
        <w:t xml:space="preserve"> subkutan behandelten Patienten trat ein Rückgang der Thrombozytenzahl auf &lt; 100 x 10</w:t>
      </w:r>
      <w:r w:rsidRPr="006A64EE">
        <w:rPr>
          <w:vertAlign w:val="superscript"/>
        </w:rPr>
        <w:t>3</w:t>
      </w:r>
      <w:r w:rsidRPr="006A64EE">
        <w:t xml:space="preserve">/µl auf. Eine Erhöhung der ALAT oder ASAT auf ≥ 3 x ULN trat bei 9,8 % bzw. 4,0 % der mit </w:t>
      </w:r>
      <w:r w:rsidR="00933E33">
        <w:t>Tocilizumab</w:t>
      </w:r>
      <w:r w:rsidRPr="006A64EE">
        <w:t xml:space="preserve"> subkutan behandelten Patienten auf.</w:t>
      </w:r>
    </w:p>
    <w:p w14:paraId="43F406B3" w14:textId="77777777" w:rsidR="00093A5E" w:rsidRPr="006A64EE" w:rsidRDefault="00093A5E" w:rsidP="004255F8">
      <w:pPr>
        <w:pStyle w:val="a3"/>
        <w:widowControl/>
      </w:pPr>
    </w:p>
    <w:p w14:paraId="5BB2CAF6" w14:textId="77777777" w:rsidR="00093A5E" w:rsidRPr="006A64EE" w:rsidRDefault="009C2544" w:rsidP="00B320E1">
      <w:pPr>
        <w:keepNext/>
        <w:widowControl/>
        <w:rPr>
          <w:i/>
        </w:rPr>
      </w:pPr>
      <w:r w:rsidRPr="006A64EE">
        <w:rPr>
          <w:i/>
        </w:rPr>
        <w:t>Lipidwerte</w:t>
      </w:r>
    </w:p>
    <w:p w14:paraId="15490FF8" w14:textId="273A213B" w:rsidR="00093A5E" w:rsidRPr="006A64EE" w:rsidRDefault="009C2544" w:rsidP="004255F8">
      <w:pPr>
        <w:pStyle w:val="a3"/>
        <w:widowControl/>
      </w:pPr>
      <w:r w:rsidRPr="006A64EE">
        <w:t xml:space="preserve">Während der 52-wöchigen offenen Studie mit </w:t>
      </w:r>
      <w:r w:rsidR="00933E33">
        <w:t>Tocilizumab</w:t>
      </w:r>
      <w:r w:rsidRPr="006A64EE">
        <w:t xml:space="preserve"> subkutan (WA28118) kam es bei 23,4 % bzw. 35,4 % der Patienten zu einer post-Baseline Erhöhung des LDL-Cholesterinwertes auf</w:t>
      </w:r>
      <w:r w:rsidR="00941F47" w:rsidRPr="006A64EE">
        <w:t xml:space="preserve"> </w:t>
      </w:r>
      <w:r w:rsidRPr="006A64EE">
        <w:t>≥</w:t>
      </w:r>
      <w:r w:rsidR="00341837">
        <w:t> </w:t>
      </w:r>
      <w:r w:rsidRPr="006A64EE">
        <w:t>130</w:t>
      </w:r>
      <w:r w:rsidR="00341837">
        <w:t> </w:t>
      </w:r>
      <w:r w:rsidRPr="006A64EE">
        <w:t>mg/dl bzw. des Gesamtcholesterinwertes auf ≥</w:t>
      </w:r>
      <w:r w:rsidR="008D73EB">
        <w:t> </w:t>
      </w:r>
      <w:r w:rsidRPr="006A64EE">
        <w:t>200</w:t>
      </w:r>
      <w:r w:rsidR="008D73EB">
        <w:t> </w:t>
      </w:r>
      <w:r w:rsidRPr="006A64EE">
        <w:t>mg/dl, jeweils zu jedem Zeitpunkt der</w:t>
      </w:r>
      <w:r w:rsidR="00941F47" w:rsidRPr="006A64EE">
        <w:t xml:space="preserve"> </w:t>
      </w:r>
      <w:r w:rsidR="007D680A" w:rsidRPr="006A64EE">
        <w:t>Studienbehandlung.</w:t>
      </w:r>
    </w:p>
    <w:p w14:paraId="2EF648C7" w14:textId="77777777" w:rsidR="00093A5E" w:rsidRPr="006A64EE" w:rsidRDefault="00093A5E" w:rsidP="004255F8">
      <w:pPr>
        <w:pStyle w:val="a3"/>
        <w:widowControl/>
      </w:pPr>
    </w:p>
    <w:p w14:paraId="390894E1" w14:textId="77777777" w:rsidR="00093A5E" w:rsidRPr="006A64EE" w:rsidRDefault="009C2544" w:rsidP="004255F8">
      <w:pPr>
        <w:widowControl/>
        <w:rPr>
          <w:b/>
        </w:rPr>
      </w:pPr>
      <w:r w:rsidRPr="006A64EE">
        <w:rPr>
          <w:b/>
          <w:u w:val="single"/>
        </w:rPr>
        <w:t>pJIA (s.c.)</w:t>
      </w:r>
    </w:p>
    <w:p w14:paraId="6BBF5584" w14:textId="723A42F2" w:rsidR="00093A5E" w:rsidRPr="006A64EE" w:rsidRDefault="009C2544" w:rsidP="004255F8">
      <w:pPr>
        <w:pStyle w:val="a3"/>
        <w:widowControl/>
      </w:pPr>
      <w:r w:rsidRPr="006A64EE">
        <w:t xml:space="preserve">Das Sicherheitsprofil von </w:t>
      </w:r>
      <w:r w:rsidR="00933E33">
        <w:t>Tocilizumab</w:t>
      </w:r>
      <w:r w:rsidRPr="006A64EE">
        <w:t xml:space="preserve"> subkutan wurde ebenfalls bei 52 pädiatrischen Patienten mit pJIA untersucht. Die Patientenexposition mit </w:t>
      </w:r>
      <w:r w:rsidR="00933E33">
        <w:t>Tocilizumab</w:t>
      </w:r>
      <w:r w:rsidRPr="006A64EE">
        <w:t xml:space="preserve"> in der gesamten behandelten pJIA Population betrug insgesamt bei Tocilizumab intravenös 184,4 Patientenjahre und bei Tocilizumab subkutan 50,4 Patientenjahre. Insgesamt war das bei Patienten mit pJIA beobachtete Sicherheitsprofil mit dem bekannten Sicherheitsprofil von </w:t>
      </w:r>
      <w:r w:rsidR="00933E33">
        <w:t>Tocilizumab</w:t>
      </w:r>
      <w:r w:rsidRPr="006A64EE">
        <w:t xml:space="preserve"> vergleichbar, mit Ausnahme von Reaktionen an der Injektionsstelle (siehe Tabelle 1). Nach subkutanen </w:t>
      </w:r>
      <w:r w:rsidR="00933E33">
        <w:t>Tocilizumab</w:t>
      </w:r>
      <w:r w:rsidRPr="006A64EE">
        <w:t>-Injektionen traten Reaktionen an der Injektionsstelle bei einer größeren Anzahl an Patienten mit pJIA verglichen mit erwachsenen Patienten mit RA auf.</w:t>
      </w:r>
    </w:p>
    <w:p w14:paraId="264095E7" w14:textId="77777777" w:rsidR="00093A5E" w:rsidRPr="006A64EE" w:rsidRDefault="00093A5E" w:rsidP="004255F8">
      <w:pPr>
        <w:pStyle w:val="a3"/>
        <w:widowControl/>
      </w:pPr>
    </w:p>
    <w:p w14:paraId="63A9571F" w14:textId="77777777" w:rsidR="00093A5E" w:rsidRPr="006A64EE" w:rsidRDefault="009C2544" w:rsidP="004255F8">
      <w:pPr>
        <w:widowControl/>
        <w:rPr>
          <w:i/>
        </w:rPr>
      </w:pPr>
      <w:r w:rsidRPr="006A64EE">
        <w:rPr>
          <w:i/>
        </w:rPr>
        <w:t>Infektionen</w:t>
      </w:r>
    </w:p>
    <w:p w14:paraId="374DEAEE" w14:textId="54DD02E2" w:rsidR="00093A5E" w:rsidRPr="006A64EE" w:rsidRDefault="009C2544" w:rsidP="004255F8">
      <w:pPr>
        <w:pStyle w:val="a3"/>
        <w:widowControl/>
      </w:pPr>
      <w:r w:rsidRPr="006A64EE">
        <w:t xml:space="preserve">In der Studie mit der subkutanen Anwendung von </w:t>
      </w:r>
      <w:r w:rsidR="00933E33">
        <w:t>Tocilizumab</w:t>
      </w:r>
      <w:r w:rsidRPr="006A64EE">
        <w:t xml:space="preserve"> war die Infektionsrate bei Patienten mit pJIA, die mit </w:t>
      </w:r>
      <w:r w:rsidR="00933E33">
        <w:t>Tocilizumab</w:t>
      </w:r>
      <w:r w:rsidRPr="006A64EE">
        <w:t xml:space="preserve"> subkutan behandelt wurden, vergleichbar mit der Rate bei Patienten mit pJIA, die mit </w:t>
      </w:r>
      <w:r w:rsidR="00933E33">
        <w:t>Tocilizumab</w:t>
      </w:r>
      <w:r w:rsidRPr="006A64EE">
        <w:t xml:space="preserve"> intravenös behandelt wurden.</w:t>
      </w:r>
    </w:p>
    <w:p w14:paraId="433A72D2" w14:textId="77777777" w:rsidR="00093A5E" w:rsidRPr="006A64EE" w:rsidRDefault="00093A5E" w:rsidP="004255F8">
      <w:pPr>
        <w:pStyle w:val="a3"/>
        <w:widowControl/>
      </w:pPr>
    </w:p>
    <w:p w14:paraId="08DE4CC3" w14:textId="77777777" w:rsidR="00093A5E" w:rsidRPr="006A64EE" w:rsidRDefault="009C2544" w:rsidP="004255F8">
      <w:pPr>
        <w:widowControl/>
        <w:rPr>
          <w:i/>
        </w:rPr>
      </w:pPr>
      <w:r w:rsidRPr="006A64EE">
        <w:rPr>
          <w:i/>
        </w:rPr>
        <w:t>Reaktionen an der Injektionsstelle</w:t>
      </w:r>
    </w:p>
    <w:p w14:paraId="7BEA329E" w14:textId="3DC4802D" w:rsidR="00093A5E" w:rsidRPr="006A64EE" w:rsidRDefault="009C2544" w:rsidP="004255F8">
      <w:pPr>
        <w:pStyle w:val="a3"/>
        <w:widowControl/>
      </w:pPr>
      <w:r w:rsidRPr="006A64EE">
        <w:t xml:space="preserve">Insgesamt traten bei 28,8 % (15/52) der mit </w:t>
      </w:r>
      <w:r w:rsidR="00933E33">
        <w:t>Tocilizumab</w:t>
      </w:r>
      <w:r w:rsidRPr="006A64EE">
        <w:t xml:space="preserve"> subkutan behandelten Patienten mit pJIA Reaktionen an der Injektionsstelle auf. Diese Reaktionen traten bei 44 % der Patienten mit einem Körpergewicht von ≥ 30 kg, verglichen mit 14,8 % bei Patienten mit einem Körpergewicht von weniger als 30 kg, auf. Die häufigsten Reaktionen an der Injektionsstelle waren Erythem an der Injektionsstelle, Schwellung, Hämatom, Schmerzen und Pruritus. Alle berichteten Reaktionen an der Injektionsstelle waren nicht schwerwiegende Ereignisse von Grad 1, und keine der Reaktionen an der Injektionsstelle erforderte einen Abbruch oder eine Unterbrechung der Behandlung.</w:t>
      </w:r>
    </w:p>
    <w:p w14:paraId="02F2C090" w14:textId="77777777" w:rsidR="00093A5E" w:rsidRPr="006A64EE" w:rsidRDefault="00093A5E" w:rsidP="004255F8">
      <w:pPr>
        <w:pStyle w:val="a3"/>
        <w:widowControl/>
      </w:pPr>
    </w:p>
    <w:p w14:paraId="57283A8B" w14:textId="77777777" w:rsidR="00093A5E" w:rsidRPr="006A64EE" w:rsidRDefault="009C2544" w:rsidP="004255F8">
      <w:pPr>
        <w:widowControl/>
        <w:rPr>
          <w:i/>
        </w:rPr>
      </w:pPr>
      <w:r w:rsidRPr="006A64EE">
        <w:rPr>
          <w:i/>
        </w:rPr>
        <w:t>Abnormale Laborwerte</w:t>
      </w:r>
    </w:p>
    <w:p w14:paraId="5D74B635" w14:textId="7117F502" w:rsidR="00093A5E" w:rsidRPr="006A64EE" w:rsidRDefault="009C2544" w:rsidP="004255F8">
      <w:pPr>
        <w:pStyle w:val="a3"/>
        <w:widowControl/>
      </w:pPr>
      <w:r w:rsidRPr="006A64EE">
        <w:t xml:space="preserve">Während der Routinelaborüberwachung in der gesamten mit </w:t>
      </w:r>
      <w:r w:rsidR="00504769">
        <w:t>Tocilizumab</w:t>
      </w:r>
      <w:r w:rsidRPr="006A64EE">
        <w:t xml:space="preserve"> behandelten Population kam es bei 15,4 % der mit </w:t>
      </w:r>
      <w:r w:rsidR="00504769">
        <w:t>Tocilizumab</w:t>
      </w:r>
      <w:r w:rsidRPr="006A64EE">
        <w:t xml:space="preserve"> subkutan behandelten Patienten zu einem Rückgang der Neutrophilenzahl auf unter 1 x 10</w:t>
      </w:r>
      <w:r w:rsidRPr="006A64EE">
        <w:rPr>
          <w:vertAlign w:val="superscript"/>
        </w:rPr>
        <w:t>9</w:t>
      </w:r>
      <w:r w:rsidRPr="006A64EE">
        <w:t>/l. Eine Erhöhung der ALAT oder ASAT auf ≥ 3 x ULN trat bei 9,6</w:t>
      </w:r>
      <w:r w:rsidR="00A862F0">
        <w:t> </w:t>
      </w:r>
      <w:r w:rsidRPr="006A64EE">
        <w:t xml:space="preserve">% bzw. 3,8 % der mit </w:t>
      </w:r>
      <w:r w:rsidR="00504769">
        <w:t>Tocilizumab</w:t>
      </w:r>
      <w:r w:rsidRPr="006A64EE">
        <w:t xml:space="preserve"> subkutan behandelten Patienten auf. Bei keinem der mit </w:t>
      </w:r>
      <w:r w:rsidR="00504769">
        <w:t>Tocilizumab</w:t>
      </w:r>
      <w:r w:rsidRPr="006A64EE">
        <w:t xml:space="preserve"> subkutan behandelten Patienten trat ein Rückgang der Thrombozytenzahl auf</w:t>
      </w:r>
      <w:r w:rsidR="00941F47" w:rsidRPr="006A64EE">
        <w:t xml:space="preserve"> </w:t>
      </w:r>
      <w:r w:rsidRPr="006A64EE">
        <w:t>≤ 50 x 10</w:t>
      </w:r>
      <w:r w:rsidRPr="006A64EE">
        <w:rPr>
          <w:vertAlign w:val="superscript"/>
        </w:rPr>
        <w:t>3</w:t>
      </w:r>
      <w:r w:rsidRPr="006A64EE">
        <w:t>/µl auf.</w:t>
      </w:r>
    </w:p>
    <w:p w14:paraId="617EEB7D" w14:textId="77777777" w:rsidR="00093A5E" w:rsidRPr="006A64EE" w:rsidRDefault="00093A5E" w:rsidP="004255F8">
      <w:pPr>
        <w:pStyle w:val="a3"/>
        <w:widowControl/>
      </w:pPr>
    </w:p>
    <w:p w14:paraId="3E458538" w14:textId="77777777" w:rsidR="00093A5E" w:rsidRPr="006A64EE" w:rsidRDefault="009C2544" w:rsidP="004255F8">
      <w:pPr>
        <w:widowControl/>
        <w:rPr>
          <w:i/>
        </w:rPr>
      </w:pPr>
      <w:r w:rsidRPr="006A64EE">
        <w:rPr>
          <w:i/>
        </w:rPr>
        <w:lastRenderedPageBreak/>
        <w:t>Lipidwerte</w:t>
      </w:r>
    </w:p>
    <w:p w14:paraId="0BD42F1A" w14:textId="7B5362A5" w:rsidR="00093A5E" w:rsidRPr="006A64EE" w:rsidRDefault="009C2544" w:rsidP="004255F8">
      <w:pPr>
        <w:pStyle w:val="a3"/>
        <w:widowControl/>
      </w:pPr>
      <w:r w:rsidRPr="006A64EE">
        <w:t xml:space="preserve">In der Studie mit </w:t>
      </w:r>
      <w:r w:rsidR="00EA382B">
        <w:t>Tocilizumab</w:t>
      </w:r>
      <w:r w:rsidRPr="006A64EE">
        <w:t xml:space="preserve"> subkutan kam es bei 14,3 % bzw. 12,8 % der Patienten zu einer post-Baseline Erhöhung des LDL-Cholesterinwertes auf ≥</w:t>
      </w:r>
      <w:r w:rsidR="008D73EB">
        <w:t> </w:t>
      </w:r>
      <w:r w:rsidRPr="006A64EE">
        <w:t>130</w:t>
      </w:r>
      <w:r w:rsidR="008D73EB">
        <w:t> </w:t>
      </w:r>
      <w:r w:rsidRPr="006A64EE">
        <w:t>mg/dl bzw. des Gesamtcholesterinwertes auf</w:t>
      </w:r>
      <w:r w:rsidR="00941F47" w:rsidRPr="006A64EE">
        <w:t xml:space="preserve"> </w:t>
      </w:r>
      <w:r w:rsidRPr="006A64EE">
        <w:t>≥</w:t>
      </w:r>
      <w:r w:rsidR="008D73EB">
        <w:t> </w:t>
      </w:r>
      <w:r w:rsidRPr="006A64EE">
        <w:t>200</w:t>
      </w:r>
      <w:r w:rsidR="008D73EB">
        <w:t> </w:t>
      </w:r>
      <w:r w:rsidRPr="006A64EE">
        <w:t>mg/dl, jeweils zu jedem Zeitpunkt der Studienbehandlung.</w:t>
      </w:r>
    </w:p>
    <w:p w14:paraId="661FBD3A" w14:textId="77777777" w:rsidR="00093A5E" w:rsidRPr="006A64EE" w:rsidRDefault="00093A5E" w:rsidP="004255F8">
      <w:pPr>
        <w:pStyle w:val="a3"/>
        <w:widowControl/>
      </w:pPr>
    </w:p>
    <w:p w14:paraId="493D51EA" w14:textId="77777777" w:rsidR="00093A5E" w:rsidRPr="006A64EE" w:rsidRDefault="009C2544" w:rsidP="004255F8">
      <w:pPr>
        <w:widowControl/>
        <w:rPr>
          <w:b/>
        </w:rPr>
      </w:pPr>
      <w:r w:rsidRPr="006A64EE">
        <w:rPr>
          <w:b/>
          <w:u w:val="single"/>
        </w:rPr>
        <w:t>RZA (s.c.)</w:t>
      </w:r>
    </w:p>
    <w:p w14:paraId="4CFDF49B" w14:textId="1129B8BB" w:rsidR="00093A5E" w:rsidRPr="006A64EE" w:rsidRDefault="009C2544" w:rsidP="004255F8">
      <w:pPr>
        <w:pStyle w:val="a3"/>
        <w:widowControl/>
      </w:pPr>
      <w:r w:rsidRPr="006A64EE">
        <w:t xml:space="preserve">Die Sicherheit von </w:t>
      </w:r>
      <w:r w:rsidR="00504769">
        <w:t>Tocilizumab</w:t>
      </w:r>
      <w:r w:rsidRPr="006A64EE">
        <w:t xml:space="preserve"> subkutan wurde in einer Phase-III-Studie (WA28119) mit 251 RZA-Patienten untersucht. In dem 12-monatigen doppelblinden, placebokontrollierten Zeitraum der Studie betrug die Gesamtdauer der Patientenjahre in der Population mit </w:t>
      </w:r>
      <w:r w:rsidR="00504769">
        <w:t>Tocilizumab-</w:t>
      </w:r>
      <w:r w:rsidRPr="006A64EE">
        <w:t>Exposition</w:t>
      </w:r>
      <w:r w:rsidR="00941F47" w:rsidRPr="006A64EE">
        <w:t xml:space="preserve"> </w:t>
      </w:r>
      <w:r w:rsidRPr="006A64EE">
        <w:t>138,5</w:t>
      </w:r>
      <w:r w:rsidR="00F05640">
        <w:t> </w:t>
      </w:r>
      <w:r w:rsidRPr="006A64EE">
        <w:t xml:space="preserve">Patientenjahre. Das generelle Sicherheitsprofil in der </w:t>
      </w:r>
      <w:r w:rsidR="00504769">
        <w:t>Tocilizumab</w:t>
      </w:r>
      <w:r w:rsidR="00EA382B">
        <w:t>-</w:t>
      </w:r>
      <w:r w:rsidRPr="006A64EE">
        <w:t xml:space="preserve">Behandlungsgruppe stimmte mit dem bekannten Sicherheitsprofil von </w:t>
      </w:r>
      <w:r w:rsidR="00504769">
        <w:t>Tocilizumab</w:t>
      </w:r>
      <w:r w:rsidRPr="006A64EE">
        <w:t xml:space="preserve"> überein (siehe Tabelle 1).</w:t>
      </w:r>
    </w:p>
    <w:p w14:paraId="459DCDE0" w14:textId="77777777" w:rsidR="00093A5E" w:rsidRPr="006A64EE" w:rsidRDefault="00093A5E" w:rsidP="004255F8">
      <w:pPr>
        <w:pStyle w:val="a3"/>
        <w:widowControl/>
      </w:pPr>
    </w:p>
    <w:p w14:paraId="7DBC2500" w14:textId="77777777" w:rsidR="00093A5E" w:rsidRPr="006A64EE" w:rsidRDefault="009C2544" w:rsidP="004255F8">
      <w:pPr>
        <w:widowControl/>
        <w:rPr>
          <w:i/>
        </w:rPr>
      </w:pPr>
      <w:r w:rsidRPr="006A64EE">
        <w:rPr>
          <w:i/>
        </w:rPr>
        <w:t>Infektionen</w:t>
      </w:r>
    </w:p>
    <w:p w14:paraId="1522E8E2" w14:textId="29A2DC0B" w:rsidR="00093A5E" w:rsidRPr="006A64EE" w:rsidRDefault="009C2544" w:rsidP="004255F8">
      <w:pPr>
        <w:pStyle w:val="a3"/>
        <w:widowControl/>
      </w:pPr>
      <w:r w:rsidRPr="006A64EE">
        <w:t xml:space="preserve">Die Rate der Infektionen/schwerwiegenden Infektionen war ausgewogen zwischen der Gruppe mit </w:t>
      </w:r>
      <w:r w:rsidR="00504769">
        <w:t>Tocilizumab</w:t>
      </w:r>
      <w:r w:rsidRPr="006A64EE">
        <w:t xml:space="preserve"> wöchentlich (200,2/9,7 Ereignisse pro 100 Patientenjahre) und den Gruppen mit Placebo</w:t>
      </w:r>
      <w:r w:rsidR="00941F47" w:rsidRPr="006A64EE">
        <w:t xml:space="preserve"> </w:t>
      </w:r>
      <w:r w:rsidR="007D680A" w:rsidRPr="006A64EE">
        <w:t>plus 26 Wochen Prednison-Ausschleichtherapie (156,0/4,2 Ereignisse pro 100 Patientenjahre) sowie Placebo plus 52 Wochen Ausschleichtherapie (210,2/12,5 Ereignisse pro 100 Patientenjahre).</w:t>
      </w:r>
    </w:p>
    <w:p w14:paraId="774CE2CA" w14:textId="77777777" w:rsidR="00093A5E" w:rsidRPr="006A64EE" w:rsidRDefault="00093A5E" w:rsidP="004255F8">
      <w:pPr>
        <w:pStyle w:val="a3"/>
        <w:widowControl/>
      </w:pPr>
    </w:p>
    <w:p w14:paraId="730E86B3" w14:textId="77777777" w:rsidR="00093A5E" w:rsidRPr="006A64EE" w:rsidRDefault="009C2544" w:rsidP="004255F8">
      <w:pPr>
        <w:widowControl/>
        <w:rPr>
          <w:i/>
        </w:rPr>
      </w:pPr>
      <w:r w:rsidRPr="006A64EE">
        <w:rPr>
          <w:i/>
        </w:rPr>
        <w:t>Reaktionen an der Injektionsstelle</w:t>
      </w:r>
    </w:p>
    <w:p w14:paraId="6BAA60CD" w14:textId="67E05907" w:rsidR="00093A5E" w:rsidRPr="006A64EE" w:rsidRDefault="009C2544" w:rsidP="004255F8">
      <w:pPr>
        <w:pStyle w:val="a3"/>
        <w:widowControl/>
      </w:pPr>
      <w:r w:rsidRPr="006A64EE">
        <w:t xml:space="preserve">In der Gruppe mit </w:t>
      </w:r>
      <w:r w:rsidR="00504769">
        <w:t>Tocilizumab</w:t>
      </w:r>
      <w:r w:rsidRPr="006A64EE">
        <w:t xml:space="preserve"> subkutan wöchentlich berichteten insgesamt 6 % (6/100) der Patienten über eine Nebenwirkung an der subkutanen Injektionsstelle. Keine der Reaktionen an der Injektionsstelle wurde als schwerwiegende Nebenwirkung gemeldet oder führte zu einem Behandlungsabbruch.</w:t>
      </w:r>
    </w:p>
    <w:p w14:paraId="734B5943" w14:textId="77777777" w:rsidR="00093A5E" w:rsidRPr="006A64EE" w:rsidRDefault="00093A5E" w:rsidP="004255F8">
      <w:pPr>
        <w:pStyle w:val="a3"/>
        <w:widowControl/>
      </w:pPr>
    </w:p>
    <w:p w14:paraId="6A2AFCA4" w14:textId="77777777" w:rsidR="00093A5E" w:rsidRPr="006A64EE" w:rsidRDefault="009C2544" w:rsidP="004255F8">
      <w:pPr>
        <w:widowControl/>
        <w:rPr>
          <w:i/>
        </w:rPr>
      </w:pPr>
      <w:r w:rsidRPr="006A64EE">
        <w:rPr>
          <w:i/>
        </w:rPr>
        <w:t>Hämatologische Abweichungen:</w:t>
      </w:r>
    </w:p>
    <w:p w14:paraId="23501CCB" w14:textId="77777777" w:rsidR="00093A5E" w:rsidRPr="006A64EE" w:rsidRDefault="009C2544" w:rsidP="004255F8">
      <w:pPr>
        <w:widowControl/>
        <w:rPr>
          <w:i/>
        </w:rPr>
      </w:pPr>
      <w:r w:rsidRPr="006A64EE">
        <w:rPr>
          <w:i/>
        </w:rPr>
        <w:t>Neutrophile Granulozyten</w:t>
      </w:r>
    </w:p>
    <w:p w14:paraId="254A2018" w14:textId="2FFC48CB" w:rsidR="00093A5E" w:rsidRPr="006A64EE" w:rsidRDefault="009C2544" w:rsidP="004255F8">
      <w:pPr>
        <w:pStyle w:val="a3"/>
        <w:widowControl/>
      </w:pPr>
      <w:r w:rsidRPr="006A64EE">
        <w:t xml:space="preserve">Während der Routinelaborüberwachung in der 12-monatigen kontrollierten klinischen Studie mit </w:t>
      </w:r>
      <w:r w:rsidR="00504769">
        <w:t>Tocilizumab</w:t>
      </w:r>
      <w:r w:rsidRPr="006A64EE">
        <w:t xml:space="preserve"> trat bei 4 % der Patienten in der Gruppe mit </w:t>
      </w:r>
      <w:r w:rsidR="00504769">
        <w:t>Tocilizumab</w:t>
      </w:r>
      <w:r w:rsidRPr="006A64EE">
        <w:t xml:space="preserve"> subkutan wöchentlich ein Rückgang der neutrophilen Granulozyten unter 1 × 10</w:t>
      </w:r>
      <w:r w:rsidRPr="006A64EE">
        <w:rPr>
          <w:vertAlign w:val="superscript"/>
        </w:rPr>
        <w:t>9</w:t>
      </w:r>
      <w:r w:rsidRPr="006A64EE">
        <w:t>/l auf. Dies wurde in keiner der Gruppen mit Placebo plus Prednison-Ausschleichtherapie beobachtet.</w:t>
      </w:r>
    </w:p>
    <w:p w14:paraId="27BDF88F" w14:textId="77777777" w:rsidR="00093A5E" w:rsidRPr="006A64EE" w:rsidRDefault="00093A5E" w:rsidP="004255F8">
      <w:pPr>
        <w:pStyle w:val="a3"/>
        <w:widowControl/>
      </w:pPr>
    </w:p>
    <w:p w14:paraId="08042A18" w14:textId="77777777" w:rsidR="00093A5E" w:rsidRPr="006A64EE" w:rsidRDefault="009C2544" w:rsidP="004255F8">
      <w:pPr>
        <w:widowControl/>
        <w:rPr>
          <w:i/>
        </w:rPr>
      </w:pPr>
      <w:r w:rsidRPr="006A64EE">
        <w:rPr>
          <w:i/>
        </w:rPr>
        <w:t>Thrombozyten</w:t>
      </w:r>
    </w:p>
    <w:p w14:paraId="11551168" w14:textId="09310961" w:rsidR="00093A5E" w:rsidRPr="006A64EE" w:rsidRDefault="009C2544" w:rsidP="004255F8">
      <w:pPr>
        <w:pStyle w:val="a3"/>
        <w:widowControl/>
      </w:pPr>
      <w:r w:rsidRPr="006A64EE">
        <w:t xml:space="preserve">Während der Routinelaborüberwachung in der 12-monatigen kontrollierten klinischen Studie mit </w:t>
      </w:r>
      <w:r w:rsidR="00504769">
        <w:t>Tocilizumab</w:t>
      </w:r>
      <w:r w:rsidRPr="006A64EE">
        <w:t xml:space="preserve"> trat bei einem Patienten (1 %, 1/100) in der Gruppe mit </w:t>
      </w:r>
      <w:r w:rsidR="00504769">
        <w:t>Tocilizumab</w:t>
      </w:r>
      <w:r w:rsidRPr="006A64EE">
        <w:t xml:space="preserve"> subkutan wöchentlich ein einmaliger, vorübergehender Rückgang der Thrombozytenzahl auf &lt; 100 × 10</w:t>
      </w:r>
      <w:r w:rsidRPr="006A64EE">
        <w:rPr>
          <w:vertAlign w:val="superscript"/>
        </w:rPr>
        <w:t>3</w:t>
      </w:r>
      <w:r w:rsidRPr="006A64EE">
        <w:t>/µl ohne assoziierte Blutungsereignisse auf. In keiner der Gruppen mit Placebo plus Prednison-Ausschleichtherapie wurde ein Rückgang der Thrombozytenzahl unter 100 × 10</w:t>
      </w:r>
      <w:r w:rsidRPr="006A64EE">
        <w:rPr>
          <w:vertAlign w:val="superscript"/>
        </w:rPr>
        <w:t>3</w:t>
      </w:r>
      <w:r w:rsidRPr="006A64EE">
        <w:t>/µl beobachtet.</w:t>
      </w:r>
    </w:p>
    <w:p w14:paraId="078976DC" w14:textId="77777777" w:rsidR="00093A5E" w:rsidRPr="006A64EE" w:rsidRDefault="00093A5E" w:rsidP="004255F8">
      <w:pPr>
        <w:pStyle w:val="a3"/>
        <w:widowControl/>
      </w:pPr>
    </w:p>
    <w:p w14:paraId="34826FD2" w14:textId="77777777" w:rsidR="00093A5E" w:rsidRPr="006A64EE" w:rsidRDefault="009C2544" w:rsidP="004255F8">
      <w:pPr>
        <w:widowControl/>
        <w:rPr>
          <w:i/>
        </w:rPr>
      </w:pPr>
      <w:r w:rsidRPr="006A64EE">
        <w:rPr>
          <w:i/>
        </w:rPr>
        <w:t>Erhöhung der Lebertransaminasen</w:t>
      </w:r>
    </w:p>
    <w:p w14:paraId="64692388" w14:textId="037764A0" w:rsidR="00093A5E" w:rsidRPr="006A64EE" w:rsidRDefault="009C2544" w:rsidP="004255F8">
      <w:pPr>
        <w:pStyle w:val="a3"/>
        <w:widowControl/>
      </w:pPr>
      <w:r w:rsidRPr="006A64EE">
        <w:t xml:space="preserve">Während der Routinelaborüberwachung in der 12-monatigen kontrollierten klinischen Studie mit </w:t>
      </w:r>
      <w:r w:rsidR="00504769">
        <w:t>Tocilizumab</w:t>
      </w:r>
      <w:r w:rsidRPr="006A64EE">
        <w:t xml:space="preserve"> trat bei 3 % der Patienten in der Gruppe mit </w:t>
      </w:r>
      <w:r w:rsidR="00504769">
        <w:t>Tocilizumab</w:t>
      </w:r>
      <w:r w:rsidRPr="006A64EE">
        <w:t xml:space="preserve"> subkutan wöchentlich eine Erhöhung der ALAT ≥ 3 x ULN auf. In der Gruppe mit Placebo plus 52 Wochen Prednison-Ausschleichtherapie waren es 2 % der Patienten und in der Gruppe mit Placebo plus 26 Wochen Prednison-Ausschleichtherapie war kein Patient betroffen. Eine Erhöhung der ASAT &gt; 3 x ULN trat bei 1 % der Patienten in der Gruppe mit </w:t>
      </w:r>
      <w:r w:rsidR="00504769">
        <w:t>Tocilizumab</w:t>
      </w:r>
      <w:r w:rsidRPr="006A64EE">
        <w:t xml:space="preserve"> subkutan wöchentlich auf. In den Gruppen mit Placebo plus Prednison-Ausschleichtherapie war kein Patient betroffen.</w:t>
      </w:r>
    </w:p>
    <w:p w14:paraId="3084FF5C" w14:textId="77777777" w:rsidR="00093A5E" w:rsidRPr="006A64EE" w:rsidRDefault="00093A5E" w:rsidP="004255F8">
      <w:pPr>
        <w:pStyle w:val="a3"/>
        <w:widowControl/>
      </w:pPr>
    </w:p>
    <w:p w14:paraId="6F32A634" w14:textId="77777777" w:rsidR="00093A5E" w:rsidRPr="006A64EE" w:rsidRDefault="009C2544" w:rsidP="004255F8">
      <w:pPr>
        <w:widowControl/>
        <w:rPr>
          <w:i/>
        </w:rPr>
      </w:pPr>
      <w:r w:rsidRPr="006A64EE">
        <w:rPr>
          <w:i/>
        </w:rPr>
        <w:t>Lipidwerte</w:t>
      </w:r>
    </w:p>
    <w:p w14:paraId="11A8A6C9" w14:textId="184316F4" w:rsidR="00093A5E" w:rsidRPr="006A64EE" w:rsidRDefault="009C2544" w:rsidP="004255F8">
      <w:pPr>
        <w:pStyle w:val="a3"/>
        <w:widowControl/>
      </w:pPr>
      <w:r w:rsidRPr="006A64EE">
        <w:t xml:space="preserve">Während der Routinelaborüberwachung in der 12-monatigen kontrollierten klinischen Studie mit </w:t>
      </w:r>
      <w:r w:rsidR="00504769">
        <w:t>Tocilizumab</w:t>
      </w:r>
      <w:r w:rsidRPr="006A64EE">
        <w:t xml:space="preserve"> wurden bei 34 % der Patienten anhaltende Erhöhungen des Gesamtcholesterins</w:t>
      </w:r>
      <w:r w:rsidR="00941F47" w:rsidRPr="006A64EE">
        <w:t xml:space="preserve"> </w:t>
      </w:r>
      <w:r w:rsidRPr="006A64EE">
        <w:t>&gt;</w:t>
      </w:r>
      <w:r w:rsidR="00341837">
        <w:t> </w:t>
      </w:r>
      <w:r w:rsidRPr="006A64EE">
        <w:t>6,2</w:t>
      </w:r>
      <w:r w:rsidR="006F0C24">
        <w:t> </w:t>
      </w:r>
      <w:r w:rsidRPr="006A64EE">
        <w:t>mmol/l (240</w:t>
      </w:r>
      <w:r w:rsidR="008D73EB">
        <w:t> </w:t>
      </w:r>
      <w:r w:rsidRPr="006A64EE">
        <w:t xml:space="preserve">mg/dl) beobachtet. Bei 15 % der Patienten in der Gruppe mit </w:t>
      </w:r>
      <w:r w:rsidR="00124D13">
        <w:t>Tocilizumab</w:t>
      </w:r>
      <w:r w:rsidRPr="006A64EE">
        <w:t xml:space="preserve"> subkutan wöchentlich wurde eine anhaltende Erhöhung des LDL auf ≥ 4,1 mmol/l (160</w:t>
      </w:r>
      <w:r w:rsidR="008D73EB">
        <w:t> </w:t>
      </w:r>
      <w:r w:rsidRPr="006A64EE">
        <w:t>mg/dl) festgestellt.</w:t>
      </w:r>
    </w:p>
    <w:p w14:paraId="0E1319D4" w14:textId="77777777" w:rsidR="00093A5E" w:rsidRPr="006A64EE" w:rsidRDefault="00093A5E" w:rsidP="004255F8">
      <w:pPr>
        <w:pStyle w:val="a3"/>
        <w:widowControl/>
      </w:pPr>
    </w:p>
    <w:p w14:paraId="651D0351" w14:textId="77777777" w:rsidR="00093A5E" w:rsidRPr="006A64EE" w:rsidRDefault="009C2544" w:rsidP="004255F8">
      <w:pPr>
        <w:widowControl/>
        <w:rPr>
          <w:i/>
        </w:rPr>
      </w:pPr>
      <w:r w:rsidRPr="006A64EE">
        <w:rPr>
          <w:i/>
          <w:u w:val="single"/>
        </w:rPr>
        <w:t>Intravenöse Anwendung</w:t>
      </w:r>
    </w:p>
    <w:p w14:paraId="397A0F8B" w14:textId="77777777" w:rsidR="00093A5E" w:rsidRPr="006A64EE" w:rsidRDefault="009C2544" w:rsidP="004255F8">
      <w:pPr>
        <w:widowControl/>
        <w:rPr>
          <w:b/>
        </w:rPr>
      </w:pPr>
      <w:r w:rsidRPr="006A64EE">
        <w:rPr>
          <w:b/>
          <w:u w:val="single"/>
        </w:rPr>
        <w:t>RA</w:t>
      </w:r>
    </w:p>
    <w:p w14:paraId="61DC96E6" w14:textId="4A06D80E" w:rsidR="00093A5E" w:rsidRPr="006A64EE" w:rsidRDefault="009C2544" w:rsidP="004255F8">
      <w:pPr>
        <w:pStyle w:val="a3"/>
        <w:widowControl/>
      </w:pPr>
      <w:r w:rsidRPr="006A64EE">
        <w:lastRenderedPageBreak/>
        <w:t xml:space="preserve">Die Sicherheit von </w:t>
      </w:r>
      <w:r w:rsidR="00124D13">
        <w:t>Tocilizumab</w:t>
      </w:r>
      <w:r w:rsidRPr="006A64EE">
        <w:t xml:space="preserve"> wurde in fünf doppelblinden kontrollierten Phase-III-Studien und deren Verlängerungsphasen untersucht.</w:t>
      </w:r>
    </w:p>
    <w:p w14:paraId="6695EAAA" w14:textId="77777777" w:rsidR="00093A5E" w:rsidRPr="006A64EE" w:rsidRDefault="00093A5E" w:rsidP="004255F8">
      <w:pPr>
        <w:pStyle w:val="a3"/>
        <w:widowControl/>
      </w:pPr>
    </w:p>
    <w:p w14:paraId="2AE67D79" w14:textId="4028E6B3" w:rsidR="00093A5E" w:rsidRPr="006A64EE" w:rsidRDefault="009C2544" w:rsidP="005A1E43">
      <w:pPr>
        <w:pStyle w:val="a3"/>
        <w:widowControl/>
      </w:pPr>
      <w:r w:rsidRPr="006A64EE">
        <w:t xml:space="preserve">Die gesamte in kontrollierten Studien mit </w:t>
      </w:r>
      <w:r w:rsidR="00124D13">
        <w:t>Tocilizumab</w:t>
      </w:r>
      <w:r w:rsidRPr="006A64EE">
        <w:t xml:space="preserve"> behandelte Population (</w:t>
      </w:r>
      <w:r w:rsidRPr="006A64EE">
        <w:rPr>
          <w:i/>
        </w:rPr>
        <w:t>all control population</w:t>
      </w:r>
      <w:r w:rsidRPr="006A64EE">
        <w:t>) setzt sich aus allen Patienten aus den doppelblinden Phasen jeder Hauptstudie ab Randomisierung bis entweder zur ersten Änderung des Behandlungsregimes oder bis zum Erhalt einer Behandlung über</w:t>
      </w:r>
      <w:r w:rsidR="005A1E43">
        <w:t xml:space="preserve"> </w:t>
      </w:r>
      <w:r w:rsidRPr="006A64EE">
        <w:t>2</w:t>
      </w:r>
      <w:r w:rsidR="005A1E43">
        <w:t> </w:t>
      </w:r>
      <w:r w:rsidRPr="006A64EE">
        <w:t>Jahre zusammen. Die kontrollierte Phase dauerte in 4</w:t>
      </w:r>
      <w:r w:rsidR="005A1E43">
        <w:t> </w:t>
      </w:r>
      <w:r w:rsidRPr="006A64EE">
        <w:t>Studien 6</w:t>
      </w:r>
      <w:r w:rsidR="005A1E43">
        <w:t> </w:t>
      </w:r>
      <w:r w:rsidRPr="006A64EE">
        <w:t>Monate und in einer Studie bis zu 2</w:t>
      </w:r>
      <w:r w:rsidR="005A1E43">
        <w:t> </w:t>
      </w:r>
      <w:r w:rsidRPr="006A64EE">
        <w:t>Jahre. In den doppelblinden kontrollierten Studien erhielten 774</w:t>
      </w:r>
      <w:r w:rsidR="005A1E43">
        <w:t> </w:t>
      </w:r>
      <w:r w:rsidRPr="006A64EE">
        <w:t xml:space="preserve">Patienten </w:t>
      </w:r>
      <w:r w:rsidR="00124D13">
        <w:t>Tocilizumab</w:t>
      </w:r>
      <w:r w:rsidRPr="006A64EE">
        <w:t xml:space="preserve"> 4</w:t>
      </w:r>
      <w:r w:rsidR="005A1E43">
        <w:t> </w:t>
      </w:r>
      <w:r w:rsidRPr="006A64EE">
        <w:t>mg/kg in</w:t>
      </w:r>
      <w:r w:rsidR="00941F47" w:rsidRPr="006A64EE">
        <w:t xml:space="preserve"> </w:t>
      </w:r>
      <w:r w:rsidRPr="006A64EE">
        <w:t>Kombination mit MTX, 1</w:t>
      </w:r>
      <w:r w:rsidR="005A1E43">
        <w:t> </w:t>
      </w:r>
      <w:r w:rsidRPr="006A64EE">
        <w:t xml:space="preserve">870 Patienten erhielten </w:t>
      </w:r>
      <w:r w:rsidR="00124D13">
        <w:t>Tocilizumab</w:t>
      </w:r>
      <w:r w:rsidRPr="006A64EE">
        <w:t xml:space="preserve"> 8</w:t>
      </w:r>
      <w:r w:rsidR="005A1E43">
        <w:t> </w:t>
      </w:r>
      <w:r w:rsidRPr="006A64EE">
        <w:t>mg/kg in Kombination mit MTX oder anderen DMARDs und 288</w:t>
      </w:r>
      <w:r w:rsidR="005A1E43">
        <w:t> </w:t>
      </w:r>
      <w:r w:rsidRPr="006A64EE">
        <w:t xml:space="preserve">Patienten erhielten </w:t>
      </w:r>
      <w:r w:rsidR="00124D13">
        <w:t>Tocilizumab</w:t>
      </w:r>
      <w:r w:rsidRPr="006A64EE">
        <w:t xml:space="preserve"> 8</w:t>
      </w:r>
      <w:r w:rsidR="005A1E43">
        <w:t> </w:t>
      </w:r>
      <w:r w:rsidRPr="006A64EE">
        <w:t>mg/kg als Monotherapie.</w:t>
      </w:r>
    </w:p>
    <w:p w14:paraId="67684373" w14:textId="77777777" w:rsidR="00093A5E" w:rsidRPr="006A64EE" w:rsidRDefault="00093A5E" w:rsidP="004255F8">
      <w:pPr>
        <w:pStyle w:val="a3"/>
        <w:widowControl/>
      </w:pPr>
    </w:p>
    <w:p w14:paraId="19043BB4" w14:textId="35685DB0" w:rsidR="00093A5E" w:rsidRPr="006A64EE" w:rsidRDefault="009C2544" w:rsidP="004255F8">
      <w:pPr>
        <w:pStyle w:val="a3"/>
        <w:widowControl/>
      </w:pPr>
      <w:r w:rsidRPr="006A64EE">
        <w:t xml:space="preserve">Die gesamte mit </w:t>
      </w:r>
      <w:r w:rsidR="00EA382B">
        <w:t>Tocilizumab</w:t>
      </w:r>
      <w:r w:rsidRPr="006A64EE">
        <w:t xml:space="preserve"> behandelte Population </w:t>
      </w:r>
      <w:r w:rsidRPr="006A64EE">
        <w:rPr>
          <w:i/>
        </w:rPr>
        <w:t xml:space="preserve">(all exposure population) </w:t>
      </w:r>
      <w:r w:rsidRPr="006A64EE">
        <w:t>setzt sich aus allen</w:t>
      </w:r>
      <w:r w:rsidR="00941F47" w:rsidRPr="006A64EE">
        <w:t xml:space="preserve"> </w:t>
      </w:r>
      <w:r w:rsidR="007D680A" w:rsidRPr="006A64EE">
        <w:t xml:space="preserve">Patienten zusammen, die mindestens eine Dosis </w:t>
      </w:r>
      <w:r w:rsidR="00124D13">
        <w:t>Tocilizumab</w:t>
      </w:r>
      <w:r w:rsidR="007D680A" w:rsidRPr="006A64EE">
        <w:t xml:space="preserve"> entweder in der doppelblinden kontrollierten Phase oder in der offenen Verlängerungsphase der Studien erhalten haben. Von den</w:t>
      </w:r>
      <w:r w:rsidR="00941F47" w:rsidRPr="006A64EE">
        <w:t xml:space="preserve"> </w:t>
      </w:r>
      <w:r w:rsidRPr="006A64EE">
        <w:t>4</w:t>
      </w:r>
      <w:r w:rsidR="005A1E43">
        <w:t> </w:t>
      </w:r>
      <w:r w:rsidRPr="006A64EE">
        <w:t>009</w:t>
      </w:r>
      <w:r w:rsidR="005A1E43">
        <w:t> </w:t>
      </w:r>
      <w:r w:rsidRPr="006A64EE">
        <w:t>Patienten dieser Population erhielten 3</w:t>
      </w:r>
      <w:r w:rsidR="005A1E43">
        <w:t> </w:t>
      </w:r>
      <w:r w:rsidRPr="006A64EE">
        <w:t>577 eine Behandlung für mindestens 6</w:t>
      </w:r>
      <w:r w:rsidR="005A1E43">
        <w:t> </w:t>
      </w:r>
      <w:r w:rsidRPr="006A64EE">
        <w:t>Monate, 3</w:t>
      </w:r>
      <w:r w:rsidR="005A1E43">
        <w:t> </w:t>
      </w:r>
      <w:r w:rsidRPr="006A64EE">
        <w:t>296 für mindestens 1</w:t>
      </w:r>
      <w:r w:rsidR="005A1E43">
        <w:t> </w:t>
      </w:r>
      <w:r w:rsidRPr="006A64EE">
        <w:t>Jahr, 2</w:t>
      </w:r>
      <w:r w:rsidR="005A1E43">
        <w:t> </w:t>
      </w:r>
      <w:r w:rsidRPr="006A64EE">
        <w:t>806 für mindestens 2</w:t>
      </w:r>
      <w:r w:rsidR="005A1E43">
        <w:t> </w:t>
      </w:r>
      <w:r w:rsidRPr="006A64EE">
        <w:t>Jahre und 1</w:t>
      </w:r>
      <w:r w:rsidR="005A1E43">
        <w:t> </w:t>
      </w:r>
      <w:r w:rsidRPr="006A64EE">
        <w:t>222 für 3</w:t>
      </w:r>
      <w:r w:rsidR="005A1E43">
        <w:t> </w:t>
      </w:r>
      <w:r w:rsidRPr="006A64EE">
        <w:t>Jahre.</w:t>
      </w:r>
    </w:p>
    <w:p w14:paraId="5273295A" w14:textId="77777777" w:rsidR="00093A5E" w:rsidRPr="006A64EE" w:rsidRDefault="00093A5E" w:rsidP="004255F8">
      <w:pPr>
        <w:pStyle w:val="a3"/>
        <w:widowControl/>
      </w:pPr>
    </w:p>
    <w:p w14:paraId="37ECC880" w14:textId="77777777" w:rsidR="00093A5E" w:rsidRPr="00E303AE" w:rsidRDefault="009C2544" w:rsidP="00B443C6">
      <w:pPr>
        <w:pStyle w:val="a3"/>
        <w:keepNext/>
        <w:widowControl/>
        <w:rPr>
          <w:u w:val="single"/>
        </w:rPr>
      </w:pPr>
      <w:r w:rsidRPr="00E303AE">
        <w:rPr>
          <w:u w:val="single"/>
        </w:rPr>
        <w:t>Beschreibung einzelner Nebenwirkungen</w:t>
      </w:r>
    </w:p>
    <w:p w14:paraId="34913D00" w14:textId="77777777" w:rsidR="00B443C6" w:rsidRPr="006A64EE" w:rsidRDefault="00B443C6" w:rsidP="00B443C6">
      <w:pPr>
        <w:pStyle w:val="a3"/>
        <w:keepNext/>
        <w:widowControl/>
      </w:pPr>
    </w:p>
    <w:p w14:paraId="245BCF5C" w14:textId="77777777" w:rsidR="00093A5E" w:rsidRPr="006A64EE" w:rsidRDefault="009C2544" w:rsidP="00B443C6">
      <w:pPr>
        <w:keepNext/>
        <w:widowControl/>
        <w:rPr>
          <w:i/>
        </w:rPr>
      </w:pPr>
      <w:r w:rsidRPr="006A64EE">
        <w:rPr>
          <w:i/>
        </w:rPr>
        <w:t>Infektionen</w:t>
      </w:r>
    </w:p>
    <w:p w14:paraId="2CA23CBB" w14:textId="2735B817" w:rsidR="00093A5E" w:rsidRPr="006A64EE" w:rsidRDefault="009C2544" w:rsidP="004255F8">
      <w:pPr>
        <w:pStyle w:val="a3"/>
        <w:widowControl/>
      </w:pPr>
      <w:r w:rsidRPr="006A64EE">
        <w:t>Die Anzahl aller Infektionen, die bei einer Behandlung mit 8</w:t>
      </w:r>
      <w:r w:rsidR="008D73EB">
        <w:t> </w:t>
      </w:r>
      <w:r w:rsidRPr="006A64EE">
        <w:t xml:space="preserve">mg/kg </w:t>
      </w:r>
      <w:r w:rsidR="00124D13">
        <w:t>Tocilizumab</w:t>
      </w:r>
      <w:r w:rsidRPr="006A64EE">
        <w:t xml:space="preserve"> plus DMARD in den 6-monatigen kontrollierten klinischen Prüfungen beobachtet wurde, lag bei 127 Ereignissen pro</w:t>
      </w:r>
      <w:r w:rsidR="00941F47" w:rsidRPr="006A64EE">
        <w:t xml:space="preserve"> </w:t>
      </w:r>
      <w:r w:rsidRPr="006A64EE">
        <w:t>100</w:t>
      </w:r>
      <w:r w:rsidR="00341837">
        <w:t> </w:t>
      </w:r>
      <w:r w:rsidRPr="006A64EE">
        <w:t xml:space="preserve">Patientenjahren im Vergleich zu 112 Ereignissen pro 100 Patientenjahren in der Gruppe, die mit Placebo plus DMARD behandelt wurde. In der Population mit Langzeitexposition lag die Gesamtrate an Infektionen unter </w:t>
      </w:r>
      <w:r w:rsidR="00124D13">
        <w:t>Tocilizumab</w:t>
      </w:r>
      <w:r w:rsidRPr="006A64EE">
        <w:t xml:space="preserve"> bei 108 Ereignissen pro 100 Patientenjahren Exposition.</w:t>
      </w:r>
    </w:p>
    <w:p w14:paraId="67008ED9" w14:textId="77777777" w:rsidR="00093A5E" w:rsidRPr="006A64EE" w:rsidRDefault="00093A5E" w:rsidP="004255F8">
      <w:pPr>
        <w:pStyle w:val="a3"/>
        <w:widowControl/>
      </w:pPr>
    </w:p>
    <w:p w14:paraId="74BAEF89" w14:textId="52E41835" w:rsidR="00093A5E" w:rsidRPr="006A64EE" w:rsidRDefault="009C2544" w:rsidP="004255F8">
      <w:pPr>
        <w:pStyle w:val="a3"/>
        <w:widowControl/>
      </w:pPr>
      <w:r w:rsidRPr="006A64EE">
        <w:t xml:space="preserve">In den 6-monatigen kontrollierten klinischen Prüfungen lag die Rate der schwerwiegenden Infektionen mit </w:t>
      </w:r>
      <w:r w:rsidR="00124D13">
        <w:t>Tocilizumab</w:t>
      </w:r>
      <w:r w:rsidRPr="006A64EE">
        <w:t xml:space="preserve"> 8</w:t>
      </w:r>
      <w:r w:rsidR="008D73EB">
        <w:t> </w:t>
      </w:r>
      <w:r w:rsidRPr="006A64EE">
        <w:t xml:space="preserve">mg/kg plus DMARDs bei 5,3 Ereignissen pro 100 Patientenjahren Exposition verglichen mit 3,9 Ereignissen pro 100 Patientenjahren Exposition in der Gruppe, die Placebo plus DMARDs erhielt. In der Monotherapie-Studie lag die Anzahl der schwerwiegenden Infektionen in der Gruppe, die </w:t>
      </w:r>
      <w:r w:rsidR="00124D13">
        <w:t>Tocilizumab</w:t>
      </w:r>
      <w:r w:rsidRPr="006A64EE">
        <w:t xml:space="preserve"> erhielt, bei 3,6 Ereignissen pro 100 Patientenjahren Exposition und in der Gruppe, die MTX erhielt, bei 1,5 Ereignissen pro 100 Patientenjahren Exposition.</w:t>
      </w:r>
    </w:p>
    <w:p w14:paraId="42845833" w14:textId="77777777" w:rsidR="00093A5E" w:rsidRPr="006A64EE" w:rsidRDefault="00093A5E" w:rsidP="004255F8">
      <w:pPr>
        <w:pStyle w:val="a3"/>
        <w:widowControl/>
      </w:pPr>
    </w:p>
    <w:p w14:paraId="1389412B" w14:textId="78A45BC7" w:rsidR="00093A5E" w:rsidRPr="006A64EE" w:rsidRDefault="009C2544" w:rsidP="004255F8">
      <w:pPr>
        <w:pStyle w:val="a3"/>
        <w:widowControl/>
      </w:pPr>
      <w:r w:rsidRPr="006A64EE">
        <w:t xml:space="preserve">In der gesamten mit </w:t>
      </w:r>
      <w:r w:rsidR="00124D13">
        <w:t>Tocilizumab</w:t>
      </w:r>
      <w:r w:rsidRPr="006A64EE">
        <w:t xml:space="preserve"> behandelten Population lag die Gesamtzahl der schwerwiegenden Infektionen bei 4,7 Ereignissen pro 100 Patientenjahren. Die berichteten schwerwiegenden Infektionen, einige mit tödlichem Ausgang, beinhalten Pneumonie, Zellulitis, Herpes zoster, Gastroenteritis, Divertikulitis, Sepsis und bakterielle Arthritis. Fälle opportunistischer Infektionen wurden ebenfalls berichtet.</w:t>
      </w:r>
    </w:p>
    <w:p w14:paraId="1395C6BF" w14:textId="77777777" w:rsidR="00093A5E" w:rsidRPr="006A64EE" w:rsidRDefault="00093A5E" w:rsidP="004255F8">
      <w:pPr>
        <w:pStyle w:val="a3"/>
        <w:widowControl/>
      </w:pPr>
    </w:p>
    <w:p w14:paraId="496B0CB9" w14:textId="77777777" w:rsidR="00093A5E" w:rsidRPr="006A64EE" w:rsidRDefault="009C2544" w:rsidP="004255F8">
      <w:pPr>
        <w:widowControl/>
        <w:rPr>
          <w:i/>
        </w:rPr>
      </w:pPr>
      <w:r w:rsidRPr="006A64EE">
        <w:rPr>
          <w:i/>
        </w:rPr>
        <w:t>Interstitielle Lungenerkrankung</w:t>
      </w:r>
    </w:p>
    <w:p w14:paraId="2146DCDC" w14:textId="77777777" w:rsidR="00093A5E" w:rsidRPr="006A64EE" w:rsidRDefault="009C2544" w:rsidP="004255F8">
      <w:pPr>
        <w:pStyle w:val="a3"/>
        <w:widowControl/>
      </w:pPr>
      <w:r w:rsidRPr="006A64EE">
        <w:t>Eine Lungenfunktionsstörung kann das Risiko für das Auftreten von Infektionen erhöhen. Nach der Markteinführung gab es Berichte über interstitielle Lungenerkrankungen (einschließlich Pneumonitis und Lungenfibrose), von denen einige tödlich verliefen.</w:t>
      </w:r>
    </w:p>
    <w:p w14:paraId="3693A03D" w14:textId="77777777" w:rsidR="00093A5E" w:rsidRPr="006A64EE" w:rsidRDefault="00093A5E" w:rsidP="004255F8">
      <w:pPr>
        <w:pStyle w:val="a3"/>
        <w:widowControl/>
      </w:pPr>
    </w:p>
    <w:p w14:paraId="6E0B890E" w14:textId="77777777" w:rsidR="00093A5E" w:rsidRPr="006A64EE" w:rsidRDefault="009C2544" w:rsidP="004255F8">
      <w:pPr>
        <w:widowControl/>
        <w:rPr>
          <w:i/>
        </w:rPr>
      </w:pPr>
      <w:r w:rsidRPr="006A64EE">
        <w:rPr>
          <w:i/>
        </w:rPr>
        <w:t>Gastrointestinale Perforationen</w:t>
      </w:r>
    </w:p>
    <w:p w14:paraId="4EA038A9" w14:textId="4BC9833A" w:rsidR="00093A5E" w:rsidRPr="006A64EE" w:rsidRDefault="009C2544" w:rsidP="004255F8">
      <w:pPr>
        <w:pStyle w:val="a3"/>
        <w:widowControl/>
      </w:pPr>
      <w:r w:rsidRPr="006A64EE">
        <w:t xml:space="preserve">Während der 6-monatigen kontrollierten klinischen Studien lag die Gesamtzahl der gastrointestinalen Perforationen unter Therapie mit </w:t>
      </w:r>
      <w:r w:rsidR="00124D13">
        <w:t>Tocilizumab</w:t>
      </w:r>
      <w:r w:rsidRPr="006A64EE">
        <w:t xml:space="preserve"> bei 0,26 Ereignissen pro 100 Patientenjahren. In der Population mit der Langzeitexposition lag die Gesamtzahl der gastrointestinalen Perforationen bei 0,28 Ereignissen pro 100 Patientenjahren. Die Berichte der gastrointestinalen Perforationen unter Therapie mit </w:t>
      </w:r>
      <w:r w:rsidR="00124D13">
        <w:t>Tocilizumab</w:t>
      </w:r>
      <w:r w:rsidRPr="006A64EE">
        <w:t xml:space="preserve"> wurden hauptsächlich als Komplikationen einer Divertikulitis, wie generalisierte purulente Peritonitis, Perforation des unteren Gastrointestinaltrakts, Fisteln und Abszesse, gemeldet.</w:t>
      </w:r>
    </w:p>
    <w:p w14:paraId="73AA9D22" w14:textId="77777777" w:rsidR="00093A5E" w:rsidRPr="006A64EE" w:rsidRDefault="00093A5E" w:rsidP="004255F8">
      <w:pPr>
        <w:pStyle w:val="a3"/>
        <w:widowControl/>
      </w:pPr>
    </w:p>
    <w:p w14:paraId="0896682F" w14:textId="77777777" w:rsidR="00093A5E" w:rsidRPr="006A64EE" w:rsidRDefault="009C2544" w:rsidP="004255F8">
      <w:pPr>
        <w:widowControl/>
        <w:rPr>
          <w:i/>
        </w:rPr>
      </w:pPr>
      <w:r w:rsidRPr="006A64EE">
        <w:rPr>
          <w:i/>
        </w:rPr>
        <w:t>Infusionsbedingte Reaktionen</w:t>
      </w:r>
    </w:p>
    <w:p w14:paraId="405BE127" w14:textId="13817888" w:rsidR="00093A5E" w:rsidRPr="006A64EE" w:rsidRDefault="009C2544" w:rsidP="004255F8">
      <w:pPr>
        <w:pStyle w:val="a3"/>
        <w:widowControl/>
      </w:pPr>
      <w:r w:rsidRPr="006A64EE">
        <w:t xml:space="preserve">In den 6-monatigen kontrollierten Studien wurden unerwünschte Ereignisse, die in Zusammenhang mit der Infusion auftraten (die ausgewählten Ereignisse traten während oder innerhalb von 24 Stunden </w:t>
      </w:r>
      <w:r w:rsidRPr="006A64EE">
        <w:lastRenderedPageBreak/>
        <w:t>nach der Infusion auf), bei 6,9 % der Patienten, die mit 8</w:t>
      </w:r>
      <w:r w:rsidR="008D73EB">
        <w:t> </w:t>
      </w:r>
      <w:r w:rsidRPr="006A64EE">
        <w:t>mg/kg Tocilizumab plus DMARDs behandelt wurden und bei 5,1 % der Patienten, die mit Placebo plus DMARDs behandelt wurden, beobachtet. Die beobachteten Ereignisse, die während der Infusion auftraten, waren vor allem Episoden von Hypertonie; die Ereignisse, die innerhalb von 24 Stunden nach dem Ende der Infusion beobachtet wurden, waren Kopfschmerzen und Hautreaktionen (Exanthem, Urtikaria). Diese Ereignisse waren nicht behandlungslimitierend.</w:t>
      </w:r>
    </w:p>
    <w:p w14:paraId="1FD976CD" w14:textId="77777777" w:rsidR="00093A5E" w:rsidRPr="006A64EE" w:rsidRDefault="00093A5E" w:rsidP="004255F8">
      <w:pPr>
        <w:pStyle w:val="a3"/>
        <w:widowControl/>
      </w:pPr>
    </w:p>
    <w:p w14:paraId="079A3414" w14:textId="77621837" w:rsidR="00093A5E" w:rsidRPr="006A64EE" w:rsidRDefault="009C2544" w:rsidP="004255F8">
      <w:pPr>
        <w:pStyle w:val="a3"/>
        <w:widowControl/>
      </w:pPr>
      <w:r w:rsidRPr="006A64EE">
        <w:t>Die Anzahl der anaphylaktischen Reaktionen (die bei insgesamt 6/3</w:t>
      </w:r>
      <w:r w:rsidR="006B2CAB">
        <w:t> </w:t>
      </w:r>
      <w:r w:rsidRPr="006A64EE">
        <w:t>778 Patienten oder 0,2</w:t>
      </w:r>
      <w:r w:rsidR="006B2CAB">
        <w:t> </w:t>
      </w:r>
      <w:r w:rsidRPr="006A64EE">
        <w:t xml:space="preserve">% auftraten) lag mit der 4-mg/kg-Dosierung mehrfach höher als mit der 8-mg/kg-Dosierung. Klinisch signifikante Überempfindlichkeitsreaktionen, die mit </w:t>
      </w:r>
      <w:r w:rsidR="00124D13">
        <w:t>Tocilizumab</w:t>
      </w:r>
      <w:r w:rsidRPr="006A64EE">
        <w:t xml:space="preserve"> verbunden waren und eine Unterbrechung der Behandlung erforderlich machten, wurden bei insgesamt 13 von 3</w:t>
      </w:r>
      <w:r w:rsidR="006B2CAB">
        <w:t> </w:t>
      </w:r>
      <w:r w:rsidRPr="006A64EE">
        <w:t>778</w:t>
      </w:r>
      <w:r w:rsidR="006B2CAB">
        <w:t> </w:t>
      </w:r>
      <w:r w:rsidRPr="006A64EE">
        <w:t>Patienten (0,3</w:t>
      </w:r>
      <w:r w:rsidR="006B2CAB">
        <w:t> </w:t>
      </w:r>
      <w:r w:rsidRPr="006A64EE">
        <w:t xml:space="preserve">%) beobachtet, die während kontrollierter und offener klinischer Studien mit </w:t>
      </w:r>
      <w:r w:rsidR="00124D13">
        <w:t>Tocilizumab</w:t>
      </w:r>
      <w:r w:rsidRPr="006A64EE">
        <w:t xml:space="preserve"> behandelt wurden. Diese Reaktionen wurden normalerweise während der zweiten bis fünften Infusion</w:t>
      </w:r>
      <w:r w:rsidR="00941F47" w:rsidRPr="006A64EE">
        <w:t xml:space="preserve"> </w:t>
      </w:r>
      <w:r w:rsidR="007D680A" w:rsidRPr="006A64EE">
        <w:t>von Tocilizumab beobachtet (siehe Abschnitt</w:t>
      </w:r>
      <w:r w:rsidR="006B2CAB">
        <w:t> </w:t>
      </w:r>
      <w:r w:rsidR="007D680A" w:rsidRPr="006A64EE">
        <w:t xml:space="preserve">4.4). Nach der Markteinführung wurde während der Behandlung mit </w:t>
      </w:r>
      <w:r w:rsidR="00124D13">
        <w:t>Tocilizumab</w:t>
      </w:r>
      <w:r w:rsidR="007D680A" w:rsidRPr="006A64EE">
        <w:t xml:space="preserve"> i.v. über tödlich verlaufene anaphylaktische Reaktion berichtet (siehe Abschnitt</w:t>
      </w:r>
      <w:r w:rsidR="006B2CAB">
        <w:t> </w:t>
      </w:r>
      <w:r w:rsidR="007D680A" w:rsidRPr="006A64EE">
        <w:t>4.4).</w:t>
      </w:r>
    </w:p>
    <w:p w14:paraId="6F48E28F" w14:textId="77777777" w:rsidR="00093A5E" w:rsidRPr="006A64EE" w:rsidRDefault="00093A5E" w:rsidP="004255F8">
      <w:pPr>
        <w:pStyle w:val="a3"/>
        <w:widowControl/>
      </w:pPr>
    </w:p>
    <w:p w14:paraId="604C8E4B" w14:textId="77777777" w:rsidR="00093A5E" w:rsidRPr="006A64EE" w:rsidRDefault="009C2544" w:rsidP="00B320E1">
      <w:pPr>
        <w:keepNext/>
        <w:widowControl/>
        <w:rPr>
          <w:i/>
        </w:rPr>
      </w:pPr>
      <w:r w:rsidRPr="006A64EE">
        <w:rPr>
          <w:i/>
        </w:rPr>
        <w:t>Hämatologische Anomalien:</w:t>
      </w:r>
    </w:p>
    <w:p w14:paraId="1A1A8BEF" w14:textId="77777777" w:rsidR="00093A5E" w:rsidRPr="006A64EE" w:rsidRDefault="009C2544" w:rsidP="00B320E1">
      <w:pPr>
        <w:keepNext/>
        <w:widowControl/>
        <w:rPr>
          <w:i/>
        </w:rPr>
      </w:pPr>
      <w:r w:rsidRPr="006A64EE">
        <w:rPr>
          <w:i/>
        </w:rPr>
        <w:t>Neutrophile Granulozyten</w:t>
      </w:r>
    </w:p>
    <w:p w14:paraId="7C33ADBA" w14:textId="332F918F" w:rsidR="00093A5E" w:rsidRPr="006A64EE" w:rsidRDefault="009C2544" w:rsidP="00B320E1">
      <w:pPr>
        <w:pStyle w:val="a3"/>
        <w:keepNext/>
        <w:widowControl/>
      </w:pPr>
      <w:r w:rsidRPr="006A64EE">
        <w:t>In den 6-monatigen kontrollierten Studien kam es unter Behandlung mit 8</w:t>
      </w:r>
      <w:r w:rsidR="008D73EB">
        <w:t> </w:t>
      </w:r>
      <w:r w:rsidRPr="006A64EE">
        <w:t xml:space="preserve">mg/kg </w:t>
      </w:r>
      <w:r w:rsidR="00124D13">
        <w:t>Tocilizumab</w:t>
      </w:r>
      <w:r w:rsidRPr="006A64EE">
        <w:t xml:space="preserve"> plus DMARDs bei 3,4 % der Patienten zu einem Rückgang der Anzahl der neutrophilen Granulozyten auf unter 1 x 10</w:t>
      </w:r>
      <w:r w:rsidRPr="006A64EE">
        <w:rPr>
          <w:vertAlign w:val="superscript"/>
        </w:rPr>
        <w:t>9</w:t>
      </w:r>
      <w:r w:rsidRPr="006A64EE">
        <w:t>/l verglichen mit &lt; 0,1 % bei Patienten unter Placebo plus DMARDs. Bei circa der Hälfte der Patienten, bei denen sich eine ANC von &lt; 1 x 10</w:t>
      </w:r>
      <w:r w:rsidRPr="006A64EE">
        <w:rPr>
          <w:vertAlign w:val="superscript"/>
        </w:rPr>
        <w:t>9</w:t>
      </w:r>
      <w:r w:rsidRPr="006A64EE">
        <w:t>/l entwickelte, geschah dies während der ersten 8</w:t>
      </w:r>
      <w:r w:rsidR="00341837">
        <w:t> </w:t>
      </w:r>
      <w:r w:rsidRPr="006A64EE">
        <w:t>Wochen nach Beginn der Behandlung. Ein Rückgang unter 0,5 x 10</w:t>
      </w:r>
      <w:r w:rsidRPr="006A64EE">
        <w:rPr>
          <w:vertAlign w:val="superscript"/>
        </w:rPr>
        <w:t>9</w:t>
      </w:r>
      <w:r w:rsidRPr="006A64EE">
        <w:t xml:space="preserve">/l wurde bei 0,3 % der Patienten, die </w:t>
      </w:r>
      <w:r w:rsidR="00124D13">
        <w:t>Tocilizumab</w:t>
      </w:r>
      <w:r w:rsidRPr="006A64EE">
        <w:t xml:space="preserve"> 8</w:t>
      </w:r>
      <w:r w:rsidR="008D73EB">
        <w:t> </w:t>
      </w:r>
      <w:r w:rsidRPr="006A64EE">
        <w:t>mg/kg plus DMARDs erhielten, beobachtet. Infektionen mit gleichzeitig auftretender Neutropenie sind berichtet worden.</w:t>
      </w:r>
    </w:p>
    <w:p w14:paraId="659CB52D" w14:textId="77777777" w:rsidR="00093A5E" w:rsidRPr="006A64EE" w:rsidRDefault="00093A5E" w:rsidP="004255F8">
      <w:pPr>
        <w:pStyle w:val="a3"/>
        <w:widowControl/>
      </w:pPr>
    </w:p>
    <w:p w14:paraId="5ED4D374" w14:textId="42EFD7DE" w:rsidR="00093A5E" w:rsidRPr="006A64EE" w:rsidRDefault="009C2544" w:rsidP="004255F8">
      <w:pPr>
        <w:pStyle w:val="a3"/>
        <w:widowControl/>
        <w:jc w:val="both"/>
      </w:pPr>
      <w:r w:rsidRPr="006A64EE">
        <w:t>Während der doppelblinden, kontrollierten Phase und der Langzeitexposition blieben die Art und die Inzidenz der Verminderung neutrophiler Granulozyten vergleichbar mit jener, welche während der 6-monatigen kontrollierten klinischen Prüfungen beobachtet wurde.</w:t>
      </w:r>
    </w:p>
    <w:p w14:paraId="25C0E7A1" w14:textId="77777777" w:rsidR="00093A5E" w:rsidRPr="006A64EE" w:rsidRDefault="00093A5E" w:rsidP="004255F8">
      <w:pPr>
        <w:pStyle w:val="a3"/>
        <w:widowControl/>
      </w:pPr>
    </w:p>
    <w:p w14:paraId="572CB82B" w14:textId="77777777" w:rsidR="00093A5E" w:rsidRPr="006A64EE" w:rsidRDefault="009C2544" w:rsidP="004255F8">
      <w:pPr>
        <w:widowControl/>
        <w:rPr>
          <w:i/>
        </w:rPr>
      </w:pPr>
      <w:r w:rsidRPr="006A64EE">
        <w:rPr>
          <w:i/>
        </w:rPr>
        <w:t>Thrombozyten</w:t>
      </w:r>
    </w:p>
    <w:p w14:paraId="0DF7A35E" w14:textId="06392CFA" w:rsidR="00093A5E" w:rsidRPr="006A64EE" w:rsidRDefault="009C2544" w:rsidP="004255F8">
      <w:pPr>
        <w:pStyle w:val="a3"/>
        <w:widowControl/>
      </w:pPr>
      <w:r w:rsidRPr="006A64EE">
        <w:t xml:space="preserve">In den 6-monatigen kontrollierten Studien kam es bei 1,7 % der Patienten, die </w:t>
      </w:r>
      <w:r w:rsidR="00124D13">
        <w:t>Tocilizumab</w:t>
      </w:r>
      <w:r w:rsidRPr="006A64EE">
        <w:t xml:space="preserve"> 8</w:t>
      </w:r>
      <w:r w:rsidR="00A16DFB">
        <w:t> </w:t>
      </w:r>
      <w:r w:rsidRPr="006A64EE">
        <w:t>mg/kg plus DMARDs erhielten, zu einem Rückgang der Thrombozytenanzahl unter 100 x 10</w:t>
      </w:r>
      <w:r w:rsidRPr="006A64EE">
        <w:rPr>
          <w:vertAlign w:val="superscript"/>
        </w:rPr>
        <w:t>3</w:t>
      </w:r>
      <w:r w:rsidRPr="006A64EE">
        <w:t>/µl verglichen mit &lt; 1 % unter Placebo plus DMARDs. Diese Abnahme trat auf, ohne dass damit Blutungen verbunden waren.</w:t>
      </w:r>
    </w:p>
    <w:p w14:paraId="70430977" w14:textId="77777777" w:rsidR="00093A5E" w:rsidRPr="006A64EE" w:rsidRDefault="00093A5E" w:rsidP="004255F8">
      <w:pPr>
        <w:pStyle w:val="a3"/>
        <w:widowControl/>
      </w:pPr>
    </w:p>
    <w:p w14:paraId="5DBAF998" w14:textId="5A7F37AE" w:rsidR="00093A5E" w:rsidRPr="006A64EE" w:rsidRDefault="009C2544" w:rsidP="004255F8">
      <w:pPr>
        <w:pStyle w:val="a3"/>
        <w:widowControl/>
      </w:pPr>
      <w:r w:rsidRPr="006A64EE">
        <w:t>Während der doppelblinden, kontrollierten Phase und der Langzeitexposition blieben die Art und die Inzidenz der Verminderung der Thrombozytenzahl vergleichbar mit jener, welche während der 6-monatigen kontrollierten klinischen Prüfungen beobachtet wurde.</w:t>
      </w:r>
    </w:p>
    <w:p w14:paraId="690636A6" w14:textId="77777777" w:rsidR="00093A5E" w:rsidRPr="006A64EE" w:rsidRDefault="00093A5E" w:rsidP="004255F8">
      <w:pPr>
        <w:pStyle w:val="a3"/>
        <w:widowControl/>
      </w:pPr>
    </w:p>
    <w:p w14:paraId="6BBBE016" w14:textId="77777777" w:rsidR="00093A5E" w:rsidRPr="006A64EE" w:rsidRDefault="009C2544" w:rsidP="004255F8">
      <w:pPr>
        <w:pStyle w:val="a3"/>
        <w:widowControl/>
        <w:jc w:val="both"/>
      </w:pPr>
      <w:r w:rsidRPr="006A64EE">
        <w:t>Nach der Markteinführung gab es sehr seltene Berichte über Panzytopenie.</w:t>
      </w:r>
    </w:p>
    <w:p w14:paraId="2190AA19" w14:textId="77777777" w:rsidR="00093A5E" w:rsidRPr="006A64EE" w:rsidRDefault="00093A5E" w:rsidP="004255F8">
      <w:pPr>
        <w:pStyle w:val="a3"/>
        <w:widowControl/>
      </w:pPr>
    </w:p>
    <w:p w14:paraId="6329F510" w14:textId="77777777" w:rsidR="00093A5E" w:rsidRPr="006A64EE" w:rsidRDefault="009C2544" w:rsidP="004255F8">
      <w:pPr>
        <w:widowControl/>
        <w:rPr>
          <w:i/>
        </w:rPr>
      </w:pPr>
      <w:r w:rsidRPr="006A64EE">
        <w:rPr>
          <w:i/>
        </w:rPr>
        <w:t>Erhöhungen der Lebertransaminasen</w:t>
      </w:r>
    </w:p>
    <w:p w14:paraId="55ADC363" w14:textId="0E610A21" w:rsidR="00093A5E" w:rsidRPr="006A64EE" w:rsidRDefault="009C2544" w:rsidP="004255F8">
      <w:pPr>
        <w:pStyle w:val="a3"/>
        <w:widowControl/>
      </w:pPr>
      <w:r w:rsidRPr="006A64EE">
        <w:t>In den 6-monatigen kontrollierten Studien wurde bei 2,1 % der Patienten, die 8</w:t>
      </w:r>
      <w:r w:rsidR="00A16DFB">
        <w:t> </w:t>
      </w:r>
      <w:r w:rsidRPr="006A64EE">
        <w:t>mg/kg Tocilizumab erhielten, eine vorübergehende Erhöhung von ALAT/ASAT auf mehr als das 3-Fache des oberen Normalwertes (&gt; 3 x ULN) beobachtet, verglichen mit 4,9 % der Patienten unter MTX sowie bei 6,5</w:t>
      </w:r>
      <w:r w:rsidR="00341837">
        <w:t> </w:t>
      </w:r>
      <w:r w:rsidRPr="006A64EE">
        <w:t>% der Patienten, die 8</w:t>
      </w:r>
      <w:r w:rsidR="00A16DFB">
        <w:t> </w:t>
      </w:r>
      <w:r w:rsidRPr="006A64EE">
        <w:t xml:space="preserve">mg/kg </w:t>
      </w:r>
      <w:r w:rsidR="00124D13">
        <w:t>Tocilizumab</w:t>
      </w:r>
      <w:r w:rsidRPr="006A64EE">
        <w:t xml:space="preserve"> plus DMARDs erhielten, verglichen mit 1,5 % der Patienten unter Placebo plus DMARDs.</w:t>
      </w:r>
    </w:p>
    <w:p w14:paraId="062D9D49" w14:textId="77777777" w:rsidR="00093A5E" w:rsidRPr="006A64EE" w:rsidRDefault="00093A5E" w:rsidP="004255F8">
      <w:pPr>
        <w:pStyle w:val="a3"/>
        <w:widowControl/>
      </w:pPr>
    </w:p>
    <w:p w14:paraId="204F91D1" w14:textId="3BCE545A" w:rsidR="00093A5E" w:rsidRPr="006A64EE" w:rsidRDefault="009C2544" w:rsidP="004255F8">
      <w:pPr>
        <w:pStyle w:val="a3"/>
        <w:widowControl/>
      </w:pPr>
      <w:r w:rsidRPr="006A64EE">
        <w:t xml:space="preserve">Das Hinzufügen potenziell hepatotoxischer Arzneimittel (z. B. MTX) zu einer Monotherapie mit </w:t>
      </w:r>
      <w:r w:rsidR="00124D13">
        <w:t>Tocilizumab</w:t>
      </w:r>
      <w:r w:rsidRPr="006A64EE">
        <w:t xml:space="preserve"> führte zu einem häufigeren Auftreten dieser Erhöhungen. Erhöhungen von ALAT/ASAT auf &gt; 5 x ULN wurden bei 0,7 % der Patienten unter Monotherapie mit </w:t>
      </w:r>
      <w:r w:rsidR="00124D13">
        <w:t>Tocilizumab</w:t>
      </w:r>
      <w:r w:rsidRPr="006A64EE">
        <w:t xml:space="preserve"> und 1,4 % der Patienten, die </w:t>
      </w:r>
      <w:r w:rsidR="00124D13">
        <w:t>Tocilizumab</w:t>
      </w:r>
      <w:r w:rsidRPr="006A64EE">
        <w:t xml:space="preserve"> plus DMARDs erhielten, beobachtet, wobei bei der Mehrzahl dieser Patienten die Behandlung mit Tocilizumab endgültig abgebrochen wurde. Während der doppelblinden, kontrollierten Phase betrug die Inzidenz von Werten des indirekten Bilirubins, die über dem oberen </w:t>
      </w:r>
      <w:r w:rsidRPr="006A64EE">
        <w:lastRenderedPageBreak/>
        <w:t>Normalwert lagen und die als routinemäßige Laborparameter gesammelt wurden, bei Patienten, die mit 8</w:t>
      </w:r>
      <w:r w:rsidR="00A16DFB">
        <w:t> </w:t>
      </w:r>
      <w:r w:rsidRPr="006A64EE">
        <w:t xml:space="preserve">mg/kg </w:t>
      </w:r>
      <w:r w:rsidR="00124D13">
        <w:t>Tocilizumab</w:t>
      </w:r>
      <w:r w:rsidRPr="006A64EE">
        <w:t xml:space="preserve"> + DMARD behandelt wurden, 6,2 %. Insgesamt kam es bei 5,8 % der Patienten zu einer Erhöhung des indirekten Bilirubins auf &gt; 1 bis 2 x ULN und bei 0,4 % zu einer Erhöhung auf &gt; 2 x ULN.</w:t>
      </w:r>
    </w:p>
    <w:p w14:paraId="2799CA75" w14:textId="77777777" w:rsidR="00093A5E" w:rsidRPr="006A64EE" w:rsidRDefault="00093A5E" w:rsidP="004255F8">
      <w:pPr>
        <w:widowControl/>
      </w:pPr>
    </w:p>
    <w:p w14:paraId="4A5B71A6" w14:textId="77777777" w:rsidR="00093A5E" w:rsidRPr="006A64EE" w:rsidRDefault="007D680A" w:rsidP="004255F8">
      <w:pPr>
        <w:widowControl/>
      </w:pPr>
      <w:r w:rsidRPr="006A64EE">
        <w:t>Während der doppelblinden, kontrollierten Phase und der Langzeitexposition blieben die Art und die Inzidenz der Erhöhung von ALAT/ASAT vergleichbar mit der, die während der 6-monatigen kontrollierten klinischen Prüfungen beobachtet wurde.</w:t>
      </w:r>
    </w:p>
    <w:p w14:paraId="3123C0B3" w14:textId="77777777" w:rsidR="00093A5E" w:rsidRPr="006A64EE" w:rsidRDefault="00093A5E" w:rsidP="004255F8">
      <w:pPr>
        <w:pStyle w:val="a3"/>
        <w:widowControl/>
      </w:pPr>
    </w:p>
    <w:p w14:paraId="16E5A755" w14:textId="77777777" w:rsidR="00093A5E" w:rsidRPr="006A64EE" w:rsidRDefault="009C2544" w:rsidP="004255F8">
      <w:pPr>
        <w:widowControl/>
        <w:rPr>
          <w:i/>
        </w:rPr>
      </w:pPr>
      <w:r w:rsidRPr="006A64EE">
        <w:rPr>
          <w:i/>
        </w:rPr>
        <w:t>Lipidwerte</w:t>
      </w:r>
    </w:p>
    <w:p w14:paraId="58C16D2C" w14:textId="2B3979F4" w:rsidR="00093A5E" w:rsidRPr="006A64EE" w:rsidRDefault="009C2544" w:rsidP="004255F8">
      <w:pPr>
        <w:pStyle w:val="a3"/>
        <w:widowControl/>
      </w:pPr>
      <w:r w:rsidRPr="006A64EE">
        <w:t xml:space="preserve">Während der kontrollierten sechsmonatigen Studien wurde häufig eine Erhöhung der Lipidwerte, wie Gesamtcholesterin, Triglyceride, LDL-Cholesterin und/oder HDL-Cholesterin, beobachtet. Bei den routinemäßigen Laboruntersuchungen wurden bei circa 24 % der Patienten, die in klinischen Studien </w:t>
      </w:r>
      <w:r w:rsidR="00124D13">
        <w:t>Tocilizumab</w:t>
      </w:r>
      <w:r w:rsidRPr="006A64EE">
        <w:t xml:space="preserve"> erhielten, anhaltende Erhöhungen des Gesamtcholesterins auf ≥ 6,2 mmol/l beobachtet, wobei es bei 15 % zu einer anhaltenden Erhöhung des LDL auf ≥ 4,1 mmol/l kam. Die erhöhten Lipidwerte sprachen auf eine Behandlung mit Lipidsenkern an.</w:t>
      </w:r>
    </w:p>
    <w:p w14:paraId="0F86044F" w14:textId="77777777" w:rsidR="00093A5E" w:rsidRPr="006A64EE" w:rsidRDefault="00093A5E" w:rsidP="004255F8">
      <w:pPr>
        <w:pStyle w:val="a3"/>
        <w:widowControl/>
      </w:pPr>
    </w:p>
    <w:p w14:paraId="38024F5A" w14:textId="77777777" w:rsidR="00093A5E" w:rsidRPr="006A64EE" w:rsidRDefault="009C2544" w:rsidP="004255F8">
      <w:pPr>
        <w:pStyle w:val="a3"/>
        <w:widowControl/>
      </w:pPr>
      <w:r w:rsidRPr="006A64EE">
        <w:t>Während der doppelblinden, kontrollierten Phase und der Langzeitexposition blieben die Art und die Inzidenz der Erhöhung der Lipidwerte vergleichbar mit der, die während der 6-monatigen kontrollierten klinischen Prüfungen beobachtet wurde.</w:t>
      </w:r>
    </w:p>
    <w:p w14:paraId="4BAB0484" w14:textId="77777777" w:rsidR="00093A5E" w:rsidRPr="006A64EE" w:rsidRDefault="00093A5E" w:rsidP="004255F8">
      <w:pPr>
        <w:pStyle w:val="a3"/>
        <w:widowControl/>
      </w:pPr>
    </w:p>
    <w:p w14:paraId="72F277C3" w14:textId="77777777" w:rsidR="00093A5E" w:rsidRPr="006A64EE" w:rsidRDefault="009C2544" w:rsidP="004255F8">
      <w:pPr>
        <w:widowControl/>
        <w:jc w:val="both"/>
        <w:rPr>
          <w:i/>
        </w:rPr>
      </w:pPr>
      <w:r w:rsidRPr="006A64EE">
        <w:rPr>
          <w:i/>
        </w:rPr>
        <w:t>Maligne Erkrankungen</w:t>
      </w:r>
    </w:p>
    <w:p w14:paraId="495A98A4" w14:textId="57085224" w:rsidR="00093A5E" w:rsidRPr="006A64EE" w:rsidRDefault="009C2544" w:rsidP="00513B08">
      <w:pPr>
        <w:pStyle w:val="a3"/>
        <w:widowControl/>
      </w:pPr>
      <w:r w:rsidRPr="006A64EE">
        <w:t xml:space="preserve">Die klinischen Daten sind nicht ausreichend, um die potenzielle Inzidenz von malignen Erkrankungen nach Exposition mit </w:t>
      </w:r>
      <w:r w:rsidR="00124D13">
        <w:t>Tocilizumab</w:t>
      </w:r>
      <w:r w:rsidRPr="006A64EE">
        <w:t xml:space="preserve"> zu beurteilen. Derzeit werden Untersuchungen zur Langzeitsicherheit durchgeführt.</w:t>
      </w:r>
    </w:p>
    <w:p w14:paraId="339E95C2" w14:textId="77777777" w:rsidR="00093A5E" w:rsidRPr="006A64EE" w:rsidRDefault="00093A5E" w:rsidP="004255F8">
      <w:pPr>
        <w:pStyle w:val="a3"/>
        <w:widowControl/>
        <w:jc w:val="both"/>
      </w:pPr>
    </w:p>
    <w:p w14:paraId="77DCF9BC" w14:textId="77777777" w:rsidR="00093A5E" w:rsidRPr="006A64EE" w:rsidRDefault="009C2544" w:rsidP="004255F8">
      <w:pPr>
        <w:widowControl/>
        <w:rPr>
          <w:i/>
        </w:rPr>
      </w:pPr>
      <w:r w:rsidRPr="006A64EE">
        <w:rPr>
          <w:i/>
        </w:rPr>
        <w:t>Hautreaktionen</w:t>
      </w:r>
    </w:p>
    <w:p w14:paraId="1AF79403" w14:textId="77777777" w:rsidR="00093A5E" w:rsidRPr="006A64EE" w:rsidRDefault="009C2544" w:rsidP="004255F8">
      <w:pPr>
        <w:pStyle w:val="a3"/>
        <w:widowControl/>
      </w:pPr>
      <w:r w:rsidRPr="006A64EE">
        <w:t>Nach der Markteinführung gab es seltene Berichte über Stevens-Johnson-Syndrom.</w:t>
      </w:r>
    </w:p>
    <w:p w14:paraId="1E9559B2" w14:textId="77777777" w:rsidR="00124D13" w:rsidRPr="00890245" w:rsidRDefault="00124D13" w:rsidP="00124D13"/>
    <w:p w14:paraId="629ED4AF" w14:textId="77777777" w:rsidR="00124D13" w:rsidRPr="00890245" w:rsidRDefault="00124D13" w:rsidP="00124D13">
      <w:pPr>
        <w:keepNext/>
        <w:rPr>
          <w:u w:val="single"/>
        </w:rPr>
      </w:pPr>
      <w:r w:rsidRPr="00890245">
        <w:rPr>
          <w:u w:val="single"/>
        </w:rPr>
        <w:t>Immunogenität</w:t>
      </w:r>
    </w:p>
    <w:p w14:paraId="5C9462BC" w14:textId="02389D45" w:rsidR="00471796" w:rsidRPr="00890245" w:rsidRDefault="00124D13" w:rsidP="00471796">
      <w:r w:rsidRPr="00890245">
        <w:t xml:space="preserve">Während der Behandlung mit Tocilizumab können sich Antikörper gegen Tocilizumab entwickeln. </w:t>
      </w:r>
      <w:r w:rsidR="00471796" w:rsidRPr="00890245">
        <w:t xml:space="preserve">Es </w:t>
      </w:r>
      <w:r w:rsidR="00471796">
        <w:t>kann ein</w:t>
      </w:r>
      <w:r w:rsidR="00471796" w:rsidRPr="00890245">
        <w:t xml:space="preserve"> Zusammenhang zwischen der Entwicklung von Antikörpern und dem klinischen Ansprechen oder unerwünschten Ereignissen beobachtet</w:t>
      </w:r>
      <w:r w:rsidR="00471796">
        <w:t xml:space="preserve"> werden</w:t>
      </w:r>
      <w:r w:rsidR="00471796" w:rsidRPr="00890245">
        <w:t>.</w:t>
      </w:r>
    </w:p>
    <w:p w14:paraId="26F5ED91" w14:textId="439CB2A5" w:rsidR="00093A5E" w:rsidRPr="006A64EE" w:rsidRDefault="00093A5E" w:rsidP="00471796"/>
    <w:p w14:paraId="0D46515A" w14:textId="77777777" w:rsidR="00093A5E" w:rsidRPr="006A64EE" w:rsidRDefault="009C2544" w:rsidP="004255F8">
      <w:pPr>
        <w:pStyle w:val="a3"/>
        <w:widowControl/>
      </w:pPr>
      <w:r w:rsidRPr="006A64EE">
        <w:rPr>
          <w:u w:val="single"/>
        </w:rPr>
        <w:t>Meldung des Verdachts auf Nebenwirkungen</w:t>
      </w:r>
    </w:p>
    <w:p w14:paraId="1C3ACCD7" w14:textId="77777777" w:rsidR="00093A5E" w:rsidRPr="006A64EE" w:rsidRDefault="009C2544" w:rsidP="004255F8">
      <w:pPr>
        <w:pStyle w:val="a3"/>
        <w:widowControl/>
      </w:pPr>
      <w:r w:rsidRPr="006A64EE">
        <w:t>Die Meldung des Verdachts auf Nebenwirkungen nach der Zulassung ist von großer Wichtigkeit. Sie ermöglicht eine kontinuierliche Überwachung des Nutzen-Risiko-Verhältnisses des Arzneimittels.</w:t>
      </w:r>
    </w:p>
    <w:p w14:paraId="6CFFC695" w14:textId="75441A5F" w:rsidR="00093A5E" w:rsidRPr="006A64EE" w:rsidRDefault="009C2544" w:rsidP="004255F8">
      <w:pPr>
        <w:pStyle w:val="a3"/>
        <w:widowControl/>
      </w:pPr>
      <w:r w:rsidRPr="006A64EE">
        <w:t xml:space="preserve">Angehörige von Gesundheitsberufen sind aufgefordert, jeden Verdachtsfall einer Nebenwirkung über </w:t>
      </w:r>
      <w:r w:rsidRPr="00F0391F">
        <w:rPr>
          <w:shd w:val="pct15" w:color="auto" w:fill="FFFFFF"/>
        </w:rPr>
        <w:t xml:space="preserve">das in </w:t>
      </w:r>
      <w:r w:rsidR="002D5756">
        <w:fldChar w:fldCharType="begin"/>
      </w:r>
      <w:r w:rsidR="002D5756">
        <w:instrText>HYPERLINK "file:///C:/Users/PC/Documents/0001_AA_2023/RWS/to%20do/241-L1073A-PXCP_Lektorat%20Susi_29%20Nov_17%20Uhr/Erosion%20Score"</w:instrText>
      </w:r>
      <w:r w:rsidR="002D5756">
        <w:fldChar w:fldCharType="separate"/>
      </w:r>
      <w:r w:rsidR="002D5756" w:rsidRPr="00F0391F">
        <w:rPr>
          <w:rStyle w:val="a8"/>
          <w:shd w:val="pct15" w:color="auto" w:fill="FFFFFF"/>
        </w:rPr>
        <w:t>Anhang V</w:t>
      </w:r>
      <w:r w:rsidR="002D5756">
        <w:fldChar w:fldCharType="end"/>
      </w:r>
      <w:r w:rsidRPr="00F0391F">
        <w:rPr>
          <w:shd w:val="pct15" w:color="auto" w:fill="FFFFFF"/>
        </w:rPr>
        <w:t xml:space="preserve"> aufgeführte nationale Meldesystem anzuzeigen</w:t>
      </w:r>
      <w:r w:rsidRPr="006A64EE">
        <w:t>.</w:t>
      </w:r>
    </w:p>
    <w:p w14:paraId="2B722F3A" w14:textId="77777777" w:rsidR="00093A5E" w:rsidRPr="006A64EE" w:rsidRDefault="00093A5E" w:rsidP="004255F8">
      <w:pPr>
        <w:pStyle w:val="a3"/>
        <w:widowControl/>
      </w:pPr>
    </w:p>
    <w:p w14:paraId="1BCAE87F" w14:textId="77777777" w:rsidR="00093A5E" w:rsidRPr="006A64EE" w:rsidRDefault="0059713A" w:rsidP="004255F8">
      <w:pPr>
        <w:pStyle w:val="2"/>
      </w:pPr>
      <w:r w:rsidRPr="006A64EE">
        <w:t>4.9</w:t>
      </w:r>
      <w:r w:rsidRPr="006A64EE">
        <w:tab/>
        <w:t>Überdosierung</w:t>
      </w:r>
    </w:p>
    <w:p w14:paraId="52460B8E" w14:textId="77777777" w:rsidR="00093A5E" w:rsidRPr="006A64EE" w:rsidRDefault="00093A5E" w:rsidP="00121CB7"/>
    <w:p w14:paraId="0BC3248F" w14:textId="7586DBA8" w:rsidR="00093A5E" w:rsidRPr="006A64EE" w:rsidRDefault="009C2544" w:rsidP="004255F8">
      <w:pPr>
        <w:pStyle w:val="a3"/>
        <w:widowControl/>
      </w:pPr>
      <w:r w:rsidRPr="006A64EE">
        <w:t xml:space="preserve">Es liegen nur limitierte Daten zu Überdosierungen mit </w:t>
      </w:r>
      <w:r w:rsidR="00111252" w:rsidRPr="00890245">
        <w:t>Tocilizumab</w:t>
      </w:r>
      <w:r w:rsidRPr="006A64EE">
        <w:t xml:space="preserve"> vor. Ein Fall einer versehentlichen Überdosierung wurde bei einer Patientin mit multiplem Myelom beobachtet, die eine einmalige intravenös verabreichte Dosis von 40</w:t>
      </w:r>
      <w:r w:rsidR="00A16DFB">
        <w:t> </w:t>
      </w:r>
      <w:r w:rsidRPr="006A64EE">
        <w:t>mg/kg erhielt. Es wurden keine Nebenwirkungen beobachtet.</w:t>
      </w:r>
    </w:p>
    <w:p w14:paraId="585E2B29" w14:textId="77777777" w:rsidR="00093A5E" w:rsidRPr="006A64EE" w:rsidRDefault="00093A5E" w:rsidP="004255F8">
      <w:pPr>
        <w:pStyle w:val="a3"/>
        <w:widowControl/>
      </w:pPr>
    </w:p>
    <w:p w14:paraId="3EE24D6F" w14:textId="51A5A980" w:rsidR="00093A5E" w:rsidRPr="006A64EE" w:rsidRDefault="009C2544" w:rsidP="004255F8">
      <w:pPr>
        <w:pStyle w:val="a3"/>
        <w:widowControl/>
      </w:pPr>
      <w:r w:rsidRPr="006A64EE">
        <w:t>Bei gesunden Freiwilligen, die Dosen von bis zu 28</w:t>
      </w:r>
      <w:r w:rsidR="00A16DFB">
        <w:t> </w:t>
      </w:r>
      <w:r w:rsidRPr="006A64EE">
        <w:t>mg/kg erhielten, wurden keine schwerwiegenden Nebenwirkungen beobachtet, wenngleich dosislimitierende Neutropenie beobachtet wurde.</w:t>
      </w:r>
    </w:p>
    <w:p w14:paraId="0AC182F4" w14:textId="77777777" w:rsidR="00093A5E" w:rsidRPr="006A64EE" w:rsidRDefault="00093A5E" w:rsidP="004255F8">
      <w:pPr>
        <w:pStyle w:val="a3"/>
        <w:widowControl/>
      </w:pPr>
    </w:p>
    <w:p w14:paraId="3CC98622" w14:textId="77777777" w:rsidR="00093A5E" w:rsidRPr="006A64EE" w:rsidRDefault="00093A5E" w:rsidP="004255F8">
      <w:pPr>
        <w:pStyle w:val="a3"/>
        <w:widowControl/>
      </w:pPr>
    </w:p>
    <w:p w14:paraId="17F4FABB" w14:textId="77777777" w:rsidR="00093A5E" w:rsidRPr="006A64EE" w:rsidRDefault="0059713A" w:rsidP="004255F8">
      <w:pPr>
        <w:pStyle w:val="1"/>
      </w:pPr>
      <w:r w:rsidRPr="006A64EE">
        <w:t>5.</w:t>
      </w:r>
      <w:r w:rsidRPr="006A64EE">
        <w:tab/>
        <w:t>PHARMAKOLOGISCHE EIGENSCHAFTEN</w:t>
      </w:r>
    </w:p>
    <w:p w14:paraId="2C43A7E2" w14:textId="77777777" w:rsidR="00093A5E" w:rsidRPr="006A64EE" w:rsidRDefault="00093A5E" w:rsidP="004255F8">
      <w:pPr>
        <w:pStyle w:val="a3"/>
        <w:widowControl/>
        <w:rPr>
          <w:b/>
        </w:rPr>
      </w:pPr>
    </w:p>
    <w:p w14:paraId="35A5B5C5" w14:textId="77777777" w:rsidR="00093A5E" w:rsidRPr="006A64EE" w:rsidRDefault="0059713A" w:rsidP="004255F8">
      <w:pPr>
        <w:pStyle w:val="2"/>
      </w:pPr>
      <w:r w:rsidRPr="006A64EE">
        <w:t>5.1</w:t>
      </w:r>
      <w:r w:rsidRPr="006A64EE">
        <w:tab/>
        <w:t>Pharmakodynamische Eigenschaften</w:t>
      </w:r>
    </w:p>
    <w:p w14:paraId="313B09B4" w14:textId="77777777" w:rsidR="00093A5E" w:rsidRPr="006A64EE" w:rsidRDefault="00093A5E" w:rsidP="004255F8">
      <w:pPr>
        <w:pStyle w:val="a3"/>
        <w:widowControl/>
      </w:pPr>
    </w:p>
    <w:p w14:paraId="546E71A9" w14:textId="77777777" w:rsidR="00093A5E" w:rsidRPr="006A64EE" w:rsidRDefault="009C2544" w:rsidP="004255F8">
      <w:pPr>
        <w:pStyle w:val="a3"/>
        <w:widowControl/>
      </w:pPr>
      <w:r w:rsidRPr="006A64EE">
        <w:t>Pharmakotherapeutische Gruppe: Immunsuppressiva, Interleukin-Inhibitoren; ATC-Code: L04AC07.</w:t>
      </w:r>
    </w:p>
    <w:p w14:paraId="46A24E55" w14:textId="77777777" w:rsidR="00111252" w:rsidRDefault="00111252" w:rsidP="00111252"/>
    <w:p w14:paraId="4B21C787" w14:textId="1CAD7D08" w:rsidR="00111252" w:rsidRPr="00890245" w:rsidRDefault="00111252" w:rsidP="00111252">
      <w:r w:rsidRPr="00890245">
        <w:lastRenderedPageBreak/>
        <w:t xml:space="preserve">Avtozma ist ein Biosimilar-Arzneimittel. Ausführliche Informationen sind auf den Internetseiten der Europäischen Arzneimittel-Agentur </w:t>
      </w:r>
      <w:r>
        <w:fldChar w:fldCharType="begin"/>
      </w:r>
      <w:r>
        <w:instrText>HYPERLINK "https://www.ema.europa.eu"</w:instrText>
      </w:r>
      <w:r>
        <w:fldChar w:fldCharType="separate"/>
      </w:r>
      <w:r w:rsidRPr="00890245">
        <w:rPr>
          <w:rStyle w:val="a8"/>
        </w:rPr>
        <w:t>https://www.ema.europa.eu</w:t>
      </w:r>
      <w:r>
        <w:fldChar w:fldCharType="end"/>
      </w:r>
      <w:r w:rsidRPr="00890245">
        <w:t xml:space="preserve"> verfügbar.</w:t>
      </w:r>
    </w:p>
    <w:p w14:paraId="2C0B3032" w14:textId="77777777" w:rsidR="00093A5E" w:rsidRPr="006A64EE" w:rsidRDefault="00093A5E" w:rsidP="004255F8">
      <w:pPr>
        <w:pStyle w:val="a3"/>
        <w:widowControl/>
      </w:pPr>
    </w:p>
    <w:p w14:paraId="1A8C24A3" w14:textId="77777777" w:rsidR="00093A5E" w:rsidRPr="006A64EE" w:rsidRDefault="009C2544" w:rsidP="004255F8">
      <w:pPr>
        <w:pStyle w:val="a3"/>
        <w:widowControl/>
      </w:pPr>
      <w:r w:rsidRPr="006A64EE">
        <w:rPr>
          <w:u w:val="single"/>
        </w:rPr>
        <w:t>Wirkmechanismus</w:t>
      </w:r>
    </w:p>
    <w:p w14:paraId="3C8BE369" w14:textId="5B647BE0" w:rsidR="00093A5E" w:rsidRPr="006A64EE" w:rsidRDefault="009C2544" w:rsidP="004255F8">
      <w:pPr>
        <w:pStyle w:val="a3"/>
        <w:widowControl/>
      </w:pPr>
      <w:r w:rsidRPr="006A64EE">
        <w:t>Tocilizumab bindet spezifisch sowohl an lösliche als auch an membrangebundene IL-6-Rezeptoren</w:t>
      </w:r>
      <w:r w:rsidR="007775EC">
        <w:t xml:space="preserve"> </w:t>
      </w:r>
      <w:r w:rsidRPr="006A64EE">
        <w:t>(sIL-6R und mIL-6R). Es wurde gezeigt, dass Tocilizumab die sIL-6R- und mIL-6R-vermittelte Signaltransduktion inhibiert. IL-6 ist ein pleiotropes, proinflammatorisches Zytokin, das von einer Vielzahl verschiedener Zelltypen, wie T- und B-Zellen, Monozyten und Fibroblasten, produziert wird. IL-6 ist an verschiedenen physiologischen Prozessen, wie der T-Zell-Aktivierung, Induktion der Sekretion von Immunglobulinen, Induktion der Synthese von hepatischen Akut-Phase-Proteinen und Stimulation der Hämatopoese, beteiligt. IL-6 wird mit der Entstehung von Krankheiten in Verbindung gebracht, einschließlich entzündlicher Erkrankungen, Osteoporose und Neoplasien.</w:t>
      </w:r>
    </w:p>
    <w:p w14:paraId="5D9FF4A1" w14:textId="77777777" w:rsidR="00093A5E" w:rsidRPr="006A64EE" w:rsidRDefault="00093A5E" w:rsidP="004255F8">
      <w:pPr>
        <w:widowControl/>
      </w:pPr>
    </w:p>
    <w:p w14:paraId="1EB45C45" w14:textId="77777777" w:rsidR="00093A5E" w:rsidRPr="006A64EE" w:rsidRDefault="007D680A" w:rsidP="004255F8">
      <w:pPr>
        <w:widowControl/>
      </w:pPr>
      <w:r w:rsidRPr="006A64EE">
        <w:rPr>
          <w:u w:val="single"/>
        </w:rPr>
        <w:t>Pharmakodynamische Wirkungen</w:t>
      </w:r>
    </w:p>
    <w:p w14:paraId="4886E182" w14:textId="06FDFFF8" w:rsidR="00093A5E" w:rsidRPr="006A64EE" w:rsidRDefault="009C2544" w:rsidP="004255F8">
      <w:pPr>
        <w:pStyle w:val="a3"/>
        <w:widowControl/>
      </w:pPr>
      <w:r w:rsidRPr="006A64EE">
        <w:t xml:space="preserve">In klinischen Prüfungen mit </w:t>
      </w:r>
      <w:r w:rsidR="00134BBA" w:rsidRPr="00890245">
        <w:t>Tocilizumab</w:t>
      </w:r>
      <w:r w:rsidRPr="006A64EE">
        <w:t xml:space="preserve"> wurde eine rasche Abnahme des CRP, der Blutsenkungsgeschwindigkeit (BSG), des Serum-Amyloid-Proteins A (SAA) und des Fibrinogens beobachtet. Entsprechend der Wirkung auf die Akut-Phase-Reaktanten wurde eine Reduktion der Thrombozytenanzahl, die innerhalb der normalen Grenzen lag, mit </w:t>
      </w:r>
      <w:r w:rsidR="00134BBA" w:rsidRPr="00890245">
        <w:t>Tocilizumab</w:t>
      </w:r>
      <w:r w:rsidRPr="006A64EE">
        <w:t xml:space="preserve"> in Verbindung gebracht. Aufgrund der durch </w:t>
      </w:r>
      <w:r w:rsidR="00134BBA" w:rsidRPr="00890245">
        <w:t>Tocilizumab</w:t>
      </w:r>
      <w:r w:rsidRPr="006A64EE">
        <w:t xml:space="preserve"> induzierten verminderten Wirkung von IL-6 auf die Hepcidin-Produktion, die zu einer erhöhten Verfügbarkeit von Eisen führt, wurde ein Anstieg der Hämoglobinwerte beobachtet. Bei den mit </w:t>
      </w:r>
      <w:r w:rsidR="00134BBA" w:rsidRPr="00890245">
        <w:t>Tocilizumab</w:t>
      </w:r>
      <w:r w:rsidRPr="006A64EE">
        <w:t xml:space="preserve"> behandelten Patienten zeigte sich bereits nach 2 Wochen ein Rückgang der CRP-Werte auf Werte innerhalb des Normalbereichs, der während der Behandlung andauerte.</w:t>
      </w:r>
    </w:p>
    <w:p w14:paraId="798619B5" w14:textId="77777777" w:rsidR="00093A5E" w:rsidRPr="006A64EE" w:rsidRDefault="00093A5E" w:rsidP="004255F8">
      <w:pPr>
        <w:pStyle w:val="a3"/>
        <w:widowControl/>
      </w:pPr>
    </w:p>
    <w:p w14:paraId="7B2C7A11" w14:textId="2992C950" w:rsidR="00093A5E" w:rsidRPr="006A64EE" w:rsidRDefault="009C2544" w:rsidP="004255F8">
      <w:pPr>
        <w:pStyle w:val="a3"/>
        <w:widowControl/>
      </w:pPr>
      <w:r w:rsidRPr="006A64EE">
        <w:t>In der klinischen Studie WA28119 zur RZA wurden ähnlich rasche Abnahmen des CRP und der ESR bei gleichzeitig leichten Anstiegen der Konzentration des mittleren korpuskulären Hämoglobingehalts (MCH) beobachtet. Bei gesunden Freiwilligen, denen 2</w:t>
      </w:r>
      <w:r w:rsidR="00A16DFB">
        <w:t> </w:t>
      </w:r>
      <w:r w:rsidRPr="006A64EE">
        <w:t>mg/kg bis 28</w:t>
      </w:r>
      <w:r w:rsidR="00A16DFB">
        <w:t> </w:t>
      </w:r>
      <w:r w:rsidRPr="006A64EE">
        <w:t xml:space="preserve">mg/kg </w:t>
      </w:r>
      <w:r w:rsidR="00134BBA" w:rsidRPr="00890245">
        <w:t>Tocilizumab</w:t>
      </w:r>
      <w:r w:rsidRPr="006A64EE">
        <w:t xml:space="preserve"> intravenös und 81</w:t>
      </w:r>
      <w:r w:rsidR="00A16DFB">
        <w:t> </w:t>
      </w:r>
      <w:r w:rsidRPr="006A64EE">
        <w:t>mg bis 162</w:t>
      </w:r>
      <w:r w:rsidR="00A16DFB">
        <w:t> </w:t>
      </w:r>
      <w:r w:rsidRPr="006A64EE">
        <w:t>mg subkutan verabreicht wurden, fiel die absolute Anzahl der neutrophilen Granulozyten 2 bis 5 Tage nach der Verabreichung auf den niedrigsten Wert ab. Danach stieg die Anzahl neutrophiler Granulozyten dosisabhängig wieder auf den Ausgangswert an.</w:t>
      </w:r>
    </w:p>
    <w:p w14:paraId="7453D29D" w14:textId="77777777" w:rsidR="00093A5E" w:rsidRPr="006A64EE" w:rsidRDefault="00093A5E" w:rsidP="004255F8">
      <w:pPr>
        <w:pStyle w:val="a3"/>
        <w:widowControl/>
      </w:pPr>
    </w:p>
    <w:p w14:paraId="45119304" w14:textId="297013AD" w:rsidR="00093A5E" w:rsidRPr="006A64EE" w:rsidRDefault="009C2544" w:rsidP="004255F8">
      <w:pPr>
        <w:pStyle w:val="a3"/>
        <w:widowControl/>
      </w:pPr>
      <w:r w:rsidRPr="006A64EE">
        <w:t xml:space="preserve">Patienten zeigen nach Verabreichung von </w:t>
      </w:r>
      <w:r w:rsidR="00134BBA" w:rsidRPr="00890245">
        <w:t>Tocilizumab</w:t>
      </w:r>
      <w:r w:rsidRPr="006A64EE">
        <w:t xml:space="preserve"> eine mit gesunden Patienten vergleichbare Verringerung der Anzahl neutrophiler Granulozyten (siehe Abschnitt 4.8).</w:t>
      </w:r>
    </w:p>
    <w:p w14:paraId="4E41DF50" w14:textId="77777777" w:rsidR="00093A5E" w:rsidRPr="006A64EE" w:rsidRDefault="00093A5E" w:rsidP="004255F8">
      <w:pPr>
        <w:pStyle w:val="a3"/>
        <w:widowControl/>
      </w:pPr>
    </w:p>
    <w:p w14:paraId="17150770" w14:textId="77777777" w:rsidR="00093A5E" w:rsidRPr="006A64EE" w:rsidRDefault="009C2544" w:rsidP="004255F8">
      <w:pPr>
        <w:pStyle w:val="a3"/>
        <w:widowControl/>
      </w:pPr>
      <w:r w:rsidRPr="006A64EE">
        <w:rPr>
          <w:u w:val="single"/>
        </w:rPr>
        <w:t>Subkutane Anwendung</w:t>
      </w:r>
    </w:p>
    <w:p w14:paraId="35E410A7" w14:textId="77777777" w:rsidR="00093A5E" w:rsidRPr="006A64EE" w:rsidRDefault="009C2544" w:rsidP="004255F8">
      <w:pPr>
        <w:widowControl/>
        <w:rPr>
          <w:b/>
        </w:rPr>
      </w:pPr>
      <w:r w:rsidRPr="006A64EE">
        <w:rPr>
          <w:b/>
          <w:u w:val="single"/>
        </w:rPr>
        <w:t>RA</w:t>
      </w:r>
    </w:p>
    <w:p w14:paraId="350393EB" w14:textId="77777777" w:rsidR="00093A5E" w:rsidRPr="006A64EE" w:rsidRDefault="009C2544" w:rsidP="004255F8">
      <w:pPr>
        <w:pStyle w:val="a3"/>
        <w:widowControl/>
      </w:pPr>
      <w:r w:rsidRPr="006A64EE">
        <w:rPr>
          <w:u w:val="single"/>
        </w:rPr>
        <w:t>Klinische Wirksamkeit</w:t>
      </w:r>
    </w:p>
    <w:p w14:paraId="0F077A0D" w14:textId="7F41C665" w:rsidR="00093A5E" w:rsidRPr="006A64EE" w:rsidRDefault="009C2544" w:rsidP="004255F8">
      <w:pPr>
        <w:pStyle w:val="a3"/>
        <w:widowControl/>
      </w:pPr>
      <w:r w:rsidRPr="006A64EE">
        <w:t xml:space="preserve">Die Wirksamkeit von subkutan verabreichtem </w:t>
      </w:r>
      <w:r w:rsidR="00A304FF" w:rsidRPr="00890245">
        <w:t>Tocilizumab</w:t>
      </w:r>
      <w:r w:rsidRPr="006A64EE">
        <w:t xml:space="preserve"> im Hinblick auf die Linderung der Anzeichen und Symptome von RA und dem radiologischen Ansprechen wurde in zwei randomisierten, doppelblinden, kontrollierten, multizentrischen Studien untersucht. In die Studie I (SC-I) wurden nur Patienten &gt; 18 Jahre mit einer anhand der ACR-Kriterien diagnostizierten mittelschweren bis schweren aktiven RA eingeschlossen, die zum Zeitpunkt des Einschlusses mindestens vier druckschmerzempfindliche und vier geschwollene Gelenke aufwiesen. Alle Patienten erhielten als Basismedikation nicht-biologische DMARDs. In die Studie II (SC-II) wurden nur Patienten &gt; 18 Jahre mit mittelschwerer bis schwerer aktiver RA, diagnostiziert auf Basis der ACR-Kriterien, eingeschlossen, die zum Zeitpunkt des Einschlusses mindestens acht druckschmerzempfindliche und sechs geschwollene Gelenke aufwiesen.</w:t>
      </w:r>
    </w:p>
    <w:p w14:paraId="2CE1F727" w14:textId="77777777" w:rsidR="00093A5E" w:rsidRPr="006A64EE" w:rsidRDefault="00093A5E" w:rsidP="004255F8">
      <w:pPr>
        <w:pStyle w:val="a3"/>
        <w:widowControl/>
      </w:pPr>
    </w:p>
    <w:p w14:paraId="0CB14973" w14:textId="77777777" w:rsidR="00093A5E" w:rsidRPr="006A64EE" w:rsidRDefault="009C2544" w:rsidP="004255F8">
      <w:pPr>
        <w:pStyle w:val="a3"/>
        <w:widowControl/>
      </w:pPr>
      <w:r w:rsidRPr="006A64EE">
        <w:t>Eine Umstellung von der intravenösen Gabe mit 8 mg/kg alle vier Wochen zur subkutanen Anwendung mit 162 mg jede Woche verändert die Exposition des Patienten. Das Ausmaß variiert abhängig vom Körpergewicht des Patienten (erhöht bei Patienten mit geringem Körpergewicht und verringert bei Patienten mit hohem Körpergewicht), aber das klinische Ergebnis entspricht dem intravenös behandelter Patienten.</w:t>
      </w:r>
    </w:p>
    <w:p w14:paraId="085B89D6" w14:textId="77777777" w:rsidR="00093A5E" w:rsidRPr="006A64EE" w:rsidRDefault="00093A5E" w:rsidP="004255F8">
      <w:pPr>
        <w:pStyle w:val="a3"/>
        <w:widowControl/>
      </w:pPr>
    </w:p>
    <w:p w14:paraId="7B2CF16B" w14:textId="77777777" w:rsidR="00093A5E" w:rsidRPr="006A64EE" w:rsidRDefault="009C2544" w:rsidP="004255F8">
      <w:pPr>
        <w:pStyle w:val="a3"/>
        <w:widowControl/>
      </w:pPr>
      <w:r w:rsidRPr="006A64EE">
        <w:rPr>
          <w:u w:val="single"/>
        </w:rPr>
        <w:t>Klinisches Ansprechen</w:t>
      </w:r>
    </w:p>
    <w:p w14:paraId="7456A908" w14:textId="1F3F246C" w:rsidR="00093A5E" w:rsidRPr="006A64EE" w:rsidRDefault="009C2544" w:rsidP="004255F8">
      <w:pPr>
        <w:pStyle w:val="a3"/>
        <w:widowControl/>
      </w:pPr>
      <w:r w:rsidRPr="006A64EE">
        <w:lastRenderedPageBreak/>
        <w:t>In der Studie SC-I wurden Patienten mit mittelschwerer bis schwerer aktiver RA untersucht, die ein unzureichendes klinisches Ansprechen auf ihre bestehende rheumatologische Behandlung, einschließlich einem oder mehreren DMARD(s), hatten. Ungefähr 20</w:t>
      </w:r>
      <w:r w:rsidR="005A1E43">
        <w:t> </w:t>
      </w:r>
      <w:r w:rsidRPr="006A64EE">
        <w:t>% dieser Patienten hatten in der Anamnese ein unzureichendes Ansprechen auf mindestens einen TNF-Inhibitor. In der Studie SC-I wurden 1</w:t>
      </w:r>
      <w:r w:rsidR="005A1E43">
        <w:t> </w:t>
      </w:r>
      <w:r w:rsidRPr="006A64EE">
        <w:t>262</w:t>
      </w:r>
      <w:r w:rsidR="005A1E43">
        <w:t> </w:t>
      </w:r>
      <w:r w:rsidRPr="006A64EE">
        <w:t xml:space="preserve">Patienten randomisiert im Verhältnis 1:1 entweder </w:t>
      </w:r>
      <w:r w:rsidR="00A304FF" w:rsidRPr="00890245">
        <w:t>Tocilizumab</w:t>
      </w:r>
      <w:r w:rsidRPr="006A64EE">
        <w:t xml:space="preserve"> subkutan 162</w:t>
      </w:r>
      <w:r w:rsidR="005A1E43">
        <w:t> </w:t>
      </w:r>
      <w:r w:rsidRPr="006A64EE">
        <w:t xml:space="preserve">mg einmal pro Woche oder </w:t>
      </w:r>
      <w:r w:rsidR="00A304FF" w:rsidRPr="00890245">
        <w:t>Tocilizumab</w:t>
      </w:r>
      <w:r w:rsidRPr="006A64EE">
        <w:t xml:space="preserve"> intravenös 8</w:t>
      </w:r>
      <w:r w:rsidR="005A1E43">
        <w:t> </w:t>
      </w:r>
      <w:r w:rsidRPr="006A64EE">
        <w:t>mg/kg alle vier Wochen, jeweils in Kombination mit nicht-biologischen DMARD(s), zugeteilt. Der primäre Endpunkt der Studie war der Unterschied im Anteil der Patienten, die ein ACR20-Ansprechen in Woche</w:t>
      </w:r>
      <w:r w:rsidR="005A1E43">
        <w:t> </w:t>
      </w:r>
      <w:r w:rsidRPr="006A64EE">
        <w:t>24 erreichten. Die Ergebnisse der Studie SC-I sind in Tabelle</w:t>
      </w:r>
      <w:r w:rsidR="005A1E43">
        <w:t> </w:t>
      </w:r>
      <w:r w:rsidRPr="006A64EE">
        <w:t>2 dargestellt.</w:t>
      </w:r>
    </w:p>
    <w:p w14:paraId="3B9F963C" w14:textId="77777777" w:rsidR="00093A5E" w:rsidRPr="006A64EE" w:rsidRDefault="00093A5E" w:rsidP="004255F8">
      <w:pPr>
        <w:widowControl/>
      </w:pPr>
    </w:p>
    <w:p w14:paraId="3D790F55" w14:textId="40B291C8" w:rsidR="00093A5E" w:rsidRPr="006A64EE" w:rsidRDefault="007D680A" w:rsidP="00513B08">
      <w:pPr>
        <w:pStyle w:val="Tabletittle"/>
      </w:pPr>
      <w:r w:rsidRPr="006A64EE">
        <w:t>Tabelle</w:t>
      </w:r>
      <w:r w:rsidR="005A1E43">
        <w:t> </w:t>
      </w:r>
      <w:r w:rsidRPr="006A64EE">
        <w:t>2:</w:t>
      </w:r>
      <w:r w:rsidR="006C56DF" w:rsidRPr="006A64EE">
        <w:tab/>
      </w:r>
      <w:r w:rsidRPr="006A64EE">
        <w:t>ACR-Ansprechen in Studie SC-I (% Patienten) in Woche</w:t>
      </w:r>
      <w:r w:rsidR="005A1E43">
        <w:t> </w:t>
      </w:r>
      <w:r w:rsidRPr="006A64EE">
        <w:t>24</w:t>
      </w:r>
    </w:p>
    <w:p w14:paraId="2AF85EC8" w14:textId="74535F39" w:rsidR="002D5756" w:rsidRPr="006A64EE" w:rsidRDefault="002D5756" w:rsidP="00513B08">
      <w:pPr>
        <w:pStyle w:val="a3"/>
        <w:keepNext/>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911"/>
        <w:gridCol w:w="2576"/>
        <w:gridCol w:w="2574"/>
      </w:tblGrid>
      <w:tr w:rsidR="00593482" w:rsidRPr="006A64EE" w14:paraId="5BE0F752" w14:textId="77777777" w:rsidTr="00D873B9">
        <w:trPr>
          <w:cantSplit/>
        </w:trPr>
        <w:tc>
          <w:tcPr>
            <w:tcW w:w="3228" w:type="dxa"/>
          </w:tcPr>
          <w:p w14:paraId="1558DA87" w14:textId="77777777" w:rsidR="002D5756" w:rsidRPr="006A64EE" w:rsidRDefault="002D5756" w:rsidP="00513B08">
            <w:pPr>
              <w:pStyle w:val="TableParagraph"/>
              <w:keepNext/>
              <w:widowControl/>
              <w:suppressAutoHyphens/>
            </w:pPr>
          </w:p>
        </w:tc>
        <w:tc>
          <w:tcPr>
            <w:tcW w:w="4250" w:type="dxa"/>
            <w:gridSpan w:val="2"/>
          </w:tcPr>
          <w:p w14:paraId="0CC4258B" w14:textId="77777777" w:rsidR="002D5756" w:rsidRPr="006A64EE" w:rsidRDefault="009C2544" w:rsidP="00513B08">
            <w:pPr>
              <w:pStyle w:val="TableParagraph"/>
              <w:keepNext/>
              <w:widowControl/>
              <w:suppressAutoHyphens/>
              <w:jc w:val="center"/>
            </w:pPr>
            <w:r w:rsidRPr="006A64EE">
              <w:t>SC-I</w:t>
            </w:r>
            <w:r w:rsidRPr="006A64EE">
              <w:rPr>
                <w:vertAlign w:val="superscript"/>
              </w:rPr>
              <w:t>a</w:t>
            </w:r>
          </w:p>
        </w:tc>
      </w:tr>
      <w:tr w:rsidR="00593482" w:rsidRPr="006A64EE" w14:paraId="6EFC032A" w14:textId="77777777" w:rsidTr="00D873B9">
        <w:trPr>
          <w:cantSplit/>
        </w:trPr>
        <w:tc>
          <w:tcPr>
            <w:tcW w:w="3228" w:type="dxa"/>
          </w:tcPr>
          <w:p w14:paraId="607CFCF9" w14:textId="77777777" w:rsidR="002D5756" w:rsidRPr="006A64EE" w:rsidRDefault="002D5756" w:rsidP="00513B08">
            <w:pPr>
              <w:pStyle w:val="TableParagraph"/>
              <w:keepNext/>
              <w:widowControl/>
              <w:suppressAutoHyphens/>
            </w:pPr>
          </w:p>
        </w:tc>
        <w:tc>
          <w:tcPr>
            <w:tcW w:w="2126" w:type="dxa"/>
          </w:tcPr>
          <w:p w14:paraId="12EA0557" w14:textId="00A94778" w:rsidR="00093A5E" w:rsidRPr="006A64EE" w:rsidRDefault="009C2544" w:rsidP="00513B08">
            <w:pPr>
              <w:pStyle w:val="TableParagraph"/>
              <w:keepNext/>
              <w:widowControl/>
              <w:suppressAutoHyphens/>
              <w:jc w:val="center"/>
            </w:pPr>
            <w:r w:rsidRPr="006A64EE">
              <w:t>TCZ s.c. 162 mg einmal pro Woche</w:t>
            </w:r>
            <w:r w:rsidR="00D873B9" w:rsidRPr="006A64EE">
              <w:br/>
            </w:r>
            <w:r w:rsidRPr="006A64EE">
              <w:t>+ DMARD</w:t>
            </w:r>
          </w:p>
          <w:p w14:paraId="08F93EDE" w14:textId="1AAA50CA" w:rsidR="002D5756" w:rsidRPr="006A64EE" w:rsidRDefault="009C2544" w:rsidP="00513B08">
            <w:pPr>
              <w:pStyle w:val="TableParagraph"/>
              <w:keepNext/>
              <w:widowControl/>
              <w:suppressAutoHyphens/>
              <w:jc w:val="center"/>
            </w:pPr>
            <w:r w:rsidRPr="006A64EE">
              <w:t>n = 558</w:t>
            </w:r>
          </w:p>
        </w:tc>
        <w:tc>
          <w:tcPr>
            <w:tcW w:w="2124" w:type="dxa"/>
          </w:tcPr>
          <w:p w14:paraId="2CEE83F7" w14:textId="3D56548A" w:rsidR="00093A5E" w:rsidRPr="006A64EE" w:rsidRDefault="009C2544" w:rsidP="00513B08">
            <w:pPr>
              <w:pStyle w:val="TableParagraph"/>
              <w:keepNext/>
              <w:widowControl/>
              <w:suppressAutoHyphens/>
              <w:jc w:val="center"/>
            </w:pPr>
            <w:r w:rsidRPr="006A64EE">
              <w:t>TCZ i.v. 8 mg/kg</w:t>
            </w:r>
            <w:r w:rsidR="00D873B9" w:rsidRPr="006A64EE">
              <w:br/>
            </w:r>
            <w:r w:rsidRPr="006A64EE">
              <w:t>+ DMARD</w:t>
            </w:r>
          </w:p>
          <w:p w14:paraId="55497013" w14:textId="77777777" w:rsidR="00093A5E" w:rsidRPr="006A64EE" w:rsidRDefault="00093A5E" w:rsidP="00513B08">
            <w:pPr>
              <w:pStyle w:val="TableParagraph"/>
              <w:keepNext/>
              <w:widowControl/>
              <w:suppressAutoHyphens/>
              <w:rPr>
                <w:i/>
              </w:rPr>
            </w:pPr>
          </w:p>
          <w:p w14:paraId="297B01AD" w14:textId="77777777" w:rsidR="002D5756" w:rsidRPr="006A64EE" w:rsidRDefault="009C2544" w:rsidP="00513B08">
            <w:pPr>
              <w:pStyle w:val="TableParagraph"/>
              <w:keepNext/>
              <w:widowControl/>
              <w:suppressAutoHyphens/>
              <w:jc w:val="center"/>
            </w:pPr>
            <w:r w:rsidRPr="006A64EE">
              <w:t>n = 537</w:t>
            </w:r>
          </w:p>
        </w:tc>
      </w:tr>
      <w:tr w:rsidR="00593482" w:rsidRPr="006A64EE" w14:paraId="3FDC233E" w14:textId="77777777" w:rsidTr="00D873B9">
        <w:trPr>
          <w:cantSplit/>
        </w:trPr>
        <w:tc>
          <w:tcPr>
            <w:tcW w:w="3228" w:type="dxa"/>
          </w:tcPr>
          <w:p w14:paraId="551260BC" w14:textId="77777777" w:rsidR="002D5756" w:rsidRPr="006A64EE" w:rsidRDefault="009C2544" w:rsidP="004255F8">
            <w:pPr>
              <w:pStyle w:val="TableParagraph"/>
              <w:widowControl/>
              <w:suppressAutoHyphens/>
              <w:jc w:val="right"/>
            </w:pPr>
            <w:r w:rsidRPr="006A64EE">
              <w:t>ACR20 Woche 24</w:t>
            </w:r>
          </w:p>
        </w:tc>
        <w:tc>
          <w:tcPr>
            <w:tcW w:w="2126" w:type="dxa"/>
          </w:tcPr>
          <w:p w14:paraId="3D15FD84" w14:textId="77777777" w:rsidR="002D5756" w:rsidRPr="006A64EE" w:rsidRDefault="009C2544" w:rsidP="004255F8">
            <w:pPr>
              <w:pStyle w:val="TableParagraph"/>
              <w:widowControl/>
              <w:suppressAutoHyphens/>
              <w:jc w:val="center"/>
            </w:pPr>
            <w:r w:rsidRPr="006A64EE">
              <w:t>69,4 %</w:t>
            </w:r>
          </w:p>
        </w:tc>
        <w:tc>
          <w:tcPr>
            <w:tcW w:w="2124" w:type="dxa"/>
          </w:tcPr>
          <w:p w14:paraId="0FAB760A" w14:textId="77777777" w:rsidR="002D5756" w:rsidRPr="006A64EE" w:rsidRDefault="009C2544" w:rsidP="004255F8">
            <w:pPr>
              <w:pStyle w:val="TableParagraph"/>
              <w:widowControl/>
              <w:suppressAutoHyphens/>
              <w:jc w:val="center"/>
            </w:pPr>
            <w:r w:rsidRPr="006A64EE">
              <w:t>73,4 %</w:t>
            </w:r>
          </w:p>
        </w:tc>
      </w:tr>
      <w:tr w:rsidR="00593482" w:rsidRPr="006A64EE" w14:paraId="0B0F424C" w14:textId="77777777" w:rsidTr="00D873B9">
        <w:trPr>
          <w:cantSplit/>
        </w:trPr>
        <w:tc>
          <w:tcPr>
            <w:tcW w:w="3228" w:type="dxa"/>
          </w:tcPr>
          <w:p w14:paraId="7B40D18B" w14:textId="77777777" w:rsidR="002D5756" w:rsidRPr="006A64EE" w:rsidRDefault="009C2544" w:rsidP="004255F8">
            <w:pPr>
              <w:pStyle w:val="TableParagraph"/>
              <w:widowControl/>
              <w:suppressAutoHyphens/>
              <w:jc w:val="right"/>
            </w:pPr>
            <w:r w:rsidRPr="006A64EE">
              <w:t>Gewichteter Unterschied (95-%-KI)</w:t>
            </w:r>
          </w:p>
        </w:tc>
        <w:tc>
          <w:tcPr>
            <w:tcW w:w="4250" w:type="dxa"/>
            <w:gridSpan w:val="2"/>
          </w:tcPr>
          <w:p w14:paraId="00B3C167" w14:textId="77777777" w:rsidR="002D5756" w:rsidRPr="006A64EE" w:rsidRDefault="009C2544" w:rsidP="004255F8">
            <w:pPr>
              <w:pStyle w:val="TableParagraph"/>
              <w:widowControl/>
              <w:suppressAutoHyphens/>
              <w:jc w:val="center"/>
            </w:pPr>
            <w:r w:rsidRPr="006A64EE">
              <w:t>-4,0 (-9,2; 1,2)</w:t>
            </w:r>
          </w:p>
        </w:tc>
      </w:tr>
      <w:tr w:rsidR="00593482" w:rsidRPr="006A64EE" w14:paraId="24F1759E" w14:textId="77777777" w:rsidTr="00D873B9">
        <w:trPr>
          <w:cantSplit/>
        </w:trPr>
        <w:tc>
          <w:tcPr>
            <w:tcW w:w="3228" w:type="dxa"/>
          </w:tcPr>
          <w:p w14:paraId="636F01B9" w14:textId="77777777" w:rsidR="002D5756" w:rsidRPr="006A64EE" w:rsidRDefault="009C2544" w:rsidP="004255F8">
            <w:pPr>
              <w:pStyle w:val="TableParagraph"/>
              <w:widowControl/>
              <w:suppressAutoHyphens/>
              <w:jc w:val="right"/>
            </w:pPr>
            <w:r w:rsidRPr="006A64EE">
              <w:t>ACR50 Woche 24</w:t>
            </w:r>
          </w:p>
        </w:tc>
        <w:tc>
          <w:tcPr>
            <w:tcW w:w="2126" w:type="dxa"/>
          </w:tcPr>
          <w:p w14:paraId="34A210AE" w14:textId="77777777" w:rsidR="002D5756" w:rsidRPr="006A64EE" w:rsidRDefault="009C2544" w:rsidP="004255F8">
            <w:pPr>
              <w:pStyle w:val="TableParagraph"/>
              <w:widowControl/>
              <w:suppressAutoHyphens/>
              <w:jc w:val="center"/>
            </w:pPr>
            <w:r w:rsidRPr="006A64EE">
              <w:t>47,0 %</w:t>
            </w:r>
          </w:p>
        </w:tc>
        <w:tc>
          <w:tcPr>
            <w:tcW w:w="2124" w:type="dxa"/>
          </w:tcPr>
          <w:p w14:paraId="4866A5BF" w14:textId="77777777" w:rsidR="002D5756" w:rsidRPr="006A64EE" w:rsidRDefault="009C2544" w:rsidP="004255F8">
            <w:pPr>
              <w:pStyle w:val="TableParagraph"/>
              <w:widowControl/>
              <w:suppressAutoHyphens/>
              <w:jc w:val="center"/>
            </w:pPr>
            <w:r w:rsidRPr="006A64EE">
              <w:t>48,6 %</w:t>
            </w:r>
          </w:p>
        </w:tc>
      </w:tr>
      <w:tr w:rsidR="00593482" w:rsidRPr="006A64EE" w14:paraId="64FF3D8D" w14:textId="77777777" w:rsidTr="00D873B9">
        <w:trPr>
          <w:cantSplit/>
        </w:trPr>
        <w:tc>
          <w:tcPr>
            <w:tcW w:w="3228" w:type="dxa"/>
          </w:tcPr>
          <w:p w14:paraId="5E39F115" w14:textId="77777777" w:rsidR="002D5756" w:rsidRPr="006A64EE" w:rsidRDefault="009C2544" w:rsidP="004255F8">
            <w:pPr>
              <w:pStyle w:val="TableParagraph"/>
              <w:widowControl/>
              <w:suppressAutoHyphens/>
              <w:jc w:val="right"/>
            </w:pPr>
            <w:r w:rsidRPr="006A64EE">
              <w:t>Gewichteter Unterschied (95-%-KI)</w:t>
            </w:r>
          </w:p>
        </w:tc>
        <w:tc>
          <w:tcPr>
            <w:tcW w:w="4250" w:type="dxa"/>
            <w:gridSpan w:val="2"/>
          </w:tcPr>
          <w:p w14:paraId="6FE2A5CB" w14:textId="77777777" w:rsidR="002D5756" w:rsidRPr="006A64EE" w:rsidRDefault="009C2544" w:rsidP="004255F8">
            <w:pPr>
              <w:pStyle w:val="TableParagraph"/>
              <w:widowControl/>
              <w:suppressAutoHyphens/>
              <w:jc w:val="center"/>
            </w:pPr>
            <w:r w:rsidRPr="006A64EE">
              <w:t>-1,8 (-7,5; 4,0)</w:t>
            </w:r>
          </w:p>
        </w:tc>
      </w:tr>
      <w:tr w:rsidR="00593482" w:rsidRPr="006A64EE" w14:paraId="59D47679" w14:textId="77777777" w:rsidTr="00D873B9">
        <w:trPr>
          <w:cantSplit/>
        </w:trPr>
        <w:tc>
          <w:tcPr>
            <w:tcW w:w="3228" w:type="dxa"/>
          </w:tcPr>
          <w:p w14:paraId="2EE93E23" w14:textId="77777777" w:rsidR="002D5756" w:rsidRPr="006A64EE" w:rsidRDefault="009C2544" w:rsidP="004255F8">
            <w:pPr>
              <w:pStyle w:val="TableParagraph"/>
              <w:widowControl/>
              <w:suppressAutoHyphens/>
              <w:jc w:val="right"/>
            </w:pPr>
            <w:r w:rsidRPr="006A64EE">
              <w:t>ACR70 Woche 24</w:t>
            </w:r>
          </w:p>
        </w:tc>
        <w:tc>
          <w:tcPr>
            <w:tcW w:w="2126" w:type="dxa"/>
          </w:tcPr>
          <w:p w14:paraId="45019E7B" w14:textId="77777777" w:rsidR="002D5756" w:rsidRPr="006A64EE" w:rsidRDefault="009C2544" w:rsidP="004255F8">
            <w:pPr>
              <w:pStyle w:val="TableParagraph"/>
              <w:widowControl/>
              <w:suppressAutoHyphens/>
              <w:jc w:val="center"/>
            </w:pPr>
            <w:r w:rsidRPr="006A64EE">
              <w:t>24,0 %</w:t>
            </w:r>
          </w:p>
        </w:tc>
        <w:tc>
          <w:tcPr>
            <w:tcW w:w="2124" w:type="dxa"/>
          </w:tcPr>
          <w:p w14:paraId="6A299F63" w14:textId="77777777" w:rsidR="002D5756" w:rsidRPr="006A64EE" w:rsidRDefault="009C2544" w:rsidP="004255F8">
            <w:pPr>
              <w:pStyle w:val="TableParagraph"/>
              <w:widowControl/>
              <w:suppressAutoHyphens/>
              <w:jc w:val="center"/>
            </w:pPr>
            <w:r w:rsidRPr="006A64EE">
              <w:t>27,9 %</w:t>
            </w:r>
          </w:p>
        </w:tc>
      </w:tr>
      <w:tr w:rsidR="00593482" w:rsidRPr="006A64EE" w14:paraId="7A69C38E" w14:textId="77777777" w:rsidTr="00D873B9">
        <w:trPr>
          <w:cantSplit/>
        </w:trPr>
        <w:tc>
          <w:tcPr>
            <w:tcW w:w="3228" w:type="dxa"/>
          </w:tcPr>
          <w:p w14:paraId="46D1F42C" w14:textId="77777777" w:rsidR="002D5756" w:rsidRPr="006A64EE" w:rsidRDefault="009C2544" w:rsidP="004255F8">
            <w:pPr>
              <w:pStyle w:val="TableParagraph"/>
              <w:widowControl/>
              <w:suppressAutoHyphens/>
              <w:jc w:val="right"/>
            </w:pPr>
            <w:r w:rsidRPr="006A64EE">
              <w:t>Gewichteter Unterschied (95-%-KI)</w:t>
            </w:r>
          </w:p>
        </w:tc>
        <w:tc>
          <w:tcPr>
            <w:tcW w:w="4250" w:type="dxa"/>
            <w:gridSpan w:val="2"/>
          </w:tcPr>
          <w:p w14:paraId="7F910B41" w14:textId="77777777" w:rsidR="002D5756" w:rsidRPr="006A64EE" w:rsidRDefault="009C2544" w:rsidP="004255F8">
            <w:pPr>
              <w:pStyle w:val="TableParagraph"/>
              <w:widowControl/>
              <w:suppressAutoHyphens/>
              <w:jc w:val="center"/>
            </w:pPr>
            <w:r w:rsidRPr="006A64EE">
              <w:t>-3,8 (-9,0; 1,3)</w:t>
            </w:r>
          </w:p>
        </w:tc>
      </w:tr>
    </w:tbl>
    <w:p w14:paraId="01FE0C12" w14:textId="77777777" w:rsidR="00093A5E" w:rsidRPr="006A64EE" w:rsidRDefault="009C2544" w:rsidP="004255F8">
      <w:pPr>
        <w:widowControl/>
        <w:rPr>
          <w:sz w:val="18"/>
          <w:szCs w:val="18"/>
        </w:rPr>
      </w:pPr>
      <w:r w:rsidRPr="006A64EE">
        <w:rPr>
          <w:sz w:val="18"/>
          <w:szCs w:val="18"/>
        </w:rPr>
        <w:t>TCZ = Tocilizumab</w:t>
      </w:r>
    </w:p>
    <w:p w14:paraId="4CC39DA0" w14:textId="77777777" w:rsidR="00093A5E" w:rsidRPr="006A64EE" w:rsidRDefault="009C2544" w:rsidP="004255F8">
      <w:pPr>
        <w:widowControl/>
        <w:rPr>
          <w:sz w:val="18"/>
          <w:szCs w:val="18"/>
        </w:rPr>
      </w:pPr>
      <w:r w:rsidRPr="006A64EE">
        <w:rPr>
          <w:sz w:val="18"/>
          <w:szCs w:val="18"/>
        </w:rPr>
        <w:t>a Per-Protokoll-Population</w:t>
      </w:r>
    </w:p>
    <w:p w14:paraId="0782EAAC" w14:textId="77777777" w:rsidR="00093A5E" w:rsidRPr="006A64EE" w:rsidRDefault="00093A5E" w:rsidP="004255F8">
      <w:pPr>
        <w:pStyle w:val="a3"/>
        <w:widowControl/>
      </w:pPr>
    </w:p>
    <w:p w14:paraId="4E8B369C" w14:textId="77777777" w:rsidR="00093A5E" w:rsidRPr="006A64EE" w:rsidRDefault="009C2544" w:rsidP="004255F8">
      <w:pPr>
        <w:pStyle w:val="a3"/>
        <w:widowControl/>
      </w:pPr>
      <w:r w:rsidRPr="006A64EE">
        <w:t>Die Patienten in Studie SC-I hatten bei Studieneinschluss einen mittleren Disease Activity Score (DAS28) von 6,6 im subkutanen und 6,7 im intravenösen Arm. In Woche 24 wurde eine signifikante Verringerung des DAS28 vom Ausgangswert (mittlere Verbesserung) um 3,5 in beiden Behandlungsarmen beobachtet, und ein vergleichbarer Anteil der Patienten erreichte eine klinische Remission des DAS28 (DAS28 &lt; 2,6), nämlich 38,4 % im subkutanen Arm und 36,9 % im intravenösen Arm.</w:t>
      </w:r>
    </w:p>
    <w:p w14:paraId="4DBAE7CC" w14:textId="77777777" w:rsidR="00093A5E" w:rsidRPr="006A64EE" w:rsidRDefault="00093A5E" w:rsidP="004255F8">
      <w:pPr>
        <w:pStyle w:val="a3"/>
        <w:widowControl/>
      </w:pPr>
    </w:p>
    <w:p w14:paraId="483AA46D" w14:textId="77777777" w:rsidR="00093A5E" w:rsidRPr="006A64EE" w:rsidRDefault="009C2544" w:rsidP="004255F8">
      <w:pPr>
        <w:widowControl/>
        <w:rPr>
          <w:i/>
        </w:rPr>
      </w:pPr>
      <w:r w:rsidRPr="006A64EE">
        <w:rPr>
          <w:i/>
        </w:rPr>
        <w:t>Radiologisches Ansprechen</w:t>
      </w:r>
    </w:p>
    <w:p w14:paraId="0794BC8D" w14:textId="1D8F7263" w:rsidR="00093A5E" w:rsidRPr="006A64EE" w:rsidRDefault="009C2544" w:rsidP="004255F8">
      <w:pPr>
        <w:pStyle w:val="a3"/>
        <w:widowControl/>
      </w:pPr>
      <w:r w:rsidRPr="006A64EE">
        <w:t xml:space="preserve">Das radiologische Ansprechen auf subkutan verabreichtes </w:t>
      </w:r>
      <w:r w:rsidR="0007114D" w:rsidRPr="00890245">
        <w:t>Tocilizumab</w:t>
      </w:r>
      <w:r w:rsidRPr="006A64EE">
        <w:t xml:space="preserve"> wurde in einer doppelblinden, kontrollierten, multizentrischen Studie bei Patienten mit aktiver RA bewertet (SC-II). In der</w:t>
      </w:r>
      <w:r w:rsidR="009259FE">
        <w:t xml:space="preserve"> </w:t>
      </w:r>
      <w:r w:rsidRPr="006A64EE">
        <w:t xml:space="preserve">Studie SC-II wurden Patienten mit mittelschwerer bis schwerer aktiver RA mit unzureichendem klinischen Ansprechen auf ihre bestehende rheumatologische Behandlung, einschließlich einem oder mehreren DMARD(s), untersucht. Von diesen Patienten hatten ungefähr 20 % in der Anamnese ein unzureichendes Ansprechen auf mindestens einen TNF-Inhibitor. Die Patienten mussten &gt; 18 Jahre sein und eine anhand der ACR-Kriterien diagnostizierte aktive RA mit mindestens acht druckschmerzempfindlichen und sechs geschwollenen Gelenken zum Zeitpunkt des Einschlusses aufweisen. In der Studie SC-II wurden 656 Patienten im Verhältnis 2:1 randomisiert entweder </w:t>
      </w:r>
      <w:r w:rsidR="0007114D" w:rsidRPr="00890245">
        <w:t>Tocilizumab</w:t>
      </w:r>
      <w:r w:rsidRPr="006A64EE">
        <w:t xml:space="preserve"> 162 mg subkutan alle zwei Wochen oder Placebo zugeteilt, jeweils in Kombination mit nicht-biologischen DMARD(s).</w:t>
      </w:r>
    </w:p>
    <w:p w14:paraId="70122976" w14:textId="77777777" w:rsidR="00093A5E" w:rsidRPr="006A64EE" w:rsidRDefault="00093A5E" w:rsidP="004255F8">
      <w:pPr>
        <w:pStyle w:val="a3"/>
        <w:widowControl/>
      </w:pPr>
    </w:p>
    <w:p w14:paraId="17F1DDE7" w14:textId="4E181D99" w:rsidR="00093A5E" w:rsidRPr="006A64EE" w:rsidRDefault="009C2544" w:rsidP="004255F8">
      <w:pPr>
        <w:pStyle w:val="a3"/>
        <w:widowControl/>
      </w:pPr>
      <w:r w:rsidRPr="006A64EE">
        <w:t xml:space="preserve">In Studie SC-II wurde die Verhinderung von Gelenkschädigungen radiologisch bewertet und anhand der Veränderung des nach van der Heijde modifizierten mittleren Sharp-Gesamtscores (mTSS) verglichen mit den Ausgangswerten dargestellt. In Woche 24 wurde eine Verhinderung von Gelenkschädigungen gezeigt, wobei Patienten mit </w:t>
      </w:r>
      <w:r w:rsidR="0007114D" w:rsidRPr="00890245">
        <w:t>Tocilizumab</w:t>
      </w:r>
      <w:r w:rsidRPr="006A64EE">
        <w:t xml:space="preserve"> subkutan im Vergleich zu Placebo eine signifikant verringerte radiologische Progression aufwiesen (mittlere mTSS von 0,62 </w:t>
      </w:r>
      <w:r w:rsidRPr="006A64EE">
        <w:rPr>
          <w:i/>
        </w:rPr>
        <w:t>vs</w:t>
      </w:r>
      <w:r w:rsidRPr="006A64EE">
        <w:t>. 1,23;</w:t>
      </w:r>
      <w:r w:rsidR="00210878">
        <w:t xml:space="preserve"> </w:t>
      </w:r>
      <w:r w:rsidRPr="006A64EE">
        <w:t>p</w:t>
      </w:r>
      <w:r w:rsidR="00210878">
        <w:t> </w:t>
      </w:r>
      <w:r w:rsidRPr="006A64EE">
        <w:t>=</w:t>
      </w:r>
      <w:r w:rsidR="00210878">
        <w:t> </w:t>
      </w:r>
      <w:r w:rsidRPr="006A64EE">
        <w:t xml:space="preserve">0,0149 [van Elteren]). Diese Ergebnisse stimmen mit den Ergebnissen überein, die bei mit </w:t>
      </w:r>
      <w:r w:rsidR="0007114D" w:rsidRPr="00890245">
        <w:t>Tocilizumab</w:t>
      </w:r>
      <w:r w:rsidRPr="006A64EE">
        <w:t xml:space="preserve"> intravenös behandelten Patienten beobachtet wurden.</w:t>
      </w:r>
    </w:p>
    <w:p w14:paraId="34DA9E7A" w14:textId="77777777" w:rsidR="00093A5E" w:rsidRPr="006A64EE" w:rsidRDefault="00093A5E" w:rsidP="004255F8">
      <w:pPr>
        <w:pStyle w:val="a3"/>
        <w:widowControl/>
      </w:pPr>
    </w:p>
    <w:p w14:paraId="5DCCE237" w14:textId="43167E10" w:rsidR="00093A5E" w:rsidRPr="006A64EE" w:rsidRDefault="009C2544" w:rsidP="004255F8">
      <w:pPr>
        <w:pStyle w:val="a3"/>
        <w:widowControl/>
      </w:pPr>
      <w:r w:rsidRPr="006A64EE">
        <w:lastRenderedPageBreak/>
        <w:t xml:space="preserve">In Studie SC-II betrug in Woche 24 bei mit </w:t>
      </w:r>
      <w:r w:rsidR="0007114D" w:rsidRPr="00890245">
        <w:t>Tocilizumab</w:t>
      </w:r>
      <w:r w:rsidRPr="006A64EE">
        <w:t xml:space="preserve"> subkutan alle zwei Wochen behandelten Patienten der ACR20 60,9 %, der ACR50 39,8 % und der ACR70 19,7 %; im Vergleich dazu betrug bei mit Placebo behandelten Patienten der ACR20 31,5 %, der ACR50 12,3 % und der ACR70 5,0 %. Patienten in den subkutanen Armen hatten als Ausgangswert einen mittleren DAS28 von 6,7 und in den Placeboarmen von 6,6. In Woche 24 wurde eine signifikante Reduktion des DAS28 vom Ausgangswert um 3,1 im subkutanen und 1,7 im Placeboarm beobachtet. Ein DAS28 &lt; 2,6 wurde im subkutanen Arm bei 32,0 % der Patienten und bei 4,0 % im Placeboarm beobachtet.</w:t>
      </w:r>
    </w:p>
    <w:p w14:paraId="180F3A97" w14:textId="77777777" w:rsidR="00093A5E" w:rsidRPr="006A64EE" w:rsidRDefault="00093A5E" w:rsidP="004255F8">
      <w:pPr>
        <w:pStyle w:val="a3"/>
        <w:widowControl/>
      </w:pPr>
    </w:p>
    <w:p w14:paraId="1D6719F7" w14:textId="77777777" w:rsidR="00093A5E" w:rsidRPr="006A64EE" w:rsidRDefault="009C2544" w:rsidP="00513B08">
      <w:pPr>
        <w:keepNext/>
        <w:widowControl/>
        <w:rPr>
          <w:i/>
        </w:rPr>
      </w:pPr>
      <w:r w:rsidRPr="006A64EE">
        <w:rPr>
          <w:i/>
        </w:rPr>
        <w:t>Gesundheitsbezogene Ergebnisse und Lebensqualität</w:t>
      </w:r>
    </w:p>
    <w:p w14:paraId="3C89E751" w14:textId="77777777" w:rsidR="00093A5E" w:rsidRPr="006A64EE" w:rsidRDefault="009C2544" w:rsidP="004255F8">
      <w:pPr>
        <w:pStyle w:val="a3"/>
        <w:widowControl/>
      </w:pPr>
      <w:r w:rsidRPr="006A64EE">
        <w:t>In Studie SC-I betrug der mittlere Abfall des HAQ-DI vom Ausgangswert bis Woche 24 sowohl im subkutanen als auch intravenösen Arm 0,6. Der Anteil an Patienten, die in Woche 24 eine klinisch</w:t>
      </w:r>
      <w:r w:rsidR="00C03AEB" w:rsidRPr="006A64EE">
        <w:t xml:space="preserve"> </w:t>
      </w:r>
      <w:r w:rsidR="007D680A" w:rsidRPr="006A64EE">
        <w:t>relevante Verbesserung in Bezug auf den HAQ-DI Score hatten (Veränderung vom Ausgangswert von</w:t>
      </w:r>
      <w:r w:rsidR="00C03AEB" w:rsidRPr="006A64EE">
        <w:t xml:space="preserve"> </w:t>
      </w:r>
      <w:r w:rsidRPr="006A64EE">
        <w:t>≥ 0,3 Einheiten), war im subkutanen (65,2 %) und intravenösen (67,4 %) Arm vergleichbar, mit einem gewichteten Unterschied der Anteile von -2,3 % (95-%-KI -8,1; 3,4). Beim SF-36 betrug die mittlere Veränderung vom Ausgangswert bis Woche 24 des Scores der mentalen Komponente im subkutanen Arm 6,22 und im intravenösen Arm 6,54; die Veränderung des Scores der physischen Komponente war ebenfalls vergleichbar mit 9,49 im subkutanen Arm und 9,65 im intravenösen Arm.</w:t>
      </w:r>
    </w:p>
    <w:p w14:paraId="117BE07A" w14:textId="77777777" w:rsidR="00093A5E" w:rsidRPr="006A64EE" w:rsidRDefault="00093A5E" w:rsidP="004255F8">
      <w:pPr>
        <w:pStyle w:val="a3"/>
        <w:widowControl/>
      </w:pPr>
    </w:p>
    <w:p w14:paraId="5CB919A2" w14:textId="6EA06F87" w:rsidR="00093A5E" w:rsidRPr="006A64EE" w:rsidRDefault="009C2544" w:rsidP="004255F8">
      <w:pPr>
        <w:pStyle w:val="a3"/>
        <w:widowControl/>
      </w:pPr>
      <w:r w:rsidRPr="006A64EE">
        <w:t xml:space="preserve">In Studie SC-II war der mittlere Abfall des HAQ-DI vom Ausgangswert bis Woche 24 bei Patienten, die </w:t>
      </w:r>
      <w:r w:rsidR="0007114D" w:rsidRPr="00890245">
        <w:t>Tocilizumab</w:t>
      </w:r>
      <w:r w:rsidRPr="006A64EE">
        <w:t xml:space="preserve"> alle zwei Wochen subkutan erhielten, signifikant höher (0,4) im Vergleich zu Placebo (0,3). Der Anteil an Patienten, die in Woche 24 eine klinisch relevante Verbesserung in Bezug auf den HAQ-DI Score hatten (Veränderung vom Ausgangswert von ≥ 0,3 Einheiten), war im Arm mit </w:t>
      </w:r>
      <w:r w:rsidR="0007114D" w:rsidRPr="00890245">
        <w:t>Tocilizumab</w:t>
      </w:r>
      <w:r w:rsidRPr="006A64EE">
        <w:t xml:space="preserve"> subkutan jede zweite Woche höher (58 %) im Vergleich zu Placebo (46,8 %). Der SF-36 (mittlere Veränderung der Scores der mentalen und physischen Komponente) war in der Gruppe mit </w:t>
      </w:r>
      <w:r w:rsidR="0007114D" w:rsidRPr="00890245">
        <w:t>Tocilizumab</w:t>
      </w:r>
      <w:r w:rsidRPr="006A64EE">
        <w:t xml:space="preserve"> subkutan signifikant höher (6,5 und 5,3) im Vergleich zu Placebo (3,8 und 2,9).</w:t>
      </w:r>
    </w:p>
    <w:p w14:paraId="44194FD7" w14:textId="77777777" w:rsidR="00093A5E" w:rsidRPr="006A64EE" w:rsidRDefault="00093A5E" w:rsidP="004255F8">
      <w:pPr>
        <w:pStyle w:val="a3"/>
        <w:widowControl/>
      </w:pPr>
    </w:p>
    <w:p w14:paraId="4450BDB0" w14:textId="77777777" w:rsidR="00093A5E" w:rsidRPr="006A64EE" w:rsidRDefault="009C2544" w:rsidP="004255F8">
      <w:pPr>
        <w:widowControl/>
        <w:rPr>
          <w:b/>
        </w:rPr>
      </w:pPr>
      <w:r w:rsidRPr="006A64EE">
        <w:rPr>
          <w:b/>
          <w:u w:val="single"/>
        </w:rPr>
        <w:t>sJIA (s.c.)</w:t>
      </w:r>
    </w:p>
    <w:p w14:paraId="0D68F6FC" w14:textId="77777777" w:rsidR="00093A5E" w:rsidRPr="006A64EE" w:rsidRDefault="009C2544" w:rsidP="004255F8">
      <w:pPr>
        <w:pStyle w:val="a3"/>
        <w:widowControl/>
      </w:pPr>
      <w:r w:rsidRPr="006A64EE">
        <w:rPr>
          <w:u w:val="single"/>
        </w:rPr>
        <w:t>Klinische Wirksamkeit</w:t>
      </w:r>
    </w:p>
    <w:p w14:paraId="0A280C71" w14:textId="1BE3870E" w:rsidR="00093A5E" w:rsidRPr="006A64EE" w:rsidRDefault="009C2544" w:rsidP="004255F8">
      <w:pPr>
        <w:pStyle w:val="a3"/>
        <w:widowControl/>
      </w:pPr>
      <w:r w:rsidRPr="006A64EE">
        <w:t xml:space="preserve">Eine 52-wöchige offene multizentrische PK/PD- und Sicherheitsstudie (WA28118) wurde bei pädiatrischen Patienten mit sJIA im Alter von 1 bis 17 Jahren durchgeführt, um die geeignete Dosis von </w:t>
      </w:r>
      <w:r w:rsidR="0007114D" w:rsidRPr="00890245">
        <w:t>Tocilizumab</w:t>
      </w:r>
      <w:r w:rsidRPr="006A64EE">
        <w:t xml:space="preserve"> subkutan zu bestimmen, mit der vergleichbare PK-, PD- und Sicherheitsprofile zur intravenösen Anwendung erzielt werden.</w:t>
      </w:r>
    </w:p>
    <w:p w14:paraId="3D71F217" w14:textId="77777777" w:rsidR="00093A5E" w:rsidRPr="006A64EE" w:rsidRDefault="00093A5E" w:rsidP="004255F8">
      <w:pPr>
        <w:pStyle w:val="a3"/>
        <w:widowControl/>
      </w:pPr>
    </w:p>
    <w:p w14:paraId="17E1C4AA" w14:textId="064084F5" w:rsidR="00093A5E" w:rsidRPr="006A64EE" w:rsidRDefault="009C2544" w:rsidP="004255F8">
      <w:pPr>
        <w:pStyle w:val="a3"/>
        <w:widowControl/>
      </w:pPr>
      <w:r w:rsidRPr="006A64EE">
        <w:t xml:space="preserve">Geeignete Patienten erhielten </w:t>
      </w:r>
      <w:r w:rsidR="0007114D" w:rsidRPr="00890245">
        <w:t>Tocilizumab</w:t>
      </w:r>
      <w:r w:rsidRPr="006A64EE">
        <w:t xml:space="preserve"> in Abhängigkeit vom Körpergewicht, wobei Patienten mit einem Gewicht von ≥ 30 kg (n = 26) 162 mg </w:t>
      </w:r>
      <w:r w:rsidR="0007114D" w:rsidRPr="00890245">
        <w:t>Tocilizumab</w:t>
      </w:r>
      <w:r w:rsidRPr="006A64EE">
        <w:t xml:space="preserve"> einmal pro Woche (qw) und Patienten mit einem Gewicht unter 30 kg (n = 25) 162 mg </w:t>
      </w:r>
      <w:r w:rsidR="0007114D" w:rsidRPr="00890245">
        <w:t>Tocilizumab</w:t>
      </w:r>
      <w:r w:rsidRPr="006A64EE">
        <w:t xml:space="preserve"> alle 10 Tage (Q10D; n = 8) oder alle</w:t>
      </w:r>
      <w:r w:rsidR="00B10040">
        <w:t xml:space="preserve"> </w:t>
      </w:r>
      <w:r w:rsidRPr="006A64EE">
        <w:t>2</w:t>
      </w:r>
      <w:r w:rsidR="00B10040">
        <w:t> </w:t>
      </w:r>
      <w:r w:rsidRPr="006A64EE">
        <w:t xml:space="preserve">Wochen (q2w; n = 17) über 52 Wochen erhielten. Von diesen 51 Patienten waren 26 (51 %) noch nicht mit </w:t>
      </w:r>
      <w:r w:rsidR="0007114D" w:rsidRPr="00890245">
        <w:t>Tocilizumab</w:t>
      </w:r>
      <w:r w:rsidRPr="006A64EE">
        <w:t xml:space="preserve"> behandelt worden und 25 (49 %) hatten bereits </w:t>
      </w:r>
      <w:r w:rsidR="00B11191">
        <w:t>Tocilizumab</w:t>
      </w:r>
      <w:r w:rsidRPr="006A64EE">
        <w:t xml:space="preserve"> intravenös erhalten und wechselten zu Studienbeginn zu </w:t>
      </w:r>
      <w:r w:rsidR="0007114D" w:rsidRPr="00890245">
        <w:t>Tocilizumab</w:t>
      </w:r>
      <w:r w:rsidRPr="006A64EE">
        <w:t xml:space="preserve"> subkutan.</w:t>
      </w:r>
    </w:p>
    <w:p w14:paraId="4B425984" w14:textId="77777777" w:rsidR="00093A5E" w:rsidRPr="006A64EE" w:rsidRDefault="00093A5E" w:rsidP="004255F8">
      <w:pPr>
        <w:pStyle w:val="a3"/>
        <w:widowControl/>
      </w:pPr>
    </w:p>
    <w:p w14:paraId="482B963F" w14:textId="3437A5E0" w:rsidR="00093A5E" w:rsidRPr="006A64EE" w:rsidRDefault="009C2544" w:rsidP="004255F8">
      <w:pPr>
        <w:pStyle w:val="a3"/>
        <w:widowControl/>
      </w:pPr>
      <w:r w:rsidRPr="006A64EE">
        <w:t xml:space="preserve">Explorative Wirksamkeitsergebnisse zeigten, dass </w:t>
      </w:r>
      <w:r w:rsidR="0007114D" w:rsidRPr="00890245">
        <w:t>Tocilizumab</w:t>
      </w:r>
      <w:r w:rsidRPr="006A64EE">
        <w:t xml:space="preserve"> subkutan während des gesamten Studienverlaufs bei Patienten in beiden Körpergewichtsgruppen (unter 30 kg und ≥ 30 kg) alle explorativen Wirksamkeitsparameter einschließlich Juvenile Arthritis Disease Activity Score (JADAS)-71 für TCZ-naive Patienten verbesserte und alle explorativen Wirksamkeitsparameter für Patienten aufrechterhielt, die von </w:t>
      </w:r>
      <w:r w:rsidR="0007114D" w:rsidRPr="00890245">
        <w:t>Tocilizumab</w:t>
      </w:r>
      <w:r w:rsidRPr="006A64EE">
        <w:t xml:space="preserve"> intravenös auf </w:t>
      </w:r>
      <w:r w:rsidR="0007114D" w:rsidRPr="00890245">
        <w:t>Tocilizumab</w:t>
      </w:r>
      <w:r w:rsidRPr="006A64EE">
        <w:t xml:space="preserve"> subkutan umgestellt hatten.</w:t>
      </w:r>
    </w:p>
    <w:p w14:paraId="4B2FBCE3" w14:textId="77777777" w:rsidR="00093A5E" w:rsidRPr="006A64EE" w:rsidRDefault="00093A5E" w:rsidP="004255F8">
      <w:pPr>
        <w:pStyle w:val="a3"/>
        <w:widowControl/>
      </w:pPr>
    </w:p>
    <w:p w14:paraId="7ADB1E2F" w14:textId="77777777" w:rsidR="00093A5E" w:rsidRPr="006A64EE" w:rsidRDefault="009C2544" w:rsidP="004255F8">
      <w:pPr>
        <w:widowControl/>
        <w:rPr>
          <w:b/>
        </w:rPr>
      </w:pPr>
      <w:r w:rsidRPr="006A64EE">
        <w:rPr>
          <w:b/>
          <w:u w:val="single"/>
        </w:rPr>
        <w:t>pJIA (s.c.)</w:t>
      </w:r>
    </w:p>
    <w:p w14:paraId="091523CA" w14:textId="55E34AFB" w:rsidR="00093A5E" w:rsidRPr="006A64EE" w:rsidRDefault="009C2544" w:rsidP="004255F8">
      <w:pPr>
        <w:pStyle w:val="a3"/>
        <w:widowControl/>
      </w:pPr>
      <w:r w:rsidRPr="006A64EE">
        <w:t xml:space="preserve">Eine 52-wöchige offene multizentrische PK-, PD- und Sicherheitsstudie wurde mit pädiatrischen Patienten mit pJIA im Alter von 1 bis 17 Jahren durchgeführt, um die geeignete Dosis von </w:t>
      </w:r>
      <w:r w:rsidR="0007114D" w:rsidRPr="00890245">
        <w:t>Tocilizumab</w:t>
      </w:r>
      <w:r w:rsidRPr="006A64EE">
        <w:t xml:space="preserve"> subkutan zu bestimmen, mit der vergleichbare PK-, PD- und Sicherheitsprofile zur intravenösen Anwendung erzielt werden.</w:t>
      </w:r>
    </w:p>
    <w:p w14:paraId="0B0AC212" w14:textId="77777777" w:rsidR="00093A5E" w:rsidRPr="006A64EE" w:rsidRDefault="00093A5E" w:rsidP="004255F8">
      <w:pPr>
        <w:pStyle w:val="a3"/>
        <w:widowControl/>
      </w:pPr>
    </w:p>
    <w:p w14:paraId="1308900B" w14:textId="71185B2E" w:rsidR="00093A5E" w:rsidRPr="006A64EE" w:rsidRDefault="009C2544" w:rsidP="004255F8">
      <w:pPr>
        <w:pStyle w:val="a3"/>
        <w:widowControl/>
      </w:pPr>
      <w:r w:rsidRPr="006A64EE">
        <w:t xml:space="preserve">Geeignete Patienten erhielten Tocilizumab in Abhängigkeit von ihrem Körpergewicht. Patienten mit einem Körpergewicht von ≥ 30 kg (n = 25) erhielten 162 mg </w:t>
      </w:r>
      <w:r w:rsidR="0007114D" w:rsidRPr="00890245">
        <w:t>Tocilizumab</w:t>
      </w:r>
      <w:r w:rsidRPr="006A64EE">
        <w:t xml:space="preserve"> alle zwei Wochen (q2w) und Patienten mit einem Körpergewicht von unter 30 kg (n = 27) erhielten 162 mg </w:t>
      </w:r>
      <w:r w:rsidR="0007114D" w:rsidRPr="00890245">
        <w:t>Tocilizumab</w:t>
      </w:r>
      <w:r w:rsidRPr="006A64EE">
        <w:t xml:space="preserve"> alle drei Wochen (q3w) über 52 Wochen. Von diesen 52 Patienten waren 37 (71 %) noch nicht mit </w:t>
      </w:r>
      <w:r w:rsidR="0007114D" w:rsidRPr="00890245">
        <w:lastRenderedPageBreak/>
        <w:t>Tocilizumab</w:t>
      </w:r>
      <w:r w:rsidRPr="006A64EE">
        <w:t xml:space="preserve"> behandelt worden und 15 (29 %) hatten bereits </w:t>
      </w:r>
      <w:r w:rsidR="0007114D" w:rsidRPr="00890245">
        <w:t>Tocilizumab</w:t>
      </w:r>
      <w:r w:rsidRPr="006A64EE">
        <w:t xml:space="preserve"> intravenös erhalten und wechselten zum Baseline Zeitpunkt zu </w:t>
      </w:r>
      <w:r w:rsidR="0007114D" w:rsidRPr="00890245">
        <w:t>Tocilizumab</w:t>
      </w:r>
      <w:r w:rsidRPr="006A64EE">
        <w:t xml:space="preserve"> subkutan.</w:t>
      </w:r>
    </w:p>
    <w:p w14:paraId="4A8AAC2B" w14:textId="77777777" w:rsidR="00093A5E" w:rsidRPr="006A64EE" w:rsidRDefault="00093A5E" w:rsidP="004255F8">
      <w:pPr>
        <w:pStyle w:val="a3"/>
        <w:widowControl/>
      </w:pPr>
    </w:p>
    <w:p w14:paraId="0BFFD5F2" w14:textId="7439509D" w:rsidR="00093A5E" w:rsidRPr="006A64EE" w:rsidRDefault="009C2544" w:rsidP="004255F8">
      <w:pPr>
        <w:pStyle w:val="a3"/>
        <w:widowControl/>
      </w:pPr>
      <w:r w:rsidRPr="006A64EE">
        <w:t xml:space="preserve">Die subkutanen </w:t>
      </w:r>
      <w:r w:rsidR="0007114D" w:rsidRPr="00890245">
        <w:t>Tocilizumab</w:t>
      </w:r>
      <w:r w:rsidR="0007114D">
        <w:t>-</w:t>
      </w:r>
      <w:r w:rsidRPr="006A64EE">
        <w:t xml:space="preserve">Schemata von 162 mg q3w für Patienten mit einem Körpergewicht von unter 30 kg und 162 mg q2w für Patienten mit einem Körpergewicht von ≥ 30 kg führen zu PK-Expositionen und PD-Ansprechen, die vergleichbare Sicherheits- und Wirksamkeitsergebnisse erzielen, wie sie mit der zugelassenen intravenösen Darreichungsform von </w:t>
      </w:r>
      <w:r w:rsidR="0007114D" w:rsidRPr="00890245">
        <w:t>Tocilizumab</w:t>
      </w:r>
      <w:r w:rsidRPr="006A64EE">
        <w:t xml:space="preserve"> zur Behandlung der pJIA erzielt werden.</w:t>
      </w:r>
    </w:p>
    <w:p w14:paraId="70BF5A43" w14:textId="77777777" w:rsidR="00093A5E" w:rsidRPr="006A64EE" w:rsidRDefault="00093A5E" w:rsidP="004255F8">
      <w:pPr>
        <w:pStyle w:val="a3"/>
        <w:widowControl/>
      </w:pPr>
    </w:p>
    <w:p w14:paraId="4BCF1EBB" w14:textId="55D69E48" w:rsidR="00093A5E" w:rsidRPr="006A64EE" w:rsidRDefault="009C2544" w:rsidP="004255F8">
      <w:pPr>
        <w:pStyle w:val="a3"/>
        <w:widowControl/>
      </w:pPr>
      <w:r w:rsidRPr="006A64EE">
        <w:t xml:space="preserve">Exploratorische Wirksamkeitsergebnisse zeigten, dass </w:t>
      </w:r>
      <w:r w:rsidR="0007114D" w:rsidRPr="00890245">
        <w:t>Tocilizumab</w:t>
      </w:r>
      <w:r w:rsidRPr="006A64EE">
        <w:t xml:space="preserve"> subkutan den medianen Juvenile Arthritis Disease Activity Score (JADAS)-71 bei mit </w:t>
      </w:r>
      <w:r w:rsidR="00332B53" w:rsidRPr="00890245">
        <w:t>Tocilizumab</w:t>
      </w:r>
      <w:r w:rsidRPr="006A64EE">
        <w:t xml:space="preserve"> nicht vorbehandelten Patienten verbesserte und bei Patienten, die von der intravenösen zu der subkutanen Behandlung mit </w:t>
      </w:r>
      <w:r w:rsidR="00332B53" w:rsidRPr="00890245">
        <w:t>Tocilizumab</w:t>
      </w:r>
      <w:r w:rsidR="00C03AEB" w:rsidRPr="006A64EE">
        <w:t xml:space="preserve"> </w:t>
      </w:r>
      <w:r w:rsidR="007D680A" w:rsidRPr="006A64EE">
        <w:t>wechselten, den medianen JADAS-71 über die gesamte Studienlaufzeit in beiden Körpergewichts-Gruppen (unter 30 kg und ≥ 30 kg) aufrecht erhielt.</w:t>
      </w:r>
    </w:p>
    <w:p w14:paraId="63DACA91" w14:textId="77777777" w:rsidR="00093A5E" w:rsidRPr="006A64EE" w:rsidRDefault="00093A5E" w:rsidP="004255F8">
      <w:pPr>
        <w:pStyle w:val="a3"/>
        <w:widowControl/>
      </w:pPr>
    </w:p>
    <w:p w14:paraId="3EF17C56" w14:textId="77777777" w:rsidR="00093A5E" w:rsidRPr="006A64EE" w:rsidRDefault="009C2544" w:rsidP="008E3CE6">
      <w:pPr>
        <w:keepNext/>
        <w:widowControl/>
        <w:rPr>
          <w:b/>
        </w:rPr>
      </w:pPr>
      <w:r w:rsidRPr="006A64EE">
        <w:rPr>
          <w:b/>
          <w:u w:val="single"/>
        </w:rPr>
        <w:t>RZA (s.c.)</w:t>
      </w:r>
    </w:p>
    <w:p w14:paraId="7F7846F5" w14:textId="77777777" w:rsidR="00093A5E" w:rsidRPr="006A64EE" w:rsidRDefault="009C2544" w:rsidP="008E3CE6">
      <w:pPr>
        <w:pStyle w:val="a3"/>
        <w:keepNext/>
        <w:widowControl/>
      </w:pPr>
      <w:r w:rsidRPr="006A64EE">
        <w:rPr>
          <w:u w:val="single"/>
        </w:rPr>
        <w:t>Klinische Wirksamkeit</w:t>
      </w:r>
    </w:p>
    <w:p w14:paraId="79EF429D" w14:textId="06F2A84F" w:rsidR="00093A5E" w:rsidRPr="006A64EE" w:rsidRDefault="009C2544" w:rsidP="004255F8">
      <w:pPr>
        <w:pStyle w:val="a3"/>
        <w:widowControl/>
      </w:pPr>
      <w:r w:rsidRPr="006A64EE">
        <w:t xml:space="preserve">Die Studie WA28119 war eine randomisierte, multizentrische, doppelblinde, placebokontrollierte Überlegenheitsstudie der Phase III zur Beurteilung der Wirksamkeit und Sicherheit von </w:t>
      </w:r>
      <w:r w:rsidR="00332B53" w:rsidRPr="00890245">
        <w:t>Tocilizumab</w:t>
      </w:r>
      <w:r w:rsidRPr="006A64EE">
        <w:t xml:space="preserve"> bei Patienten mit RZA.</w:t>
      </w:r>
    </w:p>
    <w:p w14:paraId="6ADB7B77" w14:textId="77777777" w:rsidR="00093A5E" w:rsidRPr="006A64EE" w:rsidRDefault="00093A5E" w:rsidP="004255F8">
      <w:pPr>
        <w:pStyle w:val="a3"/>
        <w:widowControl/>
      </w:pPr>
    </w:p>
    <w:p w14:paraId="3CF1F501" w14:textId="1197A978" w:rsidR="00093A5E" w:rsidRPr="006A64EE" w:rsidRDefault="009C2544" w:rsidP="004255F8">
      <w:pPr>
        <w:pStyle w:val="a3"/>
        <w:widowControl/>
      </w:pPr>
      <w:r w:rsidRPr="006A64EE">
        <w:t xml:space="preserve">Es wurden 251 Patienten mit beginnender oder rezidivierender RZA aufgenommen und einer von vier Behandlungsgruppen zugewiesen. Die Studie bestand aus einem 52-wöchigen, verblindeten Zeitraum (Teil 1), gefolgt von einem 104-wöchigen offenen Erweiterungszeitraum (Teil 2). Der Zweck von Teil 2 war die Beschreibung der Langzeitsicherheit und der anhaltenden Wirksamkeit nach einer 52-wöchigen </w:t>
      </w:r>
      <w:r w:rsidR="00E26B13">
        <w:t>Tocilizumab-</w:t>
      </w:r>
      <w:r w:rsidRPr="006A64EE">
        <w:t xml:space="preserve">Therapie sowie die Untersuchung der Rezidivrate und der Notwendigkeit einer </w:t>
      </w:r>
      <w:r w:rsidR="00332B53" w:rsidRPr="00890245">
        <w:t>Tocilizumab</w:t>
      </w:r>
      <w:r w:rsidR="00332B53">
        <w:t>-</w:t>
      </w:r>
      <w:r w:rsidRPr="006A64EE">
        <w:t xml:space="preserve">Therapie über 52 Wochen hinaus. Außerdem sollten Erkenntnisse darüber gewonnen werden, inwieweit durch </w:t>
      </w:r>
      <w:r w:rsidR="00332B53" w:rsidRPr="00890245">
        <w:t>Tocilizumab</w:t>
      </w:r>
      <w:r w:rsidRPr="006A64EE">
        <w:t xml:space="preserve"> langfristig der Corticosteroideinsatz reduziert werden kann.</w:t>
      </w:r>
    </w:p>
    <w:p w14:paraId="2950FDD5" w14:textId="77777777" w:rsidR="00093A5E" w:rsidRPr="006A64EE" w:rsidRDefault="00093A5E" w:rsidP="004255F8">
      <w:pPr>
        <w:pStyle w:val="a3"/>
        <w:widowControl/>
      </w:pPr>
    </w:p>
    <w:p w14:paraId="61C84991" w14:textId="2E5A165D" w:rsidR="00093A5E" w:rsidRPr="006A64EE" w:rsidRDefault="009C2544" w:rsidP="004255F8">
      <w:pPr>
        <w:pStyle w:val="a3"/>
        <w:widowControl/>
      </w:pPr>
      <w:r w:rsidRPr="006A64EE">
        <w:t xml:space="preserve">Es wurden zwei subkutane </w:t>
      </w:r>
      <w:r w:rsidR="00332B53" w:rsidRPr="00890245">
        <w:t>Tocilizumab</w:t>
      </w:r>
      <w:r w:rsidR="00332B53">
        <w:t>-</w:t>
      </w:r>
      <w:r w:rsidRPr="006A64EE">
        <w:t>Dosierungen (162 mg einmal wöchentlich und 162 mg alle</w:t>
      </w:r>
      <w:r w:rsidR="009662A0">
        <w:t xml:space="preserve"> </w:t>
      </w:r>
      <w:r w:rsidRPr="006A64EE">
        <w:t>2</w:t>
      </w:r>
      <w:r w:rsidR="009662A0">
        <w:t> </w:t>
      </w:r>
      <w:r w:rsidRPr="006A64EE">
        <w:t>Wochen) mit zwei verschiedenen Placebo-Kontrollgruppen im Randomisierungsverhältnis 2:1:1:1 verglichen.</w:t>
      </w:r>
    </w:p>
    <w:p w14:paraId="5BBB36CF" w14:textId="77777777" w:rsidR="00093A5E" w:rsidRPr="006A64EE" w:rsidRDefault="00093A5E" w:rsidP="004255F8">
      <w:pPr>
        <w:pStyle w:val="a3"/>
        <w:widowControl/>
      </w:pPr>
    </w:p>
    <w:p w14:paraId="0899C4C4" w14:textId="6304BCD4" w:rsidR="00093A5E" w:rsidRPr="006A64EE" w:rsidRDefault="009C2544" w:rsidP="004255F8">
      <w:pPr>
        <w:pStyle w:val="a3"/>
        <w:widowControl/>
      </w:pPr>
      <w:r w:rsidRPr="006A64EE">
        <w:t xml:space="preserve">Alle Patienten erhielten eine Glucocorticoid-Basismedikation (Prednison). In beiden </w:t>
      </w:r>
      <w:r w:rsidR="00332B53" w:rsidRPr="00890245">
        <w:t>Tocilizumab</w:t>
      </w:r>
      <w:r w:rsidR="00332B53">
        <w:t>-</w:t>
      </w:r>
      <w:r w:rsidRPr="006A64EE">
        <w:t>Gruppen und in einer der Placebo-Gruppen wurde eine vorgegebene Prednison-Ausschleichtherapie über 26 Wochen angewendet. In der zweiten Placebo-Gruppe wurde eine vorgegebene Prednison-Ausschleichtherapie über 52 Wochen angewendet, was eher der allgemeinen Behandlungspraxis entspricht.</w:t>
      </w:r>
    </w:p>
    <w:p w14:paraId="0E1E5A77" w14:textId="77777777" w:rsidR="00093A5E" w:rsidRPr="006A64EE" w:rsidRDefault="00093A5E" w:rsidP="004255F8">
      <w:pPr>
        <w:pStyle w:val="a3"/>
        <w:widowControl/>
      </w:pPr>
    </w:p>
    <w:p w14:paraId="2037B4A1" w14:textId="47CCFF63" w:rsidR="00093A5E" w:rsidRPr="006A64EE" w:rsidRDefault="009C2544" w:rsidP="004255F8">
      <w:pPr>
        <w:pStyle w:val="a3"/>
        <w:widowControl/>
      </w:pPr>
      <w:r w:rsidRPr="006A64EE">
        <w:t xml:space="preserve">Die Dauer der Glucocorticoid-Therapie während des Screenings und vor Beginn der Behandlung mit </w:t>
      </w:r>
      <w:r w:rsidR="00332B53" w:rsidRPr="00890245">
        <w:t>Tocilizumab</w:t>
      </w:r>
      <w:r w:rsidRPr="006A64EE">
        <w:t xml:space="preserve"> (oder Placebo) war in allen 4 Behandlungsgruppen ähnlich (siehe Tabelle 3).</w:t>
      </w:r>
    </w:p>
    <w:p w14:paraId="14194288" w14:textId="77777777" w:rsidR="00093A5E" w:rsidRPr="006A64EE" w:rsidRDefault="00093A5E" w:rsidP="004255F8">
      <w:pPr>
        <w:pStyle w:val="a3"/>
        <w:widowControl/>
      </w:pPr>
    </w:p>
    <w:p w14:paraId="0D042B65" w14:textId="701445C5" w:rsidR="00093A5E" w:rsidRPr="006A64EE" w:rsidRDefault="009C2544" w:rsidP="008E3CE6">
      <w:pPr>
        <w:pStyle w:val="Tabletittle"/>
      </w:pPr>
      <w:r w:rsidRPr="006A64EE">
        <w:t>Tabelle 3:</w:t>
      </w:r>
      <w:r w:rsidR="008E3CE6" w:rsidRPr="006A64EE">
        <w:tab/>
      </w:r>
      <w:r w:rsidRPr="006A64EE">
        <w:t>Dauer der Glucocorticoid-Therapie während des Screenings in Studie WA28119</w:t>
      </w:r>
    </w:p>
    <w:p w14:paraId="4F60C25C" w14:textId="281A1E2B" w:rsidR="002D5756" w:rsidRPr="006A64EE" w:rsidRDefault="002D5756" w:rsidP="008E3CE6">
      <w:pPr>
        <w:pStyle w:val="a3"/>
        <w:keepNext/>
        <w:widowControl/>
        <w:rPr>
          <w:i/>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588"/>
        <w:gridCol w:w="1832"/>
        <w:gridCol w:w="1869"/>
        <w:gridCol w:w="1823"/>
        <w:gridCol w:w="1900"/>
      </w:tblGrid>
      <w:tr w:rsidR="003956A4" w:rsidRPr="006A64EE" w14:paraId="68B34662" w14:textId="77777777" w:rsidTr="003956A4">
        <w:trPr>
          <w:cantSplit/>
        </w:trPr>
        <w:tc>
          <w:tcPr>
            <w:tcW w:w="1588" w:type="dxa"/>
          </w:tcPr>
          <w:p w14:paraId="39889EF1" w14:textId="77777777" w:rsidR="003956A4" w:rsidRPr="006A64EE" w:rsidRDefault="003956A4" w:rsidP="003956A4">
            <w:pPr>
              <w:pStyle w:val="TableParagraph"/>
              <w:keepNext/>
              <w:widowControl/>
              <w:suppressAutoHyphens/>
              <w:rPr>
                <w:sz w:val="20"/>
                <w:szCs w:val="20"/>
              </w:rPr>
            </w:pPr>
          </w:p>
        </w:tc>
        <w:tc>
          <w:tcPr>
            <w:tcW w:w="1832" w:type="dxa"/>
          </w:tcPr>
          <w:p w14:paraId="4093044B" w14:textId="77777777" w:rsidR="003956A4" w:rsidRPr="00513B08" w:rsidRDefault="003956A4" w:rsidP="003956A4">
            <w:pPr>
              <w:pStyle w:val="TableParagraph"/>
              <w:keepNext/>
              <w:widowControl/>
              <w:suppressAutoHyphens/>
              <w:jc w:val="center"/>
              <w:rPr>
                <w:b/>
                <w:sz w:val="20"/>
                <w:szCs w:val="20"/>
              </w:rPr>
            </w:pPr>
            <w:r w:rsidRPr="00513B08">
              <w:rPr>
                <w:b/>
                <w:sz w:val="20"/>
                <w:szCs w:val="20"/>
              </w:rPr>
              <w:t>Placebo + 26 Wochen Prednison</w:t>
            </w:r>
          </w:p>
          <w:p w14:paraId="588F2D0B" w14:textId="77777777" w:rsidR="003956A4" w:rsidRPr="00513B08" w:rsidRDefault="003956A4" w:rsidP="003956A4">
            <w:pPr>
              <w:pStyle w:val="TableParagraph"/>
              <w:keepNext/>
              <w:widowControl/>
              <w:suppressAutoHyphens/>
              <w:jc w:val="center"/>
              <w:rPr>
                <w:b/>
                <w:sz w:val="20"/>
                <w:szCs w:val="20"/>
              </w:rPr>
            </w:pPr>
            <w:r w:rsidRPr="00513B08">
              <w:rPr>
                <w:b/>
                <w:sz w:val="20"/>
                <w:szCs w:val="20"/>
              </w:rPr>
              <w:t xml:space="preserve">Ausschleichtherapie </w:t>
            </w:r>
          </w:p>
          <w:p w14:paraId="494648DC" w14:textId="4817EA95" w:rsidR="003956A4" w:rsidRPr="00513B08" w:rsidRDefault="003956A4" w:rsidP="003956A4">
            <w:pPr>
              <w:pStyle w:val="TableParagraph"/>
              <w:keepNext/>
              <w:widowControl/>
              <w:suppressAutoHyphens/>
              <w:jc w:val="center"/>
              <w:rPr>
                <w:sz w:val="20"/>
                <w:szCs w:val="20"/>
              </w:rPr>
            </w:pPr>
            <w:r w:rsidRPr="00513B08">
              <w:rPr>
                <w:b/>
                <w:sz w:val="20"/>
                <w:szCs w:val="20"/>
              </w:rPr>
              <w:t>n = 50</w:t>
            </w:r>
          </w:p>
        </w:tc>
        <w:tc>
          <w:tcPr>
            <w:tcW w:w="1869" w:type="dxa"/>
          </w:tcPr>
          <w:p w14:paraId="418266CF" w14:textId="77777777" w:rsidR="003956A4" w:rsidRPr="00513B08" w:rsidRDefault="003956A4" w:rsidP="003956A4">
            <w:pPr>
              <w:pStyle w:val="TableParagraph"/>
              <w:keepNext/>
              <w:widowControl/>
              <w:suppressAutoHyphens/>
              <w:jc w:val="center"/>
              <w:rPr>
                <w:b/>
                <w:sz w:val="20"/>
                <w:szCs w:val="20"/>
              </w:rPr>
            </w:pPr>
            <w:r w:rsidRPr="00513B08">
              <w:rPr>
                <w:b/>
                <w:sz w:val="20"/>
                <w:szCs w:val="20"/>
              </w:rPr>
              <w:t>Placebo + 52 Wochen Prednison</w:t>
            </w:r>
          </w:p>
          <w:p w14:paraId="69F92CDB" w14:textId="77777777" w:rsidR="003956A4" w:rsidRPr="00513B08" w:rsidRDefault="003956A4" w:rsidP="003956A4">
            <w:pPr>
              <w:pStyle w:val="TableParagraph"/>
              <w:keepNext/>
              <w:widowControl/>
              <w:suppressAutoHyphens/>
              <w:jc w:val="center"/>
              <w:rPr>
                <w:b/>
                <w:sz w:val="20"/>
                <w:szCs w:val="20"/>
              </w:rPr>
            </w:pPr>
            <w:r w:rsidRPr="00513B08">
              <w:rPr>
                <w:b/>
                <w:sz w:val="20"/>
                <w:szCs w:val="20"/>
              </w:rPr>
              <w:t xml:space="preserve">Ausschleichtherapie </w:t>
            </w:r>
          </w:p>
          <w:p w14:paraId="2865FA70" w14:textId="07BFF3D0" w:rsidR="003956A4" w:rsidRPr="00513B08" w:rsidRDefault="003956A4" w:rsidP="003956A4">
            <w:pPr>
              <w:pStyle w:val="TableParagraph"/>
              <w:keepNext/>
              <w:widowControl/>
              <w:suppressAutoHyphens/>
              <w:jc w:val="center"/>
              <w:rPr>
                <w:sz w:val="20"/>
                <w:szCs w:val="20"/>
              </w:rPr>
            </w:pPr>
            <w:r w:rsidRPr="00513B08">
              <w:rPr>
                <w:b/>
                <w:sz w:val="20"/>
                <w:szCs w:val="20"/>
              </w:rPr>
              <w:t>n = 51</w:t>
            </w:r>
          </w:p>
        </w:tc>
        <w:tc>
          <w:tcPr>
            <w:tcW w:w="1823" w:type="dxa"/>
          </w:tcPr>
          <w:p w14:paraId="4AD4154C" w14:textId="1E6E58CD" w:rsidR="003956A4" w:rsidRPr="00513B08" w:rsidRDefault="00332B53" w:rsidP="003956A4">
            <w:pPr>
              <w:pStyle w:val="TableParagraph"/>
              <w:keepNext/>
              <w:widowControl/>
              <w:suppressAutoHyphens/>
              <w:jc w:val="center"/>
              <w:rPr>
                <w:b/>
                <w:bCs/>
                <w:sz w:val="20"/>
                <w:szCs w:val="20"/>
              </w:rPr>
            </w:pPr>
            <w:r w:rsidRPr="00B320E1">
              <w:rPr>
                <w:b/>
                <w:bCs/>
                <w:sz w:val="20"/>
                <w:szCs w:val="20"/>
              </w:rPr>
              <w:t>Tocilizumab</w:t>
            </w:r>
            <w:r w:rsidR="003956A4" w:rsidRPr="00513B08">
              <w:rPr>
                <w:b/>
                <w:bCs/>
                <w:sz w:val="20"/>
                <w:szCs w:val="20"/>
              </w:rPr>
              <w:t xml:space="preserve"> 162 mg</w:t>
            </w:r>
          </w:p>
          <w:p w14:paraId="4541E305" w14:textId="77777777" w:rsidR="003956A4" w:rsidRPr="00513B08" w:rsidRDefault="003956A4" w:rsidP="003956A4">
            <w:pPr>
              <w:pStyle w:val="TableParagraph"/>
              <w:keepNext/>
              <w:widowControl/>
              <w:suppressAutoHyphens/>
              <w:jc w:val="center"/>
              <w:rPr>
                <w:b/>
                <w:bCs/>
                <w:sz w:val="20"/>
                <w:szCs w:val="20"/>
              </w:rPr>
            </w:pPr>
            <w:r w:rsidRPr="00513B08">
              <w:rPr>
                <w:b/>
                <w:bCs/>
                <w:sz w:val="20"/>
                <w:szCs w:val="20"/>
              </w:rPr>
              <w:t>s.c. wöchentlich + 26 Wochen Prednison</w:t>
            </w:r>
          </w:p>
          <w:p w14:paraId="0BAF0B90" w14:textId="77777777" w:rsidR="003956A4" w:rsidRPr="00513B08" w:rsidRDefault="003956A4" w:rsidP="003956A4">
            <w:pPr>
              <w:pStyle w:val="TableParagraph"/>
              <w:keepNext/>
              <w:widowControl/>
              <w:suppressAutoHyphens/>
              <w:jc w:val="center"/>
              <w:rPr>
                <w:b/>
                <w:bCs/>
                <w:sz w:val="20"/>
                <w:szCs w:val="20"/>
              </w:rPr>
            </w:pPr>
            <w:r w:rsidRPr="00513B08">
              <w:rPr>
                <w:b/>
                <w:bCs/>
                <w:sz w:val="20"/>
                <w:szCs w:val="20"/>
              </w:rPr>
              <w:t>Ausschleichtherapie</w:t>
            </w:r>
          </w:p>
          <w:p w14:paraId="6B455E58" w14:textId="555B577F" w:rsidR="003956A4" w:rsidRPr="00B320E1" w:rsidRDefault="003956A4" w:rsidP="003956A4">
            <w:pPr>
              <w:pStyle w:val="TableParagraph"/>
              <w:keepNext/>
              <w:widowControl/>
              <w:suppressAutoHyphens/>
              <w:jc w:val="center"/>
              <w:rPr>
                <w:b/>
                <w:bCs/>
                <w:sz w:val="20"/>
                <w:szCs w:val="20"/>
              </w:rPr>
            </w:pPr>
            <w:r w:rsidRPr="00513B08">
              <w:rPr>
                <w:b/>
                <w:bCs/>
                <w:sz w:val="20"/>
                <w:szCs w:val="20"/>
              </w:rPr>
              <w:t>n = 100</w:t>
            </w:r>
          </w:p>
        </w:tc>
        <w:tc>
          <w:tcPr>
            <w:tcW w:w="1900" w:type="dxa"/>
          </w:tcPr>
          <w:p w14:paraId="2C388837" w14:textId="0A51702A" w:rsidR="003956A4" w:rsidRPr="00513B08" w:rsidRDefault="00332B53" w:rsidP="003956A4">
            <w:pPr>
              <w:pStyle w:val="TableParagraph"/>
              <w:keepNext/>
              <w:widowControl/>
              <w:suppressAutoHyphens/>
              <w:jc w:val="center"/>
              <w:rPr>
                <w:b/>
                <w:bCs/>
                <w:sz w:val="20"/>
                <w:szCs w:val="20"/>
              </w:rPr>
            </w:pPr>
            <w:r w:rsidRPr="00B320E1">
              <w:rPr>
                <w:b/>
                <w:bCs/>
                <w:sz w:val="20"/>
                <w:szCs w:val="20"/>
              </w:rPr>
              <w:t>Tocilizumab</w:t>
            </w:r>
            <w:r w:rsidR="003956A4" w:rsidRPr="00513B08">
              <w:rPr>
                <w:b/>
                <w:bCs/>
                <w:sz w:val="20"/>
                <w:szCs w:val="20"/>
              </w:rPr>
              <w:t xml:space="preserve"> 162 mg</w:t>
            </w:r>
          </w:p>
          <w:p w14:paraId="0FCE8119" w14:textId="77777777" w:rsidR="003956A4" w:rsidRPr="00513B08" w:rsidRDefault="003956A4" w:rsidP="003956A4">
            <w:pPr>
              <w:pStyle w:val="TableParagraph"/>
              <w:keepNext/>
              <w:widowControl/>
              <w:suppressAutoHyphens/>
              <w:jc w:val="center"/>
              <w:rPr>
                <w:b/>
                <w:bCs/>
                <w:sz w:val="20"/>
                <w:szCs w:val="20"/>
              </w:rPr>
            </w:pPr>
            <w:r w:rsidRPr="00513B08">
              <w:rPr>
                <w:b/>
                <w:bCs/>
                <w:sz w:val="20"/>
                <w:szCs w:val="20"/>
              </w:rPr>
              <w:t>s.c. alle zwei Wochen</w:t>
            </w:r>
          </w:p>
          <w:p w14:paraId="003B4AC4" w14:textId="77777777" w:rsidR="003956A4" w:rsidRPr="00513B08" w:rsidRDefault="003956A4" w:rsidP="003956A4">
            <w:pPr>
              <w:pStyle w:val="TableParagraph"/>
              <w:keepNext/>
              <w:widowControl/>
              <w:suppressAutoHyphens/>
              <w:jc w:val="center"/>
              <w:rPr>
                <w:b/>
                <w:bCs/>
                <w:sz w:val="20"/>
                <w:szCs w:val="20"/>
              </w:rPr>
            </w:pPr>
            <w:r w:rsidRPr="00513B08">
              <w:rPr>
                <w:b/>
                <w:bCs/>
                <w:sz w:val="20"/>
                <w:szCs w:val="20"/>
              </w:rPr>
              <w:t>+ 26 Wochen Prednison Ausschleichtherapie</w:t>
            </w:r>
          </w:p>
          <w:p w14:paraId="5F4156FE" w14:textId="7DAFFAE5" w:rsidR="003956A4" w:rsidRPr="00B320E1" w:rsidRDefault="003956A4" w:rsidP="003956A4">
            <w:pPr>
              <w:pStyle w:val="TableParagraph"/>
              <w:keepNext/>
              <w:widowControl/>
              <w:suppressAutoHyphens/>
              <w:jc w:val="center"/>
              <w:rPr>
                <w:b/>
                <w:bCs/>
                <w:sz w:val="20"/>
                <w:szCs w:val="20"/>
              </w:rPr>
            </w:pPr>
            <w:r w:rsidRPr="00513B08">
              <w:rPr>
                <w:b/>
                <w:bCs/>
                <w:sz w:val="20"/>
                <w:szCs w:val="20"/>
              </w:rPr>
              <w:t>n = 49</w:t>
            </w:r>
          </w:p>
        </w:tc>
      </w:tr>
      <w:tr w:rsidR="003956A4" w:rsidRPr="006A64EE" w14:paraId="130C25B1" w14:textId="77777777" w:rsidTr="003956A4">
        <w:trPr>
          <w:cantSplit/>
        </w:trPr>
        <w:tc>
          <w:tcPr>
            <w:tcW w:w="9012" w:type="dxa"/>
            <w:gridSpan w:val="5"/>
          </w:tcPr>
          <w:p w14:paraId="52048917" w14:textId="2C0EEAB2" w:rsidR="003956A4" w:rsidRPr="006A64EE" w:rsidRDefault="003956A4" w:rsidP="008E3CE6">
            <w:pPr>
              <w:pStyle w:val="TableParagraph"/>
              <w:keepNext/>
              <w:widowControl/>
              <w:suppressAutoHyphens/>
              <w:rPr>
                <w:b/>
                <w:bCs/>
                <w:sz w:val="20"/>
                <w:szCs w:val="20"/>
              </w:rPr>
            </w:pPr>
            <w:r w:rsidRPr="006A64EE">
              <w:rPr>
                <w:b/>
                <w:bCs/>
                <w:sz w:val="20"/>
                <w:szCs w:val="20"/>
              </w:rPr>
              <w:t>Dauer (Tage)</w:t>
            </w:r>
          </w:p>
        </w:tc>
      </w:tr>
      <w:tr w:rsidR="00593482" w:rsidRPr="006A64EE" w14:paraId="3FD1C1D3" w14:textId="77777777" w:rsidTr="003956A4">
        <w:trPr>
          <w:cantSplit/>
        </w:trPr>
        <w:tc>
          <w:tcPr>
            <w:tcW w:w="1588" w:type="dxa"/>
          </w:tcPr>
          <w:p w14:paraId="540EA980" w14:textId="77777777" w:rsidR="002D5756" w:rsidRPr="006A64EE" w:rsidRDefault="009C2544" w:rsidP="004255F8">
            <w:pPr>
              <w:pStyle w:val="TableParagraph"/>
              <w:widowControl/>
              <w:suppressAutoHyphens/>
              <w:ind w:left="284"/>
              <w:rPr>
                <w:sz w:val="20"/>
                <w:szCs w:val="20"/>
              </w:rPr>
            </w:pPr>
            <w:r w:rsidRPr="006A64EE">
              <w:rPr>
                <w:sz w:val="20"/>
                <w:szCs w:val="20"/>
              </w:rPr>
              <w:t>Mittel (SD)</w:t>
            </w:r>
          </w:p>
        </w:tc>
        <w:tc>
          <w:tcPr>
            <w:tcW w:w="1832" w:type="dxa"/>
          </w:tcPr>
          <w:p w14:paraId="5189882A" w14:textId="77777777" w:rsidR="002D5756" w:rsidRPr="006A64EE" w:rsidRDefault="009C2544" w:rsidP="004255F8">
            <w:pPr>
              <w:pStyle w:val="TableParagraph"/>
              <w:widowControl/>
              <w:suppressAutoHyphens/>
              <w:jc w:val="center"/>
              <w:rPr>
                <w:sz w:val="20"/>
                <w:szCs w:val="20"/>
              </w:rPr>
            </w:pPr>
            <w:r w:rsidRPr="006A64EE">
              <w:rPr>
                <w:sz w:val="20"/>
                <w:szCs w:val="20"/>
              </w:rPr>
              <w:t>35,7 (11,5)</w:t>
            </w:r>
          </w:p>
        </w:tc>
        <w:tc>
          <w:tcPr>
            <w:tcW w:w="1869" w:type="dxa"/>
          </w:tcPr>
          <w:p w14:paraId="243985FB" w14:textId="77777777" w:rsidR="002D5756" w:rsidRPr="006A64EE" w:rsidRDefault="009C2544" w:rsidP="004255F8">
            <w:pPr>
              <w:pStyle w:val="TableParagraph"/>
              <w:widowControl/>
              <w:suppressAutoHyphens/>
              <w:jc w:val="center"/>
              <w:rPr>
                <w:sz w:val="20"/>
                <w:szCs w:val="20"/>
              </w:rPr>
            </w:pPr>
            <w:r w:rsidRPr="006A64EE">
              <w:rPr>
                <w:sz w:val="20"/>
                <w:szCs w:val="20"/>
              </w:rPr>
              <w:t>36,3 (12,5)</w:t>
            </w:r>
          </w:p>
        </w:tc>
        <w:tc>
          <w:tcPr>
            <w:tcW w:w="1823" w:type="dxa"/>
          </w:tcPr>
          <w:p w14:paraId="4DD5B60A" w14:textId="77777777" w:rsidR="002D5756" w:rsidRPr="006A64EE" w:rsidRDefault="009C2544" w:rsidP="004255F8">
            <w:pPr>
              <w:pStyle w:val="TableParagraph"/>
              <w:widowControl/>
              <w:suppressAutoHyphens/>
              <w:jc w:val="center"/>
              <w:rPr>
                <w:sz w:val="20"/>
                <w:szCs w:val="20"/>
              </w:rPr>
            </w:pPr>
            <w:r w:rsidRPr="006A64EE">
              <w:rPr>
                <w:sz w:val="20"/>
                <w:szCs w:val="20"/>
              </w:rPr>
              <w:t>35,6 (13,2)</w:t>
            </w:r>
          </w:p>
        </w:tc>
        <w:tc>
          <w:tcPr>
            <w:tcW w:w="1900" w:type="dxa"/>
          </w:tcPr>
          <w:p w14:paraId="1AB57EE4" w14:textId="77777777" w:rsidR="002D5756" w:rsidRPr="006A64EE" w:rsidRDefault="009C2544" w:rsidP="004255F8">
            <w:pPr>
              <w:pStyle w:val="TableParagraph"/>
              <w:widowControl/>
              <w:suppressAutoHyphens/>
              <w:jc w:val="center"/>
              <w:rPr>
                <w:sz w:val="20"/>
                <w:szCs w:val="20"/>
              </w:rPr>
            </w:pPr>
            <w:r w:rsidRPr="006A64EE">
              <w:rPr>
                <w:sz w:val="20"/>
                <w:szCs w:val="20"/>
              </w:rPr>
              <w:t>37,4 (14,4)</w:t>
            </w:r>
          </w:p>
        </w:tc>
      </w:tr>
      <w:tr w:rsidR="00593482" w:rsidRPr="006A64EE" w14:paraId="328D80EC" w14:textId="77777777" w:rsidTr="003956A4">
        <w:trPr>
          <w:cantSplit/>
        </w:trPr>
        <w:tc>
          <w:tcPr>
            <w:tcW w:w="1588" w:type="dxa"/>
          </w:tcPr>
          <w:p w14:paraId="6D05A30D" w14:textId="77777777" w:rsidR="002D5756" w:rsidRPr="006A64EE" w:rsidRDefault="009C2544" w:rsidP="004255F8">
            <w:pPr>
              <w:pStyle w:val="TableParagraph"/>
              <w:widowControl/>
              <w:suppressAutoHyphens/>
              <w:ind w:left="284"/>
              <w:rPr>
                <w:sz w:val="20"/>
                <w:szCs w:val="20"/>
              </w:rPr>
            </w:pPr>
            <w:r w:rsidRPr="006A64EE">
              <w:rPr>
                <w:sz w:val="20"/>
                <w:szCs w:val="20"/>
              </w:rPr>
              <w:t>Median</w:t>
            </w:r>
          </w:p>
        </w:tc>
        <w:tc>
          <w:tcPr>
            <w:tcW w:w="1832" w:type="dxa"/>
          </w:tcPr>
          <w:p w14:paraId="0C4D1D0A" w14:textId="77777777" w:rsidR="002D5756" w:rsidRPr="006A64EE" w:rsidRDefault="009C2544" w:rsidP="004255F8">
            <w:pPr>
              <w:pStyle w:val="TableParagraph"/>
              <w:widowControl/>
              <w:suppressAutoHyphens/>
              <w:jc w:val="center"/>
              <w:rPr>
                <w:sz w:val="20"/>
                <w:szCs w:val="20"/>
              </w:rPr>
            </w:pPr>
            <w:r w:rsidRPr="006A64EE">
              <w:rPr>
                <w:sz w:val="20"/>
                <w:szCs w:val="20"/>
              </w:rPr>
              <w:t>42,0</w:t>
            </w:r>
          </w:p>
        </w:tc>
        <w:tc>
          <w:tcPr>
            <w:tcW w:w="1869" w:type="dxa"/>
          </w:tcPr>
          <w:p w14:paraId="055FD118" w14:textId="77777777" w:rsidR="002D5756" w:rsidRPr="006A64EE" w:rsidRDefault="009C2544" w:rsidP="004255F8">
            <w:pPr>
              <w:pStyle w:val="TableParagraph"/>
              <w:widowControl/>
              <w:suppressAutoHyphens/>
              <w:jc w:val="center"/>
              <w:rPr>
                <w:sz w:val="20"/>
                <w:szCs w:val="20"/>
              </w:rPr>
            </w:pPr>
            <w:r w:rsidRPr="006A64EE">
              <w:rPr>
                <w:sz w:val="20"/>
                <w:szCs w:val="20"/>
              </w:rPr>
              <w:t>41,0</w:t>
            </w:r>
          </w:p>
        </w:tc>
        <w:tc>
          <w:tcPr>
            <w:tcW w:w="1823" w:type="dxa"/>
          </w:tcPr>
          <w:p w14:paraId="47E52BA2" w14:textId="77777777" w:rsidR="002D5756" w:rsidRPr="006A64EE" w:rsidRDefault="009C2544" w:rsidP="004255F8">
            <w:pPr>
              <w:pStyle w:val="TableParagraph"/>
              <w:widowControl/>
              <w:suppressAutoHyphens/>
              <w:jc w:val="center"/>
              <w:rPr>
                <w:sz w:val="20"/>
                <w:szCs w:val="20"/>
              </w:rPr>
            </w:pPr>
            <w:r w:rsidRPr="006A64EE">
              <w:rPr>
                <w:sz w:val="20"/>
                <w:szCs w:val="20"/>
              </w:rPr>
              <w:t>41,0</w:t>
            </w:r>
          </w:p>
        </w:tc>
        <w:tc>
          <w:tcPr>
            <w:tcW w:w="1900" w:type="dxa"/>
          </w:tcPr>
          <w:p w14:paraId="3DC7BC3F" w14:textId="77777777" w:rsidR="002D5756" w:rsidRPr="006A64EE" w:rsidRDefault="009C2544" w:rsidP="004255F8">
            <w:pPr>
              <w:pStyle w:val="TableParagraph"/>
              <w:widowControl/>
              <w:suppressAutoHyphens/>
              <w:jc w:val="center"/>
              <w:rPr>
                <w:sz w:val="20"/>
                <w:szCs w:val="20"/>
              </w:rPr>
            </w:pPr>
            <w:r w:rsidRPr="006A64EE">
              <w:rPr>
                <w:sz w:val="20"/>
                <w:szCs w:val="20"/>
              </w:rPr>
              <w:t>42,0</w:t>
            </w:r>
          </w:p>
        </w:tc>
      </w:tr>
      <w:tr w:rsidR="00593482" w:rsidRPr="006A64EE" w14:paraId="4AC213F1" w14:textId="77777777" w:rsidTr="003956A4">
        <w:trPr>
          <w:cantSplit/>
        </w:trPr>
        <w:tc>
          <w:tcPr>
            <w:tcW w:w="1588" w:type="dxa"/>
          </w:tcPr>
          <w:p w14:paraId="7997B4DF" w14:textId="77777777" w:rsidR="002D5756" w:rsidRPr="006A64EE" w:rsidRDefault="009C2544" w:rsidP="004255F8">
            <w:pPr>
              <w:pStyle w:val="TableParagraph"/>
              <w:widowControl/>
              <w:suppressAutoHyphens/>
              <w:ind w:left="284"/>
              <w:rPr>
                <w:sz w:val="20"/>
                <w:szCs w:val="20"/>
              </w:rPr>
            </w:pPr>
            <w:r w:rsidRPr="006A64EE">
              <w:rPr>
                <w:sz w:val="20"/>
                <w:szCs w:val="20"/>
              </w:rPr>
              <w:t>Min - Max</w:t>
            </w:r>
          </w:p>
        </w:tc>
        <w:tc>
          <w:tcPr>
            <w:tcW w:w="1832" w:type="dxa"/>
          </w:tcPr>
          <w:p w14:paraId="4C02D8BB" w14:textId="77777777" w:rsidR="002D5756" w:rsidRPr="006A64EE" w:rsidRDefault="009C2544" w:rsidP="004255F8">
            <w:pPr>
              <w:pStyle w:val="TableParagraph"/>
              <w:widowControl/>
              <w:suppressAutoHyphens/>
              <w:jc w:val="center"/>
              <w:rPr>
                <w:sz w:val="20"/>
                <w:szCs w:val="20"/>
              </w:rPr>
            </w:pPr>
            <w:r w:rsidRPr="006A64EE">
              <w:rPr>
                <w:sz w:val="20"/>
                <w:szCs w:val="20"/>
              </w:rPr>
              <w:t>6 - 63</w:t>
            </w:r>
          </w:p>
        </w:tc>
        <w:tc>
          <w:tcPr>
            <w:tcW w:w="1869" w:type="dxa"/>
          </w:tcPr>
          <w:p w14:paraId="24415261" w14:textId="77777777" w:rsidR="002D5756" w:rsidRPr="006A64EE" w:rsidRDefault="009C2544" w:rsidP="004255F8">
            <w:pPr>
              <w:pStyle w:val="TableParagraph"/>
              <w:widowControl/>
              <w:suppressAutoHyphens/>
              <w:jc w:val="center"/>
              <w:rPr>
                <w:sz w:val="20"/>
                <w:szCs w:val="20"/>
              </w:rPr>
            </w:pPr>
            <w:r w:rsidRPr="006A64EE">
              <w:rPr>
                <w:sz w:val="20"/>
                <w:szCs w:val="20"/>
              </w:rPr>
              <w:t>12 – 82</w:t>
            </w:r>
          </w:p>
        </w:tc>
        <w:tc>
          <w:tcPr>
            <w:tcW w:w="1823" w:type="dxa"/>
          </w:tcPr>
          <w:p w14:paraId="790221E9" w14:textId="77777777" w:rsidR="002D5756" w:rsidRPr="006A64EE" w:rsidRDefault="009C2544" w:rsidP="004255F8">
            <w:pPr>
              <w:pStyle w:val="TableParagraph"/>
              <w:widowControl/>
              <w:suppressAutoHyphens/>
              <w:jc w:val="center"/>
              <w:rPr>
                <w:sz w:val="20"/>
                <w:szCs w:val="20"/>
              </w:rPr>
            </w:pPr>
            <w:r w:rsidRPr="006A64EE">
              <w:rPr>
                <w:sz w:val="20"/>
                <w:szCs w:val="20"/>
              </w:rPr>
              <w:t>1 - 87</w:t>
            </w:r>
          </w:p>
        </w:tc>
        <w:tc>
          <w:tcPr>
            <w:tcW w:w="1900" w:type="dxa"/>
          </w:tcPr>
          <w:p w14:paraId="61DBDD35" w14:textId="77777777" w:rsidR="002D5756" w:rsidRPr="006A64EE" w:rsidRDefault="009C2544" w:rsidP="004255F8">
            <w:pPr>
              <w:pStyle w:val="TableParagraph"/>
              <w:widowControl/>
              <w:suppressAutoHyphens/>
              <w:jc w:val="center"/>
              <w:rPr>
                <w:sz w:val="20"/>
                <w:szCs w:val="20"/>
              </w:rPr>
            </w:pPr>
            <w:r w:rsidRPr="006A64EE">
              <w:rPr>
                <w:sz w:val="20"/>
                <w:szCs w:val="20"/>
              </w:rPr>
              <w:t>9 - 87</w:t>
            </w:r>
          </w:p>
        </w:tc>
      </w:tr>
    </w:tbl>
    <w:p w14:paraId="3DED9A31" w14:textId="77777777" w:rsidR="008E3CE6" w:rsidRPr="006A64EE" w:rsidRDefault="008E3CE6" w:rsidP="004255F8">
      <w:pPr>
        <w:pStyle w:val="a3"/>
        <w:widowControl/>
      </w:pPr>
    </w:p>
    <w:p w14:paraId="2C2214CE" w14:textId="7148BDDE" w:rsidR="00093A5E" w:rsidRPr="006A64EE" w:rsidRDefault="009C2544" w:rsidP="004255F8">
      <w:pPr>
        <w:pStyle w:val="a3"/>
        <w:widowControl/>
      </w:pPr>
      <w:r w:rsidRPr="006A64EE">
        <w:lastRenderedPageBreak/>
        <w:t xml:space="preserve">Der primäre Wirksamkeitsendpunkt, gemessen als Anteil der Patienten, die in Woche 52 eine steroidfreie anhaltende Remission unter </w:t>
      </w:r>
      <w:r w:rsidR="00332B53" w:rsidRPr="00890245">
        <w:t>Tocilizumab</w:t>
      </w:r>
      <w:r w:rsidRPr="006A64EE">
        <w:t xml:space="preserve"> plus 26 Wochen Prednison-Ausschleichtherapie verglichen mit Placebo plus 26 Wochen Prednison-Ausschleichtherapie erreichten, wurde erfüllt (siehe Tabelle 4).</w:t>
      </w:r>
    </w:p>
    <w:p w14:paraId="3284EEAA" w14:textId="77777777" w:rsidR="00093A5E" w:rsidRPr="006A64EE" w:rsidRDefault="00093A5E" w:rsidP="004255F8">
      <w:pPr>
        <w:pStyle w:val="a3"/>
        <w:widowControl/>
      </w:pPr>
    </w:p>
    <w:p w14:paraId="076E5028" w14:textId="0EA8D9D9" w:rsidR="00093A5E" w:rsidRPr="006A64EE" w:rsidRDefault="009C2544" w:rsidP="004255F8">
      <w:pPr>
        <w:pStyle w:val="a3"/>
        <w:widowControl/>
      </w:pPr>
      <w:r w:rsidRPr="006A64EE">
        <w:t xml:space="preserve">Auch der wichtigste sekundäre Wirksamkeitsendpunkt wurde erfüllt, welcher den Anteil der Patienten gemessen hat, die in Woche 52 eine anhaltende Remission unter </w:t>
      </w:r>
      <w:r w:rsidR="00332B53" w:rsidRPr="00890245">
        <w:t>Tocilizumab</w:t>
      </w:r>
      <w:r w:rsidRPr="006A64EE">
        <w:t xml:space="preserve"> plus 26 Wochen Prednison-Ausschleichtherapie verglichen mit Placebo plus 52 Wochen Prednison-Ausschleichtherapie erreichten (siehe Tabelle 4).</w:t>
      </w:r>
    </w:p>
    <w:p w14:paraId="2E05BD10" w14:textId="77777777" w:rsidR="00093A5E" w:rsidRPr="006A64EE" w:rsidRDefault="00093A5E" w:rsidP="004255F8">
      <w:pPr>
        <w:pStyle w:val="a3"/>
        <w:widowControl/>
      </w:pPr>
    </w:p>
    <w:p w14:paraId="13EC0DAA" w14:textId="5118B4BE" w:rsidR="00093A5E" w:rsidRPr="006A64EE" w:rsidRDefault="009C2544" w:rsidP="004255F8">
      <w:pPr>
        <w:pStyle w:val="a3"/>
        <w:widowControl/>
      </w:pPr>
      <w:r w:rsidRPr="006A64EE">
        <w:t xml:space="preserve">Es zeigte sich ein statistisch signifikanter, überlegener Behandlungseffekt zugunsten von </w:t>
      </w:r>
      <w:r w:rsidR="00332B53" w:rsidRPr="00890245">
        <w:t>Tocilizumab</w:t>
      </w:r>
      <w:r w:rsidRPr="006A64EE">
        <w:t xml:space="preserve"> gegenüber Placebo zur Erreichung einer steroidfreien anhaltenden Remission in Woche 52 unter</w:t>
      </w:r>
      <w:r w:rsidR="00C03AEB" w:rsidRPr="006A64EE">
        <w:t xml:space="preserve"> </w:t>
      </w:r>
      <w:r w:rsidR="00332B53" w:rsidRPr="00890245">
        <w:t>Tocilizumab</w:t>
      </w:r>
      <w:r w:rsidR="007D680A" w:rsidRPr="006A64EE">
        <w:t xml:space="preserve"> plus 26 Wochen Prednison-Ausschleichtherapie im Vergleich zu Placebo plus 26</w:t>
      </w:r>
      <w:r w:rsidR="00322FF0">
        <w:t> </w:t>
      </w:r>
      <w:r w:rsidR="007D680A" w:rsidRPr="006A64EE">
        <w:t>Wochen Prednison-Ausschleichtherapie und zu Placebo plus 52 Wochen Prednison-Ausschleichtherapie.</w:t>
      </w:r>
    </w:p>
    <w:p w14:paraId="61D4E841" w14:textId="77777777" w:rsidR="00093A5E" w:rsidRPr="006A64EE" w:rsidRDefault="00093A5E" w:rsidP="004255F8">
      <w:pPr>
        <w:pStyle w:val="a3"/>
        <w:widowControl/>
      </w:pPr>
    </w:p>
    <w:p w14:paraId="6828C907" w14:textId="77777777" w:rsidR="00093A5E" w:rsidRPr="006A64EE" w:rsidRDefault="009C2544" w:rsidP="004255F8">
      <w:pPr>
        <w:pStyle w:val="a3"/>
        <w:widowControl/>
      </w:pPr>
      <w:r w:rsidRPr="006A64EE">
        <w:t>In Tabelle 4 wird der Anteil der Patienten aufgeführt, die in Woche 52 eine anhaltende Remission erreicht hatten.</w:t>
      </w:r>
    </w:p>
    <w:p w14:paraId="7FB5103E" w14:textId="77777777" w:rsidR="00093A5E" w:rsidRPr="006A64EE" w:rsidRDefault="00093A5E" w:rsidP="004255F8">
      <w:pPr>
        <w:pStyle w:val="a3"/>
        <w:widowControl/>
      </w:pPr>
    </w:p>
    <w:p w14:paraId="241A392D" w14:textId="77777777" w:rsidR="00093A5E" w:rsidRPr="006A64EE" w:rsidRDefault="009C2544" w:rsidP="004255F8">
      <w:pPr>
        <w:widowControl/>
        <w:rPr>
          <w:i/>
        </w:rPr>
      </w:pPr>
      <w:r w:rsidRPr="006A64EE">
        <w:rPr>
          <w:i/>
        </w:rPr>
        <w:t>Sekundäre Endpunkte</w:t>
      </w:r>
    </w:p>
    <w:p w14:paraId="14A7A509" w14:textId="3BDAB763" w:rsidR="00093A5E" w:rsidRPr="006A64EE" w:rsidRDefault="009C2544" w:rsidP="004255F8">
      <w:pPr>
        <w:pStyle w:val="a3"/>
        <w:widowControl/>
      </w:pPr>
      <w:r w:rsidRPr="006A64EE">
        <w:t xml:space="preserve">Die Beurteilung der Zeit bis zum ersten RZA-Schub zeigte ein signifikant geringeres Schubrisiko in der Gruppe mit </w:t>
      </w:r>
      <w:r w:rsidR="00332B53" w:rsidRPr="00890245">
        <w:t>Tocilizumab</w:t>
      </w:r>
      <w:r w:rsidRPr="006A64EE">
        <w:t xml:space="preserve"> subkutan wöchentlich im Vergleich zu den Gruppen mit Placebo plus 26</w:t>
      </w:r>
      <w:r w:rsidR="00322FF0">
        <w:t> </w:t>
      </w:r>
      <w:r w:rsidRPr="006A64EE">
        <w:t xml:space="preserve">Wochen Prednison-Ausschleichtherapie und Placebo plus 52 Wochen Prednison-Ausschleichtherapie sowie in der Gruppe mit </w:t>
      </w:r>
      <w:r w:rsidR="00332B53" w:rsidRPr="00890245">
        <w:t>Tocilizumab</w:t>
      </w:r>
      <w:r w:rsidRPr="006A64EE">
        <w:t xml:space="preserve"> subkutan alle 2 Wochen im Vergleich zur Gruppe mit Placebo plus 26 Wochen Prednison-Ausschleichtherapie (beim Vergleich auf einem</w:t>
      </w:r>
      <w:r w:rsidR="00C03AEB" w:rsidRPr="006A64EE">
        <w:t xml:space="preserve"> </w:t>
      </w:r>
      <w:r w:rsidRPr="006A64EE">
        <w:t xml:space="preserve">Signifikanzniveau von 0,01). </w:t>
      </w:r>
      <w:r w:rsidR="00332B53" w:rsidRPr="00890245">
        <w:t>Tocilizumab</w:t>
      </w:r>
      <w:r w:rsidRPr="006A64EE">
        <w:t xml:space="preserve"> subkutan wöchentlich zeigte auch eine klinisch bedeutsame Abnahme des Schubrisikos im Vergleich zu Placebo plus 26 Wochen Prednison-Ausschleichtherapie, und zwar sowohl bei Patienten, die mit rezidivierender RZA in die Studie aufgenommen wurden, als auch bei Patienten mit beginnender RZA zu Studienbeginn (Tabelle 4).</w:t>
      </w:r>
    </w:p>
    <w:p w14:paraId="7E730D1A" w14:textId="77777777" w:rsidR="00093A5E" w:rsidRPr="006A64EE" w:rsidRDefault="00093A5E" w:rsidP="004255F8">
      <w:pPr>
        <w:pStyle w:val="a3"/>
        <w:widowControl/>
      </w:pPr>
    </w:p>
    <w:p w14:paraId="5E57967F" w14:textId="77777777" w:rsidR="00093A5E" w:rsidRPr="006A64EE" w:rsidRDefault="009C2544" w:rsidP="004255F8">
      <w:pPr>
        <w:widowControl/>
        <w:rPr>
          <w:i/>
        </w:rPr>
      </w:pPr>
      <w:r w:rsidRPr="006A64EE">
        <w:rPr>
          <w:i/>
        </w:rPr>
        <w:t>Kumulative Glucocorticoid-Dosis</w:t>
      </w:r>
    </w:p>
    <w:p w14:paraId="5CC0312A" w14:textId="35AA0C6A" w:rsidR="00093A5E" w:rsidRPr="006A64EE" w:rsidRDefault="009C2544" w:rsidP="004255F8">
      <w:pPr>
        <w:pStyle w:val="a3"/>
        <w:widowControl/>
      </w:pPr>
      <w:r w:rsidRPr="006A64EE">
        <w:t xml:space="preserve">Die kumulative Prednison-Dosis in Woche 52 war signifikant niedriger in den beiden </w:t>
      </w:r>
      <w:r w:rsidR="00332B53" w:rsidRPr="00890245">
        <w:t>Tocilizumab</w:t>
      </w:r>
      <w:r w:rsidRPr="006A64EE">
        <w:t xml:space="preserve">-Gruppen verglichen mit den beiden Placebo-Gruppen (Tabelle 4). In einer separaten Analyse der Patienten, die während der ersten 52 Wochen Prednison als Bedarfsmedikation (Escape) zur Behandlung von RZA-Schüben erhalten hatten, variierte die kumulative Prednison-Dosis stark. Der Median der Dosen für Patienten, die eine Escape-Therapie mit Glucocorticoiden in den Gruppen mit </w:t>
      </w:r>
      <w:r w:rsidR="00332B53" w:rsidRPr="00890245">
        <w:t>Tocilizumab</w:t>
      </w:r>
      <w:r w:rsidRPr="006A64EE">
        <w:t xml:space="preserve"> wöchentlich bzw. alle 2 Wochen erhielten, lagen bei 3</w:t>
      </w:r>
      <w:r w:rsidR="00332B53">
        <w:t> </w:t>
      </w:r>
      <w:r w:rsidRPr="006A64EE">
        <w:t>129,75 mg bzw. 3</w:t>
      </w:r>
      <w:r w:rsidR="00332B53">
        <w:t> </w:t>
      </w:r>
      <w:r w:rsidRPr="006A64EE">
        <w:t>847 mg. Beide Werte sind deutlich niedriger als der Median der unter der Escape-Glucocorticoid-Therapie verwendeten Dosen in den Gruppen mit Placebo plus 26 Wochen bzw. Placebo plus 52 Wochen Prednison-Ausschleichtherapie von 4</w:t>
      </w:r>
      <w:r w:rsidR="00332B53">
        <w:t> </w:t>
      </w:r>
      <w:r w:rsidRPr="006A64EE">
        <w:t>023,5 mg bzw. 5</w:t>
      </w:r>
      <w:r w:rsidR="00332B53">
        <w:t> </w:t>
      </w:r>
      <w:r w:rsidRPr="006A64EE">
        <w:t>389,5 mg.</w:t>
      </w:r>
    </w:p>
    <w:p w14:paraId="542B06DA" w14:textId="77777777" w:rsidR="00093A5E" w:rsidRPr="006A64EE" w:rsidRDefault="00093A5E" w:rsidP="004255F8">
      <w:pPr>
        <w:pStyle w:val="a3"/>
        <w:widowControl/>
      </w:pPr>
    </w:p>
    <w:p w14:paraId="1020AB38" w14:textId="50BA2D0D" w:rsidR="00093A5E" w:rsidRPr="006A64EE" w:rsidRDefault="009C2544" w:rsidP="003956A4">
      <w:pPr>
        <w:pStyle w:val="Tabletittle"/>
      </w:pPr>
      <w:r w:rsidRPr="006A64EE">
        <w:t>Tabelle</w:t>
      </w:r>
      <w:r w:rsidR="005A1E43">
        <w:t> </w:t>
      </w:r>
      <w:r w:rsidRPr="006A64EE">
        <w:t>4:</w:t>
      </w:r>
      <w:r w:rsidR="003956A4" w:rsidRPr="006A64EE">
        <w:tab/>
      </w:r>
      <w:r w:rsidRPr="006A64EE">
        <w:t>Wirksamkeitsergebnisse der Studie WA28119</w:t>
      </w:r>
    </w:p>
    <w:p w14:paraId="3DE7170D" w14:textId="11B2B6EF" w:rsidR="002D5756" w:rsidRPr="006A64EE" w:rsidRDefault="002D5756" w:rsidP="003956A4">
      <w:pPr>
        <w:pStyle w:val="a3"/>
        <w:keepNext/>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114"/>
        <w:gridCol w:w="1134"/>
        <w:gridCol w:w="1134"/>
        <w:gridCol w:w="1872"/>
        <w:gridCol w:w="1807"/>
      </w:tblGrid>
      <w:tr w:rsidR="00593482" w:rsidRPr="006A64EE" w14:paraId="28DDF881" w14:textId="77777777" w:rsidTr="00E303AE">
        <w:trPr>
          <w:tblHeader/>
        </w:trPr>
        <w:tc>
          <w:tcPr>
            <w:tcW w:w="3114" w:type="dxa"/>
          </w:tcPr>
          <w:p w14:paraId="5F0F3EAA" w14:textId="5FDEA4AC" w:rsidR="00C770FE" w:rsidRPr="006A64EE" w:rsidRDefault="00C770FE" w:rsidP="004255F8">
            <w:pPr>
              <w:pStyle w:val="TableParagraph"/>
              <w:widowControl/>
              <w:suppressAutoHyphens/>
              <w:jc w:val="center"/>
              <w:rPr>
                <w:b/>
                <w:sz w:val="20"/>
                <w:szCs w:val="20"/>
              </w:rPr>
            </w:pPr>
          </w:p>
        </w:tc>
        <w:tc>
          <w:tcPr>
            <w:tcW w:w="1134" w:type="dxa"/>
          </w:tcPr>
          <w:p w14:paraId="72750D51" w14:textId="0B8CA757" w:rsidR="00093A5E" w:rsidRPr="00513B08" w:rsidRDefault="00C770FE" w:rsidP="004255F8">
            <w:pPr>
              <w:pStyle w:val="TableParagraph"/>
              <w:widowControl/>
              <w:suppressAutoHyphens/>
              <w:jc w:val="center"/>
              <w:rPr>
                <w:b/>
                <w:sz w:val="20"/>
                <w:szCs w:val="20"/>
              </w:rPr>
            </w:pPr>
            <w:r w:rsidRPr="00513B08">
              <w:rPr>
                <w:b/>
                <w:sz w:val="20"/>
                <w:szCs w:val="20"/>
              </w:rPr>
              <w:t>Placebo + 26</w:t>
            </w:r>
            <w:r w:rsidR="005A1E43">
              <w:rPr>
                <w:b/>
                <w:sz w:val="20"/>
                <w:szCs w:val="20"/>
              </w:rPr>
              <w:t> </w:t>
            </w:r>
            <w:r w:rsidRPr="00513B08">
              <w:rPr>
                <w:b/>
                <w:sz w:val="20"/>
                <w:szCs w:val="20"/>
              </w:rPr>
              <w:t>Wochen Prednison-Ausschleich-therapie</w:t>
            </w:r>
          </w:p>
          <w:p w14:paraId="0208678C" w14:textId="47235FF2" w:rsidR="00C770FE" w:rsidRPr="00513B08" w:rsidRDefault="00C770FE" w:rsidP="004255F8">
            <w:pPr>
              <w:pStyle w:val="TableParagraph"/>
              <w:widowControl/>
              <w:suppressAutoHyphens/>
              <w:jc w:val="center"/>
              <w:rPr>
                <w:b/>
                <w:sz w:val="20"/>
                <w:szCs w:val="20"/>
              </w:rPr>
            </w:pPr>
            <w:r w:rsidRPr="00513B08">
              <w:rPr>
                <w:b/>
                <w:sz w:val="20"/>
                <w:szCs w:val="20"/>
              </w:rPr>
              <w:t>n</w:t>
            </w:r>
            <w:r w:rsidR="005A1E43">
              <w:rPr>
                <w:b/>
                <w:sz w:val="20"/>
                <w:szCs w:val="20"/>
              </w:rPr>
              <w:t> </w:t>
            </w:r>
            <w:r w:rsidRPr="00513B08">
              <w:rPr>
                <w:b/>
                <w:sz w:val="20"/>
                <w:szCs w:val="20"/>
              </w:rPr>
              <w:t>=</w:t>
            </w:r>
            <w:r w:rsidR="005A1E43">
              <w:rPr>
                <w:b/>
                <w:sz w:val="20"/>
                <w:szCs w:val="20"/>
              </w:rPr>
              <w:t> </w:t>
            </w:r>
            <w:r w:rsidRPr="00513B08">
              <w:rPr>
                <w:b/>
                <w:sz w:val="20"/>
                <w:szCs w:val="20"/>
              </w:rPr>
              <w:t>50</w:t>
            </w:r>
          </w:p>
        </w:tc>
        <w:tc>
          <w:tcPr>
            <w:tcW w:w="1134" w:type="dxa"/>
          </w:tcPr>
          <w:p w14:paraId="2929E78C" w14:textId="223D1B00" w:rsidR="00093A5E" w:rsidRPr="00513B08" w:rsidRDefault="00C770FE" w:rsidP="004255F8">
            <w:pPr>
              <w:pStyle w:val="TableParagraph"/>
              <w:widowControl/>
              <w:suppressAutoHyphens/>
              <w:jc w:val="center"/>
              <w:rPr>
                <w:b/>
                <w:sz w:val="20"/>
                <w:szCs w:val="20"/>
              </w:rPr>
            </w:pPr>
            <w:r w:rsidRPr="00513B08">
              <w:rPr>
                <w:b/>
                <w:sz w:val="20"/>
                <w:szCs w:val="20"/>
              </w:rPr>
              <w:t>Placebo + 52</w:t>
            </w:r>
            <w:r w:rsidR="005A1E43">
              <w:rPr>
                <w:b/>
                <w:sz w:val="20"/>
                <w:szCs w:val="20"/>
              </w:rPr>
              <w:t> </w:t>
            </w:r>
            <w:r w:rsidRPr="00513B08">
              <w:rPr>
                <w:b/>
                <w:sz w:val="20"/>
                <w:szCs w:val="20"/>
              </w:rPr>
              <w:t>Wochen Prednison-Ausschleich- therapie</w:t>
            </w:r>
          </w:p>
          <w:p w14:paraId="1CA56038" w14:textId="75BE6DE9" w:rsidR="00C770FE" w:rsidRPr="00513B08" w:rsidRDefault="00C770FE" w:rsidP="004255F8">
            <w:pPr>
              <w:pStyle w:val="TableParagraph"/>
              <w:widowControl/>
              <w:suppressAutoHyphens/>
              <w:jc w:val="center"/>
              <w:rPr>
                <w:b/>
                <w:sz w:val="20"/>
                <w:szCs w:val="20"/>
              </w:rPr>
            </w:pPr>
            <w:r w:rsidRPr="00513B08">
              <w:rPr>
                <w:b/>
                <w:sz w:val="20"/>
                <w:szCs w:val="20"/>
              </w:rPr>
              <w:t>n</w:t>
            </w:r>
            <w:r w:rsidR="005A1E43">
              <w:rPr>
                <w:b/>
                <w:sz w:val="20"/>
                <w:szCs w:val="20"/>
              </w:rPr>
              <w:t> </w:t>
            </w:r>
            <w:r w:rsidRPr="00513B08">
              <w:rPr>
                <w:b/>
                <w:sz w:val="20"/>
                <w:szCs w:val="20"/>
              </w:rPr>
              <w:t>=</w:t>
            </w:r>
            <w:r w:rsidR="005A1E43">
              <w:rPr>
                <w:b/>
                <w:sz w:val="20"/>
                <w:szCs w:val="20"/>
              </w:rPr>
              <w:t> </w:t>
            </w:r>
            <w:r w:rsidRPr="00513B08">
              <w:rPr>
                <w:b/>
                <w:sz w:val="20"/>
                <w:szCs w:val="20"/>
              </w:rPr>
              <w:t>51</w:t>
            </w:r>
          </w:p>
        </w:tc>
        <w:tc>
          <w:tcPr>
            <w:tcW w:w="1872" w:type="dxa"/>
          </w:tcPr>
          <w:p w14:paraId="15CE2E0A" w14:textId="258B8187" w:rsidR="00093A5E" w:rsidRPr="00513B08" w:rsidRDefault="00332B53" w:rsidP="004255F8">
            <w:pPr>
              <w:pStyle w:val="TableParagraph"/>
              <w:widowControl/>
              <w:suppressAutoHyphens/>
              <w:jc w:val="center"/>
              <w:rPr>
                <w:b/>
                <w:bCs/>
                <w:sz w:val="20"/>
                <w:szCs w:val="20"/>
              </w:rPr>
            </w:pPr>
            <w:r w:rsidRPr="00B320E1">
              <w:rPr>
                <w:b/>
                <w:bCs/>
                <w:sz w:val="20"/>
                <w:szCs w:val="20"/>
              </w:rPr>
              <w:t>Tocilizumab</w:t>
            </w:r>
            <w:r w:rsidR="00C770FE" w:rsidRPr="00513B08">
              <w:rPr>
                <w:b/>
                <w:bCs/>
                <w:sz w:val="20"/>
                <w:szCs w:val="20"/>
              </w:rPr>
              <w:t xml:space="preserve"> 162</w:t>
            </w:r>
            <w:r w:rsidR="005A1E43">
              <w:rPr>
                <w:b/>
                <w:bCs/>
                <w:sz w:val="20"/>
                <w:szCs w:val="20"/>
              </w:rPr>
              <w:t> </w:t>
            </w:r>
            <w:r w:rsidR="00C770FE" w:rsidRPr="00513B08">
              <w:rPr>
                <w:b/>
                <w:bCs/>
                <w:sz w:val="20"/>
                <w:szCs w:val="20"/>
              </w:rPr>
              <w:t>mg subkutan wöchentlich</w:t>
            </w:r>
          </w:p>
          <w:p w14:paraId="35167829" w14:textId="73F4D183" w:rsidR="00093A5E" w:rsidRPr="00513B08" w:rsidRDefault="00C770FE" w:rsidP="004255F8">
            <w:pPr>
              <w:pStyle w:val="TableParagraph"/>
              <w:widowControl/>
              <w:suppressAutoHyphens/>
              <w:jc w:val="center"/>
              <w:rPr>
                <w:b/>
                <w:bCs/>
                <w:sz w:val="20"/>
                <w:szCs w:val="20"/>
              </w:rPr>
            </w:pPr>
            <w:r w:rsidRPr="00513B08">
              <w:rPr>
                <w:b/>
                <w:bCs/>
                <w:sz w:val="20"/>
                <w:szCs w:val="20"/>
              </w:rPr>
              <w:t>+ 26</w:t>
            </w:r>
            <w:r w:rsidR="005A1E43">
              <w:rPr>
                <w:b/>
                <w:bCs/>
                <w:sz w:val="20"/>
                <w:szCs w:val="20"/>
              </w:rPr>
              <w:t> </w:t>
            </w:r>
            <w:r w:rsidRPr="00513B08">
              <w:rPr>
                <w:b/>
                <w:bCs/>
                <w:sz w:val="20"/>
                <w:szCs w:val="20"/>
              </w:rPr>
              <w:t>Wochen Prednison-Ausschleichtherapie</w:t>
            </w:r>
          </w:p>
          <w:p w14:paraId="18B3AD05" w14:textId="0285A0B5" w:rsidR="00C770FE" w:rsidRPr="00513B08" w:rsidRDefault="00C770FE" w:rsidP="004255F8">
            <w:pPr>
              <w:pStyle w:val="TableParagraph"/>
              <w:widowControl/>
              <w:suppressAutoHyphens/>
              <w:jc w:val="center"/>
              <w:rPr>
                <w:b/>
                <w:bCs/>
                <w:sz w:val="20"/>
                <w:szCs w:val="20"/>
              </w:rPr>
            </w:pPr>
            <w:r w:rsidRPr="00513B08">
              <w:rPr>
                <w:b/>
                <w:bCs/>
                <w:sz w:val="20"/>
                <w:szCs w:val="20"/>
              </w:rPr>
              <w:t>n</w:t>
            </w:r>
            <w:r w:rsidR="005A1E43">
              <w:rPr>
                <w:b/>
                <w:bCs/>
                <w:sz w:val="20"/>
                <w:szCs w:val="20"/>
              </w:rPr>
              <w:t> </w:t>
            </w:r>
            <w:r w:rsidRPr="00513B08">
              <w:rPr>
                <w:b/>
                <w:bCs/>
                <w:sz w:val="20"/>
                <w:szCs w:val="20"/>
              </w:rPr>
              <w:t>=</w:t>
            </w:r>
            <w:r w:rsidR="005A1E43">
              <w:rPr>
                <w:b/>
                <w:bCs/>
                <w:sz w:val="20"/>
                <w:szCs w:val="20"/>
              </w:rPr>
              <w:t> </w:t>
            </w:r>
            <w:r w:rsidRPr="00513B08">
              <w:rPr>
                <w:b/>
                <w:bCs/>
                <w:sz w:val="20"/>
                <w:szCs w:val="20"/>
              </w:rPr>
              <w:t>100</w:t>
            </w:r>
          </w:p>
        </w:tc>
        <w:tc>
          <w:tcPr>
            <w:tcW w:w="1807" w:type="dxa"/>
          </w:tcPr>
          <w:p w14:paraId="10C0134F" w14:textId="5B72ED29" w:rsidR="00093A5E" w:rsidRPr="00513B08" w:rsidRDefault="00332B53" w:rsidP="004255F8">
            <w:pPr>
              <w:pStyle w:val="TableParagraph"/>
              <w:widowControl/>
              <w:suppressAutoHyphens/>
              <w:jc w:val="center"/>
              <w:rPr>
                <w:b/>
                <w:bCs/>
                <w:sz w:val="20"/>
                <w:szCs w:val="20"/>
              </w:rPr>
            </w:pPr>
            <w:r w:rsidRPr="00B320E1">
              <w:rPr>
                <w:b/>
                <w:bCs/>
                <w:sz w:val="20"/>
                <w:szCs w:val="20"/>
              </w:rPr>
              <w:t>Tocilizumab</w:t>
            </w:r>
            <w:r w:rsidR="00C770FE" w:rsidRPr="00513B08">
              <w:rPr>
                <w:b/>
                <w:bCs/>
                <w:sz w:val="20"/>
                <w:szCs w:val="20"/>
              </w:rPr>
              <w:t xml:space="preserve"> 162</w:t>
            </w:r>
            <w:r w:rsidR="005A1E43">
              <w:rPr>
                <w:b/>
                <w:bCs/>
                <w:sz w:val="20"/>
                <w:szCs w:val="20"/>
              </w:rPr>
              <w:t> </w:t>
            </w:r>
            <w:r w:rsidR="00C770FE" w:rsidRPr="00513B08">
              <w:rPr>
                <w:b/>
                <w:bCs/>
                <w:sz w:val="20"/>
                <w:szCs w:val="20"/>
              </w:rPr>
              <w:t>mg subkutan alle</w:t>
            </w:r>
          </w:p>
          <w:p w14:paraId="381C0ADC" w14:textId="63011A95" w:rsidR="00093A5E" w:rsidRPr="00513B08" w:rsidRDefault="00C770FE" w:rsidP="004255F8">
            <w:pPr>
              <w:pStyle w:val="TableParagraph"/>
              <w:widowControl/>
              <w:suppressAutoHyphens/>
              <w:jc w:val="center"/>
              <w:rPr>
                <w:b/>
                <w:bCs/>
                <w:sz w:val="20"/>
                <w:szCs w:val="20"/>
              </w:rPr>
            </w:pPr>
            <w:r w:rsidRPr="00513B08">
              <w:rPr>
                <w:b/>
                <w:bCs/>
                <w:sz w:val="20"/>
                <w:szCs w:val="20"/>
              </w:rPr>
              <w:t>2</w:t>
            </w:r>
            <w:r w:rsidR="005A1E43">
              <w:rPr>
                <w:b/>
                <w:bCs/>
                <w:sz w:val="20"/>
                <w:szCs w:val="20"/>
              </w:rPr>
              <w:t> </w:t>
            </w:r>
            <w:r w:rsidRPr="00513B08">
              <w:rPr>
                <w:b/>
                <w:bCs/>
                <w:sz w:val="20"/>
                <w:szCs w:val="20"/>
              </w:rPr>
              <w:t>Wochen +</w:t>
            </w:r>
          </w:p>
          <w:p w14:paraId="7C4113C8" w14:textId="3C65AB0F" w:rsidR="00093A5E" w:rsidRPr="00513B08" w:rsidRDefault="00C770FE" w:rsidP="004255F8">
            <w:pPr>
              <w:pStyle w:val="TableParagraph"/>
              <w:widowControl/>
              <w:suppressAutoHyphens/>
              <w:jc w:val="center"/>
              <w:rPr>
                <w:b/>
                <w:bCs/>
                <w:sz w:val="20"/>
                <w:szCs w:val="20"/>
              </w:rPr>
            </w:pPr>
            <w:r w:rsidRPr="00513B08">
              <w:rPr>
                <w:b/>
                <w:bCs/>
                <w:sz w:val="20"/>
                <w:szCs w:val="20"/>
              </w:rPr>
              <w:t>26</w:t>
            </w:r>
            <w:r w:rsidR="005A1E43">
              <w:rPr>
                <w:b/>
                <w:bCs/>
                <w:sz w:val="20"/>
                <w:szCs w:val="20"/>
              </w:rPr>
              <w:t> </w:t>
            </w:r>
            <w:r w:rsidRPr="00513B08">
              <w:rPr>
                <w:b/>
                <w:bCs/>
                <w:sz w:val="20"/>
                <w:szCs w:val="20"/>
              </w:rPr>
              <w:t>Wochen Prednison-</w:t>
            </w:r>
          </w:p>
          <w:p w14:paraId="1E96D0AE" w14:textId="77777777" w:rsidR="00093A5E" w:rsidRPr="00513B08" w:rsidRDefault="00C770FE" w:rsidP="004255F8">
            <w:pPr>
              <w:pStyle w:val="TableParagraph"/>
              <w:widowControl/>
              <w:suppressAutoHyphens/>
              <w:jc w:val="center"/>
              <w:rPr>
                <w:b/>
                <w:bCs/>
                <w:sz w:val="20"/>
                <w:szCs w:val="20"/>
              </w:rPr>
            </w:pPr>
            <w:r w:rsidRPr="00513B08">
              <w:rPr>
                <w:b/>
                <w:bCs/>
                <w:sz w:val="20"/>
                <w:szCs w:val="20"/>
              </w:rPr>
              <w:t>Ausschleichtherapie</w:t>
            </w:r>
          </w:p>
          <w:p w14:paraId="4DAE0AB7" w14:textId="3B767669" w:rsidR="00C770FE" w:rsidRPr="00513B08" w:rsidRDefault="00C770FE" w:rsidP="004255F8">
            <w:pPr>
              <w:pStyle w:val="TableParagraph"/>
              <w:widowControl/>
              <w:suppressAutoHyphens/>
              <w:jc w:val="center"/>
              <w:rPr>
                <w:b/>
                <w:bCs/>
                <w:sz w:val="20"/>
                <w:szCs w:val="20"/>
              </w:rPr>
            </w:pPr>
            <w:r w:rsidRPr="00513B08">
              <w:rPr>
                <w:b/>
                <w:bCs/>
                <w:sz w:val="20"/>
                <w:szCs w:val="20"/>
              </w:rPr>
              <w:t>n</w:t>
            </w:r>
            <w:r w:rsidR="005A1E43">
              <w:rPr>
                <w:b/>
                <w:bCs/>
                <w:sz w:val="20"/>
                <w:szCs w:val="20"/>
              </w:rPr>
              <w:t> </w:t>
            </w:r>
            <w:r w:rsidRPr="00513B08">
              <w:rPr>
                <w:b/>
                <w:bCs/>
                <w:sz w:val="20"/>
                <w:szCs w:val="20"/>
              </w:rPr>
              <w:t>=49</w:t>
            </w:r>
          </w:p>
        </w:tc>
      </w:tr>
      <w:tr w:rsidR="00593482" w:rsidRPr="006A64EE" w14:paraId="3B2BD7A4" w14:textId="77777777" w:rsidTr="00E303AE">
        <w:tc>
          <w:tcPr>
            <w:tcW w:w="9061" w:type="dxa"/>
            <w:gridSpan w:val="5"/>
          </w:tcPr>
          <w:p w14:paraId="66934786" w14:textId="77777777" w:rsidR="002D5756" w:rsidRPr="006A64EE" w:rsidRDefault="009C2544" w:rsidP="004255F8">
            <w:pPr>
              <w:pStyle w:val="TableParagraph"/>
              <w:widowControl/>
              <w:suppressAutoHyphens/>
              <w:rPr>
                <w:b/>
                <w:sz w:val="20"/>
                <w:szCs w:val="20"/>
              </w:rPr>
            </w:pPr>
            <w:r w:rsidRPr="006A64EE">
              <w:rPr>
                <w:b/>
                <w:sz w:val="20"/>
                <w:szCs w:val="20"/>
              </w:rPr>
              <w:t>Primärer Endpunkt</w:t>
            </w:r>
          </w:p>
        </w:tc>
      </w:tr>
      <w:tr w:rsidR="00593482" w:rsidRPr="006A64EE" w14:paraId="1E85D433" w14:textId="77777777" w:rsidTr="00E303AE">
        <w:tc>
          <w:tcPr>
            <w:tcW w:w="9061" w:type="dxa"/>
            <w:gridSpan w:val="5"/>
          </w:tcPr>
          <w:p w14:paraId="4F0F7199" w14:textId="6C2552E7" w:rsidR="00C770FE" w:rsidRPr="006A64EE" w:rsidRDefault="00C770FE" w:rsidP="004255F8">
            <w:pPr>
              <w:pStyle w:val="TableParagraph"/>
              <w:widowControl/>
              <w:suppressAutoHyphens/>
              <w:rPr>
                <w:sz w:val="20"/>
                <w:szCs w:val="20"/>
              </w:rPr>
            </w:pPr>
            <w:r w:rsidRPr="006A64EE">
              <w:rPr>
                <w:sz w:val="20"/>
                <w:szCs w:val="20"/>
              </w:rPr>
              <w:t xml:space="preserve">****Anhaltende Remission (Tocilizumab-Gruppen </w:t>
            </w:r>
            <w:r w:rsidRPr="006A64EE">
              <w:rPr>
                <w:i/>
                <w:sz w:val="20"/>
                <w:szCs w:val="20"/>
              </w:rPr>
              <w:t xml:space="preserve">vs. </w:t>
            </w:r>
            <w:r w:rsidRPr="006A64EE">
              <w:rPr>
                <w:sz w:val="20"/>
                <w:szCs w:val="20"/>
              </w:rPr>
              <w:t>Placebo+26)</w:t>
            </w:r>
          </w:p>
        </w:tc>
      </w:tr>
      <w:tr w:rsidR="00593482" w:rsidRPr="006A64EE" w14:paraId="5E5A4654" w14:textId="77777777" w:rsidTr="00E303AE">
        <w:tc>
          <w:tcPr>
            <w:tcW w:w="3114" w:type="dxa"/>
          </w:tcPr>
          <w:p w14:paraId="0F2A654C" w14:textId="4AA97974" w:rsidR="002D5756" w:rsidRPr="006A64EE" w:rsidRDefault="009C2544" w:rsidP="004255F8">
            <w:pPr>
              <w:pStyle w:val="TableParagraph"/>
              <w:widowControl/>
              <w:suppressAutoHyphens/>
              <w:ind w:left="284"/>
              <w:rPr>
                <w:sz w:val="20"/>
                <w:szCs w:val="20"/>
              </w:rPr>
            </w:pPr>
            <w:r w:rsidRPr="006A64EE">
              <w:rPr>
                <w:sz w:val="20"/>
                <w:szCs w:val="20"/>
              </w:rPr>
              <w:t>Responder in Woche</w:t>
            </w:r>
            <w:r w:rsidR="00E1420D">
              <w:rPr>
                <w:sz w:val="20"/>
                <w:szCs w:val="20"/>
              </w:rPr>
              <w:t> </w:t>
            </w:r>
            <w:r w:rsidRPr="006A64EE">
              <w:rPr>
                <w:sz w:val="20"/>
                <w:szCs w:val="20"/>
              </w:rPr>
              <w:t>52, n (%)</w:t>
            </w:r>
          </w:p>
        </w:tc>
        <w:tc>
          <w:tcPr>
            <w:tcW w:w="1134" w:type="dxa"/>
          </w:tcPr>
          <w:p w14:paraId="687CD3FF" w14:textId="62A532C7" w:rsidR="002D5756" w:rsidRPr="006A64EE" w:rsidRDefault="009C2544" w:rsidP="004255F8">
            <w:pPr>
              <w:pStyle w:val="TableParagraph"/>
              <w:widowControl/>
              <w:suppressAutoHyphens/>
              <w:ind w:left="284"/>
              <w:rPr>
                <w:sz w:val="20"/>
                <w:szCs w:val="20"/>
              </w:rPr>
            </w:pPr>
            <w:r w:rsidRPr="006A64EE">
              <w:rPr>
                <w:sz w:val="20"/>
                <w:szCs w:val="20"/>
              </w:rPr>
              <w:t>7 (14</w:t>
            </w:r>
            <w:r w:rsidR="00E1420D">
              <w:t> </w:t>
            </w:r>
            <w:r w:rsidRPr="006A64EE">
              <w:rPr>
                <w:sz w:val="20"/>
                <w:szCs w:val="20"/>
              </w:rPr>
              <w:t>%)</w:t>
            </w:r>
          </w:p>
        </w:tc>
        <w:tc>
          <w:tcPr>
            <w:tcW w:w="1134" w:type="dxa"/>
          </w:tcPr>
          <w:p w14:paraId="17DDD11B" w14:textId="7699DBC0" w:rsidR="002D5756" w:rsidRPr="006A64EE" w:rsidRDefault="009C2544" w:rsidP="004255F8">
            <w:pPr>
              <w:pStyle w:val="TableParagraph"/>
              <w:widowControl/>
              <w:suppressAutoHyphens/>
              <w:jc w:val="center"/>
              <w:rPr>
                <w:sz w:val="20"/>
                <w:szCs w:val="20"/>
              </w:rPr>
            </w:pPr>
            <w:r w:rsidRPr="006A64EE">
              <w:rPr>
                <w:sz w:val="20"/>
                <w:szCs w:val="20"/>
              </w:rPr>
              <w:t>9 (17,6</w:t>
            </w:r>
            <w:r w:rsidR="00E1420D">
              <w:rPr>
                <w:sz w:val="20"/>
                <w:szCs w:val="20"/>
              </w:rPr>
              <w:t> </w:t>
            </w:r>
            <w:r w:rsidRPr="006A64EE">
              <w:rPr>
                <w:sz w:val="20"/>
                <w:szCs w:val="20"/>
              </w:rPr>
              <w:t>%)</w:t>
            </w:r>
          </w:p>
        </w:tc>
        <w:tc>
          <w:tcPr>
            <w:tcW w:w="1872" w:type="dxa"/>
          </w:tcPr>
          <w:p w14:paraId="33ABA8C4" w14:textId="07903E54" w:rsidR="002D5756" w:rsidRPr="006A64EE" w:rsidRDefault="009C2544" w:rsidP="004255F8">
            <w:pPr>
              <w:pStyle w:val="TableParagraph"/>
              <w:widowControl/>
              <w:suppressAutoHyphens/>
              <w:jc w:val="center"/>
              <w:rPr>
                <w:sz w:val="20"/>
                <w:szCs w:val="20"/>
              </w:rPr>
            </w:pPr>
            <w:r w:rsidRPr="006A64EE">
              <w:rPr>
                <w:sz w:val="20"/>
                <w:szCs w:val="20"/>
              </w:rPr>
              <w:t>56 (56</w:t>
            </w:r>
            <w:r w:rsidR="00E1420D">
              <w:rPr>
                <w:sz w:val="20"/>
                <w:szCs w:val="20"/>
              </w:rPr>
              <w:t> </w:t>
            </w:r>
            <w:r w:rsidRPr="006A64EE">
              <w:rPr>
                <w:sz w:val="20"/>
                <w:szCs w:val="20"/>
              </w:rPr>
              <w:t>%)</w:t>
            </w:r>
          </w:p>
        </w:tc>
        <w:tc>
          <w:tcPr>
            <w:tcW w:w="1807" w:type="dxa"/>
          </w:tcPr>
          <w:p w14:paraId="5B762445" w14:textId="43B3CD72" w:rsidR="002D5756" w:rsidRPr="006A64EE" w:rsidRDefault="009C2544" w:rsidP="004255F8">
            <w:pPr>
              <w:pStyle w:val="TableParagraph"/>
              <w:widowControl/>
              <w:suppressAutoHyphens/>
              <w:jc w:val="center"/>
              <w:rPr>
                <w:sz w:val="20"/>
                <w:szCs w:val="20"/>
              </w:rPr>
            </w:pPr>
            <w:r w:rsidRPr="006A64EE">
              <w:rPr>
                <w:sz w:val="20"/>
                <w:szCs w:val="20"/>
              </w:rPr>
              <w:t>26 (53,1</w:t>
            </w:r>
            <w:r w:rsidR="00E1420D">
              <w:rPr>
                <w:sz w:val="20"/>
                <w:szCs w:val="20"/>
              </w:rPr>
              <w:t> </w:t>
            </w:r>
            <w:r w:rsidRPr="006A64EE">
              <w:rPr>
                <w:sz w:val="20"/>
                <w:szCs w:val="20"/>
              </w:rPr>
              <w:t>%)</w:t>
            </w:r>
          </w:p>
        </w:tc>
      </w:tr>
      <w:tr w:rsidR="00593482" w:rsidRPr="006A64EE" w14:paraId="09B285D7" w14:textId="77777777" w:rsidTr="00E303AE">
        <w:tc>
          <w:tcPr>
            <w:tcW w:w="3114" w:type="dxa"/>
          </w:tcPr>
          <w:p w14:paraId="58AF5514" w14:textId="77777777" w:rsidR="002D5756" w:rsidRPr="006A64EE" w:rsidRDefault="009C2544" w:rsidP="004255F8">
            <w:pPr>
              <w:pStyle w:val="TableParagraph"/>
              <w:widowControl/>
              <w:suppressAutoHyphens/>
              <w:ind w:left="284"/>
              <w:rPr>
                <w:sz w:val="20"/>
                <w:szCs w:val="20"/>
              </w:rPr>
            </w:pPr>
            <w:r w:rsidRPr="006A64EE">
              <w:rPr>
                <w:sz w:val="20"/>
                <w:szCs w:val="20"/>
              </w:rPr>
              <w:t>Nicht korrigierte Unterschiede in</w:t>
            </w:r>
            <w:r w:rsidR="00CC5560" w:rsidRPr="006A64EE">
              <w:rPr>
                <w:sz w:val="20"/>
                <w:szCs w:val="20"/>
              </w:rPr>
              <w:t xml:space="preserve"> Anteilen</w:t>
            </w:r>
          </w:p>
          <w:p w14:paraId="4848E77F" w14:textId="595FD740" w:rsidR="00504080" w:rsidRPr="006A64EE" w:rsidRDefault="00504080" w:rsidP="004255F8">
            <w:pPr>
              <w:pStyle w:val="TableParagraph"/>
              <w:widowControl/>
              <w:suppressAutoHyphens/>
              <w:ind w:left="284"/>
              <w:rPr>
                <w:sz w:val="20"/>
                <w:szCs w:val="20"/>
              </w:rPr>
            </w:pPr>
            <w:r w:rsidRPr="006A64EE">
              <w:rPr>
                <w:sz w:val="20"/>
                <w:szCs w:val="20"/>
              </w:rPr>
              <w:t>(99,5-%-KI)</w:t>
            </w:r>
          </w:p>
        </w:tc>
        <w:tc>
          <w:tcPr>
            <w:tcW w:w="1134" w:type="dxa"/>
          </w:tcPr>
          <w:p w14:paraId="2FE5CAF4" w14:textId="77777777" w:rsidR="002D5756" w:rsidRPr="006A64EE" w:rsidRDefault="009C2544" w:rsidP="004255F8">
            <w:pPr>
              <w:pStyle w:val="TableParagraph"/>
              <w:widowControl/>
              <w:suppressAutoHyphens/>
              <w:ind w:left="284"/>
              <w:rPr>
                <w:sz w:val="20"/>
                <w:szCs w:val="20"/>
              </w:rPr>
            </w:pPr>
            <w:r w:rsidRPr="006A64EE">
              <w:rPr>
                <w:sz w:val="20"/>
                <w:szCs w:val="20"/>
              </w:rPr>
              <w:t>Entfällt.</w:t>
            </w:r>
          </w:p>
        </w:tc>
        <w:tc>
          <w:tcPr>
            <w:tcW w:w="1134" w:type="dxa"/>
          </w:tcPr>
          <w:p w14:paraId="1DA7C7FD" w14:textId="77777777" w:rsidR="002D5756" w:rsidRPr="006A64EE" w:rsidRDefault="009C2544" w:rsidP="004255F8">
            <w:pPr>
              <w:pStyle w:val="TableParagraph"/>
              <w:widowControl/>
              <w:suppressAutoHyphens/>
              <w:jc w:val="center"/>
              <w:rPr>
                <w:sz w:val="20"/>
                <w:szCs w:val="20"/>
              </w:rPr>
            </w:pPr>
            <w:r w:rsidRPr="006A64EE">
              <w:rPr>
                <w:sz w:val="20"/>
                <w:szCs w:val="20"/>
              </w:rPr>
              <w:t>Entfällt.</w:t>
            </w:r>
          </w:p>
        </w:tc>
        <w:tc>
          <w:tcPr>
            <w:tcW w:w="1872" w:type="dxa"/>
          </w:tcPr>
          <w:p w14:paraId="4464BE9B" w14:textId="63DD5957" w:rsidR="002D5756" w:rsidRPr="006A64EE" w:rsidRDefault="009C2544" w:rsidP="004255F8">
            <w:pPr>
              <w:pStyle w:val="TableParagraph"/>
              <w:widowControl/>
              <w:suppressAutoHyphens/>
              <w:jc w:val="center"/>
              <w:rPr>
                <w:sz w:val="20"/>
                <w:szCs w:val="20"/>
              </w:rPr>
            </w:pPr>
            <w:r w:rsidRPr="006A64EE">
              <w:rPr>
                <w:sz w:val="20"/>
                <w:szCs w:val="20"/>
              </w:rPr>
              <w:t>42</w:t>
            </w:r>
            <w:r w:rsidR="00E1420D">
              <w:t> </w:t>
            </w:r>
            <w:r w:rsidRPr="006A64EE">
              <w:rPr>
                <w:sz w:val="20"/>
                <w:szCs w:val="20"/>
              </w:rPr>
              <w:t>%*</w:t>
            </w:r>
          </w:p>
          <w:p w14:paraId="65D1C6C2" w14:textId="77777777" w:rsidR="00504080" w:rsidRPr="006A64EE" w:rsidRDefault="00504080" w:rsidP="004255F8">
            <w:pPr>
              <w:pStyle w:val="TableParagraph"/>
              <w:widowControl/>
              <w:suppressAutoHyphens/>
              <w:jc w:val="center"/>
              <w:rPr>
                <w:sz w:val="20"/>
                <w:szCs w:val="20"/>
              </w:rPr>
            </w:pPr>
          </w:p>
          <w:p w14:paraId="48AFE41D" w14:textId="67F120F7" w:rsidR="00504080" w:rsidRPr="006A64EE" w:rsidRDefault="00504080" w:rsidP="004255F8">
            <w:pPr>
              <w:pStyle w:val="TableParagraph"/>
              <w:widowControl/>
              <w:suppressAutoHyphens/>
              <w:jc w:val="center"/>
              <w:rPr>
                <w:sz w:val="20"/>
                <w:szCs w:val="20"/>
              </w:rPr>
            </w:pPr>
            <w:r w:rsidRPr="006A64EE">
              <w:rPr>
                <w:sz w:val="20"/>
                <w:szCs w:val="20"/>
              </w:rPr>
              <w:t>(18,00; 66,00)</w:t>
            </w:r>
          </w:p>
        </w:tc>
        <w:tc>
          <w:tcPr>
            <w:tcW w:w="1807" w:type="dxa"/>
          </w:tcPr>
          <w:p w14:paraId="1F5B8487" w14:textId="3DB95105" w:rsidR="002D5756" w:rsidRPr="006A64EE" w:rsidRDefault="009C2544" w:rsidP="004255F8">
            <w:pPr>
              <w:pStyle w:val="TableParagraph"/>
              <w:widowControl/>
              <w:suppressAutoHyphens/>
              <w:jc w:val="center"/>
              <w:rPr>
                <w:sz w:val="20"/>
                <w:szCs w:val="20"/>
              </w:rPr>
            </w:pPr>
            <w:r w:rsidRPr="006A64EE">
              <w:rPr>
                <w:sz w:val="20"/>
                <w:szCs w:val="20"/>
              </w:rPr>
              <w:t>39,06</w:t>
            </w:r>
            <w:r w:rsidR="00E1420D">
              <w:rPr>
                <w:sz w:val="20"/>
                <w:szCs w:val="20"/>
              </w:rPr>
              <w:t> </w:t>
            </w:r>
            <w:r w:rsidRPr="006A64EE">
              <w:rPr>
                <w:sz w:val="20"/>
                <w:szCs w:val="20"/>
              </w:rPr>
              <w:t>%*</w:t>
            </w:r>
          </w:p>
          <w:p w14:paraId="7A29B9FA" w14:textId="77777777" w:rsidR="00504080" w:rsidRPr="006A64EE" w:rsidRDefault="00504080" w:rsidP="004255F8">
            <w:pPr>
              <w:pStyle w:val="TableParagraph"/>
              <w:widowControl/>
              <w:suppressAutoHyphens/>
              <w:jc w:val="center"/>
              <w:rPr>
                <w:sz w:val="20"/>
                <w:szCs w:val="20"/>
              </w:rPr>
            </w:pPr>
          </w:p>
          <w:p w14:paraId="1ECF1703" w14:textId="14F7F5EE" w:rsidR="00504080" w:rsidRPr="006A64EE" w:rsidRDefault="00504080" w:rsidP="004255F8">
            <w:pPr>
              <w:pStyle w:val="TableParagraph"/>
              <w:widowControl/>
              <w:suppressAutoHyphens/>
              <w:jc w:val="center"/>
              <w:rPr>
                <w:sz w:val="20"/>
                <w:szCs w:val="20"/>
              </w:rPr>
            </w:pPr>
            <w:r w:rsidRPr="006A64EE">
              <w:rPr>
                <w:sz w:val="20"/>
                <w:szCs w:val="20"/>
              </w:rPr>
              <w:t>(12,46; 65,66)</w:t>
            </w:r>
          </w:p>
        </w:tc>
      </w:tr>
      <w:tr w:rsidR="00593482" w:rsidRPr="006A64EE" w14:paraId="4256E01D" w14:textId="77777777" w:rsidTr="00E303AE">
        <w:tc>
          <w:tcPr>
            <w:tcW w:w="9061" w:type="dxa"/>
            <w:gridSpan w:val="5"/>
          </w:tcPr>
          <w:p w14:paraId="06C8043A" w14:textId="77777777" w:rsidR="002D5756" w:rsidRPr="006A64EE" w:rsidRDefault="009C2544" w:rsidP="004255F8">
            <w:pPr>
              <w:pStyle w:val="TableParagraph"/>
              <w:widowControl/>
              <w:suppressAutoHyphens/>
              <w:rPr>
                <w:b/>
                <w:sz w:val="20"/>
                <w:szCs w:val="20"/>
              </w:rPr>
            </w:pPr>
            <w:r w:rsidRPr="006A64EE">
              <w:rPr>
                <w:b/>
                <w:sz w:val="20"/>
                <w:szCs w:val="20"/>
              </w:rPr>
              <w:lastRenderedPageBreak/>
              <w:t>Wichtigster sekundärer Endpunkt</w:t>
            </w:r>
          </w:p>
        </w:tc>
      </w:tr>
      <w:tr w:rsidR="00504080" w:rsidRPr="006A64EE" w14:paraId="5A49A42A" w14:textId="77777777" w:rsidTr="00E303AE">
        <w:tc>
          <w:tcPr>
            <w:tcW w:w="9061" w:type="dxa"/>
            <w:gridSpan w:val="5"/>
          </w:tcPr>
          <w:p w14:paraId="4F506543" w14:textId="4CEAC713" w:rsidR="00504080" w:rsidRPr="006A64EE" w:rsidRDefault="00504080" w:rsidP="004255F8">
            <w:pPr>
              <w:pStyle w:val="TableParagraph"/>
              <w:widowControl/>
              <w:suppressAutoHyphens/>
              <w:rPr>
                <w:sz w:val="20"/>
                <w:szCs w:val="20"/>
              </w:rPr>
            </w:pPr>
            <w:r w:rsidRPr="006A64EE">
              <w:rPr>
                <w:sz w:val="20"/>
                <w:szCs w:val="20"/>
              </w:rPr>
              <w:t xml:space="preserve">Anhaltende Remission (Tocilizumab-Gruppen </w:t>
            </w:r>
            <w:r w:rsidRPr="006A64EE">
              <w:rPr>
                <w:i/>
                <w:sz w:val="20"/>
                <w:szCs w:val="20"/>
              </w:rPr>
              <w:t>vs</w:t>
            </w:r>
            <w:r w:rsidRPr="006A64EE">
              <w:rPr>
                <w:sz w:val="20"/>
                <w:szCs w:val="20"/>
              </w:rPr>
              <w:t>. Placebo+52)</w:t>
            </w:r>
          </w:p>
        </w:tc>
      </w:tr>
      <w:tr w:rsidR="00593482" w:rsidRPr="006A64EE" w14:paraId="175418A2" w14:textId="77777777" w:rsidTr="00E303AE">
        <w:tc>
          <w:tcPr>
            <w:tcW w:w="3114" w:type="dxa"/>
          </w:tcPr>
          <w:p w14:paraId="562BBD84" w14:textId="096614AC" w:rsidR="002D5756" w:rsidRPr="006A64EE" w:rsidRDefault="009C2544" w:rsidP="004255F8">
            <w:pPr>
              <w:pStyle w:val="TableParagraph"/>
              <w:widowControl/>
              <w:suppressAutoHyphens/>
              <w:ind w:left="284"/>
              <w:rPr>
                <w:sz w:val="20"/>
                <w:szCs w:val="20"/>
              </w:rPr>
            </w:pPr>
            <w:r w:rsidRPr="006A64EE">
              <w:rPr>
                <w:sz w:val="20"/>
                <w:szCs w:val="20"/>
              </w:rPr>
              <w:t>Responder in Woche</w:t>
            </w:r>
            <w:r w:rsidR="00E1420D">
              <w:t> </w:t>
            </w:r>
            <w:r w:rsidRPr="006A64EE">
              <w:rPr>
                <w:sz w:val="20"/>
                <w:szCs w:val="20"/>
              </w:rPr>
              <w:t>52, n (%)</w:t>
            </w:r>
          </w:p>
        </w:tc>
        <w:tc>
          <w:tcPr>
            <w:tcW w:w="1134" w:type="dxa"/>
          </w:tcPr>
          <w:p w14:paraId="67125E1F" w14:textId="2C33B485" w:rsidR="002D5756" w:rsidRPr="006A64EE" w:rsidRDefault="009C2544" w:rsidP="004255F8">
            <w:pPr>
              <w:pStyle w:val="TableParagraph"/>
              <w:widowControl/>
              <w:suppressAutoHyphens/>
              <w:ind w:left="284"/>
              <w:jc w:val="center"/>
              <w:rPr>
                <w:sz w:val="20"/>
                <w:szCs w:val="20"/>
              </w:rPr>
            </w:pPr>
            <w:r w:rsidRPr="006A64EE">
              <w:rPr>
                <w:sz w:val="20"/>
                <w:szCs w:val="20"/>
              </w:rPr>
              <w:t>7 (14</w:t>
            </w:r>
            <w:r w:rsidR="00E1420D">
              <w:rPr>
                <w:sz w:val="20"/>
                <w:szCs w:val="20"/>
              </w:rPr>
              <w:t> </w:t>
            </w:r>
            <w:r w:rsidRPr="006A64EE">
              <w:rPr>
                <w:sz w:val="20"/>
                <w:szCs w:val="20"/>
              </w:rPr>
              <w:t>%)</w:t>
            </w:r>
          </w:p>
        </w:tc>
        <w:tc>
          <w:tcPr>
            <w:tcW w:w="1134" w:type="dxa"/>
          </w:tcPr>
          <w:p w14:paraId="46B1BE0D" w14:textId="56A12855" w:rsidR="002D5756" w:rsidRPr="006A64EE" w:rsidRDefault="009C2544" w:rsidP="004255F8">
            <w:pPr>
              <w:pStyle w:val="TableParagraph"/>
              <w:widowControl/>
              <w:suppressAutoHyphens/>
              <w:jc w:val="center"/>
              <w:rPr>
                <w:sz w:val="20"/>
                <w:szCs w:val="20"/>
              </w:rPr>
            </w:pPr>
            <w:r w:rsidRPr="006A64EE">
              <w:rPr>
                <w:sz w:val="20"/>
                <w:szCs w:val="20"/>
              </w:rPr>
              <w:t>9 (17,6</w:t>
            </w:r>
            <w:r w:rsidR="00E1420D">
              <w:rPr>
                <w:sz w:val="20"/>
                <w:szCs w:val="20"/>
              </w:rPr>
              <w:t> </w:t>
            </w:r>
            <w:r w:rsidRPr="006A64EE">
              <w:rPr>
                <w:sz w:val="20"/>
                <w:szCs w:val="20"/>
              </w:rPr>
              <w:t>%)</w:t>
            </w:r>
          </w:p>
        </w:tc>
        <w:tc>
          <w:tcPr>
            <w:tcW w:w="1872" w:type="dxa"/>
          </w:tcPr>
          <w:p w14:paraId="2BD4DD0E" w14:textId="7F9532CC" w:rsidR="002D5756" w:rsidRPr="006A64EE" w:rsidRDefault="009C2544" w:rsidP="004255F8">
            <w:pPr>
              <w:pStyle w:val="TableParagraph"/>
              <w:widowControl/>
              <w:suppressAutoHyphens/>
              <w:jc w:val="center"/>
              <w:rPr>
                <w:sz w:val="20"/>
                <w:szCs w:val="20"/>
              </w:rPr>
            </w:pPr>
            <w:r w:rsidRPr="006A64EE">
              <w:rPr>
                <w:sz w:val="20"/>
                <w:szCs w:val="20"/>
              </w:rPr>
              <w:t>56 (56</w:t>
            </w:r>
            <w:r w:rsidR="00E1420D">
              <w:rPr>
                <w:sz w:val="20"/>
                <w:szCs w:val="20"/>
              </w:rPr>
              <w:t> </w:t>
            </w:r>
            <w:r w:rsidRPr="006A64EE">
              <w:rPr>
                <w:sz w:val="20"/>
                <w:szCs w:val="20"/>
              </w:rPr>
              <w:t>%)</w:t>
            </w:r>
          </w:p>
        </w:tc>
        <w:tc>
          <w:tcPr>
            <w:tcW w:w="1807" w:type="dxa"/>
          </w:tcPr>
          <w:p w14:paraId="20311DE2" w14:textId="19CAA7DC" w:rsidR="002D5756" w:rsidRPr="006A64EE" w:rsidRDefault="009C2544" w:rsidP="004255F8">
            <w:pPr>
              <w:pStyle w:val="TableParagraph"/>
              <w:widowControl/>
              <w:suppressAutoHyphens/>
              <w:jc w:val="center"/>
              <w:rPr>
                <w:sz w:val="20"/>
                <w:szCs w:val="20"/>
              </w:rPr>
            </w:pPr>
            <w:r w:rsidRPr="006A64EE">
              <w:rPr>
                <w:sz w:val="20"/>
                <w:szCs w:val="20"/>
              </w:rPr>
              <w:t>26 (53,1</w:t>
            </w:r>
            <w:r w:rsidR="00E1420D">
              <w:rPr>
                <w:sz w:val="20"/>
                <w:szCs w:val="20"/>
              </w:rPr>
              <w:t> </w:t>
            </w:r>
            <w:r w:rsidRPr="006A64EE">
              <w:rPr>
                <w:sz w:val="20"/>
                <w:szCs w:val="20"/>
              </w:rPr>
              <w:t>%)</w:t>
            </w:r>
          </w:p>
        </w:tc>
      </w:tr>
      <w:tr w:rsidR="00593482" w:rsidRPr="006A64EE" w14:paraId="076A73B1" w14:textId="77777777" w:rsidTr="00E303AE">
        <w:tc>
          <w:tcPr>
            <w:tcW w:w="3114" w:type="dxa"/>
          </w:tcPr>
          <w:p w14:paraId="1041B4CE" w14:textId="0F33AC7D" w:rsidR="002D5756" w:rsidRPr="006A64EE" w:rsidRDefault="009C2544" w:rsidP="004255F8">
            <w:pPr>
              <w:pStyle w:val="TableParagraph"/>
              <w:widowControl/>
              <w:suppressAutoHyphens/>
              <w:ind w:left="284"/>
              <w:rPr>
                <w:sz w:val="20"/>
                <w:szCs w:val="20"/>
              </w:rPr>
            </w:pPr>
            <w:r w:rsidRPr="006A64EE">
              <w:rPr>
                <w:sz w:val="20"/>
                <w:szCs w:val="20"/>
              </w:rPr>
              <w:t>Nicht korrigierte Unterschiede in</w:t>
            </w:r>
            <w:r w:rsidR="00504080" w:rsidRPr="006A64EE">
              <w:rPr>
                <w:sz w:val="20"/>
                <w:szCs w:val="20"/>
              </w:rPr>
              <w:t xml:space="preserve"> Anteilen (99,5-%-KI)</w:t>
            </w:r>
          </w:p>
        </w:tc>
        <w:tc>
          <w:tcPr>
            <w:tcW w:w="1134" w:type="dxa"/>
          </w:tcPr>
          <w:p w14:paraId="43C1EDEB" w14:textId="77777777" w:rsidR="002D5756" w:rsidRPr="006A64EE" w:rsidRDefault="009C2544" w:rsidP="004255F8">
            <w:pPr>
              <w:pStyle w:val="TableParagraph"/>
              <w:widowControl/>
              <w:suppressAutoHyphens/>
              <w:ind w:left="284"/>
              <w:jc w:val="center"/>
              <w:rPr>
                <w:sz w:val="20"/>
                <w:szCs w:val="20"/>
              </w:rPr>
            </w:pPr>
            <w:r w:rsidRPr="006A64EE">
              <w:rPr>
                <w:sz w:val="20"/>
                <w:szCs w:val="20"/>
              </w:rPr>
              <w:t>Entfällt.</w:t>
            </w:r>
          </w:p>
        </w:tc>
        <w:tc>
          <w:tcPr>
            <w:tcW w:w="1134" w:type="dxa"/>
          </w:tcPr>
          <w:p w14:paraId="01D13B39" w14:textId="77777777" w:rsidR="002D5756" w:rsidRPr="006A64EE" w:rsidRDefault="009C2544" w:rsidP="004255F8">
            <w:pPr>
              <w:pStyle w:val="TableParagraph"/>
              <w:widowControl/>
              <w:suppressAutoHyphens/>
              <w:jc w:val="center"/>
              <w:rPr>
                <w:sz w:val="20"/>
                <w:szCs w:val="20"/>
              </w:rPr>
            </w:pPr>
            <w:r w:rsidRPr="006A64EE">
              <w:rPr>
                <w:sz w:val="20"/>
                <w:szCs w:val="20"/>
              </w:rPr>
              <w:t>Entfällt.</w:t>
            </w:r>
          </w:p>
        </w:tc>
        <w:tc>
          <w:tcPr>
            <w:tcW w:w="1872" w:type="dxa"/>
          </w:tcPr>
          <w:p w14:paraId="16480A31" w14:textId="0E965E32" w:rsidR="002D5756" w:rsidRPr="006A64EE" w:rsidRDefault="009C2544" w:rsidP="004255F8">
            <w:pPr>
              <w:pStyle w:val="TableParagraph"/>
              <w:widowControl/>
              <w:suppressAutoHyphens/>
              <w:jc w:val="center"/>
              <w:rPr>
                <w:sz w:val="20"/>
                <w:szCs w:val="20"/>
              </w:rPr>
            </w:pPr>
            <w:r w:rsidRPr="006A64EE">
              <w:rPr>
                <w:sz w:val="20"/>
                <w:szCs w:val="20"/>
              </w:rPr>
              <w:t>38,35</w:t>
            </w:r>
            <w:r w:rsidR="00E1420D">
              <w:rPr>
                <w:sz w:val="20"/>
                <w:szCs w:val="20"/>
              </w:rPr>
              <w:t> </w:t>
            </w:r>
            <w:r w:rsidRPr="006A64EE">
              <w:rPr>
                <w:sz w:val="20"/>
                <w:szCs w:val="20"/>
              </w:rPr>
              <w:t>%*</w:t>
            </w:r>
          </w:p>
          <w:p w14:paraId="52D9ADEE" w14:textId="64BBBF7B" w:rsidR="00504080" w:rsidRPr="006A64EE" w:rsidRDefault="00504080" w:rsidP="004255F8">
            <w:pPr>
              <w:pStyle w:val="TableParagraph"/>
              <w:widowControl/>
              <w:suppressAutoHyphens/>
              <w:jc w:val="center"/>
              <w:rPr>
                <w:sz w:val="20"/>
                <w:szCs w:val="20"/>
              </w:rPr>
            </w:pPr>
            <w:r w:rsidRPr="006A64EE">
              <w:rPr>
                <w:sz w:val="20"/>
                <w:szCs w:val="20"/>
              </w:rPr>
              <w:t>(17,89; 58,81)</w:t>
            </w:r>
          </w:p>
        </w:tc>
        <w:tc>
          <w:tcPr>
            <w:tcW w:w="1807" w:type="dxa"/>
          </w:tcPr>
          <w:p w14:paraId="78AF05FF" w14:textId="39A84B47" w:rsidR="002D5756" w:rsidRPr="006A64EE" w:rsidRDefault="009C2544" w:rsidP="004255F8">
            <w:pPr>
              <w:pStyle w:val="TableParagraph"/>
              <w:widowControl/>
              <w:suppressAutoHyphens/>
              <w:jc w:val="center"/>
              <w:rPr>
                <w:sz w:val="20"/>
                <w:szCs w:val="20"/>
              </w:rPr>
            </w:pPr>
            <w:r w:rsidRPr="006A64EE">
              <w:rPr>
                <w:sz w:val="20"/>
                <w:szCs w:val="20"/>
              </w:rPr>
              <w:t>35,41</w:t>
            </w:r>
            <w:r w:rsidR="00E1420D">
              <w:rPr>
                <w:sz w:val="20"/>
                <w:szCs w:val="20"/>
              </w:rPr>
              <w:t> </w:t>
            </w:r>
            <w:r w:rsidRPr="006A64EE">
              <w:rPr>
                <w:sz w:val="20"/>
                <w:szCs w:val="20"/>
              </w:rPr>
              <w:t>%**</w:t>
            </w:r>
          </w:p>
          <w:p w14:paraId="03F27476" w14:textId="6D8609B6" w:rsidR="00504080" w:rsidRPr="006A64EE" w:rsidRDefault="00504080" w:rsidP="004255F8">
            <w:pPr>
              <w:pStyle w:val="TableParagraph"/>
              <w:widowControl/>
              <w:suppressAutoHyphens/>
              <w:jc w:val="center"/>
              <w:rPr>
                <w:sz w:val="20"/>
                <w:szCs w:val="20"/>
              </w:rPr>
            </w:pPr>
            <w:r w:rsidRPr="006A64EE">
              <w:rPr>
                <w:sz w:val="20"/>
                <w:szCs w:val="20"/>
              </w:rPr>
              <w:t>(10,41; 60,41)</w:t>
            </w:r>
          </w:p>
        </w:tc>
      </w:tr>
      <w:tr w:rsidR="00593482" w:rsidRPr="006A64EE" w14:paraId="1A2F78FA" w14:textId="77777777" w:rsidTr="00E303AE">
        <w:tc>
          <w:tcPr>
            <w:tcW w:w="9061" w:type="dxa"/>
            <w:gridSpan w:val="5"/>
            <w:tcBorders>
              <w:bottom w:val="single" w:sz="4" w:space="0" w:color="auto"/>
            </w:tcBorders>
          </w:tcPr>
          <w:p w14:paraId="15312A46" w14:textId="77777777" w:rsidR="002D5756" w:rsidRPr="006A64EE" w:rsidRDefault="009C2544" w:rsidP="004255F8">
            <w:pPr>
              <w:pStyle w:val="TableParagraph"/>
              <w:keepNext/>
              <w:widowControl/>
              <w:suppressAutoHyphens/>
              <w:rPr>
                <w:b/>
                <w:sz w:val="20"/>
                <w:szCs w:val="20"/>
              </w:rPr>
            </w:pPr>
            <w:r w:rsidRPr="006A64EE">
              <w:rPr>
                <w:b/>
                <w:sz w:val="20"/>
                <w:szCs w:val="20"/>
              </w:rPr>
              <w:t>Weitere sekundäre Endpunkte</w:t>
            </w:r>
          </w:p>
        </w:tc>
      </w:tr>
      <w:tr w:rsidR="00593482" w:rsidRPr="006A64EE" w14:paraId="003FE936" w14:textId="77777777" w:rsidTr="00E303AE">
        <w:trPr>
          <w:cantSplit/>
        </w:trPr>
        <w:tc>
          <w:tcPr>
            <w:tcW w:w="3114" w:type="dxa"/>
            <w:tcBorders>
              <w:bottom w:val="nil"/>
            </w:tcBorders>
          </w:tcPr>
          <w:p w14:paraId="455E1253" w14:textId="085CB598" w:rsidR="00093A5E" w:rsidRPr="006A64EE" w:rsidRDefault="009C2544" w:rsidP="004255F8">
            <w:pPr>
              <w:pStyle w:val="TableParagraph"/>
              <w:widowControl/>
              <w:suppressAutoHyphens/>
              <w:rPr>
                <w:sz w:val="20"/>
                <w:szCs w:val="20"/>
              </w:rPr>
            </w:pPr>
            <w:r w:rsidRPr="006A64EE">
              <w:rPr>
                <w:sz w:val="20"/>
                <w:szCs w:val="20"/>
              </w:rPr>
              <w:t xml:space="preserve">Zeit bis zum ersten RZA-Schub¹ (Tocilizumab-Gruppen </w:t>
            </w:r>
            <w:r w:rsidRPr="006A64EE">
              <w:rPr>
                <w:i/>
                <w:sz w:val="20"/>
                <w:szCs w:val="20"/>
              </w:rPr>
              <w:t xml:space="preserve">vs. </w:t>
            </w:r>
            <w:r w:rsidRPr="006A64EE">
              <w:rPr>
                <w:sz w:val="20"/>
                <w:szCs w:val="20"/>
              </w:rPr>
              <w:t>Placebo+26)</w:t>
            </w:r>
          </w:p>
          <w:p w14:paraId="144A8E2D" w14:textId="1AD0551E" w:rsidR="002D5756" w:rsidRPr="006A64EE" w:rsidRDefault="009C2544" w:rsidP="006C080D">
            <w:pPr>
              <w:pStyle w:val="TableParagraph"/>
              <w:widowControl/>
              <w:suppressAutoHyphens/>
              <w:jc w:val="center"/>
              <w:rPr>
                <w:sz w:val="20"/>
                <w:szCs w:val="20"/>
              </w:rPr>
            </w:pPr>
            <w:r w:rsidRPr="006A64EE">
              <w:rPr>
                <w:sz w:val="20"/>
                <w:szCs w:val="20"/>
              </w:rPr>
              <w:t>HR (99-%-KI)</w:t>
            </w:r>
          </w:p>
        </w:tc>
        <w:tc>
          <w:tcPr>
            <w:tcW w:w="1134" w:type="dxa"/>
            <w:tcBorders>
              <w:bottom w:val="nil"/>
            </w:tcBorders>
          </w:tcPr>
          <w:p w14:paraId="0B3D1A8F" w14:textId="77777777" w:rsidR="002D5756" w:rsidRPr="006A64EE" w:rsidRDefault="009C2544" w:rsidP="004255F8">
            <w:pPr>
              <w:pStyle w:val="TableParagraph"/>
              <w:widowControl/>
              <w:suppressAutoHyphens/>
              <w:jc w:val="center"/>
              <w:rPr>
                <w:sz w:val="20"/>
                <w:szCs w:val="20"/>
              </w:rPr>
            </w:pPr>
            <w:r w:rsidRPr="006A64EE">
              <w:rPr>
                <w:sz w:val="20"/>
                <w:szCs w:val="20"/>
              </w:rPr>
              <w:t>Entfällt.</w:t>
            </w:r>
          </w:p>
        </w:tc>
        <w:tc>
          <w:tcPr>
            <w:tcW w:w="1134" w:type="dxa"/>
            <w:tcBorders>
              <w:bottom w:val="nil"/>
            </w:tcBorders>
          </w:tcPr>
          <w:p w14:paraId="42309AFE" w14:textId="77777777" w:rsidR="002D5756" w:rsidRPr="006A64EE" w:rsidRDefault="009C2544" w:rsidP="004255F8">
            <w:pPr>
              <w:pStyle w:val="TableParagraph"/>
              <w:widowControl/>
              <w:suppressAutoHyphens/>
              <w:jc w:val="center"/>
              <w:rPr>
                <w:sz w:val="20"/>
                <w:szCs w:val="20"/>
              </w:rPr>
            </w:pPr>
            <w:r w:rsidRPr="006A64EE">
              <w:rPr>
                <w:sz w:val="20"/>
                <w:szCs w:val="20"/>
              </w:rPr>
              <w:t>Entfällt.</w:t>
            </w:r>
          </w:p>
        </w:tc>
        <w:tc>
          <w:tcPr>
            <w:tcW w:w="1872" w:type="dxa"/>
            <w:tcBorders>
              <w:bottom w:val="nil"/>
            </w:tcBorders>
          </w:tcPr>
          <w:p w14:paraId="0DC5D8C8" w14:textId="77777777" w:rsidR="00093A5E" w:rsidRPr="006A64EE" w:rsidRDefault="009C2544" w:rsidP="004255F8">
            <w:pPr>
              <w:pStyle w:val="TableParagraph"/>
              <w:widowControl/>
              <w:suppressAutoHyphens/>
              <w:jc w:val="center"/>
              <w:rPr>
                <w:sz w:val="20"/>
                <w:szCs w:val="20"/>
              </w:rPr>
            </w:pPr>
            <w:r w:rsidRPr="006A64EE">
              <w:rPr>
                <w:sz w:val="20"/>
                <w:szCs w:val="20"/>
              </w:rPr>
              <w:t>0,23*</w:t>
            </w:r>
          </w:p>
          <w:p w14:paraId="5DB6E135" w14:textId="44F1DD5C" w:rsidR="002D5756" w:rsidRPr="006A64EE" w:rsidRDefault="009C2544" w:rsidP="004255F8">
            <w:pPr>
              <w:pStyle w:val="TableParagraph"/>
              <w:widowControl/>
              <w:suppressAutoHyphens/>
              <w:jc w:val="center"/>
              <w:rPr>
                <w:sz w:val="20"/>
                <w:szCs w:val="20"/>
              </w:rPr>
            </w:pPr>
            <w:r w:rsidRPr="006A64EE">
              <w:rPr>
                <w:sz w:val="20"/>
                <w:szCs w:val="20"/>
              </w:rPr>
              <w:t>(0,11; 0,46)</w:t>
            </w:r>
          </w:p>
        </w:tc>
        <w:tc>
          <w:tcPr>
            <w:tcW w:w="1807" w:type="dxa"/>
            <w:tcBorders>
              <w:bottom w:val="nil"/>
            </w:tcBorders>
          </w:tcPr>
          <w:p w14:paraId="5B21F8E8" w14:textId="77777777" w:rsidR="00093A5E" w:rsidRPr="006A64EE" w:rsidRDefault="009C2544" w:rsidP="004255F8">
            <w:pPr>
              <w:pStyle w:val="TableParagraph"/>
              <w:widowControl/>
              <w:suppressAutoHyphens/>
              <w:jc w:val="center"/>
              <w:rPr>
                <w:sz w:val="20"/>
                <w:szCs w:val="20"/>
              </w:rPr>
            </w:pPr>
            <w:r w:rsidRPr="006A64EE">
              <w:rPr>
                <w:sz w:val="20"/>
                <w:szCs w:val="20"/>
              </w:rPr>
              <w:t>0,28**</w:t>
            </w:r>
          </w:p>
          <w:p w14:paraId="4BEA8D6A" w14:textId="7A1A39A2" w:rsidR="002D5756" w:rsidRPr="006A64EE" w:rsidRDefault="009C2544" w:rsidP="004255F8">
            <w:pPr>
              <w:pStyle w:val="TableParagraph"/>
              <w:widowControl/>
              <w:suppressAutoHyphens/>
              <w:jc w:val="center"/>
              <w:rPr>
                <w:sz w:val="20"/>
                <w:szCs w:val="20"/>
              </w:rPr>
            </w:pPr>
            <w:r w:rsidRPr="006A64EE">
              <w:rPr>
                <w:sz w:val="20"/>
                <w:szCs w:val="20"/>
              </w:rPr>
              <w:t>(0,12; 0,66)</w:t>
            </w:r>
          </w:p>
        </w:tc>
      </w:tr>
      <w:tr w:rsidR="00593482" w:rsidRPr="006A64EE" w14:paraId="5433E4FC" w14:textId="77777777" w:rsidTr="00E303AE">
        <w:tc>
          <w:tcPr>
            <w:tcW w:w="3114" w:type="dxa"/>
            <w:tcBorders>
              <w:top w:val="nil"/>
              <w:bottom w:val="nil"/>
            </w:tcBorders>
          </w:tcPr>
          <w:p w14:paraId="37814A54" w14:textId="77777777" w:rsidR="00093A5E" w:rsidRPr="006A64EE" w:rsidRDefault="00CC5560" w:rsidP="004255F8">
            <w:pPr>
              <w:pStyle w:val="TableParagraph"/>
              <w:widowControl/>
              <w:rPr>
                <w:sz w:val="20"/>
                <w:szCs w:val="20"/>
              </w:rPr>
            </w:pPr>
            <w:r w:rsidRPr="006A64EE">
              <w:rPr>
                <w:sz w:val="20"/>
                <w:szCs w:val="20"/>
              </w:rPr>
              <w:t xml:space="preserve">Zeit bis zum ersten RZA-Schub¹ (Tocilizumab-Gruppen </w:t>
            </w:r>
            <w:r w:rsidRPr="006A64EE">
              <w:rPr>
                <w:i/>
                <w:sz w:val="20"/>
                <w:szCs w:val="20"/>
              </w:rPr>
              <w:t xml:space="preserve">vs. </w:t>
            </w:r>
            <w:r w:rsidRPr="006A64EE">
              <w:rPr>
                <w:sz w:val="20"/>
                <w:szCs w:val="20"/>
              </w:rPr>
              <w:t>Placebo+52)</w:t>
            </w:r>
          </w:p>
          <w:p w14:paraId="0E226856" w14:textId="4156BC44" w:rsidR="00CC5560" w:rsidRPr="006A64EE" w:rsidRDefault="00CC5560" w:rsidP="006C080D">
            <w:pPr>
              <w:pStyle w:val="TableParagraph"/>
              <w:widowControl/>
              <w:suppressAutoHyphens/>
              <w:jc w:val="center"/>
              <w:rPr>
                <w:sz w:val="20"/>
                <w:szCs w:val="20"/>
              </w:rPr>
            </w:pPr>
            <w:r w:rsidRPr="006A64EE">
              <w:rPr>
                <w:sz w:val="20"/>
                <w:szCs w:val="20"/>
              </w:rPr>
              <w:t>HR (99-%-KI)</w:t>
            </w:r>
          </w:p>
        </w:tc>
        <w:tc>
          <w:tcPr>
            <w:tcW w:w="1134" w:type="dxa"/>
            <w:tcBorders>
              <w:top w:val="nil"/>
              <w:bottom w:val="nil"/>
            </w:tcBorders>
          </w:tcPr>
          <w:p w14:paraId="59097545" w14:textId="179EC2AE"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134" w:type="dxa"/>
            <w:tcBorders>
              <w:top w:val="nil"/>
              <w:bottom w:val="nil"/>
            </w:tcBorders>
          </w:tcPr>
          <w:p w14:paraId="5AE4C396" w14:textId="409F507F"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872" w:type="dxa"/>
            <w:tcBorders>
              <w:top w:val="nil"/>
              <w:bottom w:val="nil"/>
            </w:tcBorders>
          </w:tcPr>
          <w:p w14:paraId="7925B2D4" w14:textId="77777777" w:rsidR="00093A5E" w:rsidRPr="006A64EE" w:rsidRDefault="00CC5560" w:rsidP="004255F8">
            <w:pPr>
              <w:pStyle w:val="TableParagraph"/>
              <w:widowControl/>
              <w:jc w:val="center"/>
              <w:rPr>
                <w:sz w:val="20"/>
                <w:szCs w:val="20"/>
              </w:rPr>
            </w:pPr>
            <w:r w:rsidRPr="006A64EE">
              <w:rPr>
                <w:sz w:val="20"/>
                <w:szCs w:val="20"/>
              </w:rPr>
              <w:t>0,39**</w:t>
            </w:r>
          </w:p>
          <w:p w14:paraId="1530446F" w14:textId="760D593F" w:rsidR="00CC5560" w:rsidRPr="006A64EE" w:rsidRDefault="00CC5560" w:rsidP="004255F8">
            <w:pPr>
              <w:pStyle w:val="TableParagraph"/>
              <w:widowControl/>
              <w:suppressAutoHyphens/>
              <w:jc w:val="center"/>
              <w:rPr>
                <w:sz w:val="20"/>
                <w:szCs w:val="20"/>
              </w:rPr>
            </w:pPr>
            <w:r w:rsidRPr="006A64EE">
              <w:rPr>
                <w:sz w:val="20"/>
                <w:szCs w:val="20"/>
              </w:rPr>
              <w:t>(0,18; 0,82)</w:t>
            </w:r>
          </w:p>
        </w:tc>
        <w:tc>
          <w:tcPr>
            <w:tcW w:w="1807" w:type="dxa"/>
            <w:tcBorders>
              <w:top w:val="nil"/>
              <w:bottom w:val="nil"/>
            </w:tcBorders>
          </w:tcPr>
          <w:p w14:paraId="613A81D9" w14:textId="77777777" w:rsidR="00093A5E" w:rsidRPr="006A64EE" w:rsidRDefault="00CC5560" w:rsidP="004255F8">
            <w:pPr>
              <w:pStyle w:val="TableParagraph"/>
              <w:widowControl/>
              <w:jc w:val="center"/>
              <w:rPr>
                <w:sz w:val="20"/>
                <w:szCs w:val="20"/>
              </w:rPr>
            </w:pPr>
            <w:r w:rsidRPr="006A64EE">
              <w:rPr>
                <w:sz w:val="20"/>
                <w:szCs w:val="20"/>
              </w:rPr>
              <w:t>0,48</w:t>
            </w:r>
          </w:p>
          <w:p w14:paraId="77BE2239" w14:textId="364A736A" w:rsidR="00CC5560" w:rsidRPr="006A64EE" w:rsidRDefault="00CC5560" w:rsidP="004255F8">
            <w:pPr>
              <w:pStyle w:val="TableParagraph"/>
              <w:widowControl/>
              <w:suppressAutoHyphens/>
              <w:jc w:val="center"/>
              <w:rPr>
                <w:sz w:val="20"/>
                <w:szCs w:val="20"/>
              </w:rPr>
            </w:pPr>
            <w:r w:rsidRPr="006A64EE">
              <w:rPr>
                <w:sz w:val="20"/>
                <w:szCs w:val="20"/>
              </w:rPr>
              <w:t>(0,20; 1,16)</w:t>
            </w:r>
          </w:p>
        </w:tc>
      </w:tr>
      <w:tr w:rsidR="00593482" w:rsidRPr="006A64EE" w14:paraId="30CAE416" w14:textId="77777777" w:rsidTr="00E303AE">
        <w:tc>
          <w:tcPr>
            <w:tcW w:w="3114" w:type="dxa"/>
            <w:tcBorders>
              <w:top w:val="nil"/>
              <w:bottom w:val="nil"/>
            </w:tcBorders>
          </w:tcPr>
          <w:p w14:paraId="23037328" w14:textId="3A717939" w:rsidR="00CC5560" w:rsidRPr="006A64EE" w:rsidRDefault="00CC5560" w:rsidP="006C080D">
            <w:pPr>
              <w:pStyle w:val="TableParagraph"/>
              <w:widowControl/>
              <w:rPr>
                <w:sz w:val="20"/>
                <w:szCs w:val="20"/>
              </w:rPr>
            </w:pPr>
            <w:r w:rsidRPr="006A64EE">
              <w:rPr>
                <w:sz w:val="20"/>
                <w:szCs w:val="20"/>
              </w:rPr>
              <w:t xml:space="preserve">Zeit bis zum ersten RZA-Schub¹ (Patienten mit Rezidiv; Tocilizumab-Gruppen </w:t>
            </w:r>
            <w:r w:rsidRPr="006A64EE">
              <w:rPr>
                <w:i/>
                <w:sz w:val="20"/>
                <w:szCs w:val="20"/>
              </w:rPr>
              <w:t xml:space="preserve">vs. </w:t>
            </w:r>
            <w:r w:rsidRPr="006A64EE">
              <w:rPr>
                <w:sz w:val="20"/>
                <w:szCs w:val="20"/>
              </w:rPr>
              <w:t>Placebo+26)</w:t>
            </w:r>
            <w:r w:rsidR="006C080D" w:rsidRPr="006A64EE">
              <w:rPr>
                <w:sz w:val="20"/>
                <w:szCs w:val="20"/>
              </w:rPr>
              <w:t xml:space="preserve"> </w:t>
            </w:r>
            <w:r w:rsidRPr="006A64EE">
              <w:rPr>
                <w:sz w:val="20"/>
                <w:szCs w:val="20"/>
              </w:rPr>
              <w:t>HR (99-%-KI)</w:t>
            </w:r>
          </w:p>
        </w:tc>
        <w:tc>
          <w:tcPr>
            <w:tcW w:w="1134" w:type="dxa"/>
            <w:tcBorders>
              <w:top w:val="nil"/>
              <w:bottom w:val="nil"/>
            </w:tcBorders>
          </w:tcPr>
          <w:p w14:paraId="56658897" w14:textId="31E2529F"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134" w:type="dxa"/>
            <w:tcBorders>
              <w:top w:val="nil"/>
              <w:bottom w:val="nil"/>
            </w:tcBorders>
          </w:tcPr>
          <w:p w14:paraId="1035F880" w14:textId="52885A74"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872" w:type="dxa"/>
            <w:tcBorders>
              <w:top w:val="nil"/>
              <w:bottom w:val="nil"/>
            </w:tcBorders>
          </w:tcPr>
          <w:p w14:paraId="770185FA" w14:textId="77777777" w:rsidR="00093A5E" w:rsidRPr="006A64EE" w:rsidRDefault="00CC5560" w:rsidP="004255F8">
            <w:pPr>
              <w:pStyle w:val="TableParagraph"/>
              <w:widowControl/>
              <w:jc w:val="center"/>
              <w:rPr>
                <w:sz w:val="20"/>
                <w:szCs w:val="20"/>
              </w:rPr>
            </w:pPr>
            <w:r w:rsidRPr="006A64EE">
              <w:rPr>
                <w:sz w:val="20"/>
                <w:szCs w:val="20"/>
              </w:rPr>
              <w:t>0,23***</w:t>
            </w:r>
          </w:p>
          <w:p w14:paraId="018B12B5" w14:textId="1F541049" w:rsidR="00CC5560" w:rsidRPr="006A64EE" w:rsidRDefault="00CC5560" w:rsidP="004255F8">
            <w:pPr>
              <w:pStyle w:val="TableParagraph"/>
              <w:widowControl/>
              <w:suppressAutoHyphens/>
              <w:jc w:val="center"/>
              <w:rPr>
                <w:sz w:val="20"/>
                <w:szCs w:val="20"/>
              </w:rPr>
            </w:pPr>
            <w:r w:rsidRPr="006A64EE">
              <w:rPr>
                <w:sz w:val="20"/>
                <w:szCs w:val="20"/>
              </w:rPr>
              <w:t>(0,09; 0,61)</w:t>
            </w:r>
          </w:p>
        </w:tc>
        <w:tc>
          <w:tcPr>
            <w:tcW w:w="1807" w:type="dxa"/>
            <w:tcBorders>
              <w:top w:val="nil"/>
              <w:bottom w:val="nil"/>
            </w:tcBorders>
          </w:tcPr>
          <w:p w14:paraId="40E028FF" w14:textId="77777777" w:rsidR="00093A5E" w:rsidRPr="006A64EE" w:rsidRDefault="00CC5560" w:rsidP="004255F8">
            <w:pPr>
              <w:pStyle w:val="TableParagraph"/>
              <w:widowControl/>
              <w:jc w:val="center"/>
              <w:rPr>
                <w:sz w:val="20"/>
                <w:szCs w:val="20"/>
              </w:rPr>
            </w:pPr>
            <w:r w:rsidRPr="006A64EE">
              <w:rPr>
                <w:sz w:val="20"/>
                <w:szCs w:val="20"/>
              </w:rPr>
              <w:t>0,42</w:t>
            </w:r>
          </w:p>
          <w:p w14:paraId="4F5952D0" w14:textId="107DB046" w:rsidR="00CC5560" w:rsidRPr="006A64EE" w:rsidRDefault="00CC5560" w:rsidP="004255F8">
            <w:pPr>
              <w:pStyle w:val="TableParagraph"/>
              <w:widowControl/>
              <w:suppressAutoHyphens/>
              <w:jc w:val="center"/>
              <w:rPr>
                <w:sz w:val="20"/>
                <w:szCs w:val="20"/>
              </w:rPr>
            </w:pPr>
            <w:r w:rsidRPr="006A64EE">
              <w:rPr>
                <w:sz w:val="20"/>
                <w:szCs w:val="20"/>
              </w:rPr>
              <w:t>(0,14; 1,28)</w:t>
            </w:r>
          </w:p>
        </w:tc>
      </w:tr>
      <w:tr w:rsidR="00593482" w:rsidRPr="006A64EE" w14:paraId="75D9682E" w14:textId="77777777" w:rsidTr="00E303AE">
        <w:tc>
          <w:tcPr>
            <w:tcW w:w="3114" w:type="dxa"/>
            <w:tcBorders>
              <w:top w:val="nil"/>
              <w:bottom w:val="nil"/>
            </w:tcBorders>
          </w:tcPr>
          <w:p w14:paraId="781C4D41" w14:textId="3F5E2439" w:rsidR="00CC5560" w:rsidRPr="006A64EE" w:rsidRDefault="00CC5560" w:rsidP="006C080D">
            <w:pPr>
              <w:pStyle w:val="TableParagraph"/>
              <w:widowControl/>
              <w:rPr>
                <w:sz w:val="20"/>
                <w:szCs w:val="20"/>
              </w:rPr>
            </w:pPr>
            <w:r w:rsidRPr="006A64EE">
              <w:rPr>
                <w:sz w:val="20"/>
                <w:szCs w:val="20"/>
              </w:rPr>
              <w:t xml:space="preserve">Zeit bis zum ersten RZA-Schub¹ (Patienten mit Rezidiv; Tocilizumab-Gruppen </w:t>
            </w:r>
            <w:r w:rsidRPr="006A64EE">
              <w:rPr>
                <w:i/>
                <w:sz w:val="20"/>
                <w:szCs w:val="20"/>
              </w:rPr>
              <w:t xml:space="preserve">vs. </w:t>
            </w:r>
            <w:r w:rsidRPr="006A64EE">
              <w:rPr>
                <w:sz w:val="20"/>
                <w:szCs w:val="20"/>
              </w:rPr>
              <w:t>Placebo+52)</w:t>
            </w:r>
            <w:r w:rsidR="006C080D" w:rsidRPr="006A64EE">
              <w:rPr>
                <w:sz w:val="20"/>
                <w:szCs w:val="20"/>
              </w:rPr>
              <w:t xml:space="preserve"> </w:t>
            </w:r>
            <w:r w:rsidRPr="006A64EE">
              <w:rPr>
                <w:sz w:val="20"/>
                <w:szCs w:val="20"/>
              </w:rPr>
              <w:t>HR (99-%-KI)</w:t>
            </w:r>
          </w:p>
        </w:tc>
        <w:tc>
          <w:tcPr>
            <w:tcW w:w="1134" w:type="dxa"/>
            <w:tcBorders>
              <w:top w:val="nil"/>
              <w:bottom w:val="nil"/>
            </w:tcBorders>
          </w:tcPr>
          <w:p w14:paraId="70CCA894" w14:textId="2438BFF4"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134" w:type="dxa"/>
            <w:tcBorders>
              <w:top w:val="nil"/>
              <w:bottom w:val="nil"/>
            </w:tcBorders>
          </w:tcPr>
          <w:p w14:paraId="766C1A3E" w14:textId="3028BCFF"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872" w:type="dxa"/>
            <w:tcBorders>
              <w:top w:val="nil"/>
              <w:bottom w:val="nil"/>
            </w:tcBorders>
          </w:tcPr>
          <w:p w14:paraId="616A3FD3" w14:textId="77777777" w:rsidR="00093A5E" w:rsidRPr="006A64EE" w:rsidRDefault="00CC5560" w:rsidP="004255F8">
            <w:pPr>
              <w:pStyle w:val="TableParagraph"/>
              <w:widowControl/>
              <w:jc w:val="center"/>
              <w:rPr>
                <w:sz w:val="20"/>
                <w:szCs w:val="20"/>
              </w:rPr>
            </w:pPr>
            <w:r w:rsidRPr="006A64EE">
              <w:rPr>
                <w:sz w:val="20"/>
                <w:szCs w:val="20"/>
              </w:rPr>
              <w:t>0,36</w:t>
            </w:r>
          </w:p>
          <w:p w14:paraId="2C37ACB1" w14:textId="17ACF61C" w:rsidR="00CC5560" w:rsidRPr="006A64EE" w:rsidRDefault="00CC5560" w:rsidP="004255F8">
            <w:pPr>
              <w:pStyle w:val="TableParagraph"/>
              <w:widowControl/>
              <w:suppressAutoHyphens/>
              <w:jc w:val="center"/>
              <w:rPr>
                <w:sz w:val="20"/>
                <w:szCs w:val="20"/>
              </w:rPr>
            </w:pPr>
            <w:r w:rsidRPr="006A64EE">
              <w:rPr>
                <w:sz w:val="20"/>
                <w:szCs w:val="20"/>
              </w:rPr>
              <w:t>(0,13; 1,00)</w:t>
            </w:r>
          </w:p>
        </w:tc>
        <w:tc>
          <w:tcPr>
            <w:tcW w:w="1807" w:type="dxa"/>
            <w:tcBorders>
              <w:top w:val="nil"/>
              <w:bottom w:val="nil"/>
            </w:tcBorders>
          </w:tcPr>
          <w:p w14:paraId="05081FCA" w14:textId="77777777" w:rsidR="00093A5E" w:rsidRPr="006A64EE" w:rsidRDefault="00CC5560" w:rsidP="004255F8">
            <w:pPr>
              <w:pStyle w:val="TableParagraph"/>
              <w:widowControl/>
              <w:jc w:val="center"/>
              <w:rPr>
                <w:sz w:val="20"/>
                <w:szCs w:val="20"/>
              </w:rPr>
            </w:pPr>
            <w:r w:rsidRPr="006A64EE">
              <w:rPr>
                <w:sz w:val="20"/>
                <w:szCs w:val="20"/>
              </w:rPr>
              <w:t>0,67</w:t>
            </w:r>
          </w:p>
          <w:p w14:paraId="6EE8D8FE" w14:textId="441F6F92" w:rsidR="00CC5560" w:rsidRPr="006A64EE" w:rsidRDefault="00CC5560" w:rsidP="004255F8">
            <w:pPr>
              <w:pStyle w:val="TableParagraph"/>
              <w:widowControl/>
              <w:suppressAutoHyphens/>
              <w:jc w:val="center"/>
              <w:rPr>
                <w:sz w:val="20"/>
                <w:szCs w:val="20"/>
              </w:rPr>
            </w:pPr>
            <w:r w:rsidRPr="006A64EE">
              <w:rPr>
                <w:sz w:val="20"/>
                <w:szCs w:val="20"/>
              </w:rPr>
              <w:t>(0,21; 2,10)</w:t>
            </w:r>
          </w:p>
        </w:tc>
      </w:tr>
      <w:tr w:rsidR="00593482" w:rsidRPr="006A64EE" w14:paraId="78E839BA" w14:textId="77777777" w:rsidTr="00E303AE">
        <w:tc>
          <w:tcPr>
            <w:tcW w:w="3114" w:type="dxa"/>
            <w:tcBorders>
              <w:top w:val="nil"/>
              <w:bottom w:val="nil"/>
            </w:tcBorders>
          </w:tcPr>
          <w:p w14:paraId="2D9DEC21" w14:textId="400F6C74" w:rsidR="00CC5560" w:rsidRPr="006A64EE" w:rsidRDefault="00CC5560" w:rsidP="006C080D">
            <w:pPr>
              <w:pStyle w:val="TableParagraph"/>
              <w:widowControl/>
              <w:rPr>
                <w:sz w:val="20"/>
                <w:szCs w:val="20"/>
              </w:rPr>
            </w:pPr>
            <w:r w:rsidRPr="006A64EE">
              <w:rPr>
                <w:sz w:val="20"/>
                <w:szCs w:val="20"/>
              </w:rPr>
              <w:t xml:space="preserve">Zeit bis zum ersten RZA-Schub¹ (Patienten mit Krankheitsbeginn; Tocilizumab-Gruppen </w:t>
            </w:r>
            <w:r w:rsidRPr="006A64EE">
              <w:rPr>
                <w:i/>
                <w:sz w:val="20"/>
                <w:szCs w:val="20"/>
              </w:rPr>
              <w:t xml:space="preserve">vs. </w:t>
            </w:r>
            <w:r w:rsidRPr="006A64EE">
              <w:rPr>
                <w:sz w:val="20"/>
                <w:szCs w:val="20"/>
              </w:rPr>
              <w:t>Placebo+26)</w:t>
            </w:r>
            <w:r w:rsidR="006C080D" w:rsidRPr="006A64EE">
              <w:rPr>
                <w:sz w:val="20"/>
                <w:szCs w:val="20"/>
              </w:rPr>
              <w:t xml:space="preserve"> </w:t>
            </w:r>
            <w:r w:rsidRPr="006A64EE">
              <w:rPr>
                <w:sz w:val="20"/>
                <w:szCs w:val="20"/>
              </w:rPr>
              <w:t>HR (99-%-KI)</w:t>
            </w:r>
          </w:p>
        </w:tc>
        <w:tc>
          <w:tcPr>
            <w:tcW w:w="1134" w:type="dxa"/>
            <w:tcBorders>
              <w:top w:val="nil"/>
              <w:bottom w:val="nil"/>
            </w:tcBorders>
          </w:tcPr>
          <w:p w14:paraId="1E78886E" w14:textId="41FFCC4E"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134" w:type="dxa"/>
            <w:tcBorders>
              <w:top w:val="nil"/>
              <w:bottom w:val="nil"/>
            </w:tcBorders>
          </w:tcPr>
          <w:p w14:paraId="1116A0A8" w14:textId="0D4D9B77"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872" w:type="dxa"/>
            <w:tcBorders>
              <w:top w:val="nil"/>
              <w:bottom w:val="nil"/>
            </w:tcBorders>
          </w:tcPr>
          <w:p w14:paraId="6E463BA7" w14:textId="77777777" w:rsidR="00093A5E" w:rsidRPr="006A64EE" w:rsidRDefault="00CC5560" w:rsidP="004255F8">
            <w:pPr>
              <w:pStyle w:val="TableParagraph"/>
              <w:widowControl/>
              <w:jc w:val="center"/>
              <w:rPr>
                <w:sz w:val="20"/>
                <w:szCs w:val="20"/>
              </w:rPr>
            </w:pPr>
            <w:r w:rsidRPr="006A64EE">
              <w:rPr>
                <w:sz w:val="20"/>
                <w:szCs w:val="20"/>
              </w:rPr>
              <w:t>0,25***</w:t>
            </w:r>
          </w:p>
          <w:p w14:paraId="2C1E0574" w14:textId="4ADF2975" w:rsidR="00CC5560" w:rsidRPr="006A64EE" w:rsidRDefault="00CC5560" w:rsidP="004255F8">
            <w:pPr>
              <w:pStyle w:val="TableParagraph"/>
              <w:widowControl/>
              <w:suppressAutoHyphens/>
              <w:jc w:val="center"/>
              <w:rPr>
                <w:sz w:val="20"/>
                <w:szCs w:val="20"/>
              </w:rPr>
            </w:pPr>
            <w:r w:rsidRPr="006A64EE">
              <w:rPr>
                <w:sz w:val="20"/>
                <w:szCs w:val="20"/>
              </w:rPr>
              <w:t>(0,09; 0,70)</w:t>
            </w:r>
          </w:p>
        </w:tc>
        <w:tc>
          <w:tcPr>
            <w:tcW w:w="1807" w:type="dxa"/>
            <w:tcBorders>
              <w:top w:val="nil"/>
              <w:bottom w:val="nil"/>
            </w:tcBorders>
          </w:tcPr>
          <w:p w14:paraId="0D6E022D" w14:textId="77777777" w:rsidR="00093A5E" w:rsidRPr="006A64EE" w:rsidRDefault="00CC5560" w:rsidP="004255F8">
            <w:pPr>
              <w:pStyle w:val="TableParagraph"/>
              <w:widowControl/>
              <w:jc w:val="center"/>
              <w:rPr>
                <w:sz w:val="20"/>
                <w:szCs w:val="20"/>
              </w:rPr>
            </w:pPr>
            <w:r w:rsidRPr="006A64EE">
              <w:rPr>
                <w:sz w:val="20"/>
                <w:szCs w:val="20"/>
              </w:rPr>
              <w:t>0,20***</w:t>
            </w:r>
          </w:p>
          <w:p w14:paraId="16C4045E" w14:textId="176B60D1" w:rsidR="00CC5560" w:rsidRPr="006A64EE" w:rsidRDefault="00CC5560" w:rsidP="004255F8">
            <w:pPr>
              <w:pStyle w:val="TableParagraph"/>
              <w:widowControl/>
              <w:suppressAutoHyphens/>
              <w:jc w:val="center"/>
              <w:rPr>
                <w:sz w:val="20"/>
                <w:szCs w:val="20"/>
              </w:rPr>
            </w:pPr>
            <w:r w:rsidRPr="006A64EE">
              <w:rPr>
                <w:sz w:val="20"/>
                <w:szCs w:val="20"/>
              </w:rPr>
              <w:t>(0,05; 0,76)</w:t>
            </w:r>
          </w:p>
        </w:tc>
      </w:tr>
      <w:tr w:rsidR="00593482" w:rsidRPr="006A64EE" w14:paraId="6DD09C6C" w14:textId="77777777" w:rsidTr="00E303AE">
        <w:tc>
          <w:tcPr>
            <w:tcW w:w="3114" w:type="dxa"/>
            <w:tcBorders>
              <w:top w:val="nil"/>
            </w:tcBorders>
          </w:tcPr>
          <w:p w14:paraId="7A15A47C" w14:textId="3543444C" w:rsidR="00CC5560" w:rsidRPr="006A64EE" w:rsidRDefault="00CC5560" w:rsidP="006C080D">
            <w:pPr>
              <w:pStyle w:val="TableParagraph"/>
              <w:widowControl/>
              <w:rPr>
                <w:sz w:val="20"/>
                <w:szCs w:val="20"/>
              </w:rPr>
            </w:pPr>
            <w:r w:rsidRPr="006A64EE">
              <w:rPr>
                <w:sz w:val="20"/>
                <w:szCs w:val="20"/>
              </w:rPr>
              <w:t xml:space="preserve">Zeit bis zum ersten RZA-Schub¹ (Patienten mit Krankheitsbeginn; Tocilizumab-Gruppen </w:t>
            </w:r>
            <w:r w:rsidRPr="006A64EE">
              <w:rPr>
                <w:i/>
                <w:sz w:val="20"/>
                <w:szCs w:val="20"/>
              </w:rPr>
              <w:t xml:space="preserve">vs. </w:t>
            </w:r>
            <w:r w:rsidRPr="006A64EE">
              <w:rPr>
                <w:sz w:val="20"/>
                <w:szCs w:val="20"/>
              </w:rPr>
              <w:t>Placebo+52)</w:t>
            </w:r>
            <w:r w:rsidR="006C080D" w:rsidRPr="006A64EE">
              <w:rPr>
                <w:sz w:val="20"/>
                <w:szCs w:val="20"/>
              </w:rPr>
              <w:t xml:space="preserve"> </w:t>
            </w:r>
            <w:r w:rsidRPr="006A64EE">
              <w:rPr>
                <w:sz w:val="20"/>
                <w:szCs w:val="20"/>
              </w:rPr>
              <w:t>HR (99-%-KI)</w:t>
            </w:r>
          </w:p>
        </w:tc>
        <w:tc>
          <w:tcPr>
            <w:tcW w:w="1134" w:type="dxa"/>
            <w:tcBorders>
              <w:top w:val="nil"/>
            </w:tcBorders>
          </w:tcPr>
          <w:p w14:paraId="2B541731" w14:textId="2F239CC4"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134" w:type="dxa"/>
            <w:tcBorders>
              <w:top w:val="nil"/>
            </w:tcBorders>
          </w:tcPr>
          <w:p w14:paraId="540A8D3D" w14:textId="0441C799"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872" w:type="dxa"/>
            <w:tcBorders>
              <w:top w:val="nil"/>
            </w:tcBorders>
          </w:tcPr>
          <w:p w14:paraId="47FC167B" w14:textId="77777777" w:rsidR="00093A5E" w:rsidRPr="006A64EE" w:rsidRDefault="00CC5560" w:rsidP="004255F8">
            <w:pPr>
              <w:pStyle w:val="TableParagraph"/>
              <w:widowControl/>
              <w:jc w:val="center"/>
              <w:rPr>
                <w:sz w:val="20"/>
                <w:szCs w:val="20"/>
              </w:rPr>
            </w:pPr>
            <w:r w:rsidRPr="006A64EE">
              <w:rPr>
                <w:sz w:val="20"/>
                <w:szCs w:val="20"/>
              </w:rPr>
              <w:t>0,44</w:t>
            </w:r>
          </w:p>
          <w:p w14:paraId="33D94037" w14:textId="4EE87C79" w:rsidR="00CC5560" w:rsidRPr="006A64EE" w:rsidRDefault="00CC5560" w:rsidP="004255F8">
            <w:pPr>
              <w:pStyle w:val="TableParagraph"/>
              <w:widowControl/>
              <w:suppressAutoHyphens/>
              <w:jc w:val="center"/>
              <w:rPr>
                <w:sz w:val="20"/>
                <w:szCs w:val="20"/>
              </w:rPr>
            </w:pPr>
            <w:r w:rsidRPr="006A64EE">
              <w:rPr>
                <w:sz w:val="20"/>
                <w:szCs w:val="20"/>
              </w:rPr>
              <w:t>(0,14; 1,32)</w:t>
            </w:r>
          </w:p>
        </w:tc>
        <w:tc>
          <w:tcPr>
            <w:tcW w:w="1807" w:type="dxa"/>
            <w:tcBorders>
              <w:top w:val="nil"/>
            </w:tcBorders>
          </w:tcPr>
          <w:p w14:paraId="27955A9E" w14:textId="77777777" w:rsidR="00093A5E" w:rsidRPr="006A64EE" w:rsidRDefault="00CC5560" w:rsidP="004255F8">
            <w:pPr>
              <w:pStyle w:val="TableParagraph"/>
              <w:widowControl/>
              <w:jc w:val="center"/>
              <w:rPr>
                <w:sz w:val="20"/>
                <w:szCs w:val="20"/>
              </w:rPr>
            </w:pPr>
            <w:r w:rsidRPr="006A64EE">
              <w:rPr>
                <w:sz w:val="20"/>
                <w:szCs w:val="20"/>
              </w:rPr>
              <w:t>0,35</w:t>
            </w:r>
          </w:p>
          <w:p w14:paraId="30815CC4" w14:textId="2CF7556F" w:rsidR="00CC5560" w:rsidRPr="006A64EE" w:rsidRDefault="00CC5560" w:rsidP="004255F8">
            <w:pPr>
              <w:pStyle w:val="TableParagraph"/>
              <w:widowControl/>
              <w:suppressAutoHyphens/>
              <w:jc w:val="center"/>
              <w:rPr>
                <w:sz w:val="20"/>
                <w:szCs w:val="20"/>
              </w:rPr>
            </w:pPr>
            <w:r w:rsidRPr="006A64EE">
              <w:rPr>
                <w:sz w:val="20"/>
                <w:szCs w:val="20"/>
              </w:rPr>
              <w:t>(0,09; 1,42)</w:t>
            </w:r>
          </w:p>
        </w:tc>
      </w:tr>
      <w:tr w:rsidR="00593482" w:rsidRPr="006A64EE" w14:paraId="73FE9A74" w14:textId="77777777" w:rsidTr="00E303AE">
        <w:tc>
          <w:tcPr>
            <w:tcW w:w="3114" w:type="dxa"/>
          </w:tcPr>
          <w:p w14:paraId="5EDEA491" w14:textId="77777777" w:rsidR="00093A5E" w:rsidRPr="006A64EE" w:rsidRDefault="00CC5560" w:rsidP="004255F8">
            <w:pPr>
              <w:pStyle w:val="TableParagraph"/>
              <w:widowControl/>
              <w:rPr>
                <w:i/>
                <w:iCs/>
                <w:sz w:val="20"/>
                <w:szCs w:val="20"/>
              </w:rPr>
            </w:pPr>
            <w:r w:rsidRPr="006A64EE">
              <w:rPr>
                <w:i/>
                <w:iCs/>
                <w:sz w:val="20"/>
                <w:szCs w:val="20"/>
              </w:rPr>
              <w:t>Kumulative Glucocorticoid-Dosis (mg)</w:t>
            </w:r>
          </w:p>
          <w:p w14:paraId="52A4A971" w14:textId="46EB6059" w:rsidR="00093A5E" w:rsidRPr="006A64EE" w:rsidRDefault="00CC5560" w:rsidP="004255F8">
            <w:pPr>
              <w:pStyle w:val="TableParagraph"/>
              <w:widowControl/>
              <w:ind w:left="284"/>
              <w:rPr>
                <w:i/>
                <w:iCs/>
                <w:sz w:val="20"/>
                <w:szCs w:val="20"/>
              </w:rPr>
            </w:pPr>
            <w:r w:rsidRPr="006A64EE">
              <w:rPr>
                <w:i/>
                <w:iCs/>
                <w:sz w:val="20"/>
                <w:szCs w:val="20"/>
              </w:rPr>
              <w:t>Median in Woche</w:t>
            </w:r>
            <w:r w:rsidR="00E1420D">
              <w:rPr>
                <w:i/>
                <w:iCs/>
                <w:sz w:val="20"/>
                <w:szCs w:val="20"/>
              </w:rPr>
              <w:t> </w:t>
            </w:r>
            <w:r w:rsidRPr="006A64EE">
              <w:rPr>
                <w:i/>
                <w:iCs/>
                <w:sz w:val="20"/>
                <w:szCs w:val="20"/>
              </w:rPr>
              <w:t>52 (Tocilizumab-Gruppen vs. Placebo+26</w:t>
            </w:r>
            <w:r w:rsidRPr="006A64EE">
              <w:rPr>
                <w:i/>
                <w:iCs/>
                <w:sz w:val="20"/>
                <w:szCs w:val="20"/>
                <w:vertAlign w:val="superscript"/>
              </w:rPr>
              <w:t>2</w:t>
            </w:r>
            <w:r w:rsidRPr="006A64EE">
              <w:rPr>
                <w:i/>
                <w:iCs/>
                <w:sz w:val="20"/>
                <w:szCs w:val="20"/>
              </w:rPr>
              <w:t>)</w:t>
            </w:r>
          </w:p>
          <w:p w14:paraId="5450DEE4" w14:textId="6A206845" w:rsidR="00CC5560" w:rsidRPr="006A64EE" w:rsidRDefault="00CC5560" w:rsidP="004255F8">
            <w:pPr>
              <w:pStyle w:val="TableParagraph"/>
              <w:widowControl/>
              <w:suppressAutoHyphens/>
              <w:ind w:left="284"/>
              <w:rPr>
                <w:i/>
                <w:iCs/>
                <w:sz w:val="20"/>
                <w:szCs w:val="20"/>
              </w:rPr>
            </w:pPr>
            <w:r w:rsidRPr="006A64EE">
              <w:rPr>
                <w:i/>
                <w:iCs/>
                <w:sz w:val="20"/>
                <w:szCs w:val="20"/>
              </w:rPr>
              <w:t>Median in Woche</w:t>
            </w:r>
            <w:r w:rsidR="00E1420D">
              <w:rPr>
                <w:i/>
                <w:iCs/>
                <w:sz w:val="20"/>
                <w:szCs w:val="20"/>
              </w:rPr>
              <w:t> </w:t>
            </w:r>
            <w:r w:rsidRPr="006A64EE">
              <w:rPr>
                <w:i/>
                <w:iCs/>
                <w:sz w:val="20"/>
                <w:szCs w:val="20"/>
              </w:rPr>
              <w:t>52 (Tocilizumab-Gruppen vs. Placebo+52</w:t>
            </w:r>
            <w:r w:rsidRPr="006A64EE">
              <w:rPr>
                <w:i/>
                <w:iCs/>
                <w:sz w:val="20"/>
                <w:szCs w:val="20"/>
                <w:vertAlign w:val="superscript"/>
              </w:rPr>
              <w:t>2</w:t>
            </w:r>
            <w:r w:rsidRPr="006A64EE">
              <w:rPr>
                <w:i/>
                <w:iCs/>
                <w:sz w:val="20"/>
                <w:szCs w:val="20"/>
              </w:rPr>
              <w:t>)</w:t>
            </w:r>
          </w:p>
        </w:tc>
        <w:tc>
          <w:tcPr>
            <w:tcW w:w="1134" w:type="dxa"/>
          </w:tcPr>
          <w:p w14:paraId="12052A12" w14:textId="77777777" w:rsidR="00093A5E" w:rsidRPr="006A64EE" w:rsidRDefault="00093A5E" w:rsidP="004255F8">
            <w:pPr>
              <w:pStyle w:val="TableParagraph"/>
              <w:widowControl/>
              <w:jc w:val="center"/>
              <w:rPr>
                <w:i/>
                <w:sz w:val="20"/>
                <w:szCs w:val="20"/>
              </w:rPr>
            </w:pPr>
          </w:p>
          <w:p w14:paraId="07DBD078" w14:textId="784CFDC6" w:rsidR="00093A5E" w:rsidRPr="006A64EE" w:rsidRDefault="00CC5560" w:rsidP="004255F8">
            <w:pPr>
              <w:pStyle w:val="TableParagraph"/>
              <w:widowControl/>
              <w:jc w:val="center"/>
              <w:rPr>
                <w:sz w:val="20"/>
                <w:szCs w:val="20"/>
              </w:rPr>
            </w:pPr>
            <w:r w:rsidRPr="006A64EE">
              <w:rPr>
                <w:sz w:val="20"/>
                <w:szCs w:val="20"/>
              </w:rPr>
              <w:t>3</w:t>
            </w:r>
            <w:r w:rsidR="00E1420D">
              <w:rPr>
                <w:sz w:val="20"/>
                <w:szCs w:val="20"/>
              </w:rPr>
              <w:t> </w:t>
            </w:r>
            <w:r w:rsidRPr="006A64EE">
              <w:rPr>
                <w:sz w:val="20"/>
                <w:szCs w:val="20"/>
              </w:rPr>
              <w:t>296,00</w:t>
            </w:r>
          </w:p>
          <w:p w14:paraId="16D946DD" w14:textId="77777777" w:rsidR="00093A5E" w:rsidRPr="006A64EE" w:rsidRDefault="00093A5E" w:rsidP="004255F8">
            <w:pPr>
              <w:pStyle w:val="TableParagraph"/>
              <w:widowControl/>
              <w:jc w:val="center"/>
              <w:rPr>
                <w:i/>
                <w:sz w:val="20"/>
                <w:szCs w:val="20"/>
              </w:rPr>
            </w:pPr>
          </w:p>
          <w:p w14:paraId="3D83AD5D" w14:textId="53349871" w:rsidR="00CC5560" w:rsidRPr="006A64EE" w:rsidRDefault="00CC5560" w:rsidP="004255F8">
            <w:pPr>
              <w:pStyle w:val="TableParagraph"/>
              <w:widowControl/>
              <w:suppressAutoHyphens/>
              <w:jc w:val="center"/>
              <w:rPr>
                <w:sz w:val="20"/>
                <w:szCs w:val="20"/>
              </w:rPr>
            </w:pPr>
            <w:r w:rsidRPr="006A64EE">
              <w:rPr>
                <w:sz w:val="20"/>
                <w:szCs w:val="20"/>
              </w:rPr>
              <w:t>Entfällt.</w:t>
            </w:r>
          </w:p>
        </w:tc>
        <w:tc>
          <w:tcPr>
            <w:tcW w:w="1134" w:type="dxa"/>
          </w:tcPr>
          <w:p w14:paraId="288059C3" w14:textId="77777777" w:rsidR="00093A5E" w:rsidRPr="006A64EE" w:rsidRDefault="00093A5E" w:rsidP="004255F8">
            <w:pPr>
              <w:pStyle w:val="TableParagraph"/>
              <w:widowControl/>
              <w:suppressAutoHyphens/>
              <w:jc w:val="center"/>
              <w:rPr>
                <w:sz w:val="20"/>
                <w:szCs w:val="20"/>
              </w:rPr>
            </w:pPr>
          </w:p>
          <w:p w14:paraId="2C881C0A" w14:textId="77777777" w:rsidR="00093A5E" w:rsidRPr="006A64EE" w:rsidRDefault="00CC5560" w:rsidP="004255F8">
            <w:pPr>
              <w:pStyle w:val="TableParagraph"/>
              <w:widowControl/>
              <w:suppressAutoHyphens/>
              <w:jc w:val="center"/>
              <w:rPr>
                <w:sz w:val="20"/>
                <w:szCs w:val="20"/>
              </w:rPr>
            </w:pPr>
            <w:r w:rsidRPr="006A64EE">
              <w:rPr>
                <w:sz w:val="20"/>
                <w:szCs w:val="20"/>
              </w:rPr>
              <w:t xml:space="preserve">Entfällt. </w:t>
            </w:r>
          </w:p>
          <w:p w14:paraId="7CA888C4" w14:textId="77777777" w:rsidR="00093A5E" w:rsidRPr="006A64EE" w:rsidRDefault="00093A5E" w:rsidP="004255F8">
            <w:pPr>
              <w:pStyle w:val="TableParagraph"/>
              <w:widowControl/>
              <w:suppressAutoHyphens/>
              <w:jc w:val="center"/>
              <w:rPr>
                <w:sz w:val="20"/>
                <w:szCs w:val="20"/>
              </w:rPr>
            </w:pPr>
          </w:p>
          <w:p w14:paraId="7F9EAF22" w14:textId="3CB0858C" w:rsidR="00CC5560" w:rsidRPr="006A64EE" w:rsidRDefault="00CC5560" w:rsidP="004255F8">
            <w:pPr>
              <w:pStyle w:val="TableParagraph"/>
              <w:widowControl/>
              <w:suppressAutoHyphens/>
              <w:jc w:val="center"/>
              <w:rPr>
                <w:sz w:val="20"/>
                <w:szCs w:val="20"/>
              </w:rPr>
            </w:pPr>
            <w:r w:rsidRPr="006A64EE">
              <w:rPr>
                <w:sz w:val="20"/>
                <w:szCs w:val="20"/>
              </w:rPr>
              <w:t>3</w:t>
            </w:r>
            <w:r w:rsidR="00E1420D">
              <w:rPr>
                <w:sz w:val="20"/>
                <w:szCs w:val="20"/>
              </w:rPr>
              <w:t> </w:t>
            </w:r>
            <w:r w:rsidRPr="006A64EE">
              <w:rPr>
                <w:sz w:val="20"/>
                <w:szCs w:val="20"/>
              </w:rPr>
              <w:t>817,50</w:t>
            </w:r>
          </w:p>
        </w:tc>
        <w:tc>
          <w:tcPr>
            <w:tcW w:w="1872" w:type="dxa"/>
          </w:tcPr>
          <w:p w14:paraId="6893BEF0" w14:textId="77777777" w:rsidR="00093A5E" w:rsidRPr="006A64EE" w:rsidRDefault="00093A5E" w:rsidP="004255F8">
            <w:pPr>
              <w:pStyle w:val="TableParagraph"/>
              <w:widowControl/>
              <w:jc w:val="center"/>
              <w:rPr>
                <w:i/>
                <w:sz w:val="20"/>
                <w:szCs w:val="20"/>
              </w:rPr>
            </w:pPr>
          </w:p>
          <w:p w14:paraId="2D9CE7A1" w14:textId="5B0025FF" w:rsidR="00093A5E" w:rsidRPr="006A64EE" w:rsidRDefault="00CC5560" w:rsidP="004255F8">
            <w:pPr>
              <w:pStyle w:val="TableParagraph"/>
              <w:widowControl/>
              <w:jc w:val="center"/>
              <w:rPr>
                <w:sz w:val="20"/>
                <w:szCs w:val="20"/>
              </w:rPr>
            </w:pPr>
            <w:r w:rsidRPr="006A64EE">
              <w:rPr>
                <w:sz w:val="20"/>
                <w:szCs w:val="20"/>
              </w:rPr>
              <w:t>1</w:t>
            </w:r>
            <w:r w:rsidR="00E1420D">
              <w:rPr>
                <w:sz w:val="20"/>
                <w:szCs w:val="20"/>
              </w:rPr>
              <w:t> </w:t>
            </w:r>
            <w:r w:rsidRPr="006A64EE">
              <w:rPr>
                <w:sz w:val="20"/>
                <w:szCs w:val="20"/>
              </w:rPr>
              <w:t>862,00*</w:t>
            </w:r>
          </w:p>
          <w:p w14:paraId="776ECD7F" w14:textId="77777777" w:rsidR="00093A5E" w:rsidRPr="006A64EE" w:rsidRDefault="00093A5E" w:rsidP="004255F8">
            <w:pPr>
              <w:pStyle w:val="TableParagraph"/>
              <w:widowControl/>
              <w:jc w:val="center"/>
              <w:rPr>
                <w:i/>
                <w:sz w:val="20"/>
                <w:szCs w:val="20"/>
              </w:rPr>
            </w:pPr>
          </w:p>
          <w:p w14:paraId="05B1B034" w14:textId="2FBE952F" w:rsidR="00CC5560" w:rsidRPr="006A64EE" w:rsidRDefault="00CC5560" w:rsidP="004255F8">
            <w:pPr>
              <w:pStyle w:val="TableParagraph"/>
              <w:widowControl/>
              <w:suppressAutoHyphens/>
              <w:jc w:val="center"/>
              <w:rPr>
                <w:sz w:val="20"/>
                <w:szCs w:val="20"/>
              </w:rPr>
            </w:pPr>
            <w:r w:rsidRPr="006A64EE">
              <w:rPr>
                <w:sz w:val="20"/>
                <w:szCs w:val="20"/>
              </w:rPr>
              <w:t>1</w:t>
            </w:r>
            <w:r w:rsidR="00E1420D">
              <w:rPr>
                <w:sz w:val="20"/>
                <w:szCs w:val="20"/>
              </w:rPr>
              <w:t> </w:t>
            </w:r>
            <w:r w:rsidRPr="006A64EE">
              <w:rPr>
                <w:sz w:val="20"/>
                <w:szCs w:val="20"/>
              </w:rPr>
              <w:t>862,00*</w:t>
            </w:r>
          </w:p>
        </w:tc>
        <w:tc>
          <w:tcPr>
            <w:tcW w:w="1807" w:type="dxa"/>
          </w:tcPr>
          <w:p w14:paraId="70CE824F" w14:textId="77777777" w:rsidR="00093A5E" w:rsidRPr="006A64EE" w:rsidRDefault="00093A5E" w:rsidP="004255F8">
            <w:pPr>
              <w:pStyle w:val="TableParagraph"/>
              <w:widowControl/>
              <w:jc w:val="center"/>
              <w:rPr>
                <w:i/>
                <w:sz w:val="20"/>
                <w:szCs w:val="20"/>
              </w:rPr>
            </w:pPr>
          </w:p>
          <w:p w14:paraId="29F1B5D6" w14:textId="3D6DF4FB" w:rsidR="00093A5E" w:rsidRPr="006A64EE" w:rsidRDefault="00CC5560" w:rsidP="004255F8">
            <w:pPr>
              <w:pStyle w:val="TableParagraph"/>
              <w:widowControl/>
              <w:jc w:val="center"/>
              <w:rPr>
                <w:sz w:val="20"/>
                <w:szCs w:val="20"/>
              </w:rPr>
            </w:pPr>
            <w:r w:rsidRPr="006A64EE">
              <w:rPr>
                <w:sz w:val="20"/>
                <w:szCs w:val="20"/>
              </w:rPr>
              <w:t>1</w:t>
            </w:r>
            <w:r w:rsidR="00E1420D">
              <w:rPr>
                <w:sz w:val="20"/>
                <w:szCs w:val="20"/>
              </w:rPr>
              <w:t> </w:t>
            </w:r>
            <w:r w:rsidRPr="006A64EE">
              <w:rPr>
                <w:sz w:val="20"/>
                <w:szCs w:val="20"/>
              </w:rPr>
              <w:t>862,00*</w:t>
            </w:r>
          </w:p>
          <w:p w14:paraId="38D9ACCF" w14:textId="77777777" w:rsidR="00093A5E" w:rsidRPr="006A64EE" w:rsidRDefault="00093A5E" w:rsidP="004255F8">
            <w:pPr>
              <w:pStyle w:val="TableParagraph"/>
              <w:widowControl/>
              <w:jc w:val="center"/>
              <w:rPr>
                <w:i/>
                <w:sz w:val="20"/>
                <w:szCs w:val="20"/>
              </w:rPr>
            </w:pPr>
          </w:p>
          <w:p w14:paraId="0CC17051" w14:textId="3E5C10E8" w:rsidR="00CC5560" w:rsidRPr="006A64EE" w:rsidRDefault="00CC5560" w:rsidP="004255F8">
            <w:pPr>
              <w:pStyle w:val="TableParagraph"/>
              <w:widowControl/>
              <w:suppressAutoHyphens/>
              <w:jc w:val="center"/>
              <w:rPr>
                <w:sz w:val="20"/>
                <w:szCs w:val="20"/>
              </w:rPr>
            </w:pPr>
            <w:r w:rsidRPr="006A64EE">
              <w:rPr>
                <w:sz w:val="20"/>
                <w:szCs w:val="20"/>
              </w:rPr>
              <w:t>1</w:t>
            </w:r>
            <w:r w:rsidR="00E1420D">
              <w:rPr>
                <w:sz w:val="20"/>
                <w:szCs w:val="20"/>
              </w:rPr>
              <w:t> </w:t>
            </w:r>
            <w:r w:rsidRPr="006A64EE">
              <w:rPr>
                <w:sz w:val="20"/>
                <w:szCs w:val="20"/>
              </w:rPr>
              <w:t>862,00*</w:t>
            </w:r>
          </w:p>
        </w:tc>
      </w:tr>
      <w:tr w:rsidR="00593482" w:rsidRPr="006A64EE" w14:paraId="5DFA20AC" w14:textId="77777777" w:rsidTr="00E303AE">
        <w:tc>
          <w:tcPr>
            <w:tcW w:w="9061" w:type="dxa"/>
            <w:gridSpan w:val="5"/>
          </w:tcPr>
          <w:p w14:paraId="5D77F4E0" w14:textId="6AE7975D" w:rsidR="00CC5560" w:rsidRPr="006A64EE" w:rsidRDefault="00CC5560" w:rsidP="006C080D">
            <w:pPr>
              <w:pStyle w:val="TableParagraph"/>
              <w:keepNext/>
              <w:keepLines/>
              <w:widowControl/>
              <w:suppressAutoHyphens/>
              <w:rPr>
                <w:sz w:val="20"/>
                <w:szCs w:val="20"/>
              </w:rPr>
            </w:pPr>
            <w:r w:rsidRPr="006A64EE">
              <w:rPr>
                <w:b/>
                <w:sz w:val="20"/>
                <w:szCs w:val="20"/>
              </w:rPr>
              <w:t>Explorative Endpunkte</w:t>
            </w:r>
          </w:p>
        </w:tc>
      </w:tr>
      <w:tr w:rsidR="00593482" w:rsidRPr="006A64EE" w14:paraId="7C93E3F4" w14:textId="77777777" w:rsidTr="00E303AE">
        <w:tc>
          <w:tcPr>
            <w:tcW w:w="3114" w:type="dxa"/>
          </w:tcPr>
          <w:p w14:paraId="24254C89" w14:textId="6D01784F" w:rsidR="00093A5E" w:rsidRPr="006A64EE" w:rsidRDefault="00CC5560" w:rsidP="006C080D">
            <w:pPr>
              <w:pStyle w:val="TableParagraph"/>
              <w:keepNext/>
              <w:keepLines/>
              <w:widowControl/>
              <w:suppressAutoHyphens/>
              <w:rPr>
                <w:sz w:val="20"/>
                <w:szCs w:val="20"/>
              </w:rPr>
            </w:pPr>
            <w:r w:rsidRPr="006A64EE">
              <w:rPr>
                <w:sz w:val="20"/>
                <w:szCs w:val="20"/>
              </w:rPr>
              <w:t>Annualisierte Rezidivrate, Woche</w:t>
            </w:r>
            <w:r w:rsidR="00E1420D">
              <w:rPr>
                <w:sz w:val="20"/>
                <w:szCs w:val="20"/>
              </w:rPr>
              <w:t> </w:t>
            </w:r>
            <w:r w:rsidRPr="006A64EE">
              <w:rPr>
                <w:sz w:val="20"/>
                <w:szCs w:val="20"/>
              </w:rPr>
              <w:t>52</w:t>
            </w:r>
            <w:r w:rsidRPr="006A64EE">
              <w:rPr>
                <w:sz w:val="20"/>
                <w:szCs w:val="20"/>
                <w:vertAlign w:val="superscript"/>
              </w:rPr>
              <w:t>§</w:t>
            </w:r>
            <w:r w:rsidRPr="006A64EE">
              <w:rPr>
                <w:sz w:val="20"/>
                <w:szCs w:val="20"/>
              </w:rPr>
              <w:t xml:space="preserve"> </w:t>
            </w:r>
          </w:p>
          <w:p w14:paraId="2CCED609" w14:textId="11C7416A" w:rsidR="00CC5560" w:rsidRPr="006A64EE" w:rsidRDefault="00CC5560" w:rsidP="006C080D">
            <w:pPr>
              <w:pStyle w:val="TableParagraph"/>
              <w:keepNext/>
              <w:keepLines/>
              <w:widowControl/>
              <w:suppressAutoHyphens/>
              <w:ind w:left="284"/>
              <w:rPr>
                <w:sz w:val="20"/>
                <w:szCs w:val="20"/>
              </w:rPr>
            </w:pPr>
            <w:r w:rsidRPr="006A64EE">
              <w:rPr>
                <w:sz w:val="20"/>
                <w:szCs w:val="20"/>
              </w:rPr>
              <w:t>Mittel (SD)</w:t>
            </w:r>
          </w:p>
        </w:tc>
        <w:tc>
          <w:tcPr>
            <w:tcW w:w="1134" w:type="dxa"/>
          </w:tcPr>
          <w:p w14:paraId="1923C707" w14:textId="77777777" w:rsidR="00504080" w:rsidRPr="006A64EE" w:rsidRDefault="00504080" w:rsidP="006C080D">
            <w:pPr>
              <w:pStyle w:val="TableParagraph"/>
              <w:keepNext/>
              <w:keepLines/>
              <w:widowControl/>
              <w:jc w:val="center"/>
              <w:rPr>
                <w:sz w:val="20"/>
                <w:szCs w:val="20"/>
              </w:rPr>
            </w:pPr>
          </w:p>
          <w:p w14:paraId="077CAD74" w14:textId="4A2F718B" w:rsidR="00093A5E" w:rsidRPr="006A64EE" w:rsidRDefault="00CC5560" w:rsidP="006C080D">
            <w:pPr>
              <w:pStyle w:val="TableParagraph"/>
              <w:keepNext/>
              <w:keepLines/>
              <w:widowControl/>
              <w:jc w:val="center"/>
              <w:rPr>
                <w:sz w:val="20"/>
                <w:szCs w:val="20"/>
              </w:rPr>
            </w:pPr>
            <w:r w:rsidRPr="006A64EE">
              <w:rPr>
                <w:sz w:val="20"/>
                <w:szCs w:val="20"/>
              </w:rPr>
              <w:t>1,74</w:t>
            </w:r>
          </w:p>
          <w:p w14:paraId="15F5E772" w14:textId="45F5F31E" w:rsidR="00CC5560" w:rsidRPr="006A64EE" w:rsidRDefault="00CC5560" w:rsidP="006C080D">
            <w:pPr>
              <w:pStyle w:val="TableParagraph"/>
              <w:keepNext/>
              <w:keepLines/>
              <w:widowControl/>
              <w:suppressAutoHyphens/>
              <w:jc w:val="center"/>
              <w:rPr>
                <w:sz w:val="20"/>
                <w:szCs w:val="20"/>
              </w:rPr>
            </w:pPr>
            <w:r w:rsidRPr="006A64EE">
              <w:rPr>
                <w:sz w:val="20"/>
                <w:szCs w:val="20"/>
              </w:rPr>
              <w:t>(2,18)</w:t>
            </w:r>
          </w:p>
        </w:tc>
        <w:tc>
          <w:tcPr>
            <w:tcW w:w="1134" w:type="dxa"/>
          </w:tcPr>
          <w:p w14:paraId="1A43A858" w14:textId="77777777" w:rsidR="00504080" w:rsidRPr="006A64EE" w:rsidRDefault="00504080" w:rsidP="006C080D">
            <w:pPr>
              <w:pStyle w:val="TableParagraph"/>
              <w:keepNext/>
              <w:keepLines/>
              <w:widowControl/>
              <w:jc w:val="center"/>
              <w:rPr>
                <w:sz w:val="20"/>
                <w:szCs w:val="20"/>
              </w:rPr>
            </w:pPr>
          </w:p>
          <w:p w14:paraId="6BF53342" w14:textId="0C970FBE" w:rsidR="00093A5E" w:rsidRPr="006A64EE" w:rsidRDefault="00CC5560" w:rsidP="006C080D">
            <w:pPr>
              <w:pStyle w:val="TableParagraph"/>
              <w:keepNext/>
              <w:keepLines/>
              <w:widowControl/>
              <w:jc w:val="center"/>
              <w:rPr>
                <w:sz w:val="20"/>
                <w:szCs w:val="20"/>
              </w:rPr>
            </w:pPr>
            <w:r w:rsidRPr="006A64EE">
              <w:rPr>
                <w:sz w:val="20"/>
                <w:szCs w:val="20"/>
              </w:rPr>
              <w:t>1,30</w:t>
            </w:r>
          </w:p>
          <w:p w14:paraId="15BCC188" w14:textId="5516EFAA" w:rsidR="00CC5560" w:rsidRPr="006A64EE" w:rsidRDefault="00CC5560" w:rsidP="006C080D">
            <w:pPr>
              <w:pStyle w:val="TableParagraph"/>
              <w:keepNext/>
              <w:keepLines/>
              <w:widowControl/>
              <w:suppressAutoHyphens/>
              <w:jc w:val="center"/>
              <w:rPr>
                <w:sz w:val="20"/>
                <w:szCs w:val="20"/>
              </w:rPr>
            </w:pPr>
            <w:r w:rsidRPr="006A64EE">
              <w:rPr>
                <w:sz w:val="20"/>
                <w:szCs w:val="20"/>
              </w:rPr>
              <w:t>(1,84)</w:t>
            </w:r>
          </w:p>
        </w:tc>
        <w:tc>
          <w:tcPr>
            <w:tcW w:w="1872" w:type="dxa"/>
          </w:tcPr>
          <w:p w14:paraId="36A31779" w14:textId="77777777" w:rsidR="00504080" w:rsidRPr="006A64EE" w:rsidRDefault="00504080" w:rsidP="006C080D">
            <w:pPr>
              <w:pStyle w:val="TableParagraph"/>
              <w:keepNext/>
              <w:keepLines/>
              <w:widowControl/>
              <w:jc w:val="center"/>
              <w:rPr>
                <w:sz w:val="20"/>
                <w:szCs w:val="20"/>
              </w:rPr>
            </w:pPr>
          </w:p>
          <w:p w14:paraId="2C71B79A" w14:textId="309DF3EA" w:rsidR="00093A5E" w:rsidRPr="006A64EE" w:rsidRDefault="00CC5560" w:rsidP="006C080D">
            <w:pPr>
              <w:pStyle w:val="TableParagraph"/>
              <w:keepNext/>
              <w:keepLines/>
              <w:widowControl/>
              <w:jc w:val="center"/>
              <w:rPr>
                <w:sz w:val="20"/>
                <w:szCs w:val="20"/>
              </w:rPr>
            </w:pPr>
            <w:r w:rsidRPr="006A64EE">
              <w:rPr>
                <w:sz w:val="20"/>
                <w:szCs w:val="20"/>
              </w:rPr>
              <w:t>0,41</w:t>
            </w:r>
          </w:p>
          <w:p w14:paraId="05592BF7" w14:textId="38BC5766" w:rsidR="00CC5560" w:rsidRPr="006A64EE" w:rsidRDefault="00CC5560" w:rsidP="006C080D">
            <w:pPr>
              <w:pStyle w:val="TableParagraph"/>
              <w:keepNext/>
              <w:keepLines/>
              <w:widowControl/>
              <w:suppressAutoHyphens/>
              <w:jc w:val="center"/>
              <w:rPr>
                <w:sz w:val="20"/>
                <w:szCs w:val="20"/>
              </w:rPr>
            </w:pPr>
            <w:r w:rsidRPr="006A64EE">
              <w:rPr>
                <w:sz w:val="20"/>
                <w:szCs w:val="20"/>
              </w:rPr>
              <w:t>(0,78)</w:t>
            </w:r>
          </w:p>
        </w:tc>
        <w:tc>
          <w:tcPr>
            <w:tcW w:w="1807" w:type="dxa"/>
          </w:tcPr>
          <w:p w14:paraId="04D94BBE" w14:textId="77777777" w:rsidR="00504080" w:rsidRPr="006A64EE" w:rsidRDefault="00504080" w:rsidP="006C080D">
            <w:pPr>
              <w:pStyle w:val="TableParagraph"/>
              <w:keepNext/>
              <w:keepLines/>
              <w:widowControl/>
              <w:jc w:val="center"/>
              <w:rPr>
                <w:sz w:val="20"/>
                <w:szCs w:val="20"/>
              </w:rPr>
            </w:pPr>
          </w:p>
          <w:p w14:paraId="2C14F7DC" w14:textId="29C85107" w:rsidR="00093A5E" w:rsidRPr="006A64EE" w:rsidRDefault="00CC5560" w:rsidP="006C080D">
            <w:pPr>
              <w:pStyle w:val="TableParagraph"/>
              <w:keepNext/>
              <w:keepLines/>
              <w:widowControl/>
              <w:jc w:val="center"/>
              <w:rPr>
                <w:sz w:val="20"/>
                <w:szCs w:val="20"/>
              </w:rPr>
            </w:pPr>
            <w:r w:rsidRPr="006A64EE">
              <w:rPr>
                <w:sz w:val="20"/>
                <w:szCs w:val="20"/>
              </w:rPr>
              <w:t>0,67</w:t>
            </w:r>
          </w:p>
          <w:p w14:paraId="48F866FD" w14:textId="219D56BB" w:rsidR="00CC5560" w:rsidRPr="006A64EE" w:rsidRDefault="00CC5560" w:rsidP="006C080D">
            <w:pPr>
              <w:pStyle w:val="TableParagraph"/>
              <w:keepNext/>
              <w:keepLines/>
              <w:widowControl/>
              <w:suppressAutoHyphens/>
              <w:jc w:val="center"/>
              <w:rPr>
                <w:sz w:val="20"/>
                <w:szCs w:val="20"/>
              </w:rPr>
            </w:pPr>
            <w:r w:rsidRPr="006A64EE">
              <w:rPr>
                <w:sz w:val="20"/>
                <w:szCs w:val="20"/>
              </w:rPr>
              <w:t>(1,10)</w:t>
            </w:r>
          </w:p>
        </w:tc>
      </w:tr>
    </w:tbl>
    <w:p w14:paraId="26F0CEA9" w14:textId="53CA277E" w:rsidR="00093A5E" w:rsidRPr="006A64EE" w:rsidRDefault="009C2544" w:rsidP="006C080D">
      <w:pPr>
        <w:keepNext/>
        <w:keepLines/>
        <w:widowControl/>
        <w:rPr>
          <w:sz w:val="18"/>
          <w:szCs w:val="18"/>
        </w:rPr>
      </w:pPr>
      <w:r w:rsidRPr="006A64EE">
        <w:rPr>
          <w:sz w:val="18"/>
          <w:szCs w:val="18"/>
        </w:rPr>
        <w:t>* p</w:t>
      </w:r>
      <w:r w:rsidR="00E1420D">
        <w:rPr>
          <w:sz w:val="18"/>
          <w:szCs w:val="18"/>
        </w:rPr>
        <w:t> </w:t>
      </w:r>
      <w:r w:rsidRPr="006A64EE">
        <w:rPr>
          <w:sz w:val="18"/>
          <w:szCs w:val="18"/>
        </w:rPr>
        <w:t>&lt;</w:t>
      </w:r>
      <w:r w:rsidR="00E1420D">
        <w:rPr>
          <w:sz w:val="18"/>
          <w:szCs w:val="18"/>
        </w:rPr>
        <w:t> </w:t>
      </w:r>
      <w:r w:rsidRPr="006A64EE">
        <w:rPr>
          <w:sz w:val="18"/>
          <w:szCs w:val="18"/>
        </w:rPr>
        <w:t>0,0001</w:t>
      </w:r>
    </w:p>
    <w:p w14:paraId="2E6296A3" w14:textId="4F2FCCD7" w:rsidR="00093A5E" w:rsidRPr="006A64EE" w:rsidRDefault="009C2544" w:rsidP="006C080D">
      <w:pPr>
        <w:keepNext/>
        <w:keepLines/>
        <w:widowControl/>
        <w:rPr>
          <w:sz w:val="18"/>
          <w:szCs w:val="18"/>
        </w:rPr>
      </w:pPr>
      <w:r w:rsidRPr="006A64EE">
        <w:rPr>
          <w:sz w:val="18"/>
          <w:szCs w:val="18"/>
        </w:rPr>
        <w:t>** p</w:t>
      </w:r>
      <w:r w:rsidR="00E1420D">
        <w:rPr>
          <w:sz w:val="18"/>
          <w:szCs w:val="18"/>
        </w:rPr>
        <w:t> </w:t>
      </w:r>
      <w:r w:rsidRPr="006A64EE">
        <w:rPr>
          <w:sz w:val="18"/>
          <w:szCs w:val="18"/>
        </w:rPr>
        <w:t>&lt;</w:t>
      </w:r>
      <w:r w:rsidR="00E1420D">
        <w:rPr>
          <w:sz w:val="18"/>
          <w:szCs w:val="18"/>
        </w:rPr>
        <w:t> </w:t>
      </w:r>
      <w:r w:rsidRPr="006A64EE">
        <w:rPr>
          <w:sz w:val="18"/>
          <w:szCs w:val="18"/>
        </w:rPr>
        <w:t>0,005 (Signifikanzschwellenwert für primäre und wichtigste sekundäre Prüfungen auf Überlegenheit)</w:t>
      </w:r>
    </w:p>
    <w:p w14:paraId="1AF0E24D" w14:textId="77D24146" w:rsidR="00093A5E" w:rsidRPr="006A64EE" w:rsidRDefault="009C2544" w:rsidP="006C080D">
      <w:pPr>
        <w:keepNext/>
        <w:keepLines/>
        <w:widowControl/>
        <w:rPr>
          <w:sz w:val="18"/>
          <w:szCs w:val="18"/>
        </w:rPr>
      </w:pPr>
      <w:r w:rsidRPr="006A64EE">
        <w:rPr>
          <w:sz w:val="18"/>
          <w:szCs w:val="18"/>
        </w:rPr>
        <w:t xml:space="preserve">*** Beschreibender </w:t>
      </w:r>
      <w:r w:rsidRPr="006A64EE">
        <w:rPr>
          <w:i/>
          <w:sz w:val="18"/>
          <w:szCs w:val="18"/>
        </w:rPr>
        <w:t>p</w:t>
      </w:r>
      <w:r w:rsidRPr="006A64EE">
        <w:rPr>
          <w:sz w:val="18"/>
          <w:szCs w:val="18"/>
        </w:rPr>
        <w:t>-Wert &lt;</w:t>
      </w:r>
      <w:r w:rsidR="00E1420D">
        <w:rPr>
          <w:sz w:val="18"/>
          <w:szCs w:val="18"/>
        </w:rPr>
        <w:t> </w:t>
      </w:r>
      <w:r w:rsidRPr="006A64EE">
        <w:rPr>
          <w:sz w:val="18"/>
          <w:szCs w:val="18"/>
        </w:rPr>
        <w:t>0,005</w:t>
      </w:r>
    </w:p>
    <w:p w14:paraId="27F5A873" w14:textId="581F0D38" w:rsidR="00093A5E" w:rsidRPr="006A64EE" w:rsidRDefault="009C2544" w:rsidP="006C080D">
      <w:pPr>
        <w:keepNext/>
        <w:keepLines/>
        <w:widowControl/>
        <w:rPr>
          <w:sz w:val="18"/>
          <w:szCs w:val="18"/>
        </w:rPr>
      </w:pPr>
      <w:r w:rsidRPr="006A64EE">
        <w:rPr>
          <w:sz w:val="18"/>
          <w:szCs w:val="18"/>
        </w:rPr>
        <w:t xml:space="preserve">**** </w:t>
      </w:r>
      <w:r w:rsidRPr="006A64EE">
        <w:rPr>
          <w:b/>
          <w:sz w:val="18"/>
          <w:szCs w:val="18"/>
        </w:rPr>
        <w:t>Schub: Wiederauftreten von RZA-Anzeichen oder -Symptomen und/oder ESR ≥</w:t>
      </w:r>
      <w:r w:rsidR="00E1420D">
        <w:rPr>
          <w:b/>
          <w:sz w:val="18"/>
          <w:szCs w:val="18"/>
        </w:rPr>
        <w:t> </w:t>
      </w:r>
      <w:r w:rsidRPr="006A64EE">
        <w:rPr>
          <w:b/>
          <w:sz w:val="18"/>
          <w:szCs w:val="18"/>
        </w:rPr>
        <w:t>30</w:t>
      </w:r>
      <w:r w:rsidR="00E1420D">
        <w:rPr>
          <w:b/>
          <w:sz w:val="18"/>
          <w:szCs w:val="18"/>
        </w:rPr>
        <w:t> </w:t>
      </w:r>
      <w:r w:rsidRPr="006A64EE">
        <w:rPr>
          <w:b/>
          <w:sz w:val="18"/>
          <w:szCs w:val="18"/>
        </w:rPr>
        <w:t xml:space="preserve">mm/h </w:t>
      </w:r>
      <w:r w:rsidRPr="006A64EE">
        <w:rPr>
          <w:sz w:val="18"/>
          <w:szCs w:val="18"/>
        </w:rPr>
        <w:t>– Erhöhung der Prednison-Dosis nötig</w:t>
      </w:r>
    </w:p>
    <w:p w14:paraId="0107C8DA" w14:textId="77777777" w:rsidR="00093A5E" w:rsidRPr="006A64EE" w:rsidRDefault="009C2544" w:rsidP="004255F8">
      <w:pPr>
        <w:widowControl/>
        <w:rPr>
          <w:b/>
          <w:sz w:val="18"/>
          <w:szCs w:val="18"/>
        </w:rPr>
      </w:pPr>
      <w:r w:rsidRPr="006A64EE">
        <w:rPr>
          <w:b/>
          <w:sz w:val="18"/>
          <w:szCs w:val="18"/>
        </w:rPr>
        <w:t>Remission: Abwesenheit von Schüben und Normalisierung des CRP</w:t>
      </w:r>
    </w:p>
    <w:p w14:paraId="7A3D5E78" w14:textId="6A8C05A3" w:rsidR="00093A5E" w:rsidRPr="006A64EE" w:rsidRDefault="009C2544" w:rsidP="004255F8">
      <w:pPr>
        <w:widowControl/>
        <w:rPr>
          <w:sz w:val="18"/>
          <w:szCs w:val="18"/>
        </w:rPr>
      </w:pPr>
      <w:r w:rsidRPr="006A64EE">
        <w:rPr>
          <w:b/>
          <w:sz w:val="18"/>
          <w:szCs w:val="18"/>
        </w:rPr>
        <w:t>Anhaltende Remission: Remission von Woche</w:t>
      </w:r>
      <w:r w:rsidR="00E1420D">
        <w:rPr>
          <w:b/>
          <w:sz w:val="18"/>
          <w:szCs w:val="18"/>
        </w:rPr>
        <w:t> </w:t>
      </w:r>
      <w:r w:rsidRPr="006A64EE">
        <w:rPr>
          <w:b/>
          <w:sz w:val="18"/>
          <w:szCs w:val="18"/>
        </w:rPr>
        <w:t>12 bis Woche</w:t>
      </w:r>
      <w:r w:rsidR="00E1420D">
        <w:rPr>
          <w:b/>
          <w:sz w:val="18"/>
          <w:szCs w:val="18"/>
        </w:rPr>
        <w:t> </w:t>
      </w:r>
      <w:r w:rsidRPr="006A64EE">
        <w:rPr>
          <w:b/>
          <w:sz w:val="18"/>
          <w:szCs w:val="18"/>
        </w:rPr>
        <w:t xml:space="preserve">52 </w:t>
      </w:r>
      <w:r w:rsidRPr="006A64EE">
        <w:rPr>
          <w:sz w:val="18"/>
          <w:szCs w:val="18"/>
        </w:rPr>
        <w:t>– Patienten müssen die im Protokoll definierte Prednison-Ausschleichtherapie einhalten</w:t>
      </w:r>
    </w:p>
    <w:p w14:paraId="764B1319" w14:textId="77777777" w:rsidR="00093A5E" w:rsidRPr="006A64EE" w:rsidRDefault="009C2544" w:rsidP="004255F8">
      <w:pPr>
        <w:widowControl/>
        <w:rPr>
          <w:sz w:val="18"/>
          <w:szCs w:val="18"/>
        </w:rPr>
      </w:pPr>
      <w:r w:rsidRPr="006A64EE">
        <w:rPr>
          <w:sz w:val="18"/>
          <w:szCs w:val="18"/>
        </w:rPr>
        <w:t>¹ Analyse der Zeit (in Tagen) zwischen klinischer Remission und erstem Krankheitsschub</w:t>
      </w:r>
    </w:p>
    <w:p w14:paraId="65A005C9" w14:textId="77777777" w:rsidR="00093A5E" w:rsidRPr="006A64EE" w:rsidRDefault="009C2544" w:rsidP="004255F8">
      <w:pPr>
        <w:widowControl/>
        <w:rPr>
          <w:sz w:val="18"/>
          <w:szCs w:val="18"/>
        </w:rPr>
      </w:pPr>
      <w:r w:rsidRPr="006A64EE">
        <w:rPr>
          <w:sz w:val="18"/>
          <w:szCs w:val="18"/>
          <w:vertAlign w:val="superscript"/>
        </w:rPr>
        <w:lastRenderedPageBreak/>
        <w:t>2</w:t>
      </w:r>
      <w:r w:rsidRPr="006A64EE">
        <w:rPr>
          <w:sz w:val="18"/>
          <w:szCs w:val="18"/>
        </w:rPr>
        <w:t xml:space="preserve"> p-Werte werden mit einer Van-Elteren-Analyse für nicht parametrische Daten bestimmt</w:t>
      </w:r>
    </w:p>
    <w:p w14:paraId="4160F3B2" w14:textId="77777777" w:rsidR="00815462" w:rsidRDefault="009C2544" w:rsidP="004255F8">
      <w:pPr>
        <w:widowControl/>
        <w:rPr>
          <w:sz w:val="18"/>
          <w:szCs w:val="18"/>
        </w:rPr>
      </w:pPr>
      <w:r w:rsidRPr="006A64EE">
        <w:rPr>
          <w:sz w:val="18"/>
          <w:szCs w:val="18"/>
          <w:vertAlign w:val="superscript"/>
        </w:rPr>
        <w:t>§</w:t>
      </w:r>
      <w:r w:rsidRPr="006A64EE">
        <w:rPr>
          <w:sz w:val="18"/>
          <w:szCs w:val="18"/>
        </w:rPr>
        <w:t xml:space="preserve"> Es wurden keine statistischen Analysen durchgeführt </w:t>
      </w:r>
    </w:p>
    <w:p w14:paraId="0944312B" w14:textId="69CB9005" w:rsidR="00093A5E" w:rsidRPr="006A64EE" w:rsidRDefault="009C2544" w:rsidP="004255F8">
      <w:pPr>
        <w:widowControl/>
        <w:rPr>
          <w:sz w:val="18"/>
          <w:szCs w:val="18"/>
        </w:rPr>
      </w:pPr>
      <w:r w:rsidRPr="006A64EE">
        <w:rPr>
          <w:sz w:val="18"/>
          <w:szCs w:val="18"/>
        </w:rPr>
        <w:t>HR = Hazard Ratio</w:t>
      </w:r>
    </w:p>
    <w:p w14:paraId="7603DD35" w14:textId="77777777" w:rsidR="00093A5E" w:rsidRPr="006A64EE" w:rsidRDefault="009C2544" w:rsidP="004255F8">
      <w:pPr>
        <w:widowControl/>
        <w:rPr>
          <w:sz w:val="18"/>
          <w:szCs w:val="18"/>
        </w:rPr>
      </w:pPr>
      <w:r w:rsidRPr="006A64EE">
        <w:rPr>
          <w:sz w:val="18"/>
          <w:szCs w:val="18"/>
        </w:rPr>
        <w:t>KI = Konfidenzintervall</w:t>
      </w:r>
    </w:p>
    <w:p w14:paraId="0D4A3B95" w14:textId="77777777" w:rsidR="00093A5E" w:rsidRPr="006A64EE" w:rsidRDefault="00093A5E" w:rsidP="004255F8">
      <w:pPr>
        <w:pStyle w:val="a3"/>
        <w:widowControl/>
      </w:pPr>
    </w:p>
    <w:p w14:paraId="46574D4F" w14:textId="03F75054" w:rsidR="00093A5E" w:rsidRPr="006A64EE" w:rsidRDefault="009C2544" w:rsidP="00E303AE">
      <w:pPr>
        <w:widowControl/>
      </w:pPr>
      <w:r w:rsidRPr="006A64EE">
        <w:rPr>
          <w:i/>
        </w:rPr>
        <w:t>Behandlungsergebnisse bezüglich der Lebensqualität</w:t>
      </w:r>
      <w:r w:rsidR="00815462">
        <w:rPr>
          <w:i/>
        </w:rPr>
        <w:br/>
      </w:r>
      <w:r w:rsidR="00815462">
        <w:rPr>
          <w:i/>
        </w:rPr>
        <w:br/>
      </w:r>
      <w:r w:rsidRPr="006A64EE">
        <w:t xml:space="preserve">In Studie WA28119 wurden die Ergebnisse des Fragebogens SF-36 in körperliche und mentale Gesamtwerte (physical/mental component summary scores, PCS bzw. MCS) unterteilt. Die mittlere Veränderung des PCS von Studienbeginn bis Woche 52 war in den Gruppen mit </w:t>
      </w:r>
      <w:r w:rsidR="00332B53" w:rsidRPr="00890245">
        <w:t>Tocilizumab</w:t>
      </w:r>
      <w:r w:rsidRPr="006A64EE">
        <w:t xml:space="preserve"> wöchentlich und alle 2 Wochen höher (stärkere Verbesserung) [4,10 bzw. 2,76] als in den beiden Placebo-Gruppen [Placebo plus 26 Wochen: -0,28, Placebo plus 52 Wochen: -1,49]. Allerdings zeigte nur der Vergleich zwischen der Gruppe mit </w:t>
      </w:r>
      <w:r w:rsidR="00332B53" w:rsidRPr="00890245">
        <w:t>Tocilizumab</w:t>
      </w:r>
      <w:r w:rsidRPr="006A64EE">
        <w:t xml:space="preserve"> wöchentlich plus 26 Wochen Prednison-Ausschleichtherapie und der Gruppe mit Placebo plus 52 Wochen Prednison-Ausschleichtherapie (5,59; 99-%-KI: 8,6; 10,32) einen statistisch signifikanten Unterschied (</w:t>
      </w:r>
      <w:r w:rsidRPr="006A64EE">
        <w:rPr>
          <w:i/>
        </w:rPr>
        <w:t xml:space="preserve">p </w:t>
      </w:r>
      <w:r w:rsidRPr="006A64EE">
        <w:t xml:space="preserve">= 0,0024). Die mittlere Veränderung des MCS von Studienbeginn bis Woche 52 war in den Gruppen mit </w:t>
      </w:r>
      <w:r w:rsidR="00332B53" w:rsidRPr="00890245">
        <w:t>Tocilizumab</w:t>
      </w:r>
      <w:r w:rsidRPr="006A64EE">
        <w:t xml:space="preserve"> wöchentlich und alle 2 Wochen höher [7,28 bzw. 6,12] als in der Gruppe mit Placebo plus 52 Wochen Prednison-Ausschleichtherapie [2,84] (allerdings waren die Unterschiede nicht statistisch signifikant [</w:t>
      </w:r>
      <w:r w:rsidRPr="006A64EE">
        <w:rPr>
          <w:i/>
        </w:rPr>
        <w:t xml:space="preserve">p </w:t>
      </w:r>
      <w:r w:rsidRPr="006A64EE">
        <w:t xml:space="preserve">= 0,0252 für wöchentlich, </w:t>
      </w:r>
      <w:r w:rsidRPr="006A64EE">
        <w:rPr>
          <w:i/>
        </w:rPr>
        <w:t xml:space="preserve">p </w:t>
      </w:r>
      <w:r w:rsidRPr="006A64EE">
        <w:t>= 0,1468 für alle 2 Wochen]) und ähnlich hoch wie in der Gruppe mit</w:t>
      </w:r>
      <w:r w:rsidR="00401C76" w:rsidRPr="006A64EE">
        <w:t xml:space="preserve"> </w:t>
      </w:r>
      <w:r w:rsidR="007D680A" w:rsidRPr="006A64EE">
        <w:t>Placebo plus 26 Wochen Prednison-Ausschleichtherapie [6,67].</w:t>
      </w:r>
    </w:p>
    <w:p w14:paraId="1E3DA01A" w14:textId="77777777" w:rsidR="00093A5E" w:rsidRPr="006A64EE" w:rsidRDefault="00093A5E" w:rsidP="004255F8">
      <w:pPr>
        <w:pStyle w:val="a3"/>
        <w:widowControl/>
      </w:pPr>
    </w:p>
    <w:p w14:paraId="03B76E01" w14:textId="18C13C79" w:rsidR="00093A5E" w:rsidRPr="006A64EE" w:rsidRDefault="009C2544" w:rsidP="004255F8">
      <w:pPr>
        <w:pStyle w:val="a3"/>
        <w:widowControl/>
      </w:pPr>
      <w:r w:rsidRPr="006A64EE">
        <w:t xml:space="preserve">Die generelle Beurteilung der Krankheitsaktivität durch die Patienten wurde mit einer visuellen Analogskala (VAS) von 0 bis 100 mm erfasst. Die mittlere Veränderung der generellen Patienten-VAS von Studienbeginn bis Woche 52 war niedriger (stärkere Verbesserung) in den Gruppen mit </w:t>
      </w:r>
      <w:r w:rsidR="00332B53" w:rsidRPr="00890245">
        <w:t>Tocilizumab</w:t>
      </w:r>
      <w:r w:rsidRPr="006A64EE">
        <w:t xml:space="preserve"> wöchentlich und alle 2 Wochen [-19,0 bzw. -25,3] als in beiden Placebo-Gruppen [Placebo plus 26 Wochen: -3,4, Placebo plus 52 Wochen: -7,2], aber nur die Gruppe mit </w:t>
      </w:r>
      <w:r w:rsidR="00332B53" w:rsidRPr="00890245">
        <w:t>Tocilizumab</w:t>
      </w:r>
      <w:r w:rsidRPr="006A64EE">
        <w:t xml:space="preserve"> alle 2 Wochen plus 26 Wochen Prednison-Ausschleichtherapie zeigte einen statistisch signifikanten Unterschied im Vergleich zu den Placebo-Gruppen [</w:t>
      </w:r>
      <w:r w:rsidRPr="006A64EE">
        <w:rPr>
          <w:i/>
        </w:rPr>
        <w:t xml:space="preserve">p </w:t>
      </w:r>
      <w:r w:rsidRPr="006A64EE">
        <w:t xml:space="preserve">= 0,0059 für Placebo plus 26 Wochen Prednison-Ausschleichtherapie und </w:t>
      </w:r>
      <w:r w:rsidRPr="006A64EE">
        <w:rPr>
          <w:i/>
        </w:rPr>
        <w:t xml:space="preserve">p </w:t>
      </w:r>
      <w:r w:rsidRPr="006A64EE">
        <w:t>= 0,0081 für Placebo plus 52 Wochen Prednison-Ausschleichtherapie].</w:t>
      </w:r>
    </w:p>
    <w:p w14:paraId="2F03E1C0" w14:textId="77777777" w:rsidR="00093A5E" w:rsidRPr="006A64EE" w:rsidRDefault="00093A5E" w:rsidP="004255F8">
      <w:pPr>
        <w:pStyle w:val="a3"/>
        <w:widowControl/>
      </w:pPr>
    </w:p>
    <w:p w14:paraId="13236929" w14:textId="6651CCBA" w:rsidR="00093A5E" w:rsidRPr="006A64EE" w:rsidRDefault="009C2544" w:rsidP="00F43754">
      <w:pPr>
        <w:pStyle w:val="a3"/>
        <w:widowControl/>
      </w:pPr>
      <w:r w:rsidRPr="006A64EE">
        <w:t xml:space="preserve">Für alle Gruppen wurden die Änderungen der FACIT-Fatigue-Werte von Studienbeginn bis Woche 52 berechnet. Es ergaben sich folgende mittlere [SD] Änderungen: </w:t>
      </w:r>
      <w:r w:rsidR="00332B53" w:rsidRPr="00890245">
        <w:t>Tocilizumab</w:t>
      </w:r>
      <w:r w:rsidRPr="006A64EE">
        <w:t xml:space="preserve"> wöchentlich plus</w:t>
      </w:r>
      <w:r w:rsidR="00F43754">
        <w:t xml:space="preserve"> </w:t>
      </w:r>
      <w:r w:rsidRPr="006A64EE">
        <w:t>26</w:t>
      </w:r>
      <w:r w:rsidR="00BB0BD8">
        <w:t> </w:t>
      </w:r>
      <w:r w:rsidRPr="006A64EE">
        <w:t xml:space="preserve">Wochen 5,61 [10,115], </w:t>
      </w:r>
      <w:r w:rsidR="00332B53" w:rsidRPr="00890245">
        <w:t>Tocilizumab</w:t>
      </w:r>
      <w:r w:rsidRPr="006A64EE">
        <w:t xml:space="preserve"> alle 2 Wochen plus 26 Wochen 1,81 [8,836], Placebo plus</w:t>
      </w:r>
      <w:r w:rsidR="00F43754">
        <w:t xml:space="preserve"> </w:t>
      </w:r>
      <w:r w:rsidRPr="006A64EE">
        <w:t>26</w:t>
      </w:r>
      <w:r w:rsidR="00322FF0">
        <w:t> </w:t>
      </w:r>
      <w:r w:rsidRPr="006A64EE">
        <w:t>Wochen 0,26 [10,702] und Placebo plus 52 Wochen -1,63 [6,753].</w:t>
      </w:r>
    </w:p>
    <w:p w14:paraId="508603AA" w14:textId="77777777" w:rsidR="00093A5E" w:rsidRPr="006A64EE" w:rsidRDefault="00093A5E" w:rsidP="004255F8">
      <w:pPr>
        <w:pStyle w:val="a3"/>
        <w:widowControl/>
      </w:pPr>
    </w:p>
    <w:p w14:paraId="0F135E48" w14:textId="6B27E66A" w:rsidR="00093A5E" w:rsidRPr="006A64EE" w:rsidRDefault="009C2544" w:rsidP="004255F8">
      <w:pPr>
        <w:pStyle w:val="a3"/>
        <w:widowControl/>
      </w:pPr>
      <w:r w:rsidRPr="006A64EE">
        <w:t xml:space="preserve">Die Änderungen in den Werten des EQ5D von Studienbeginn bis Woche 52 betrugen bei </w:t>
      </w:r>
      <w:r w:rsidR="00332B53" w:rsidRPr="00890245">
        <w:t>Tocilizumab</w:t>
      </w:r>
      <w:r w:rsidRPr="006A64EE">
        <w:t xml:space="preserve"> wöchentlich plus 26 Wochen 0,10 [0,198], bei </w:t>
      </w:r>
      <w:r w:rsidR="00332B53" w:rsidRPr="00890245">
        <w:t>Tocilizumab</w:t>
      </w:r>
      <w:r w:rsidRPr="006A64EE">
        <w:t xml:space="preserve"> alle 2 Wochen plus 26 Wochen 0,05</w:t>
      </w:r>
      <w:r w:rsidR="00FA0E43" w:rsidRPr="006A64EE">
        <w:t xml:space="preserve"> </w:t>
      </w:r>
      <w:r w:rsidRPr="006A64EE">
        <w:t>[0,215], bei Placebo plus 26 Wochen 0,07 [0,293] und bei Placebo plus 52 Wochen -0,02 [0,159].</w:t>
      </w:r>
    </w:p>
    <w:p w14:paraId="7514B77C" w14:textId="77777777" w:rsidR="00093A5E" w:rsidRPr="006A64EE" w:rsidRDefault="00093A5E" w:rsidP="004255F8">
      <w:pPr>
        <w:pStyle w:val="a3"/>
        <w:widowControl/>
      </w:pPr>
    </w:p>
    <w:p w14:paraId="66993E2B" w14:textId="77777777" w:rsidR="00093A5E" w:rsidRPr="006A64EE" w:rsidRDefault="009C2544" w:rsidP="004255F8">
      <w:pPr>
        <w:pStyle w:val="a3"/>
        <w:widowControl/>
      </w:pPr>
      <w:r w:rsidRPr="006A64EE">
        <w:t>Sowohl für FACIT-Fatigue als auch für EQ5D stehen höhere Werte für eine Verbesserung.</w:t>
      </w:r>
    </w:p>
    <w:p w14:paraId="1FF2E35F" w14:textId="77777777" w:rsidR="00093A5E" w:rsidRPr="006A64EE" w:rsidRDefault="00093A5E" w:rsidP="004255F8">
      <w:pPr>
        <w:pStyle w:val="a3"/>
        <w:widowControl/>
      </w:pPr>
    </w:p>
    <w:p w14:paraId="38E5FC64" w14:textId="77777777" w:rsidR="00093A5E" w:rsidRPr="006A64EE" w:rsidRDefault="009C2544" w:rsidP="0005245F">
      <w:pPr>
        <w:pStyle w:val="a3"/>
        <w:keepNext/>
        <w:widowControl/>
      </w:pPr>
      <w:r w:rsidRPr="006A64EE">
        <w:rPr>
          <w:u w:val="single"/>
        </w:rPr>
        <w:t>Intravenöse Anwendung</w:t>
      </w:r>
    </w:p>
    <w:p w14:paraId="11C0DB3A" w14:textId="77777777" w:rsidR="00093A5E" w:rsidRPr="006A64EE" w:rsidRDefault="009C2544" w:rsidP="0005245F">
      <w:pPr>
        <w:keepNext/>
        <w:widowControl/>
        <w:rPr>
          <w:b/>
        </w:rPr>
      </w:pPr>
      <w:r w:rsidRPr="006A64EE">
        <w:rPr>
          <w:b/>
          <w:u w:val="single"/>
        </w:rPr>
        <w:t>RA</w:t>
      </w:r>
    </w:p>
    <w:p w14:paraId="5766C1AF" w14:textId="77777777" w:rsidR="00093A5E" w:rsidRPr="006A64EE" w:rsidRDefault="009C2544" w:rsidP="0005245F">
      <w:pPr>
        <w:pStyle w:val="a3"/>
        <w:keepNext/>
        <w:widowControl/>
      </w:pPr>
      <w:r w:rsidRPr="006A64EE">
        <w:rPr>
          <w:u w:val="single"/>
        </w:rPr>
        <w:t>Klinische Wirksamkeit</w:t>
      </w:r>
    </w:p>
    <w:p w14:paraId="413C9951" w14:textId="767F7285" w:rsidR="00093A5E" w:rsidRPr="006A64EE" w:rsidRDefault="009C2544" w:rsidP="0005245F">
      <w:pPr>
        <w:pStyle w:val="a3"/>
        <w:keepNext/>
        <w:widowControl/>
      </w:pPr>
      <w:r w:rsidRPr="006A64EE">
        <w:t xml:space="preserve">Die Wirksamkeit von </w:t>
      </w:r>
      <w:r w:rsidR="00332B53" w:rsidRPr="00890245">
        <w:t>Tocilizumab</w:t>
      </w:r>
      <w:r w:rsidRPr="006A64EE">
        <w:t xml:space="preserve"> in Hinblick auf eine Linderung von Anzeichen und Symptomen einer RA wurde in fünf randomisierten, doppelblinden, multizentrischen Studien untersucht. In die Studien I – V wurden Patienten im Alter von ≥ 18 Jahren mit aktiver RA eingeschlossen, die auf der Basis der Kriterien des American College of Rheumatology (ACR) diagnostiziert wurden und die zum Zeitpunkt des Einschlusses mindestens acht druckschmerzempfindliche und sechs geschwollene Gelenke aufwiesen.</w:t>
      </w:r>
    </w:p>
    <w:p w14:paraId="4CD290EA" w14:textId="77777777" w:rsidR="00093A5E" w:rsidRPr="006A64EE" w:rsidRDefault="00093A5E" w:rsidP="004255F8">
      <w:pPr>
        <w:pStyle w:val="a3"/>
        <w:widowControl/>
      </w:pPr>
    </w:p>
    <w:p w14:paraId="50EE263B" w14:textId="4AE76CA0" w:rsidR="00093A5E" w:rsidRPr="006A64EE" w:rsidRDefault="009C2544" w:rsidP="004255F8">
      <w:pPr>
        <w:pStyle w:val="a3"/>
        <w:widowControl/>
      </w:pPr>
      <w:r w:rsidRPr="006A64EE">
        <w:t xml:space="preserve">In Studie I wurde </w:t>
      </w:r>
      <w:r w:rsidR="00332B53" w:rsidRPr="00890245">
        <w:t>Tocilizumab</w:t>
      </w:r>
      <w:r w:rsidRPr="006A64EE">
        <w:t xml:space="preserve"> alle vier Wochen intravenös als Monotherapie verabreicht. In den Studien II, III und V wurde </w:t>
      </w:r>
      <w:r w:rsidR="00332B53" w:rsidRPr="00890245">
        <w:t>Tocilizumab</w:t>
      </w:r>
      <w:r w:rsidRPr="006A64EE">
        <w:t xml:space="preserve"> intravenös alle vier Wochen in Kombination mit MTX </w:t>
      </w:r>
      <w:r w:rsidRPr="006A64EE">
        <w:rPr>
          <w:i/>
        </w:rPr>
        <w:t>vs</w:t>
      </w:r>
      <w:r w:rsidRPr="006A64EE">
        <w:t xml:space="preserve">. Placebo und MTX verabreicht. In Studie IV wurde </w:t>
      </w:r>
      <w:r w:rsidR="00332B53" w:rsidRPr="00890245">
        <w:t>Tocilizumab</w:t>
      </w:r>
      <w:r w:rsidRPr="006A64EE">
        <w:t xml:space="preserve"> intravenös alle 4</w:t>
      </w:r>
      <w:r w:rsidR="00490D48">
        <w:t> </w:t>
      </w:r>
      <w:r w:rsidRPr="006A64EE">
        <w:t xml:space="preserve">Wochen in Kombination mit anderen DMARDs </w:t>
      </w:r>
      <w:r w:rsidRPr="006A64EE">
        <w:rPr>
          <w:i/>
        </w:rPr>
        <w:t>vs</w:t>
      </w:r>
      <w:r w:rsidRPr="006A64EE">
        <w:t xml:space="preserve">. Placebo und andere DMARDs verabreicht. Der primäre </w:t>
      </w:r>
      <w:r w:rsidRPr="006A64EE">
        <w:lastRenderedPageBreak/>
        <w:t>Endpunkt für jede dieser fünf Studien war der Anteil der Patienten, die in Woche</w:t>
      </w:r>
      <w:r w:rsidR="00490D48">
        <w:t> </w:t>
      </w:r>
      <w:r w:rsidRPr="006A64EE">
        <w:t>24 ein ACR20-Ansprechen erreichten.</w:t>
      </w:r>
    </w:p>
    <w:p w14:paraId="5B3D9347" w14:textId="77777777" w:rsidR="00093A5E" w:rsidRPr="006A64EE" w:rsidRDefault="00093A5E" w:rsidP="004255F8">
      <w:pPr>
        <w:pStyle w:val="a3"/>
        <w:widowControl/>
      </w:pPr>
    </w:p>
    <w:p w14:paraId="36BE99A5" w14:textId="2591E87F" w:rsidR="00093A5E" w:rsidRPr="006A64EE" w:rsidRDefault="009C2544" w:rsidP="004255F8">
      <w:pPr>
        <w:pStyle w:val="a3"/>
        <w:widowControl/>
      </w:pPr>
      <w:r w:rsidRPr="006A64EE">
        <w:t xml:space="preserve">In Studie I wurden 673 Patienten untersucht, die während 6 Monaten vor der Randomisierung nicht mit MTX behandelt worden waren und die eine vorangegangene Behandlung mit MTX nicht aufgrund klinisch bedeutender toxischer Wirkungen oder mangelndem Ansprechen abgebrochen hatten. Die Mehrzahl der Patienten (67 %) war MTX-naiv. </w:t>
      </w:r>
      <w:r w:rsidR="00332B53" w:rsidRPr="00890245">
        <w:t>Tocilizumab</w:t>
      </w:r>
      <w:r w:rsidRPr="006A64EE">
        <w:t xml:space="preserve"> wurde in Dosen von 8 mg/kg alle vier Wochen als Monotherapie verabreicht. Die Vergleichsgruppe erhielt wöchentlich MTX (dosistitriert von 7,5 mg bis zu einem Maximum von 20 mg wöchentlich, über einen Zeitraum von acht Wochen).</w:t>
      </w:r>
    </w:p>
    <w:p w14:paraId="49190E1B" w14:textId="77777777" w:rsidR="00093A5E" w:rsidRPr="006A64EE" w:rsidRDefault="00093A5E" w:rsidP="004255F8">
      <w:pPr>
        <w:pStyle w:val="a3"/>
        <w:widowControl/>
      </w:pPr>
    </w:p>
    <w:p w14:paraId="48FDF8D4" w14:textId="7E61CBAD" w:rsidR="00093A5E" w:rsidRPr="006A64EE" w:rsidRDefault="009C2544" w:rsidP="004255F8">
      <w:pPr>
        <w:pStyle w:val="a3"/>
        <w:widowControl/>
      </w:pPr>
      <w:r w:rsidRPr="006A64EE">
        <w:t>In Studie II, einer 2-Jahresstudie mit geplanten Analysen in Woche</w:t>
      </w:r>
      <w:r w:rsidR="00E1420D">
        <w:t> </w:t>
      </w:r>
      <w:r w:rsidRPr="006A64EE">
        <w:t>24, Woche</w:t>
      </w:r>
      <w:r w:rsidR="00E1420D">
        <w:t> </w:t>
      </w:r>
      <w:r w:rsidRPr="006A64EE">
        <w:t>52 und Woche</w:t>
      </w:r>
      <w:r w:rsidR="00E1420D">
        <w:t> </w:t>
      </w:r>
      <w:r w:rsidRPr="006A64EE">
        <w:t>104, wurden 1</w:t>
      </w:r>
      <w:r w:rsidR="00E1420D">
        <w:t> </w:t>
      </w:r>
      <w:r w:rsidRPr="006A64EE">
        <w:t>196</w:t>
      </w:r>
      <w:r w:rsidR="00E1420D">
        <w:t> </w:t>
      </w:r>
      <w:r w:rsidRPr="006A64EE">
        <w:t xml:space="preserve">Patienten, die ein unzureichendes Ansprechen auf MTX hatten, untersucht. </w:t>
      </w:r>
      <w:r w:rsidR="00332B53" w:rsidRPr="00890245">
        <w:t>Tocilizumab</w:t>
      </w:r>
      <w:r w:rsidRPr="006A64EE">
        <w:t xml:space="preserve"> in Dosen von 4</w:t>
      </w:r>
      <w:r w:rsidR="00E1420D">
        <w:t> </w:t>
      </w:r>
      <w:r w:rsidRPr="006A64EE">
        <w:t>mg/kg oder 8</w:t>
      </w:r>
      <w:r w:rsidR="00E1420D">
        <w:t> </w:t>
      </w:r>
      <w:r w:rsidRPr="006A64EE">
        <w:t>mg/kg oder Placebo wurden während 52</w:t>
      </w:r>
      <w:r w:rsidR="00E1420D">
        <w:t> </w:t>
      </w:r>
      <w:r w:rsidRPr="006A64EE">
        <w:t>Wochen alle vier Wochen als verblindete Therapie in Kombination mit einer stabilen MTX-Dosis (10</w:t>
      </w:r>
      <w:r w:rsidR="00E1420D">
        <w:t> </w:t>
      </w:r>
      <w:r w:rsidRPr="006A64EE">
        <w:t>mg – 25</w:t>
      </w:r>
      <w:r w:rsidR="00E1420D">
        <w:t> </w:t>
      </w:r>
      <w:r w:rsidRPr="006A64EE">
        <w:t>mg wöchentlich) verabreicht. Nach Woche</w:t>
      </w:r>
      <w:r w:rsidR="00E1420D">
        <w:t> </w:t>
      </w:r>
      <w:r w:rsidRPr="006A64EE">
        <w:t>52 konnten alle Patienten eine unverblindete Behandlung mit 8</w:t>
      </w:r>
      <w:r w:rsidR="00E1420D">
        <w:t> </w:t>
      </w:r>
      <w:r w:rsidRPr="006A64EE">
        <w:t xml:space="preserve">mg/kg </w:t>
      </w:r>
      <w:r w:rsidR="00332B53" w:rsidRPr="00890245">
        <w:t>Tocilizumab</w:t>
      </w:r>
      <w:r w:rsidRPr="006A64EE">
        <w:t xml:space="preserve"> erhalten. Von jenen Patienten, die die Studie beendeten und die ursprünglich in die Placebo + MTX-Gruppe randomisiert worden waren, erhielten 86</w:t>
      </w:r>
      <w:r w:rsidR="00E1420D">
        <w:t> </w:t>
      </w:r>
      <w:r w:rsidRPr="006A64EE">
        <w:t>% im Jahr</w:t>
      </w:r>
      <w:r w:rsidR="00E1420D">
        <w:t> </w:t>
      </w:r>
      <w:r w:rsidRPr="006A64EE">
        <w:t>2 unverblindet 8</w:t>
      </w:r>
      <w:r w:rsidR="00E1420D">
        <w:t> </w:t>
      </w:r>
      <w:r w:rsidRPr="006A64EE">
        <w:t xml:space="preserve">mg/kg </w:t>
      </w:r>
      <w:r w:rsidR="00332B53" w:rsidRPr="00890245">
        <w:t>Tocilizumab</w:t>
      </w:r>
      <w:r w:rsidRPr="006A64EE">
        <w:t>. Der primäre Endpunkt in Woche</w:t>
      </w:r>
      <w:r w:rsidR="00E1420D">
        <w:t> </w:t>
      </w:r>
      <w:r w:rsidRPr="006A64EE">
        <w:t>24 war der Anteil von Patienten, die die Kriterien eines ACR20-Ansprechens erfüllten. Zusätzliche primäre Endpunkte waren die Prävention von Gelenkschädigungen und die Verbesserung der körperlichen Funktionsfähigkeit in Woche</w:t>
      </w:r>
      <w:r w:rsidR="00E1420D">
        <w:t> </w:t>
      </w:r>
      <w:r w:rsidRPr="006A64EE">
        <w:t>52 und</w:t>
      </w:r>
      <w:r w:rsidR="00401C76" w:rsidRPr="006A64EE">
        <w:t xml:space="preserve"> </w:t>
      </w:r>
      <w:r w:rsidR="007D680A" w:rsidRPr="006A64EE">
        <w:t>Woche</w:t>
      </w:r>
      <w:r w:rsidR="00E1420D">
        <w:t> </w:t>
      </w:r>
      <w:r w:rsidR="007D680A" w:rsidRPr="006A64EE">
        <w:t>104.</w:t>
      </w:r>
    </w:p>
    <w:p w14:paraId="523FBF52" w14:textId="77777777" w:rsidR="00093A5E" w:rsidRPr="006A64EE" w:rsidRDefault="00093A5E" w:rsidP="004255F8">
      <w:pPr>
        <w:pStyle w:val="a3"/>
        <w:widowControl/>
      </w:pPr>
    </w:p>
    <w:p w14:paraId="55548B78" w14:textId="0E499552" w:rsidR="00093A5E" w:rsidRPr="006A64EE" w:rsidRDefault="009C2544" w:rsidP="004255F8">
      <w:pPr>
        <w:pStyle w:val="a3"/>
        <w:widowControl/>
      </w:pPr>
      <w:r w:rsidRPr="006A64EE">
        <w:t xml:space="preserve">In Studie III wurden 623 Patienten untersucht, die ein unzureichendes klinisches Ansprechen auf MTX hatten. Dosen von 4 mg/kg oder 8 mg/kg </w:t>
      </w:r>
      <w:r w:rsidR="008F6EC5" w:rsidRPr="00890245">
        <w:t>Tocilizumab</w:t>
      </w:r>
      <w:r w:rsidRPr="006A64EE">
        <w:t xml:space="preserve"> oder Placebo wurden alle 4 Wochen in Kombination mit einer stabilen MTX-Dosis (10 mg bis 25 mg wöchentlich) verabreicht.</w:t>
      </w:r>
    </w:p>
    <w:p w14:paraId="27774CF1" w14:textId="77777777" w:rsidR="00093A5E" w:rsidRPr="006A64EE" w:rsidRDefault="00093A5E" w:rsidP="004255F8">
      <w:pPr>
        <w:pStyle w:val="a3"/>
        <w:widowControl/>
      </w:pPr>
    </w:p>
    <w:p w14:paraId="022B6DF7" w14:textId="23E84AF3" w:rsidR="00093A5E" w:rsidRPr="006A64EE" w:rsidRDefault="009C2544" w:rsidP="004255F8">
      <w:pPr>
        <w:pStyle w:val="a3"/>
        <w:widowControl/>
      </w:pPr>
      <w:r w:rsidRPr="006A64EE">
        <w:t>In Studie IV wurden 1</w:t>
      </w:r>
      <w:r w:rsidR="00E1420D">
        <w:t> </w:t>
      </w:r>
      <w:r w:rsidRPr="006A64EE">
        <w:t>220 Patienten untersucht, die ein unzureichendes Ansprechen auf ihre bestehende Rheumatherapie mit einem oder mehreren DMARDs hatten. Dosen von 8</w:t>
      </w:r>
      <w:r w:rsidR="00E1420D">
        <w:t> </w:t>
      </w:r>
      <w:r w:rsidRPr="006A64EE">
        <w:t xml:space="preserve">mg/kg </w:t>
      </w:r>
      <w:r w:rsidR="008F6EC5" w:rsidRPr="00890245">
        <w:t>Tocilizumab</w:t>
      </w:r>
      <w:r w:rsidRPr="006A64EE">
        <w:t xml:space="preserve"> oder Placebo wurden alle vier Wochen in Kombination mit einer stabilen Therapie mit DMARDs verabreicht.</w:t>
      </w:r>
    </w:p>
    <w:p w14:paraId="5726457E" w14:textId="77777777" w:rsidR="00093A5E" w:rsidRPr="006A64EE" w:rsidRDefault="00093A5E" w:rsidP="004255F8">
      <w:pPr>
        <w:pStyle w:val="a3"/>
        <w:widowControl/>
      </w:pPr>
    </w:p>
    <w:p w14:paraId="53569820" w14:textId="31F77BD0" w:rsidR="00093A5E" w:rsidRPr="006A64EE" w:rsidRDefault="009C2544" w:rsidP="004255F8">
      <w:pPr>
        <w:pStyle w:val="a3"/>
        <w:widowControl/>
      </w:pPr>
      <w:r w:rsidRPr="006A64EE">
        <w:t>In Studie V wurden 499</w:t>
      </w:r>
      <w:r w:rsidR="00E1420D">
        <w:t> </w:t>
      </w:r>
      <w:r w:rsidRPr="006A64EE">
        <w:t>Patienten untersucht, die ein unzureichendes klinisches Ansprechen auf eine oder mehrere Behandlungen mit TNF-Inhibitoren hatten oder diese nicht vertragen haben. Die Therapie mit dem TNF-Inhibitor wurde vor der Randomisierung abgesetzt. Dosen von 4</w:t>
      </w:r>
      <w:r w:rsidR="00E1420D">
        <w:t> </w:t>
      </w:r>
      <w:r w:rsidRPr="006A64EE">
        <w:t>mg/kg oder 8</w:t>
      </w:r>
      <w:r w:rsidR="00E1420D">
        <w:t> </w:t>
      </w:r>
      <w:r w:rsidRPr="006A64EE">
        <w:t xml:space="preserve">mg/kg </w:t>
      </w:r>
      <w:r w:rsidR="008F6EC5" w:rsidRPr="00890245">
        <w:t>Tocilizumab</w:t>
      </w:r>
      <w:r w:rsidRPr="006A64EE">
        <w:t xml:space="preserve"> oder Placebo wurden alle vier Wochen in Kombination mit einer stabilen MTX-Dosis (10</w:t>
      </w:r>
      <w:r w:rsidR="00E1420D">
        <w:t> </w:t>
      </w:r>
      <w:r w:rsidRPr="006A64EE">
        <w:t>mg bis 25</w:t>
      </w:r>
      <w:r w:rsidR="00E1420D">
        <w:t> </w:t>
      </w:r>
      <w:r w:rsidRPr="006A64EE">
        <w:t>mg wöchentlich) verabreicht.</w:t>
      </w:r>
    </w:p>
    <w:p w14:paraId="3C16E003" w14:textId="77777777" w:rsidR="00093A5E" w:rsidRPr="006A64EE" w:rsidRDefault="00093A5E" w:rsidP="004255F8">
      <w:pPr>
        <w:pStyle w:val="a3"/>
        <w:widowControl/>
      </w:pPr>
    </w:p>
    <w:p w14:paraId="196C5A98" w14:textId="77777777" w:rsidR="00093A5E" w:rsidRPr="006A64EE" w:rsidRDefault="009C2544" w:rsidP="004255F8">
      <w:pPr>
        <w:pStyle w:val="a3"/>
        <w:widowControl/>
      </w:pPr>
      <w:r w:rsidRPr="006A64EE">
        <w:rPr>
          <w:u w:val="single"/>
        </w:rPr>
        <w:t>Klinisches Ansprechen</w:t>
      </w:r>
    </w:p>
    <w:p w14:paraId="55D69865" w14:textId="1DD6A937" w:rsidR="00093A5E" w:rsidRPr="006A64EE" w:rsidRDefault="009C2544" w:rsidP="004255F8">
      <w:pPr>
        <w:pStyle w:val="a3"/>
        <w:widowControl/>
      </w:pPr>
      <w:r w:rsidRPr="006A64EE">
        <w:t xml:space="preserve">In allen Studien hatten Patienten, die mit 8 mg/kg </w:t>
      </w:r>
      <w:r w:rsidR="008F6EC5" w:rsidRPr="00890245">
        <w:t>Tocilizumab</w:t>
      </w:r>
      <w:r w:rsidRPr="006A64EE">
        <w:t xml:space="preserve"> behandelt wurden, nach 6 Monaten ein statistisch signifikant höheres ACR20, 50, 70 Ansprechen im Vergleich zu denen in den Kontrollgruppen (Tabelle 5). In Studie I wurde die Überlegenheit von 8 mg/kg </w:t>
      </w:r>
      <w:r w:rsidR="008F6EC5" w:rsidRPr="00890245">
        <w:t>Tocilizumab</w:t>
      </w:r>
      <w:r w:rsidRPr="006A64EE">
        <w:t xml:space="preserve"> gegenüber der aktiven Vergleichssubstanz MTX bestätigt.</w:t>
      </w:r>
    </w:p>
    <w:p w14:paraId="24A14312" w14:textId="77777777" w:rsidR="00093A5E" w:rsidRPr="006A64EE" w:rsidRDefault="00093A5E" w:rsidP="004255F8">
      <w:pPr>
        <w:pStyle w:val="a3"/>
        <w:widowControl/>
      </w:pPr>
    </w:p>
    <w:p w14:paraId="07037273" w14:textId="77777777" w:rsidR="00093A5E" w:rsidRPr="006A64EE" w:rsidRDefault="009C2544" w:rsidP="004255F8">
      <w:pPr>
        <w:pStyle w:val="a3"/>
        <w:widowControl/>
      </w:pPr>
      <w:r w:rsidRPr="006A64EE">
        <w:t>Unabhängig vom Status des Rheumafaktors, dem Alter, dem Geschlecht, der Rasse, der Anzahl der vorangegangenen Behandlungen oder dem Status der Erkrankung war der Behandlungserfolg bei den Patienten vergleichbar. Die Zeit bis zum Eintreten einer Wirkung war kurz (nur 2 Wochen) und das Ausmaß des Ansprechens nahm während der Dauer der Behandlung weiter zu. Fortgesetztes, dauerhaftes Ansprechen wurde während mehr als 3 Jahren in den offenen Verlängerungsstudien I - V gesehen.</w:t>
      </w:r>
    </w:p>
    <w:p w14:paraId="2A4A4998" w14:textId="77777777" w:rsidR="00093A5E" w:rsidRPr="006A64EE" w:rsidRDefault="00093A5E" w:rsidP="004255F8">
      <w:pPr>
        <w:pStyle w:val="a3"/>
        <w:widowControl/>
      </w:pPr>
    </w:p>
    <w:p w14:paraId="431C2AC3" w14:textId="4F2674A7" w:rsidR="00093A5E" w:rsidRPr="006A64EE" w:rsidRDefault="009C2544" w:rsidP="004255F8">
      <w:pPr>
        <w:pStyle w:val="a3"/>
        <w:widowControl/>
      </w:pPr>
      <w:r w:rsidRPr="006A64EE">
        <w:t xml:space="preserve">Bei Patienten, die mit 8 mg/kg </w:t>
      </w:r>
      <w:r w:rsidR="008F6EC5" w:rsidRPr="00890245">
        <w:t>Tocilizumab</w:t>
      </w:r>
      <w:r w:rsidRPr="006A64EE">
        <w:t xml:space="preserve"> behandelt wurden, wurden im Vergleich zu Patienten, die Placebo plus MTX oder andere DMARDs erhielten, in allen Studien signifikante Verbesserungen aller einzelner Komponenten des ACR-Ansprechens gesehen: der Anzahl der druckschmerzempfindlichen und geschwollenen Gelenke, der allgemeinen Beurteilung durch den Patienten und den Arzt, dem Ausmaß körperlicher Funktionseinschränkungen anhand des Index-Scores, der Schmerzbeurteilung und dem CRP.</w:t>
      </w:r>
    </w:p>
    <w:p w14:paraId="2AA1477E" w14:textId="77777777" w:rsidR="00093A5E" w:rsidRPr="006A64EE" w:rsidRDefault="00093A5E" w:rsidP="004255F8">
      <w:pPr>
        <w:pStyle w:val="a3"/>
        <w:widowControl/>
      </w:pPr>
    </w:p>
    <w:p w14:paraId="054861D0" w14:textId="35648E37" w:rsidR="00093A5E" w:rsidRPr="006A64EE" w:rsidRDefault="009C2544" w:rsidP="004255F8">
      <w:pPr>
        <w:pStyle w:val="a3"/>
        <w:widowControl/>
      </w:pPr>
      <w:r w:rsidRPr="006A64EE">
        <w:t xml:space="preserve">Die Patienten in den Studien I – V hatten zu Beginn der Behandlung einen mittleren Disease Activity Score (DAS28) von 6,5 – 6,8. Bei den Patienten, die mit </w:t>
      </w:r>
      <w:r w:rsidR="008F6EC5" w:rsidRPr="00890245">
        <w:t>Tocilizumab</w:t>
      </w:r>
      <w:r w:rsidRPr="006A64EE">
        <w:t xml:space="preserve"> behandelt wurden, wurden signifikante Reduktionen um 3,1 – 3,4 des zu Beginn der Behandlung bestimmten DAS28 (durchschnittliche Verbesserung) beobachtet, verglichen mit denen bei den Patienten in der Kontrollgruppe (1,3 - 2,1). Der Anteil der Patienten, die in Woche 24 eine DAS28-Remission (DAS28</w:t>
      </w:r>
      <w:r w:rsidR="00815462">
        <w:t> </w:t>
      </w:r>
      <w:r w:rsidRPr="006A64EE">
        <w:t xml:space="preserve">&lt; 2,6) erreichten, war bei den Patienten, die </w:t>
      </w:r>
      <w:r w:rsidR="008F6EC5" w:rsidRPr="00890245">
        <w:t>Tocilizumab</w:t>
      </w:r>
      <w:r w:rsidRPr="006A64EE">
        <w:t xml:space="preserve"> erhielten, signifikant höher</w:t>
      </w:r>
      <w:r w:rsidR="000B2DE7">
        <w:t xml:space="preserve"> </w:t>
      </w:r>
      <w:r w:rsidRPr="006A64EE">
        <w:t>(28</w:t>
      </w:r>
      <w:r w:rsidR="000B2DE7">
        <w:t> </w:t>
      </w:r>
      <w:r w:rsidRPr="006A64EE">
        <w:t>% - 34 %), verglichen mit 1 % – 12 % der Patienten in der Kontrollgruppe. In Studie II erreichten 65 % der Patienten in Woche 104 einen DAS28 von &lt; 2,6 verglichen mit 48 % der Patienten in Woche</w:t>
      </w:r>
      <w:r w:rsidR="00815462">
        <w:t> </w:t>
      </w:r>
      <w:r w:rsidRPr="006A64EE">
        <w:t>52 und 33 % der Patienten in Woche 24.</w:t>
      </w:r>
    </w:p>
    <w:p w14:paraId="44DD228F" w14:textId="77777777" w:rsidR="00093A5E" w:rsidRPr="006A64EE" w:rsidRDefault="00093A5E" w:rsidP="004255F8">
      <w:pPr>
        <w:pStyle w:val="a3"/>
        <w:widowControl/>
      </w:pPr>
    </w:p>
    <w:p w14:paraId="3C86EF37" w14:textId="6DB0B383" w:rsidR="00093A5E" w:rsidRPr="006A64EE" w:rsidRDefault="009C2544" w:rsidP="004255F8">
      <w:pPr>
        <w:pStyle w:val="a3"/>
        <w:widowControl/>
      </w:pPr>
      <w:r w:rsidRPr="006A64EE">
        <w:t xml:space="preserve">In den zusammengefassten Daten aus den Studien II, III und IV lag der Anteil der Patienten, die ein ACR20, 50 und 70 Ansprechen erreichten, in der Gruppe, die mit 8 mg/kg Tocilizumab plus DMARD behandelt wurde, signifikant höher (59 % </w:t>
      </w:r>
      <w:r w:rsidRPr="006A64EE">
        <w:rPr>
          <w:i/>
        </w:rPr>
        <w:t>vs</w:t>
      </w:r>
      <w:r w:rsidRPr="006A64EE">
        <w:t xml:space="preserve">. 50 %, 37 % </w:t>
      </w:r>
      <w:r w:rsidRPr="006A64EE">
        <w:rPr>
          <w:i/>
        </w:rPr>
        <w:t>vs</w:t>
      </w:r>
      <w:r w:rsidRPr="006A64EE">
        <w:t xml:space="preserve">. 27 %, 18 % </w:t>
      </w:r>
      <w:r w:rsidRPr="006A64EE">
        <w:rPr>
          <w:i/>
        </w:rPr>
        <w:t>vs</w:t>
      </w:r>
      <w:r w:rsidRPr="006A64EE">
        <w:t xml:space="preserve">. 11 %) als bei der, die mit 4 mg/kg Tocilizumab plus DMARD behandelt wurde (p &lt; 0,03). Der Anteil der Patienten, die eine DAS28-Remission (DAS28 &lt; 2,6) erreichten, lag bei Patienten, die </w:t>
      </w:r>
      <w:r w:rsidR="008F6EC5" w:rsidRPr="00890245">
        <w:t>Tocilizumab</w:t>
      </w:r>
      <w:r w:rsidRPr="006A64EE">
        <w:t xml:space="preserve"> 8 mg/kg plus DMARD erhielten, ebenso signifikant höher (31 % </w:t>
      </w:r>
      <w:r w:rsidRPr="006A64EE">
        <w:rPr>
          <w:i/>
        </w:rPr>
        <w:t>vs</w:t>
      </w:r>
      <w:r w:rsidRPr="006A64EE">
        <w:t xml:space="preserve">. 16 %) als bei Patienten, die </w:t>
      </w:r>
      <w:r w:rsidR="008F6EC5" w:rsidRPr="00890245">
        <w:t>Tocilizumab</w:t>
      </w:r>
      <w:r w:rsidRPr="006A64EE">
        <w:t xml:space="preserve"> 4</w:t>
      </w:r>
      <w:r w:rsidR="00322FF0">
        <w:t> </w:t>
      </w:r>
      <w:r w:rsidRPr="006A64EE">
        <w:t>mg/kg plus DMARD erhielten (p &lt; 0,0001).</w:t>
      </w:r>
    </w:p>
    <w:p w14:paraId="1F93D970" w14:textId="77777777" w:rsidR="00093A5E" w:rsidRPr="006A64EE" w:rsidRDefault="00093A5E" w:rsidP="004255F8">
      <w:pPr>
        <w:widowControl/>
      </w:pPr>
    </w:p>
    <w:p w14:paraId="3232FF20" w14:textId="77777777" w:rsidR="00093A5E" w:rsidRPr="006A64EE" w:rsidRDefault="007D680A" w:rsidP="004255F8">
      <w:pPr>
        <w:pStyle w:val="Tabletittle"/>
      </w:pPr>
      <w:r w:rsidRPr="006A64EE">
        <w:t>Tabelle 5:</w:t>
      </w:r>
      <w:r w:rsidR="00F70596" w:rsidRPr="006A64EE">
        <w:tab/>
      </w:r>
      <w:r w:rsidRPr="006A64EE">
        <w:t>ACR-Ansprechen in kontrollierten Studien mit Placebo/MTX/DMARD (% Patienten)</w:t>
      </w:r>
    </w:p>
    <w:p w14:paraId="7256E70C" w14:textId="060969F8" w:rsidR="002D5756" w:rsidRPr="006A64EE" w:rsidRDefault="002D5756" w:rsidP="004255F8">
      <w:pPr>
        <w:pStyle w:val="a3"/>
        <w:keepNext/>
        <w:widowControl/>
        <w:rPr>
          <w:i/>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86"/>
        <w:gridCol w:w="902"/>
        <w:gridCol w:w="750"/>
        <w:gridCol w:w="899"/>
        <w:gridCol w:w="899"/>
        <w:gridCol w:w="899"/>
        <w:gridCol w:w="899"/>
        <w:gridCol w:w="990"/>
        <w:gridCol w:w="985"/>
        <w:gridCol w:w="901"/>
        <w:gridCol w:w="899"/>
      </w:tblGrid>
      <w:tr w:rsidR="00593482" w:rsidRPr="006A64EE" w14:paraId="5851403F" w14:textId="77777777" w:rsidTr="00BA494F">
        <w:trPr>
          <w:cantSplit/>
        </w:trPr>
        <w:tc>
          <w:tcPr>
            <w:tcW w:w="686" w:type="dxa"/>
          </w:tcPr>
          <w:p w14:paraId="0AEABB76" w14:textId="77777777" w:rsidR="002D5756" w:rsidRPr="006A64EE" w:rsidRDefault="002D5756" w:rsidP="004255F8">
            <w:pPr>
              <w:pStyle w:val="TableParagraph"/>
              <w:widowControl/>
              <w:suppressAutoHyphens/>
              <w:jc w:val="center"/>
            </w:pPr>
          </w:p>
        </w:tc>
        <w:tc>
          <w:tcPr>
            <w:tcW w:w="1652" w:type="dxa"/>
            <w:gridSpan w:val="2"/>
          </w:tcPr>
          <w:p w14:paraId="5D0E5489" w14:textId="77777777" w:rsidR="00093A5E" w:rsidRPr="006A64EE" w:rsidRDefault="009C2544" w:rsidP="004255F8">
            <w:pPr>
              <w:pStyle w:val="TableParagraph"/>
              <w:widowControl/>
              <w:suppressAutoHyphens/>
              <w:jc w:val="center"/>
              <w:rPr>
                <w:b/>
              </w:rPr>
            </w:pPr>
            <w:r w:rsidRPr="006A64EE">
              <w:rPr>
                <w:b/>
              </w:rPr>
              <w:t>Studie I</w:t>
            </w:r>
          </w:p>
          <w:p w14:paraId="6A265A55" w14:textId="697232A8" w:rsidR="002D5756" w:rsidRPr="006A64EE" w:rsidRDefault="009C2544" w:rsidP="004255F8">
            <w:pPr>
              <w:pStyle w:val="TableParagraph"/>
              <w:widowControl/>
              <w:suppressAutoHyphens/>
              <w:jc w:val="center"/>
              <w:rPr>
                <w:b/>
              </w:rPr>
            </w:pPr>
            <w:r w:rsidRPr="006A64EE">
              <w:rPr>
                <w:b/>
              </w:rPr>
              <w:t>AMBITION</w:t>
            </w:r>
          </w:p>
        </w:tc>
        <w:tc>
          <w:tcPr>
            <w:tcW w:w="1798" w:type="dxa"/>
            <w:gridSpan w:val="2"/>
          </w:tcPr>
          <w:p w14:paraId="3C5B72EB" w14:textId="77777777" w:rsidR="00093A5E" w:rsidRPr="006A64EE" w:rsidRDefault="009C2544" w:rsidP="004255F8">
            <w:pPr>
              <w:pStyle w:val="TableParagraph"/>
              <w:widowControl/>
              <w:suppressAutoHyphens/>
              <w:jc w:val="center"/>
              <w:rPr>
                <w:b/>
              </w:rPr>
            </w:pPr>
            <w:r w:rsidRPr="006A64EE">
              <w:rPr>
                <w:b/>
              </w:rPr>
              <w:t xml:space="preserve">Studie </w:t>
            </w:r>
          </w:p>
          <w:p w14:paraId="5C645F1F" w14:textId="09CDEF21" w:rsidR="002D5756" w:rsidRPr="006A64EE" w:rsidRDefault="009C2544" w:rsidP="004255F8">
            <w:pPr>
              <w:pStyle w:val="TableParagraph"/>
              <w:widowControl/>
              <w:suppressAutoHyphens/>
              <w:jc w:val="center"/>
              <w:rPr>
                <w:b/>
              </w:rPr>
            </w:pPr>
            <w:r w:rsidRPr="006A64EE">
              <w:rPr>
                <w:b/>
              </w:rPr>
              <w:t>II LITHE</w:t>
            </w:r>
          </w:p>
        </w:tc>
        <w:tc>
          <w:tcPr>
            <w:tcW w:w="1798" w:type="dxa"/>
            <w:gridSpan w:val="2"/>
          </w:tcPr>
          <w:p w14:paraId="15046167" w14:textId="77777777" w:rsidR="00093A5E" w:rsidRPr="006A64EE" w:rsidRDefault="009C2544" w:rsidP="004255F8">
            <w:pPr>
              <w:pStyle w:val="TableParagraph"/>
              <w:widowControl/>
              <w:suppressAutoHyphens/>
              <w:jc w:val="center"/>
              <w:rPr>
                <w:b/>
              </w:rPr>
            </w:pPr>
            <w:r w:rsidRPr="006A64EE">
              <w:rPr>
                <w:b/>
              </w:rPr>
              <w:t xml:space="preserve">Studie III </w:t>
            </w:r>
          </w:p>
          <w:p w14:paraId="11A205DA" w14:textId="1B54887A" w:rsidR="002D5756" w:rsidRPr="006A64EE" w:rsidRDefault="009C2544" w:rsidP="004255F8">
            <w:pPr>
              <w:pStyle w:val="TableParagraph"/>
              <w:widowControl/>
              <w:suppressAutoHyphens/>
              <w:jc w:val="center"/>
              <w:rPr>
                <w:b/>
              </w:rPr>
            </w:pPr>
            <w:r w:rsidRPr="006A64EE">
              <w:rPr>
                <w:b/>
              </w:rPr>
              <w:t>OPTION</w:t>
            </w:r>
          </w:p>
        </w:tc>
        <w:tc>
          <w:tcPr>
            <w:tcW w:w="1975" w:type="dxa"/>
            <w:gridSpan w:val="2"/>
          </w:tcPr>
          <w:p w14:paraId="3C5B478C" w14:textId="77777777" w:rsidR="00093A5E" w:rsidRPr="006A64EE" w:rsidRDefault="009C2544" w:rsidP="004255F8">
            <w:pPr>
              <w:pStyle w:val="TableParagraph"/>
              <w:widowControl/>
              <w:suppressAutoHyphens/>
              <w:jc w:val="center"/>
              <w:rPr>
                <w:b/>
              </w:rPr>
            </w:pPr>
            <w:r w:rsidRPr="006A64EE">
              <w:rPr>
                <w:b/>
              </w:rPr>
              <w:t xml:space="preserve">Studie IV </w:t>
            </w:r>
          </w:p>
          <w:p w14:paraId="0FC72AA7" w14:textId="64195EEB" w:rsidR="002D5756" w:rsidRPr="006A64EE" w:rsidRDefault="009C2544" w:rsidP="004255F8">
            <w:pPr>
              <w:pStyle w:val="TableParagraph"/>
              <w:widowControl/>
              <w:suppressAutoHyphens/>
              <w:jc w:val="center"/>
              <w:rPr>
                <w:b/>
              </w:rPr>
            </w:pPr>
            <w:r w:rsidRPr="006A64EE">
              <w:rPr>
                <w:b/>
              </w:rPr>
              <w:t>TOWARD</w:t>
            </w:r>
          </w:p>
        </w:tc>
        <w:tc>
          <w:tcPr>
            <w:tcW w:w="1800" w:type="dxa"/>
            <w:gridSpan w:val="2"/>
          </w:tcPr>
          <w:p w14:paraId="3875F070" w14:textId="77777777" w:rsidR="00093A5E" w:rsidRPr="006A64EE" w:rsidRDefault="009C2544" w:rsidP="004255F8">
            <w:pPr>
              <w:pStyle w:val="TableParagraph"/>
              <w:widowControl/>
              <w:suppressAutoHyphens/>
              <w:jc w:val="center"/>
              <w:rPr>
                <w:b/>
              </w:rPr>
            </w:pPr>
            <w:r w:rsidRPr="006A64EE">
              <w:rPr>
                <w:b/>
              </w:rPr>
              <w:t xml:space="preserve">Studie V </w:t>
            </w:r>
          </w:p>
          <w:p w14:paraId="66BC13D2" w14:textId="14D48819" w:rsidR="002D5756" w:rsidRPr="006A64EE" w:rsidRDefault="009C2544" w:rsidP="004255F8">
            <w:pPr>
              <w:pStyle w:val="TableParagraph"/>
              <w:widowControl/>
              <w:suppressAutoHyphens/>
              <w:jc w:val="center"/>
              <w:rPr>
                <w:b/>
              </w:rPr>
            </w:pPr>
            <w:r w:rsidRPr="006A64EE">
              <w:rPr>
                <w:b/>
              </w:rPr>
              <w:t>RADIATE</w:t>
            </w:r>
          </w:p>
        </w:tc>
      </w:tr>
      <w:tr w:rsidR="00593482" w:rsidRPr="006A64EE" w14:paraId="5EF9D2C6" w14:textId="77777777" w:rsidTr="00F70596">
        <w:trPr>
          <w:cantSplit/>
        </w:trPr>
        <w:tc>
          <w:tcPr>
            <w:tcW w:w="686" w:type="dxa"/>
          </w:tcPr>
          <w:p w14:paraId="401A8C60" w14:textId="7EA1F080" w:rsidR="002D5756" w:rsidRPr="006A64EE" w:rsidRDefault="009C2544" w:rsidP="004255F8">
            <w:pPr>
              <w:pStyle w:val="TableParagraph"/>
              <w:widowControl/>
              <w:suppressAutoHyphens/>
              <w:jc w:val="center"/>
            </w:pPr>
            <w:r w:rsidRPr="006A64EE">
              <w:t>Woche</w:t>
            </w:r>
          </w:p>
        </w:tc>
        <w:tc>
          <w:tcPr>
            <w:tcW w:w="902" w:type="dxa"/>
          </w:tcPr>
          <w:p w14:paraId="50BA8239" w14:textId="77777777" w:rsidR="00093A5E" w:rsidRPr="006A64EE" w:rsidRDefault="009C2544" w:rsidP="004255F8">
            <w:pPr>
              <w:pStyle w:val="TableParagraph"/>
              <w:widowControl/>
              <w:suppressAutoHyphens/>
              <w:jc w:val="center"/>
              <w:rPr>
                <w:b/>
              </w:rPr>
            </w:pPr>
            <w:r w:rsidRPr="006A64EE">
              <w:rPr>
                <w:b/>
              </w:rPr>
              <w:t>TCZ</w:t>
            </w:r>
          </w:p>
          <w:p w14:paraId="5FE9E481" w14:textId="1F95CBDC" w:rsidR="002D5756" w:rsidRPr="006A64EE" w:rsidRDefault="009C2544" w:rsidP="004255F8">
            <w:pPr>
              <w:pStyle w:val="TableParagraph"/>
              <w:widowControl/>
              <w:suppressAutoHyphens/>
              <w:jc w:val="center"/>
              <w:rPr>
                <w:b/>
              </w:rPr>
            </w:pPr>
            <w:r w:rsidRPr="006A64EE">
              <w:rPr>
                <w:b/>
              </w:rPr>
              <w:t>8 mg/kg</w:t>
            </w:r>
          </w:p>
        </w:tc>
        <w:tc>
          <w:tcPr>
            <w:tcW w:w="750" w:type="dxa"/>
          </w:tcPr>
          <w:p w14:paraId="2AF025B2" w14:textId="77777777" w:rsidR="002D5756" w:rsidRPr="006A64EE" w:rsidRDefault="009C2544" w:rsidP="004255F8">
            <w:pPr>
              <w:pStyle w:val="TableParagraph"/>
              <w:widowControl/>
              <w:suppressAutoHyphens/>
              <w:jc w:val="center"/>
              <w:rPr>
                <w:b/>
              </w:rPr>
            </w:pPr>
            <w:r w:rsidRPr="006A64EE">
              <w:rPr>
                <w:b/>
              </w:rPr>
              <w:t>MTX</w:t>
            </w:r>
          </w:p>
        </w:tc>
        <w:tc>
          <w:tcPr>
            <w:tcW w:w="899" w:type="dxa"/>
          </w:tcPr>
          <w:p w14:paraId="3450EE31" w14:textId="77777777" w:rsidR="00093A5E" w:rsidRPr="006A64EE" w:rsidRDefault="009C2544" w:rsidP="004255F8">
            <w:pPr>
              <w:pStyle w:val="TableParagraph"/>
              <w:widowControl/>
              <w:suppressAutoHyphens/>
              <w:jc w:val="center"/>
              <w:rPr>
                <w:b/>
              </w:rPr>
            </w:pPr>
            <w:r w:rsidRPr="006A64EE">
              <w:rPr>
                <w:b/>
              </w:rPr>
              <w:t>TCZ</w:t>
            </w:r>
          </w:p>
          <w:p w14:paraId="54DFBD50" w14:textId="77777777" w:rsidR="00093A5E" w:rsidRPr="006A64EE" w:rsidRDefault="009C2544" w:rsidP="004255F8">
            <w:pPr>
              <w:pStyle w:val="TableParagraph"/>
              <w:widowControl/>
              <w:suppressAutoHyphens/>
              <w:jc w:val="center"/>
              <w:rPr>
                <w:b/>
              </w:rPr>
            </w:pPr>
            <w:r w:rsidRPr="006A64EE">
              <w:rPr>
                <w:b/>
              </w:rPr>
              <w:t>8 mg/kg</w:t>
            </w:r>
          </w:p>
          <w:p w14:paraId="5D8C37CE" w14:textId="1FCEA013" w:rsidR="002D5756" w:rsidRPr="006A64EE" w:rsidRDefault="009C2544" w:rsidP="004255F8">
            <w:pPr>
              <w:pStyle w:val="TableParagraph"/>
              <w:widowControl/>
              <w:suppressAutoHyphens/>
              <w:jc w:val="center"/>
              <w:rPr>
                <w:b/>
              </w:rPr>
            </w:pPr>
            <w:r w:rsidRPr="006A64EE">
              <w:rPr>
                <w:b/>
              </w:rPr>
              <w:t>+ MTX</w:t>
            </w:r>
          </w:p>
        </w:tc>
        <w:tc>
          <w:tcPr>
            <w:tcW w:w="899" w:type="dxa"/>
          </w:tcPr>
          <w:p w14:paraId="6745D10B" w14:textId="77777777" w:rsidR="002D5756" w:rsidRPr="006A64EE" w:rsidRDefault="009C2544" w:rsidP="004255F8">
            <w:pPr>
              <w:pStyle w:val="TableParagraph"/>
              <w:widowControl/>
              <w:suppressAutoHyphens/>
              <w:jc w:val="center"/>
              <w:rPr>
                <w:b/>
              </w:rPr>
            </w:pPr>
            <w:r w:rsidRPr="006A64EE">
              <w:rPr>
                <w:b/>
              </w:rPr>
              <w:t>PBO + MTX</w:t>
            </w:r>
          </w:p>
        </w:tc>
        <w:tc>
          <w:tcPr>
            <w:tcW w:w="899" w:type="dxa"/>
          </w:tcPr>
          <w:p w14:paraId="773EFD52" w14:textId="77777777" w:rsidR="00093A5E" w:rsidRPr="006A64EE" w:rsidRDefault="009C2544" w:rsidP="004255F8">
            <w:pPr>
              <w:pStyle w:val="TableParagraph"/>
              <w:widowControl/>
              <w:suppressAutoHyphens/>
              <w:jc w:val="center"/>
              <w:rPr>
                <w:b/>
              </w:rPr>
            </w:pPr>
            <w:r w:rsidRPr="006A64EE">
              <w:rPr>
                <w:b/>
              </w:rPr>
              <w:t>TCZ</w:t>
            </w:r>
          </w:p>
          <w:p w14:paraId="17E9326F" w14:textId="77777777" w:rsidR="00093A5E" w:rsidRPr="006A64EE" w:rsidRDefault="009C2544" w:rsidP="004255F8">
            <w:pPr>
              <w:pStyle w:val="TableParagraph"/>
              <w:widowControl/>
              <w:suppressAutoHyphens/>
              <w:jc w:val="center"/>
              <w:rPr>
                <w:b/>
              </w:rPr>
            </w:pPr>
            <w:r w:rsidRPr="006A64EE">
              <w:rPr>
                <w:b/>
              </w:rPr>
              <w:t>8 mg/kg</w:t>
            </w:r>
          </w:p>
          <w:p w14:paraId="0F5AB58B" w14:textId="46892F52" w:rsidR="002D5756" w:rsidRPr="006A64EE" w:rsidRDefault="009C2544" w:rsidP="004255F8">
            <w:pPr>
              <w:pStyle w:val="TableParagraph"/>
              <w:widowControl/>
              <w:suppressAutoHyphens/>
              <w:jc w:val="center"/>
              <w:rPr>
                <w:b/>
              </w:rPr>
            </w:pPr>
            <w:r w:rsidRPr="006A64EE">
              <w:rPr>
                <w:b/>
              </w:rPr>
              <w:t>+ MTX</w:t>
            </w:r>
          </w:p>
        </w:tc>
        <w:tc>
          <w:tcPr>
            <w:tcW w:w="899" w:type="dxa"/>
          </w:tcPr>
          <w:p w14:paraId="10FD2469" w14:textId="77777777" w:rsidR="00093A5E" w:rsidRPr="006A64EE" w:rsidRDefault="009C2544" w:rsidP="004255F8">
            <w:pPr>
              <w:pStyle w:val="TableParagraph"/>
              <w:widowControl/>
              <w:suppressAutoHyphens/>
              <w:jc w:val="center"/>
              <w:rPr>
                <w:b/>
              </w:rPr>
            </w:pPr>
            <w:r w:rsidRPr="006A64EE">
              <w:rPr>
                <w:b/>
              </w:rPr>
              <w:t>PBO</w:t>
            </w:r>
          </w:p>
          <w:p w14:paraId="00493562" w14:textId="68409766" w:rsidR="002D5756" w:rsidRPr="006A64EE" w:rsidRDefault="009C2544" w:rsidP="004255F8">
            <w:pPr>
              <w:pStyle w:val="TableParagraph"/>
              <w:widowControl/>
              <w:suppressAutoHyphens/>
              <w:jc w:val="center"/>
              <w:rPr>
                <w:b/>
              </w:rPr>
            </w:pPr>
            <w:r w:rsidRPr="006A64EE">
              <w:rPr>
                <w:b/>
              </w:rPr>
              <w:t>+ MTX</w:t>
            </w:r>
          </w:p>
        </w:tc>
        <w:tc>
          <w:tcPr>
            <w:tcW w:w="990" w:type="dxa"/>
          </w:tcPr>
          <w:p w14:paraId="4425927A" w14:textId="77777777" w:rsidR="00093A5E" w:rsidRPr="006A64EE" w:rsidRDefault="009C2544" w:rsidP="004255F8">
            <w:pPr>
              <w:pStyle w:val="TableParagraph"/>
              <w:widowControl/>
              <w:suppressAutoHyphens/>
              <w:jc w:val="center"/>
              <w:rPr>
                <w:b/>
              </w:rPr>
            </w:pPr>
            <w:r w:rsidRPr="006A64EE">
              <w:rPr>
                <w:b/>
              </w:rPr>
              <w:t>TCZ</w:t>
            </w:r>
          </w:p>
          <w:p w14:paraId="3F172552" w14:textId="77777777" w:rsidR="00093A5E" w:rsidRPr="006A64EE" w:rsidRDefault="009C2544" w:rsidP="004255F8">
            <w:pPr>
              <w:pStyle w:val="TableParagraph"/>
              <w:widowControl/>
              <w:suppressAutoHyphens/>
              <w:jc w:val="center"/>
              <w:rPr>
                <w:b/>
              </w:rPr>
            </w:pPr>
            <w:r w:rsidRPr="006A64EE">
              <w:rPr>
                <w:b/>
              </w:rPr>
              <w:t>8 mg/kg</w:t>
            </w:r>
          </w:p>
          <w:p w14:paraId="3145EE40" w14:textId="7071214B" w:rsidR="002D5756" w:rsidRPr="006A64EE" w:rsidRDefault="009C2544" w:rsidP="004255F8">
            <w:pPr>
              <w:pStyle w:val="TableParagraph"/>
              <w:widowControl/>
              <w:suppressAutoHyphens/>
              <w:jc w:val="center"/>
              <w:rPr>
                <w:b/>
              </w:rPr>
            </w:pPr>
            <w:r w:rsidRPr="006A64EE">
              <w:rPr>
                <w:b/>
              </w:rPr>
              <w:t>+ DMARD</w:t>
            </w:r>
          </w:p>
        </w:tc>
        <w:tc>
          <w:tcPr>
            <w:tcW w:w="985" w:type="dxa"/>
          </w:tcPr>
          <w:p w14:paraId="62D1D1E2" w14:textId="77777777" w:rsidR="002D5756" w:rsidRPr="006A64EE" w:rsidRDefault="009C2544" w:rsidP="004255F8">
            <w:pPr>
              <w:pStyle w:val="TableParagraph"/>
              <w:widowControl/>
              <w:suppressAutoHyphens/>
              <w:jc w:val="center"/>
              <w:rPr>
                <w:b/>
              </w:rPr>
            </w:pPr>
            <w:r w:rsidRPr="006A64EE">
              <w:rPr>
                <w:b/>
              </w:rPr>
              <w:t>PBO + DMARD</w:t>
            </w:r>
          </w:p>
        </w:tc>
        <w:tc>
          <w:tcPr>
            <w:tcW w:w="901" w:type="dxa"/>
          </w:tcPr>
          <w:p w14:paraId="667792DE" w14:textId="77777777" w:rsidR="00093A5E" w:rsidRPr="006A64EE" w:rsidRDefault="009C2544" w:rsidP="004255F8">
            <w:pPr>
              <w:pStyle w:val="TableParagraph"/>
              <w:widowControl/>
              <w:suppressAutoHyphens/>
              <w:jc w:val="center"/>
              <w:rPr>
                <w:b/>
              </w:rPr>
            </w:pPr>
            <w:r w:rsidRPr="006A64EE">
              <w:rPr>
                <w:b/>
              </w:rPr>
              <w:t>TCZ</w:t>
            </w:r>
          </w:p>
          <w:p w14:paraId="00CE5DBC" w14:textId="77777777" w:rsidR="00093A5E" w:rsidRPr="006A64EE" w:rsidRDefault="009C2544" w:rsidP="004255F8">
            <w:pPr>
              <w:pStyle w:val="TableParagraph"/>
              <w:widowControl/>
              <w:suppressAutoHyphens/>
              <w:jc w:val="center"/>
              <w:rPr>
                <w:b/>
              </w:rPr>
            </w:pPr>
            <w:r w:rsidRPr="006A64EE">
              <w:rPr>
                <w:b/>
              </w:rPr>
              <w:t>8 mg/kg</w:t>
            </w:r>
          </w:p>
          <w:p w14:paraId="27690DAB" w14:textId="144A488F" w:rsidR="002D5756" w:rsidRPr="006A64EE" w:rsidRDefault="009C2544" w:rsidP="004255F8">
            <w:pPr>
              <w:pStyle w:val="TableParagraph"/>
              <w:widowControl/>
              <w:suppressAutoHyphens/>
              <w:jc w:val="center"/>
              <w:rPr>
                <w:b/>
              </w:rPr>
            </w:pPr>
            <w:r w:rsidRPr="006A64EE">
              <w:rPr>
                <w:b/>
              </w:rPr>
              <w:t>+ MTX</w:t>
            </w:r>
          </w:p>
        </w:tc>
        <w:tc>
          <w:tcPr>
            <w:tcW w:w="899" w:type="dxa"/>
          </w:tcPr>
          <w:p w14:paraId="043E240E" w14:textId="77777777" w:rsidR="002D5756" w:rsidRPr="006A64EE" w:rsidRDefault="009C2544" w:rsidP="004255F8">
            <w:pPr>
              <w:pStyle w:val="TableParagraph"/>
              <w:widowControl/>
              <w:suppressAutoHyphens/>
              <w:jc w:val="center"/>
              <w:rPr>
                <w:b/>
              </w:rPr>
            </w:pPr>
            <w:r w:rsidRPr="006A64EE">
              <w:rPr>
                <w:b/>
              </w:rPr>
              <w:t>PBO + MTX</w:t>
            </w:r>
          </w:p>
        </w:tc>
      </w:tr>
      <w:tr w:rsidR="00593482" w:rsidRPr="006A64EE" w14:paraId="1140C6DF" w14:textId="77777777" w:rsidTr="00F70596">
        <w:trPr>
          <w:cantSplit/>
        </w:trPr>
        <w:tc>
          <w:tcPr>
            <w:tcW w:w="686" w:type="dxa"/>
          </w:tcPr>
          <w:p w14:paraId="3117DDC8" w14:textId="77777777" w:rsidR="002D5756" w:rsidRPr="006A64EE" w:rsidRDefault="002D5756" w:rsidP="004255F8">
            <w:pPr>
              <w:pStyle w:val="TableParagraph"/>
              <w:widowControl/>
              <w:suppressAutoHyphens/>
              <w:jc w:val="center"/>
            </w:pPr>
          </w:p>
        </w:tc>
        <w:tc>
          <w:tcPr>
            <w:tcW w:w="902" w:type="dxa"/>
          </w:tcPr>
          <w:p w14:paraId="7BA4120D" w14:textId="77777777" w:rsidR="002D5756" w:rsidRPr="006A64EE" w:rsidRDefault="009C2544" w:rsidP="004255F8">
            <w:pPr>
              <w:pStyle w:val="TableParagraph"/>
              <w:widowControl/>
              <w:suppressAutoHyphens/>
              <w:jc w:val="center"/>
              <w:rPr>
                <w:b/>
              </w:rPr>
            </w:pPr>
            <w:r w:rsidRPr="006A64EE">
              <w:rPr>
                <w:b/>
              </w:rPr>
              <w:t>n = 286</w:t>
            </w:r>
          </w:p>
        </w:tc>
        <w:tc>
          <w:tcPr>
            <w:tcW w:w="750" w:type="dxa"/>
          </w:tcPr>
          <w:p w14:paraId="4A13C85D" w14:textId="57A04F50" w:rsidR="002D5756" w:rsidRPr="006A64EE" w:rsidRDefault="009C2544" w:rsidP="004255F8">
            <w:pPr>
              <w:pStyle w:val="TableParagraph"/>
              <w:widowControl/>
              <w:suppressAutoHyphens/>
              <w:jc w:val="center"/>
              <w:rPr>
                <w:b/>
              </w:rPr>
            </w:pPr>
            <w:r w:rsidRPr="006A64EE">
              <w:rPr>
                <w:b/>
              </w:rPr>
              <w:t>n =</w:t>
            </w:r>
            <w:r w:rsidR="00D07274" w:rsidRPr="006A64EE">
              <w:rPr>
                <w:b/>
              </w:rPr>
              <w:t xml:space="preserve"> </w:t>
            </w:r>
            <w:r w:rsidRPr="006A64EE">
              <w:rPr>
                <w:b/>
              </w:rPr>
              <w:t>284</w:t>
            </w:r>
          </w:p>
        </w:tc>
        <w:tc>
          <w:tcPr>
            <w:tcW w:w="899" w:type="dxa"/>
          </w:tcPr>
          <w:p w14:paraId="73FA8387" w14:textId="77777777" w:rsidR="002D5756" w:rsidRPr="006A64EE" w:rsidRDefault="009C2544" w:rsidP="004255F8">
            <w:pPr>
              <w:pStyle w:val="TableParagraph"/>
              <w:widowControl/>
              <w:suppressAutoHyphens/>
              <w:jc w:val="center"/>
              <w:rPr>
                <w:b/>
              </w:rPr>
            </w:pPr>
            <w:r w:rsidRPr="006A64EE">
              <w:rPr>
                <w:b/>
              </w:rPr>
              <w:t>n = 398</w:t>
            </w:r>
          </w:p>
        </w:tc>
        <w:tc>
          <w:tcPr>
            <w:tcW w:w="899" w:type="dxa"/>
          </w:tcPr>
          <w:p w14:paraId="6C94D9E3" w14:textId="77777777" w:rsidR="002D5756" w:rsidRPr="006A64EE" w:rsidRDefault="009C2544" w:rsidP="004255F8">
            <w:pPr>
              <w:pStyle w:val="TableParagraph"/>
              <w:widowControl/>
              <w:suppressAutoHyphens/>
              <w:jc w:val="center"/>
              <w:rPr>
                <w:b/>
              </w:rPr>
            </w:pPr>
            <w:r w:rsidRPr="006A64EE">
              <w:rPr>
                <w:b/>
              </w:rPr>
              <w:t>n = 393</w:t>
            </w:r>
          </w:p>
        </w:tc>
        <w:tc>
          <w:tcPr>
            <w:tcW w:w="899" w:type="dxa"/>
          </w:tcPr>
          <w:p w14:paraId="2577BF72" w14:textId="77777777" w:rsidR="002D5756" w:rsidRPr="006A64EE" w:rsidRDefault="009C2544" w:rsidP="004255F8">
            <w:pPr>
              <w:pStyle w:val="TableParagraph"/>
              <w:widowControl/>
              <w:suppressAutoHyphens/>
              <w:jc w:val="center"/>
              <w:rPr>
                <w:b/>
              </w:rPr>
            </w:pPr>
            <w:r w:rsidRPr="006A64EE">
              <w:rPr>
                <w:b/>
              </w:rPr>
              <w:t>n = 205</w:t>
            </w:r>
          </w:p>
        </w:tc>
        <w:tc>
          <w:tcPr>
            <w:tcW w:w="899" w:type="dxa"/>
          </w:tcPr>
          <w:p w14:paraId="7DF83421" w14:textId="77777777" w:rsidR="002D5756" w:rsidRPr="006A64EE" w:rsidRDefault="009C2544" w:rsidP="004255F8">
            <w:pPr>
              <w:pStyle w:val="TableParagraph"/>
              <w:widowControl/>
              <w:suppressAutoHyphens/>
              <w:jc w:val="center"/>
              <w:rPr>
                <w:b/>
              </w:rPr>
            </w:pPr>
            <w:r w:rsidRPr="006A64EE">
              <w:rPr>
                <w:b/>
              </w:rPr>
              <w:t>n = 204</w:t>
            </w:r>
          </w:p>
        </w:tc>
        <w:tc>
          <w:tcPr>
            <w:tcW w:w="990" w:type="dxa"/>
          </w:tcPr>
          <w:p w14:paraId="35F4CD46" w14:textId="77777777" w:rsidR="002D5756" w:rsidRPr="006A64EE" w:rsidRDefault="009C2544" w:rsidP="004255F8">
            <w:pPr>
              <w:pStyle w:val="TableParagraph"/>
              <w:widowControl/>
              <w:suppressAutoHyphens/>
              <w:jc w:val="center"/>
              <w:rPr>
                <w:b/>
              </w:rPr>
            </w:pPr>
            <w:r w:rsidRPr="006A64EE">
              <w:rPr>
                <w:b/>
              </w:rPr>
              <w:t>n = 803</w:t>
            </w:r>
          </w:p>
        </w:tc>
        <w:tc>
          <w:tcPr>
            <w:tcW w:w="985" w:type="dxa"/>
          </w:tcPr>
          <w:p w14:paraId="0B73D6DE" w14:textId="77777777" w:rsidR="002D5756" w:rsidRPr="006A64EE" w:rsidRDefault="009C2544" w:rsidP="004255F8">
            <w:pPr>
              <w:pStyle w:val="TableParagraph"/>
              <w:widowControl/>
              <w:suppressAutoHyphens/>
              <w:jc w:val="center"/>
              <w:rPr>
                <w:b/>
              </w:rPr>
            </w:pPr>
            <w:r w:rsidRPr="006A64EE">
              <w:rPr>
                <w:b/>
              </w:rPr>
              <w:t>n = 413</w:t>
            </w:r>
          </w:p>
        </w:tc>
        <w:tc>
          <w:tcPr>
            <w:tcW w:w="901" w:type="dxa"/>
          </w:tcPr>
          <w:p w14:paraId="7606AD5B" w14:textId="77777777" w:rsidR="002D5756" w:rsidRPr="006A64EE" w:rsidRDefault="009C2544" w:rsidP="004255F8">
            <w:pPr>
              <w:pStyle w:val="TableParagraph"/>
              <w:widowControl/>
              <w:suppressAutoHyphens/>
              <w:jc w:val="center"/>
              <w:rPr>
                <w:b/>
              </w:rPr>
            </w:pPr>
            <w:r w:rsidRPr="006A64EE">
              <w:rPr>
                <w:b/>
              </w:rPr>
              <w:t>n = 170</w:t>
            </w:r>
          </w:p>
        </w:tc>
        <w:tc>
          <w:tcPr>
            <w:tcW w:w="899" w:type="dxa"/>
          </w:tcPr>
          <w:p w14:paraId="79356A6D" w14:textId="77777777" w:rsidR="002D5756" w:rsidRPr="006A64EE" w:rsidRDefault="009C2544" w:rsidP="004255F8">
            <w:pPr>
              <w:pStyle w:val="TableParagraph"/>
              <w:widowControl/>
              <w:suppressAutoHyphens/>
              <w:jc w:val="center"/>
              <w:rPr>
                <w:b/>
              </w:rPr>
            </w:pPr>
            <w:r w:rsidRPr="006A64EE">
              <w:rPr>
                <w:b/>
              </w:rPr>
              <w:t>n = 158</w:t>
            </w:r>
          </w:p>
        </w:tc>
      </w:tr>
      <w:tr w:rsidR="00593482" w:rsidRPr="006A64EE" w14:paraId="69DCBA69" w14:textId="77777777" w:rsidTr="00BA494F">
        <w:trPr>
          <w:cantSplit/>
        </w:trPr>
        <w:tc>
          <w:tcPr>
            <w:tcW w:w="9709" w:type="dxa"/>
            <w:gridSpan w:val="11"/>
          </w:tcPr>
          <w:p w14:paraId="7D1A0272" w14:textId="77777777" w:rsidR="002D5756" w:rsidRPr="006A64EE" w:rsidRDefault="009C2544" w:rsidP="004255F8">
            <w:pPr>
              <w:pStyle w:val="TableParagraph"/>
              <w:widowControl/>
              <w:suppressAutoHyphens/>
              <w:jc w:val="center"/>
              <w:rPr>
                <w:b/>
              </w:rPr>
            </w:pPr>
            <w:r w:rsidRPr="006A64EE">
              <w:rPr>
                <w:b/>
              </w:rPr>
              <w:t>ACR20</w:t>
            </w:r>
          </w:p>
        </w:tc>
      </w:tr>
      <w:tr w:rsidR="00593482" w:rsidRPr="006A64EE" w14:paraId="64886CB7" w14:textId="77777777" w:rsidTr="00F70596">
        <w:trPr>
          <w:cantSplit/>
        </w:trPr>
        <w:tc>
          <w:tcPr>
            <w:tcW w:w="686" w:type="dxa"/>
          </w:tcPr>
          <w:p w14:paraId="53E836AB" w14:textId="77777777" w:rsidR="002D5756" w:rsidRPr="006A64EE" w:rsidRDefault="009C2544" w:rsidP="004255F8">
            <w:pPr>
              <w:pStyle w:val="TableParagraph"/>
              <w:widowControl/>
              <w:suppressAutoHyphens/>
              <w:jc w:val="center"/>
            </w:pPr>
            <w:r w:rsidRPr="006A64EE">
              <w:t>24</w:t>
            </w:r>
          </w:p>
        </w:tc>
        <w:tc>
          <w:tcPr>
            <w:tcW w:w="902" w:type="dxa"/>
          </w:tcPr>
          <w:p w14:paraId="0E8626E0" w14:textId="77777777" w:rsidR="002D5756" w:rsidRPr="006A64EE" w:rsidRDefault="009C2544" w:rsidP="004255F8">
            <w:pPr>
              <w:pStyle w:val="TableParagraph"/>
              <w:widowControl/>
              <w:suppressAutoHyphens/>
              <w:jc w:val="center"/>
            </w:pPr>
            <w:r w:rsidRPr="006A64EE">
              <w:t>70 %***</w:t>
            </w:r>
          </w:p>
        </w:tc>
        <w:tc>
          <w:tcPr>
            <w:tcW w:w="750" w:type="dxa"/>
          </w:tcPr>
          <w:p w14:paraId="4B8E104E" w14:textId="77777777" w:rsidR="002D5756" w:rsidRPr="006A64EE" w:rsidRDefault="009C2544" w:rsidP="004255F8">
            <w:pPr>
              <w:pStyle w:val="TableParagraph"/>
              <w:widowControl/>
              <w:suppressAutoHyphens/>
              <w:jc w:val="center"/>
            </w:pPr>
            <w:r w:rsidRPr="006A64EE">
              <w:t>52 %</w:t>
            </w:r>
          </w:p>
        </w:tc>
        <w:tc>
          <w:tcPr>
            <w:tcW w:w="899" w:type="dxa"/>
          </w:tcPr>
          <w:p w14:paraId="39983BC2" w14:textId="16308E08" w:rsidR="002D5756" w:rsidRPr="006A64EE" w:rsidRDefault="009C2544" w:rsidP="004255F8">
            <w:pPr>
              <w:pStyle w:val="TableParagraph"/>
              <w:widowControl/>
              <w:suppressAutoHyphens/>
              <w:jc w:val="center"/>
            </w:pPr>
            <w:r w:rsidRPr="006A64EE">
              <w:t>56 %***</w:t>
            </w:r>
          </w:p>
        </w:tc>
        <w:tc>
          <w:tcPr>
            <w:tcW w:w="899" w:type="dxa"/>
          </w:tcPr>
          <w:p w14:paraId="203942F7" w14:textId="77777777" w:rsidR="002D5756" w:rsidRPr="006A64EE" w:rsidRDefault="009C2544" w:rsidP="004255F8">
            <w:pPr>
              <w:pStyle w:val="TableParagraph"/>
              <w:widowControl/>
              <w:suppressAutoHyphens/>
              <w:jc w:val="center"/>
            </w:pPr>
            <w:r w:rsidRPr="006A64EE">
              <w:t>27 %</w:t>
            </w:r>
          </w:p>
        </w:tc>
        <w:tc>
          <w:tcPr>
            <w:tcW w:w="899" w:type="dxa"/>
          </w:tcPr>
          <w:p w14:paraId="32529E02" w14:textId="713C9992" w:rsidR="002D5756" w:rsidRPr="006A64EE" w:rsidRDefault="009C2544" w:rsidP="004255F8">
            <w:pPr>
              <w:pStyle w:val="TableParagraph"/>
              <w:widowControl/>
              <w:suppressAutoHyphens/>
              <w:jc w:val="center"/>
            </w:pPr>
            <w:r w:rsidRPr="006A64EE">
              <w:t>59 %***</w:t>
            </w:r>
          </w:p>
        </w:tc>
        <w:tc>
          <w:tcPr>
            <w:tcW w:w="899" w:type="dxa"/>
          </w:tcPr>
          <w:p w14:paraId="26847A49" w14:textId="77777777" w:rsidR="002D5756" w:rsidRPr="006A64EE" w:rsidRDefault="009C2544" w:rsidP="004255F8">
            <w:pPr>
              <w:pStyle w:val="TableParagraph"/>
              <w:widowControl/>
              <w:suppressAutoHyphens/>
              <w:jc w:val="center"/>
            </w:pPr>
            <w:r w:rsidRPr="006A64EE">
              <w:t>26 %</w:t>
            </w:r>
          </w:p>
        </w:tc>
        <w:tc>
          <w:tcPr>
            <w:tcW w:w="990" w:type="dxa"/>
          </w:tcPr>
          <w:p w14:paraId="435407E7" w14:textId="77777777" w:rsidR="002D5756" w:rsidRPr="006A64EE" w:rsidRDefault="009C2544" w:rsidP="004255F8">
            <w:pPr>
              <w:pStyle w:val="TableParagraph"/>
              <w:widowControl/>
              <w:suppressAutoHyphens/>
              <w:jc w:val="center"/>
            </w:pPr>
            <w:r w:rsidRPr="006A64EE">
              <w:t>61 %***</w:t>
            </w:r>
          </w:p>
        </w:tc>
        <w:tc>
          <w:tcPr>
            <w:tcW w:w="985" w:type="dxa"/>
          </w:tcPr>
          <w:p w14:paraId="09C00A67" w14:textId="77777777" w:rsidR="002D5756" w:rsidRPr="006A64EE" w:rsidRDefault="009C2544" w:rsidP="004255F8">
            <w:pPr>
              <w:pStyle w:val="TableParagraph"/>
              <w:widowControl/>
              <w:suppressAutoHyphens/>
              <w:jc w:val="center"/>
            </w:pPr>
            <w:r w:rsidRPr="006A64EE">
              <w:t>24 %</w:t>
            </w:r>
          </w:p>
        </w:tc>
        <w:tc>
          <w:tcPr>
            <w:tcW w:w="901" w:type="dxa"/>
          </w:tcPr>
          <w:p w14:paraId="086C220C" w14:textId="3CDC6E26" w:rsidR="002D5756" w:rsidRPr="006A64EE" w:rsidRDefault="009C2544" w:rsidP="004255F8">
            <w:pPr>
              <w:pStyle w:val="TableParagraph"/>
              <w:widowControl/>
              <w:suppressAutoHyphens/>
              <w:jc w:val="center"/>
            </w:pPr>
            <w:r w:rsidRPr="006A64EE">
              <w:t>50 %***</w:t>
            </w:r>
          </w:p>
        </w:tc>
        <w:tc>
          <w:tcPr>
            <w:tcW w:w="899" w:type="dxa"/>
          </w:tcPr>
          <w:p w14:paraId="3762CE12" w14:textId="77777777" w:rsidR="002D5756" w:rsidRPr="006A64EE" w:rsidRDefault="009C2544" w:rsidP="004255F8">
            <w:pPr>
              <w:pStyle w:val="TableParagraph"/>
              <w:widowControl/>
              <w:suppressAutoHyphens/>
              <w:jc w:val="center"/>
            </w:pPr>
            <w:r w:rsidRPr="006A64EE">
              <w:t>10 %</w:t>
            </w:r>
          </w:p>
        </w:tc>
      </w:tr>
      <w:tr w:rsidR="00593482" w:rsidRPr="006A64EE" w14:paraId="7B025CE0" w14:textId="77777777" w:rsidTr="00F70596">
        <w:trPr>
          <w:cantSplit/>
        </w:trPr>
        <w:tc>
          <w:tcPr>
            <w:tcW w:w="686" w:type="dxa"/>
          </w:tcPr>
          <w:p w14:paraId="60BFA310" w14:textId="77777777" w:rsidR="002D5756" w:rsidRPr="006A64EE" w:rsidRDefault="009C2544" w:rsidP="004255F8">
            <w:pPr>
              <w:pStyle w:val="TableParagraph"/>
              <w:widowControl/>
              <w:suppressAutoHyphens/>
              <w:jc w:val="center"/>
            </w:pPr>
            <w:r w:rsidRPr="006A64EE">
              <w:t>52</w:t>
            </w:r>
          </w:p>
        </w:tc>
        <w:tc>
          <w:tcPr>
            <w:tcW w:w="902" w:type="dxa"/>
          </w:tcPr>
          <w:p w14:paraId="32DF7CF2" w14:textId="77777777" w:rsidR="002D5756" w:rsidRPr="006A64EE" w:rsidRDefault="002D5756" w:rsidP="004255F8">
            <w:pPr>
              <w:pStyle w:val="TableParagraph"/>
              <w:widowControl/>
              <w:suppressAutoHyphens/>
            </w:pPr>
          </w:p>
        </w:tc>
        <w:tc>
          <w:tcPr>
            <w:tcW w:w="750" w:type="dxa"/>
          </w:tcPr>
          <w:p w14:paraId="42C92B7A" w14:textId="77777777" w:rsidR="002D5756" w:rsidRPr="006A64EE" w:rsidRDefault="002D5756" w:rsidP="004255F8">
            <w:pPr>
              <w:pStyle w:val="TableParagraph"/>
              <w:widowControl/>
              <w:suppressAutoHyphens/>
            </w:pPr>
          </w:p>
        </w:tc>
        <w:tc>
          <w:tcPr>
            <w:tcW w:w="899" w:type="dxa"/>
          </w:tcPr>
          <w:p w14:paraId="1DEC55E6" w14:textId="5FC58F30" w:rsidR="002D5756" w:rsidRPr="006A64EE" w:rsidRDefault="009C2544" w:rsidP="004255F8">
            <w:pPr>
              <w:pStyle w:val="TableParagraph"/>
              <w:widowControl/>
              <w:suppressAutoHyphens/>
              <w:jc w:val="center"/>
            </w:pPr>
            <w:r w:rsidRPr="006A64EE">
              <w:t>56 %***</w:t>
            </w:r>
          </w:p>
        </w:tc>
        <w:tc>
          <w:tcPr>
            <w:tcW w:w="899" w:type="dxa"/>
          </w:tcPr>
          <w:p w14:paraId="0EA80909" w14:textId="77777777" w:rsidR="002D5756" w:rsidRPr="006A64EE" w:rsidRDefault="009C2544" w:rsidP="004255F8">
            <w:pPr>
              <w:pStyle w:val="TableParagraph"/>
              <w:widowControl/>
              <w:suppressAutoHyphens/>
              <w:jc w:val="center"/>
            </w:pPr>
            <w:r w:rsidRPr="006A64EE">
              <w:t>25 %</w:t>
            </w:r>
          </w:p>
        </w:tc>
        <w:tc>
          <w:tcPr>
            <w:tcW w:w="899" w:type="dxa"/>
          </w:tcPr>
          <w:p w14:paraId="5F6F65C0" w14:textId="77777777" w:rsidR="002D5756" w:rsidRPr="006A64EE" w:rsidRDefault="002D5756" w:rsidP="004255F8">
            <w:pPr>
              <w:pStyle w:val="TableParagraph"/>
              <w:widowControl/>
              <w:suppressAutoHyphens/>
            </w:pPr>
          </w:p>
        </w:tc>
        <w:tc>
          <w:tcPr>
            <w:tcW w:w="899" w:type="dxa"/>
          </w:tcPr>
          <w:p w14:paraId="4F9F5B87" w14:textId="77777777" w:rsidR="002D5756" w:rsidRPr="006A64EE" w:rsidRDefault="002D5756" w:rsidP="004255F8">
            <w:pPr>
              <w:pStyle w:val="TableParagraph"/>
              <w:widowControl/>
              <w:suppressAutoHyphens/>
            </w:pPr>
          </w:p>
        </w:tc>
        <w:tc>
          <w:tcPr>
            <w:tcW w:w="990" w:type="dxa"/>
          </w:tcPr>
          <w:p w14:paraId="2F872FA6" w14:textId="77777777" w:rsidR="002D5756" w:rsidRPr="006A64EE" w:rsidRDefault="002D5756" w:rsidP="004255F8">
            <w:pPr>
              <w:pStyle w:val="TableParagraph"/>
              <w:widowControl/>
              <w:suppressAutoHyphens/>
            </w:pPr>
          </w:p>
        </w:tc>
        <w:tc>
          <w:tcPr>
            <w:tcW w:w="985" w:type="dxa"/>
          </w:tcPr>
          <w:p w14:paraId="703BB277" w14:textId="77777777" w:rsidR="002D5756" w:rsidRPr="006A64EE" w:rsidRDefault="002D5756" w:rsidP="004255F8">
            <w:pPr>
              <w:pStyle w:val="TableParagraph"/>
              <w:widowControl/>
              <w:suppressAutoHyphens/>
            </w:pPr>
          </w:p>
        </w:tc>
        <w:tc>
          <w:tcPr>
            <w:tcW w:w="901" w:type="dxa"/>
          </w:tcPr>
          <w:p w14:paraId="3D3A8427" w14:textId="77777777" w:rsidR="002D5756" w:rsidRPr="006A64EE" w:rsidRDefault="002D5756" w:rsidP="004255F8">
            <w:pPr>
              <w:pStyle w:val="TableParagraph"/>
              <w:widowControl/>
              <w:suppressAutoHyphens/>
            </w:pPr>
          </w:p>
        </w:tc>
        <w:tc>
          <w:tcPr>
            <w:tcW w:w="899" w:type="dxa"/>
          </w:tcPr>
          <w:p w14:paraId="08ECAF01" w14:textId="77777777" w:rsidR="002D5756" w:rsidRPr="006A64EE" w:rsidRDefault="002D5756" w:rsidP="004255F8">
            <w:pPr>
              <w:pStyle w:val="TableParagraph"/>
              <w:widowControl/>
              <w:suppressAutoHyphens/>
            </w:pPr>
          </w:p>
        </w:tc>
      </w:tr>
      <w:tr w:rsidR="00593482" w:rsidRPr="006A64EE" w14:paraId="5BE9A20B" w14:textId="77777777" w:rsidTr="00BA494F">
        <w:trPr>
          <w:cantSplit/>
        </w:trPr>
        <w:tc>
          <w:tcPr>
            <w:tcW w:w="9709" w:type="dxa"/>
            <w:gridSpan w:val="11"/>
          </w:tcPr>
          <w:p w14:paraId="24B20153" w14:textId="77777777" w:rsidR="002D5756" w:rsidRPr="006A64EE" w:rsidRDefault="009C2544" w:rsidP="004255F8">
            <w:pPr>
              <w:pStyle w:val="TableParagraph"/>
              <w:widowControl/>
              <w:suppressAutoHyphens/>
              <w:jc w:val="center"/>
              <w:rPr>
                <w:b/>
              </w:rPr>
            </w:pPr>
            <w:r w:rsidRPr="006A64EE">
              <w:rPr>
                <w:b/>
              </w:rPr>
              <w:t>ACR50</w:t>
            </w:r>
          </w:p>
        </w:tc>
      </w:tr>
      <w:tr w:rsidR="00593482" w:rsidRPr="006A64EE" w14:paraId="21D0C97D" w14:textId="77777777" w:rsidTr="00F70596">
        <w:trPr>
          <w:cantSplit/>
        </w:trPr>
        <w:tc>
          <w:tcPr>
            <w:tcW w:w="686" w:type="dxa"/>
          </w:tcPr>
          <w:p w14:paraId="2CFA787B" w14:textId="77777777" w:rsidR="002D5756" w:rsidRPr="006A64EE" w:rsidRDefault="009C2544" w:rsidP="004255F8">
            <w:pPr>
              <w:pStyle w:val="TableParagraph"/>
              <w:widowControl/>
              <w:suppressAutoHyphens/>
              <w:jc w:val="center"/>
            </w:pPr>
            <w:r w:rsidRPr="006A64EE">
              <w:t>24</w:t>
            </w:r>
          </w:p>
        </w:tc>
        <w:tc>
          <w:tcPr>
            <w:tcW w:w="902" w:type="dxa"/>
          </w:tcPr>
          <w:p w14:paraId="1FECE386" w14:textId="77777777" w:rsidR="002D5756" w:rsidRPr="006A64EE" w:rsidRDefault="009C2544" w:rsidP="004255F8">
            <w:pPr>
              <w:pStyle w:val="TableParagraph"/>
              <w:widowControl/>
              <w:suppressAutoHyphens/>
              <w:jc w:val="center"/>
            </w:pPr>
            <w:r w:rsidRPr="006A64EE">
              <w:t>44 %**</w:t>
            </w:r>
          </w:p>
        </w:tc>
        <w:tc>
          <w:tcPr>
            <w:tcW w:w="750" w:type="dxa"/>
          </w:tcPr>
          <w:p w14:paraId="5DE1412D" w14:textId="77777777" w:rsidR="002D5756" w:rsidRPr="006A64EE" w:rsidRDefault="009C2544" w:rsidP="004255F8">
            <w:pPr>
              <w:pStyle w:val="TableParagraph"/>
              <w:widowControl/>
              <w:suppressAutoHyphens/>
              <w:jc w:val="center"/>
            </w:pPr>
            <w:r w:rsidRPr="006A64EE">
              <w:t>33 %</w:t>
            </w:r>
          </w:p>
        </w:tc>
        <w:tc>
          <w:tcPr>
            <w:tcW w:w="899" w:type="dxa"/>
          </w:tcPr>
          <w:p w14:paraId="5F94D654" w14:textId="39130CD0" w:rsidR="002D5756" w:rsidRPr="006A64EE" w:rsidRDefault="009C2544" w:rsidP="004255F8">
            <w:pPr>
              <w:pStyle w:val="TableParagraph"/>
              <w:widowControl/>
              <w:suppressAutoHyphens/>
              <w:jc w:val="center"/>
            </w:pPr>
            <w:r w:rsidRPr="006A64EE">
              <w:t>32 %***</w:t>
            </w:r>
          </w:p>
        </w:tc>
        <w:tc>
          <w:tcPr>
            <w:tcW w:w="899" w:type="dxa"/>
          </w:tcPr>
          <w:p w14:paraId="6BEF2CDB" w14:textId="77777777" w:rsidR="002D5756" w:rsidRPr="006A64EE" w:rsidRDefault="009C2544" w:rsidP="004255F8">
            <w:pPr>
              <w:pStyle w:val="TableParagraph"/>
              <w:widowControl/>
              <w:suppressAutoHyphens/>
              <w:jc w:val="center"/>
            </w:pPr>
            <w:r w:rsidRPr="006A64EE">
              <w:t>10 %</w:t>
            </w:r>
          </w:p>
        </w:tc>
        <w:tc>
          <w:tcPr>
            <w:tcW w:w="899" w:type="dxa"/>
          </w:tcPr>
          <w:p w14:paraId="693DDBA8" w14:textId="4F9DBBDB" w:rsidR="002D5756" w:rsidRPr="006A64EE" w:rsidRDefault="009C2544" w:rsidP="004255F8">
            <w:pPr>
              <w:pStyle w:val="TableParagraph"/>
              <w:widowControl/>
              <w:suppressAutoHyphens/>
              <w:jc w:val="center"/>
            </w:pPr>
            <w:r w:rsidRPr="006A64EE">
              <w:t>44 %***</w:t>
            </w:r>
          </w:p>
        </w:tc>
        <w:tc>
          <w:tcPr>
            <w:tcW w:w="899" w:type="dxa"/>
          </w:tcPr>
          <w:p w14:paraId="0520B711" w14:textId="77777777" w:rsidR="002D5756" w:rsidRPr="006A64EE" w:rsidRDefault="009C2544" w:rsidP="004255F8">
            <w:pPr>
              <w:pStyle w:val="TableParagraph"/>
              <w:widowControl/>
              <w:suppressAutoHyphens/>
              <w:jc w:val="center"/>
            </w:pPr>
            <w:r w:rsidRPr="006A64EE">
              <w:t>11 %</w:t>
            </w:r>
          </w:p>
        </w:tc>
        <w:tc>
          <w:tcPr>
            <w:tcW w:w="990" w:type="dxa"/>
          </w:tcPr>
          <w:p w14:paraId="531BC464" w14:textId="77777777" w:rsidR="002D5756" w:rsidRPr="006A64EE" w:rsidRDefault="009C2544" w:rsidP="004255F8">
            <w:pPr>
              <w:pStyle w:val="TableParagraph"/>
              <w:widowControl/>
              <w:suppressAutoHyphens/>
              <w:jc w:val="center"/>
            </w:pPr>
            <w:r w:rsidRPr="006A64EE">
              <w:t>38 %***</w:t>
            </w:r>
          </w:p>
        </w:tc>
        <w:tc>
          <w:tcPr>
            <w:tcW w:w="985" w:type="dxa"/>
          </w:tcPr>
          <w:p w14:paraId="6B4A1986" w14:textId="77777777" w:rsidR="002D5756" w:rsidRPr="006A64EE" w:rsidRDefault="009C2544" w:rsidP="004255F8">
            <w:pPr>
              <w:pStyle w:val="TableParagraph"/>
              <w:widowControl/>
              <w:suppressAutoHyphens/>
              <w:jc w:val="center"/>
            </w:pPr>
            <w:r w:rsidRPr="006A64EE">
              <w:t>9 %</w:t>
            </w:r>
          </w:p>
        </w:tc>
        <w:tc>
          <w:tcPr>
            <w:tcW w:w="901" w:type="dxa"/>
          </w:tcPr>
          <w:p w14:paraId="77F0134B" w14:textId="6F7A883C" w:rsidR="002D5756" w:rsidRPr="006A64EE" w:rsidRDefault="009C2544" w:rsidP="004255F8">
            <w:pPr>
              <w:pStyle w:val="TableParagraph"/>
              <w:widowControl/>
              <w:suppressAutoHyphens/>
              <w:jc w:val="center"/>
            </w:pPr>
            <w:r w:rsidRPr="006A64EE">
              <w:t>29 %***</w:t>
            </w:r>
          </w:p>
        </w:tc>
        <w:tc>
          <w:tcPr>
            <w:tcW w:w="899" w:type="dxa"/>
          </w:tcPr>
          <w:p w14:paraId="50211FE1" w14:textId="77777777" w:rsidR="002D5756" w:rsidRPr="006A64EE" w:rsidRDefault="009C2544" w:rsidP="004255F8">
            <w:pPr>
              <w:pStyle w:val="TableParagraph"/>
              <w:widowControl/>
              <w:suppressAutoHyphens/>
              <w:jc w:val="center"/>
            </w:pPr>
            <w:r w:rsidRPr="006A64EE">
              <w:t>4 %</w:t>
            </w:r>
          </w:p>
        </w:tc>
      </w:tr>
      <w:tr w:rsidR="00593482" w:rsidRPr="006A64EE" w14:paraId="1797713F" w14:textId="77777777" w:rsidTr="00F70596">
        <w:trPr>
          <w:cantSplit/>
        </w:trPr>
        <w:tc>
          <w:tcPr>
            <w:tcW w:w="686" w:type="dxa"/>
          </w:tcPr>
          <w:p w14:paraId="61CE9693" w14:textId="77777777" w:rsidR="002D5756" w:rsidRPr="006A64EE" w:rsidRDefault="009C2544" w:rsidP="004255F8">
            <w:pPr>
              <w:pStyle w:val="TableParagraph"/>
              <w:widowControl/>
              <w:suppressAutoHyphens/>
              <w:jc w:val="center"/>
            </w:pPr>
            <w:r w:rsidRPr="006A64EE">
              <w:t>52</w:t>
            </w:r>
          </w:p>
        </w:tc>
        <w:tc>
          <w:tcPr>
            <w:tcW w:w="902" w:type="dxa"/>
          </w:tcPr>
          <w:p w14:paraId="4D738142" w14:textId="77777777" w:rsidR="002D5756" w:rsidRPr="006A64EE" w:rsidRDefault="002D5756" w:rsidP="004255F8">
            <w:pPr>
              <w:pStyle w:val="TableParagraph"/>
              <w:widowControl/>
              <w:suppressAutoHyphens/>
            </w:pPr>
          </w:p>
        </w:tc>
        <w:tc>
          <w:tcPr>
            <w:tcW w:w="750" w:type="dxa"/>
          </w:tcPr>
          <w:p w14:paraId="6332A47B" w14:textId="77777777" w:rsidR="002D5756" w:rsidRPr="006A64EE" w:rsidRDefault="002D5756" w:rsidP="004255F8">
            <w:pPr>
              <w:pStyle w:val="TableParagraph"/>
              <w:widowControl/>
              <w:suppressAutoHyphens/>
            </w:pPr>
          </w:p>
        </w:tc>
        <w:tc>
          <w:tcPr>
            <w:tcW w:w="899" w:type="dxa"/>
          </w:tcPr>
          <w:p w14:paraId="3D46C3DE" w14:textId="2ADF6261" w:rsidR="002D5756" w:rsidRPr="006A64EE" w:rsidRDefault="009C2544" w:rsidP="004255F8">
            <w:pPr>
              <w:pStyle w:val="TableParagraph"/>
              <w:widowControl/>
              <w:suppressAutoHyphens/>
              <w:jc w:val="center"/>
            </w:pPr>
            <w:r w:rsidRPr="006A64EE">
              <w:t>36 %***</w:t>
            </w:r>
          </w:p>
        </w:tc>
        <w:tc>
          <w:tcPr>
            <w:tcW w:w="899" w:type="dxa"/>
          </w:tcPr>
          <w:p w14:paraId="5ED4F3D6" w14:textId="77777777" w:rsidR="002D5756" w:rsidRPr="006A64EE" w:rsidRDefault="009C2544" w:rsidP="004255F8">
            <w:pPr>
              <w:pStyle w:val="TableParagraph"/>
              <w:widowControl/>
              <w:suppressAutoHyphens/>
              <w:jc w:val="center"/>
            </w:pPr>
            <w:r w:rsidRPr="006A64EE">
              <w:t>10 %</w:t>
            </w:r>
          </w:p>
        </w:tc>
        <w:tc>
          <w:tcPr>
            <w:tcW w:w="899" w:type="dxa"/>
          </w:tcPr>
          <w:p w14:paraId="2A9B50EE" w14:textId="77777777" w:rsidR="002D5756" w:rsidRPr="006A64EE" w:rsidRDefault="002D5756" w:rsidP="004255F8">
            <w:pPr>
              <w:pStyle w:val="TableParagraph"/>
              <w:widowControl/>
              <w:suppressAutoHyphens/>
            </w:pPr>
          </w:p>
        </w:tc>
        <w:tc>
          <w:tcPr>
            <w:tcW w:w="899" w:type="dxa"/>
          </w:tcPr>
          <w:p w14:paraId="237C7B6D" w14:textId="77777777" w:rsidR="002D5756" w:rsidRPr="006A64EE" w:rsidRDefault="002D5756" w:rsidP="004255F8">
            <w:pPr>
              <w:pStyle w:val="TableParagraph"/>
              <w:widowControl/>
              <w:suppressAutoHyphens/>
            </w:pPr>
          </w:p>
        </w:tc>
        <w:tc>
          <w:tcPr>
            <w:tcW w:w="990" w:type="dxa"/>
          </w:tcPr>
          <w:p w14:paraId="7997CA94" w14:textId="77777777" w:rsidR="002D5756" w:rsidRPr="006A64EE" w:rsidRDefault="002D5756" w:rsidP="004255F8">
            <w:pPr>
              <w:pStyle w:val="TableParagraph"/>
              <w:widowControl/>
              <w:suppressAutoHyphens/>
            </w:pPr>
          </w:p>
        </w:tc>
        <w:tc>
          <w:tcPr>
            <w:tcW w:w="985" w:type="dxa"/>
          </w:tcPr>
          <w:p w14:paraId="4F4382A1" w14:textId="77777777" w:rsidR="002D5756" w:rsidRPr="006A64EE" w:rsidRDefault="002D5756" w:rsidP="004255F8">
            <w:pPr>
              <w:pStyle w:val="TableParagraph"/>
              <w:widowControl/>
              <w:suppressAutoHyphens/>
            </w:pPr>
          </w:p>
        </w:tc>
        <w:tc>
          <w:tcPr>
            <w:tcW w:w="901" w:type="dxa"/>
          </w:tcPr>
          <w:p w14:paraId="6BF745DC" w14:textId="77777777" w:rsidR="002D5756" w:rsidRPr="006A64EE" w:rsidRDefault="002D5756" w:rsidP="004255F8">
            <w:pPr>
              <w:pStyle w:val="TableParagraph"/>
              <w:widowControl/>
              <w:suppressAutoHyphens/>
            </w:pPr>
          </w:p>
        </w:tc>
        <w:tc>
          <w:tcPr>
            <w:tcW w:w="899" w:type="dxa"/>
          </w:tcPr>
          <w:p w14:paraId="083FEDEE" w14:textId="77777777" w:rsidR="002D5756" w:rsidRPr="006A64EE" w:rsidRDefault="002D5756" w:rsidP="004255F8">
            <w:pPr>
              <w:pStyle w:val="TableParagraph"/>
              <w:widowControl/>
              <w:suppressAutoHyphens/>
            </w:pPr>
          </w:p>
        </w:tc>
      </w:tr>
      <w:tr w:rsidR="00593482" w:rsidRPr="006A64EE" w14:paraId="5EB8AF9F" w14:textId="77777777" w:rsidTr="00BA494F">
        <w:trPr>
          <w:cantSplit/>
        </w:trPr>
        <w:tc>
          <w:tcPr>
            <w:tcW w:w="9709" w:type="dxa"/>
            <w:gridSpan w:val="11"/>
          </w:tcPr>
          <w:p w14:paraId="27E030B1" w14:textId="77777777" w:rsidR="002D5756" w:rsidRPr="006A64EE" w:rsidRDefault="009C2544" w:rsidP="004255F8">
            <w:pPr>
              <w:pStyle w:val="TableParagraph"/>
              <w:widowControl/>
              <w:suppressAutoHyphens/>
              <w:jc w:val="center"/>
              <w:rPr>
                <w:b/>
              </w:rPr>
            </w:pPr>
            <w:r w:rsidRPr="006A64EE">
              <w:rPr>
                <w:b/>
              </w:rPr>
              <w:t>ACR70</w:t>
            </w:r>
          </w:p>
        </w:tc>
      </w:tr>
      <w:tr w:rsidR="00593482" w:rsidRPr="006A64EE" w14:paraId="6D4C23F3" w14:textId="77777777" w:rsidTr="00F70596">
        <w:trPr>
          <w:cantSplit/>
        </w:trPr>
        <w:tc>
          <w:tcPr>
            <w:tcW w:w="686" w:type="dxa"/>
          </w:tcPr>
          <w:p w14:paraId="6E363EE0" w14:textId="77777777" w:rsidR="002D5756" w:rsidRPr="006A64EE" w:rsidRDefault="009C2544" w:rsidP="004255F8">
            <w:pPr>
              <w:pStyle w:val="TableParagraph"/>
              <w:widowControl/>
              <w:suppressAutoHyphens/>
              <w:jc w:val="center"/>
            </w:pPr>
            <w:r w:rsidRPr="006A64EE">
              <w:t>24</w:t>
            </w:r>
          </w:p>
        </w:tc>
        <w:tc>
          <w:tcPr>
            <w:tcW w:w="902" w:type="dxa"/>
          </w:tcPr>
          <w:p w14:paraId="32170898" w14:textId="77777777" w:rsidR="002D5756" w:rsidRPr="006A64EE" w:rsidRDefault="009C2544" w:rsidP="004255F8">
            <w:pPr>
              <w:pStyle w:val="TableParagraph"/>
              <w:widowControl/>
              <w:suppressAutoHyphens/>
              <w:jc w:val="center"/>
            </w:pPr>
            <w:r w:rsidRPr="006A64EE">
              <w:t>28 %**</w:t>
            </w:r>
          </w:p>
        </w:tc>
        <w:tc>
          <w:tcPr>
            <w:tcW w:w="750" w:type="dxa"/>
          </w:tcPr>
          <w:p w14:paraId="38B17461" w14:textId="77777777" w:rsidR="002D5756" w:rsidRPr="006A64EE" w:rsidRDefault="009C2544" w:rsidP="004255F8">
            <w:pPr>
              <w:pStyle w:val="TableParagraph"/>
              <w:widowControl/>
              <w:suppressAutoHyphens/>
              <w:jc w:val="center"/>
            </w:pPr>
            <w:r w:rsidRPr="006A64EE">
              <w:t>15 %</w:t>
            </w:r>
          </w:p>
        </w:tc>
        <w:tc>
          <w:tcPr>
            <w:tcW w:w="899" w:type="dxa"/>
          </w:tcPr>
          <w:p w14:paraId="14B012D5" w14:textId="56CDDC68" w:rsidR="002D5756" w:rsidRPr="006A64EE" w:rsidRDefault="009C2544" w:rsidP="004255F8">
            <w:pPr>
              <w:pStyle w:val="TableParagraph"/>
              <w:widowControl/>
              <w:suppressAutoHyphens/>
              <w:jc w:val="center"/>
            </w:pPr>
            <w:r w:rsidRPr="006A64EE">
              <w:t>13 %***</w:t>
            </w:r>
          </w:p>
        </w:tc>
        <w:tc>
          <w:tcPr>
            <w:tcW w:w="899" w:type="dxa"/>
          </w:tcPr>
          <w:p w14:paraId="41CF28EE" w14:textId="77777777" w:rsidR="002D5756" w:rsidRPr="006A64EE" w:rsidRDefault="009C2544" w:rsidP="004255F8">
            <w:pPr>
              <w:pStyle w:val="TableParagraph"/>
              <w:widowControl/>
              <w:suppressAutoHyphens/>
              <w:jc w:val="center"/>
            </w:pPr>
            <w:r w:rsidRPr="006A64EE">
              <w:t>2 %</w:t>
            </w:r>
          </w:p>
        </w:tc>
        <w:tc>
          <w:tcPr>
            <w:tcW w:w="899" w:type="dxa"/>
          </w:tcPr>
          <w:p w14:paraId="2350B9B7" w14:textId="4957FD50" w:rsidR="002D5756" w:rsidRPr="006A64EE" w:rsidRDefault="009C2544" w:rsidP="004255F8">
            <w:pPr>
              <w:pStyle w:val="TableParagraph"/>
              <w:widowControl/>
              <w:suppressAutoHyphens/>
              <w:jc w:val="center"/>
            </w:pPr>
            <w:r w:rsidRPr="006A64EE">
              <w:t>22 %***</w:t>
            </w:r>
          </w:p>
        </w:tc>
        <w:tc>
          <w:tcPr>
            <w:tcW w:w="899" w:type="dxa"/>
          </w:tcPr>
          <w:p w14:paraId="6AF17014" w14:textId="77777777" w:rsidR="002D5756" w:rsidRPr="006A64EE" w:rsidRDefault="009C2544" w:rsidP="004255F8">
            <w:pPr>
              <w:pStyle w:val="TableParagraph"/>
              <w:widowControl/>
              <w:suppressAutoHyphens/>
              <w:jc w:val="center"/>
            </w:pPr>
            <w:r w:rsidRPr="006A64EE">
              <w:t>2 %</w:t>
            </w:r>
          </w:p>
        </w:tc>
        <w:tc>
          <w:tcPr>
            <w:tcW w:w="990" w:type="dxa"/>
          </w:tcPr>
          <w:p w14:paraId="4B659DDC" w14:textId="77777777" w:rsidR="002D5756" w:rsidRPr="006A64EE" w:rsidRDefault="009C2544" w:rsidP="004255F8">
            <w:pPr>
              <w:pStyle w:val="TableParagraph"/>
              <w:widowControl/>
              <w:suppressAutoHyphens/>
              <w:jc w:val="center"/>
            </w:pPr>
            <w:r w:rsidRPr="006A64EE">
              <w:t>21 %***</w:t>
            </w:r>
          </w:p>
        </w:tc>
        <w:tc>
          <w:tcPr>
            <w:tcW w:w="985" w:type="dxa"/>
          </w:tcPr>
          <w:p w14:paraId="1465DEA9" w14:textId="77777777" w:rsidR="002D5756" w:rsidRPr="006A64EE" w:rsidRDefault="009C2544" w:rsidP="004255F8">
            <w:pPr>
              <w:pStyle w:val="TableParagraph"/>
              <w:widowControl/>
              <w:suppressAutoHyphens/>
              <w:jc w:val="center"/>
            </w:pPr>
            <w:r w:rsidRPr="006A64EE">
              <w:t>3 %</w:t>
            </w:r>
          </w:p>
        </w:tc>
        <w:tc>
          <w:tcPr>
            <w:tcW w:w="901" w:type="dxa"/>
          </w:tcPr>
          <w:p w14:paraId="231BB5CA" w14:textId="77777777" w:rsidR="002D5756" w:rsidRPr="006A64EE" w:rsidRDefault="009C2544" w:rsidP="004255F8">
            <w:pPr>
              <w:pStyle w:val="TableParagraph"/>
              <w:widowControl/>
              <w:suppressAutoHyphens/>
            </w:pPr>
            <w:r w:rsidRPr="006A64EE">
              <w:t>12 %**</w:t>
            </w:r>
          </w:p>
        </w:tc>
        <w:tc>
          <w:tcPr>
            <w:tcW w:w="899" w:type="dxa"/>
          </w:tcPr>
          <w:p w14:paraId="7919C94A" w14:textId="77777777" w:rsidR="002D5756" w:rsidRPr="006A64EE" w:rsidRDefault="009C2544" w:rsidP="004255F8">
            <w:pPr>
              <w:pStyle w:val="TableParagraph"/>
              <w:widowControl/>
              <w:suppressAutoHyphens/>
              <w:jc w:val="center"/>
            </w:pPr>
            <w:r w:rsidRPr="006A64EE">
              <w:t>1 %</w:t>
            </w:r>
          </w:p>
        </w:tc>
      </w:tr>
      <w:tr w:rsidR="00593482" w:rsidRPr="006A64EE" w14:paraId="470BA552" w14:textId="77777777" w:rsidTr="00BA494F">
        <w:trPr>
          <w:cantSplit/>
        </w:trPr>
        <w:tc>
          <w:tcPr>
            <w:tcW w:w="686" w:type="dxa"/>
          </w:tcPr>
          <w:p w14:paraId="1D0C1C16" w14:textId="77777777" w:rsidR="002D5756" w:rsidRPr="006A64EE" w:rsidRDefault="009C2544" w:rsidP="004255F8">
            <w:pPr>
              <w:pStyle w:val="TableParagraph"/>
              <w:widowControl/>
              <w:suppressAutoHyphens/>
              <w:jc w:val="center"/>
            </w:pPr>
            <w:r w:rsidRPr="006A64EE">
              <w:t>52</w:t>
            </w:r>
          </w:p>
        </w:tc>
        <w:tc>
          <w:tcPr>
            <w:tcW w:w="1652" w:type="dxa"/>
            <w:gridSpan w:val="2"/>
          </w:tcPr>
          <w:p w14:paraId="749E46BD" w14:textId="77777777" w:rsidR="002D5756" w:rsidRPr="006A64EE" w:rsidRDefault="002D5756" w:rsidP="004255F8">
            <w:pPr>
              <w:pStyle w:val="TableParagraph"/>
              <w:widowControl/>
              <w:suppressAutoHyphens/>
            </w:pPr>
          </w:p>
        </w:tc>
        <w:tc>
          <w:tcPr>
            <w:tcW w:w="899" w:type="dxa"/>
          </w:tcPr>
          <w:p w14:paraId="3EC2D672" w14:textId="328D7253" w:rsidR="002D5756" w:rsidRPr="006A64EE" w:rsidRDefault="009C2544" w:rsidP="004255F8">
            <w:pPr>
              <w:pStyle w:val="TableParagraph"/>
              <w:widowControl/>
              <w:suppressAutoHyphens/>
              <w:jc w:val="center"/>
            </w:pPr>
            <w:r w:rsidRPr="006A64EE">
              <w:t>20 %***</w:t>
            </w:r>
          </w:p>
        </w:tc>
        <w:tc>
          <w:tcPr>
            <w:tcW w:w="899" w:type="dxa"/>
          </w:tcPr>
          <w:p w14:paraId="53A99E91" w14:textId="77777777" w:rsidR="002D5756" w:rsidRPr="006A64EE" w:rsidRDefault="009C2544" w:rsidP="004255F8">
            <w:pPr>
              <w:pStyle w:val="TableParagraph"/>
              <w:widowControl/>
              <w:suppressAutoHyphens/>
              <w:jc w:val="center"/>
            </w:pPr>
            <w:r w:rsidRPr="006A64EE">
              <w:t>4 %</w:t>
            </w:r>
          </w:p>
        </w:tc>
        <w:tc>
          <w:tcPr>
            <w:tcW w:w="1798" w:type="dxa"/>
            <w:gridSpan w:val="2"/>
          </w:tcPr>
          <w:p w14:paraId="2D3501A2" w14:textId="77777777" w:rsidR="002D5756" w:rsidRPr="006A64EE" w:rsidRDefault="002D5756" w:rsidP="004255F8">
            <w:pPr>
              <w:pStyle w:val="TableParagraph"/>
              <w:widowControl/>
              <w:suppressAutoHyphens/>
            </w:pPr>
          </w:p>
        </w:tc>
        <w:tc>
          <w:tcPr>
            <w:tcW w:w="990" w:type="dxa"/>
          </w:tcPr>
          <w:p w14:paraId="658C7F56" w14:textId="77777777" w:rsidR="002D5756" w:rsidRPr="006A64EE" w:rsidRDefault="002D5756" w:rsidP="004255F8">
            <w:pPr>
              <w:pStyle w:val="TableParagraph"/>
              <w:widowControl/>
              <w:suppressAutoHyphens/>
            </w:pPr>
          </w:p>
        </w:tc>
        <w:tc>
          <w:tcPr>
            <w:tcW w:w="985" w:type="dxa"/>
          </w:tcPr>
          <w:p w14:paraId="59FDFE20" w14:textId="77777777" w:rsidR="002D5756" w:rsidRPr="006A64EE" w:rsidRDefault="002D5756" w:rsidP="004255F8">
            <w:pPr>
              <w:pStyle w:val="TableParagraph"/>
              <w:widowControl/>
              <w:suppressAutoHyphens/>
            </w:pPr>
          </w:p>
        </w:tc>
        <w:tc>
          <w:tcPr>
            <w:tcW w:w="901" w:type="dxa"/>
          </w:tcPr>
          <w:p w14:paraId="000B0372" w14:textId="77777777" w:rsidR="002D5756" w:rsidRPr="006A64EE" w:rsidRDefault="002D5756" w:rsidP="004255F8">
            <w:pPr>
              <w:pStyle w:val="TableParagraph"/>
              <w:widowControl/>
              <w:suppressAutoHyphens/>
            </w:pPr>
          </w:p>
        </w:tc>
        <w:tc>
          <w:tcPr>
            <w:tcW w:w="899" w:type="dxa"/>
          </w:tcPr>
          <w:p w14:paraId="418FDC85" w14:textId="77777777" w:rsidR="002D5756" w:rsidRPr="006A64EE" w:rsidRDefault="002D5756" w:rsidP="004255F8">
            <w:pPr>
              <w:pStyle w:val="TableParagraph"/>
              <w:widowControl/>
              <w:suppressAutoHyphens/>
            </w:pPr>
          </w:p>
        </w:tc>
      </w:tr>
    </w:tbl>
    <w:p w14:paraId="69DEC4D3" w14:textId="77777777" w:rsidR="00093A5E" w:rsidRPr="006A64EE" w:rsidRDefault="009C2544" w:rsidP="004255F8">
      <w:pPr>
        <w:widowControl/>
        <w:tabs>
          <w:tab w:val="left" w:pos="709"/>
        </w:tabs>
        <w:rPr>
          <w:i/>
          <w:sz w:val="18"/>
          <w:szCs w:val="18"/>
        </w:rPr>
      </w:pPr>
      <w:r w:rsidRPr="006A64EE">
        <w:rPr>
          <w:i/>
          <w:sz w:val="18"/>
          <w:szCs w:val="18"/>
        </w:rPr>
        <w:t>TCZ</w:t>
      </w:r>
      <w:r w:rsidRPr="006A64EE">
        <w:rPr>
          <w:i/>
          <w:sz w:val="18"/>
          <w:szCs w:val="18"/>
        </w:rPr>
        <w:tab/>
        <w:t>- Tocilizumab</w:t>
      </w:r>
    </w:p>
    <w:p w14:paraId="6A6654DE" w14:textId="77777777" w:rsidR="00093A5E" w:rsidRPr="006A64EE" w:rsidRDefault="009C2544" w:rsidP="004255F8">
      <w:pPr>
        <w:widowControl/>
        <w:tabs>
          <w:tab w:val="left" w:pos="709"/>
        </w:tabs>
        <w:rPr>
          <w:i/>
          <w:sz w:val="18"/>
          <w:szCs w:val="18"/>
        </w:rPr>
      </w:pPr>
      <w:r w:rsidRPr="006A64EE">
        <w:rPr>
          <w:i/>
          <w:sz w:val="18"/>
          <w:szCs w:val="18"/>
        </w:rPr>
        <w:t>MTX</w:t>
      </w:r>
      <w:r w:rsidRPr="006A64EE">
        <w:rPr>
          <w:i/>
          <w:sz w:val="18"/>
          <w:szCs w:val="18"/>
        </w:rPr>
        <w:tab/>
        <w:t>- Methotrexat</w:t>
      </w:r>
    </w:p>
    <w:p w14:paraId="199E79D2" w14:textId="77777777" w:rsidR="00093A5E" w:rsidRPr="006A64EE" w:rsidRDefault="009C2544" w:rsidP="004255F8">
      <w:pPr>
        <w:widowControl/>
        <w:tabs>
          <w:tab w:val="left" w:pos="709"/>
        </w:tabs>
        <w:rPr>
          <w:i/>
          <w:sz w:val="18"/>
          <w:szCs w:val="18"/>
        </w:rPr>
      </w:pPr>
      <w:r w:rsidRPr="006A64EE">
        <w:rPr>
          <w:i/>
          <w:sz w:val="18"/>
          <w:szCs w:val="18"/>
        </w:rPr>
        <w:t>PBO</w:t>
      </w:r>
      <w:r w:rsidRPr="006A64EE">
        <w:rPr>
          <w:i/>
          <w:sz w:val="18"/>
          <w:szCs w:val="18"/>
        </w:rPr>
        <w:tab/>
        <w:t>- Placebo</w:t>
      </w:r>
    </w:p>
    <w:p w14:paraId="6E98B702" w14:textId="5BE51701" w:rsidR="00093A5E" w:rsidRPr="00B320E1" w:rsidRDefault="009C2544" w:rsidP="004255F8">
      <w:pPr>
        <w:widowControl/>
        <w:tabs>
          <w:tab w:val="left" w:pos="709"/>
        </w:tabs>
        <w:rPr>
          <w:i/>
          <w:sz w:val="18"/>
          <w:szCs w:val="18"/>
          <w:lang w:val="en-US"/>
        </w:rPr>
      </w:pPr>
      <w:r w:rsidRPr="00B320E1">
        <w:rPr>
          <w:i/>
          <w:sz w:val="18"/>
          <w:szCs w:val="18"/>
          <w:lang w:val="en-US"/>
        </w:rPr>
        <w:t>DMARD</w:t>
      </w:r>
      <w:r w:rsidR="0005245F" w:rsidRPr="00B320E1">
        <w:rPr>
          <w:i/>
          <w:sz w:val="18"/>
          <w:szCs w:val="18"/>
          <w:lang w:val="en-US"/>
        </w:rPr>
        <w:tab/>
      </w:r>
      <w:r w:rsidRPr="00B320E1">
        <w:rPr>
          <w:i/>
          <w:sz w:val="18"/>
          <w:szCs w:val="18"/>
          <w:lang w:val="en-US"/>
        </w:rPr>
        <w:t>- Disease modifying anti-rheumatic drug</w:t>
      </w:r>
    </w:p>
    <w:p w14:paraId="037B67CD" w14:textId="77777777" w:rsidR="00093A5E" w:rsidRPr="00B320E1" w:rsidRDefault="009C2544" w:rsidP="004255F8">
      <w:pPr>
        <w:widowControl/>
        <w:tabs>
          <w:tab w:val="left" w:pos="709"/>
        </w:tabs>
        <w:rPr>
          <w:i/>
          <w:sz w:val="18"/>
          <w:szCs w:val="18"/>
          <w:lang w:val="en-US"/>
        </w:rPr>
      </w:pPr>
      <w:r w:rsidRPr="00B320E1">
        <w:rPr>
          <w:i/>
          <w:sz w:val="18"/>
          <w:szCs w:val="18"/>
          <w:lang w:val="en-US"/>
        </w:rPr>
        <w:t>**</w:t>
      </w:r>
      <w:r w:rsidRPr="00B320E1">
        <w:rPr>
          <w:i/>
          <w:sz w:val="18"/>
          <w:szCs w:val="18"/>
          <w:lang w:val="en-US"/>
        </w:rPr>
        <w:tab/>
        <w:t>- p &lt; 0,01, TCZ vs. PBO + MTX/DMARD</w:t>
      </w:r>
    </w:p>
    <w:p w14:paraId="1D2C69EA" w14:textId="77777777" w:rsidR="00093A5E" w:rsidRPr="00B320E1" w:rsidRDefault="009C2544" w:rsidP="004255F8">
      <w:pPr>
        <w:widowControl/>
        <w:tabs>
          <w:tab w:val="left" w:pos="709"/>
        </w:tabs>
        <w:rPr>
          <w:i/>
          <w:sz w:val="18"/>
          <w:szCs w:val="18"/>
          <w:lang w:val="en-US"/>
        </w:rPr>
      </w:pPr>
      <w:r w:rsidRPr="00B320E1">
        <w:rPr>
          <w:i/>
          <w:sz w:val="18"/>
          <w:szCs w:val="18"/>
          <w:lang w:val="en-US"/>
        </w:rPr>
        <w:t>***</w:t>
      </w:r>
      <w:r w:rsidRPr="00B320E1">
        <w:rPr>
          <w:i/>
          <w:sz w:val="18"/>
          <w:szCs w:val="18"/>
          <w:lang w:val="en-US"/>
        </w:rPr>
        <w:tab/>
        <w:t>- p &lt; 0,0001, TCZ vs. PBO + MTX/DMARD</w:t>
      </w:r>
    </w:p>
    <w:p w14:paraId="4BE8031C" w14:textId="77777777" w:rsidR="00093A5E" w:rsidRPr="00B320E1" w:rsidRDefault="00093A5E" w:rsidP="004255F8">
      <w:pPr>
        <w:pStyle w:val="a3"/>
        <w:widowControl/>
        <w:rPr>
          <w:i/>
          <w:lang w:val="en-US"/>
        </w:rPr>
      </w:pPr>
    </w:p>
    <w:p w14:paraId="17E0E1D8" w14:textId="77777777" w:rsidR="00093A5E" w:rsidRPr="006A64EE" w:rsidRDefault="009C2544" w:rsidP="004255F8">
      <w:pPr>
        <w:widowControl/>
        <w:rPr>
          <w:i/>
        </w:rPr>
      </w:pPr>
      <w:r w:rsidRPr="006A64EE">
        <w:rPr>
          <w:i/>
        </w:rPr>
        <w:t>Bedeutendes klinisches Ansprechen</w:t>
      </w:r>
    </w:p>
    <w:p w14:paraId="4FFA8921" w14:textId="3CD93E9E" w:rsidR="00093A5E" w:rsidRPr="006A64EE" w:rsidRDefault="009C2544" w:rsidP="004255F8">
      <w:pPr>
        <w:pStyle w:val="a3"/>
        <w:widowControl/>
      </w:pPr>
      <w:r w:rsidRPr="006A64EE">
        <w:t xml:space="preserve">2 Jahre nach der Behandlung mit </w:t>
      </w:r>
      <w:r w:rsidR="008F6EC5" w:rsidRPr="00890245">
        <w:t>Tocilizumab</w:t>
      </w:r>
      <w:r w:rsidRPr="006A64EE">
        <w:t xml:space="preserve"> plus MTX erreichten 14 % der Patienten ein bedeutendes klinisches Ansprechen (Erhaltung eines ACR70-Ansprechens für 24 Wochen oder länger).</w:t>
      </w:r>
    </w:p>
    <w:p w14:paraId="596B8ECE" w14:textId="77777777" w:rsidR="00093A5E" w:rsidRPr="006A64EE" w:rsidRDefault="00093A5E" w:rsidP="004255F8">
      <w:pPr>
        <w:pStyle w:val="a3"/>
        <w:widowControl/>
      </w:pPr>
    </w:p>
    <w:p w14:paraId="05F49C48" w14:textId="77777777" w:rsidR="00093A5E" w:rsidRPr="006A64EE" w:rsidRDefault="009C2544" w:rsidP="004255F8">
      <w:pPr>
        <w:widowControl/>
        <w:rPr>
          <w:i/>
        </w:rPr>
      </w:pPr>
      <w:r w:rsidRPr="006A64EE">
        <w:rPr>
          <w:i/>
        </w:rPr>
        <w:t>Radiologisches Ansprechen</w:t>
      </w:r>
    </w:p>
    <w:p w14:paraId="19F420D1" w14:textId="6C768098" w:rsidR="00093A5E" w:rsidRPr="006A64EE" w:rsidRDefault="009C2544" w:rsidP="004255F8">
      <w:pPr>
        <w:pStyle w:val="a3"/>
        <w:widowControl/>
      </w:pPr>
      <w:r w:rsidRPr="006A64EE">
        <w:t xml:space="preserve">In Studie II wurde die Verhinderung von Gelenkschädigungen bei Patienten mit unzureichendem Ansprechen auf MTX radiologisch bewertet und anhand der Veränderung des modifizierten Sharp-Scores und seiner Komponenten, dem Ausmaß der Erosionen und der Gelenkspaltverengung dargestellt. Die Verhinderung der Gelenkstrukturschäden wurde bei Patienten, die </w:t>
      </w:r>
      <w:r w:rsidR="008F6EC5" w:rsidRPr="00890245">
        <w:t>Tocilizumab</w:t>
      </w:r>
      <w:r w:rsidRPr="006A64EE">
        <w:t xml:space="preserve"> </w:t>
      </w:r>
      <w:r w:rsidRPr="006A64EE">
        <w:lastRenderedPageBreak/>
        <w:t>erhielten, im Vergleich zur Kontrollgruppe durch eine signifikant geringere radiologische Progression nachgewiesen (Tabelle</w:t>
      </w:r>
      <w:r w:rsidR="00D84648">
        <w:t> </w:t>
      </w:r>
      <w:r w:rsidRPr="006A64EE">
        <w:t>6).</w:t>
      </w:r>
    </w:p>
    <w:p w14:paraId="459BAACC" w14:textId="77777777" w:rsidR="00093A5E" w:rsidRPr="006A64EE" w:rsidRDefault="00093A5E" w:rsidP="004255F8">
      <w:pPr>
        <w:pStyle w:val="a3"/>
        <w:widowControl/>
      </w:pPr>
    </w:p>
    <w:p w14:paraId="54CD3DDF" w14:textId="22049C9C" w:rsidR="00093A5E" w:rsidRPr="006A64EE" w:rsidRDefault="009C2544" w:rsidP="004255F8">
      <w:pPr>
        <w:pStyle w:val="a3"/>
        <w:widowControl/>
      </w:pPr>
      <w:r w:rsidRPr="006A64EE">
        <w:t xml:space="preserve">In der offenen Verlängerung der Studie II wurde die Hemmung der Progression struktureller Gelenkschäden bei Patienten, die </w:t>
      </w:r>
      <w:r w:rsidR="008F6EC5" w:rsidRPr="00890245">
        <w:t>Tocilizumab</w:t>
      </w:r>
      <w:r w:rsidRPr="006A64EE">
        <w:t xml:space="preserve"> plus MTX erhielten, während des 2. Behandlungsjahres aufrechterhalten. Verglichen mit dem Ausgangswert war der Mittelwert der Veränderung in Woche 104 gemäß Gesamt-Sharp-Genant-Score signifikant geringer bei Patienten, die 8 mg/kg </w:t>
      </w:r>
      <w:r w:rsidR="008F6EC5" w:rsidRPr="00890245">
        <w:t>Tocilizumab</w:t>
      </w:r>
      <w:r w:rsidRPr="006A64EE">
        <w:t xml:space="preserve"> plus MTX erhalten hatten (p &lt; 0,0001), als bei Patienten, die in die Placebo plus MTX-Gruppe randomisiert worden waren.</w:t>
      </w:r>
    </w:p>
    <w:p w14:paraId="60CB7D49" w14:textId="77777777" w:rsidR="00093A5E" w:rsidRPr="006A64EE" w:rsidRDefault="00093A5E" w:rsidP="004255F8">
      <w:pPr>
        <w:widowControl/>
      </w:pPr>
    </w:p>
    <w:p w14:paraId="79F6F483" w14:textId="77777777" w:rsidR="00093A5E" w:rsidRPr="006A64EE" w:rsidRDefault="007D680A" w:rsidP="004255F8">
      <w:pPr>
        <w:pStyle w:val="Tabletittle"/>
      </w:pPr>
      <w:r w:rsidRPr="006A64EE">
        <w:t>Tabelle 6:</w:t>
      </w:r>
      <w:r w:rsidR="00F70596" w:rsidRPr="006A64EE">
        <w:tab/>
      </w:r>
      <w:r w:rsidRPr="006A64EE">
        <w:t>Mittelwerte der radiologischen Veränderungen während 52 Wochen in Studie II</w:t>
      </w:r>
    </w:p>
    <w:p w14:paraId="1598D4F1" w14:textId="79923B39" w:rsidR="002D5756" w:rsidRPr="006A64EE" w:rsidRDefault="002D5756" w:rsidP="004255F8">
      <w:pPr>
        <w:pStyle w:val="a3"/>
        <w:keepNext/>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105"/>
        <w:gridCol w:w="2907"/>
        <w:gridCol w:w="3049"/>
      </w:tblGrid>
      <w:tr w:rsidR="00593482" w:rsidRPr="006A64EE" w14:paraId="26F9E033" w14:textId="77777777" w:rsidTr="00E54A2C">
        <w:trPr>
          <w:cantSplit/>
        </w:trPr>
        <w:tc>
          <w:tcPr>
            <w:tcW w:w="2659" w:type="dxa"/>
          </w:tcPr>
          <w:p w14:paraId="232DD82D" w14:textId="77777777" w:rsidR="002D5756" w:rsidRPr="006A64EE" w:rsidRDefault="002D5756" w:rsidP="004255F8">
            <w:pPr>
              <w:pStyle w:val="TableParagraph"/>
              <w:widowControl/>
              <w:suppressAutoHyphens/>
            </w:pPr>
          </w:p>
        </w:tc>
        <w:tc>
          <w:tcPr>
            <w:tcW w:w="2489" w:type="dxa"/>
          </w:tcPr>
          <w:p w14:paraId="6D4BE1A1" w14:textId="77777777" w:rsidR="00093A5E" w:rsidRPr="006A64EE" w:rsidRDefault="009C2544" w:rsidP="004255F8">
            <w:pPr>
              <w:pStyle w:val="TableParagraph"/>
              <w:widowControl/>
              <w:suppressAutoHyphens/>
              <w:jc w:val="center"/>
              <w:rPr>
                <w:b/>
              </w:rPr>
            </w:pPr>
            <w:r w:rsidRPr="006A64EE">
              <w:rPr>
                <w:b/>
              </w:rPr>
              <w:t>PBO + MTX</w:t>
            </w:r>
          </w:p>
          <w:p w14:paraId="2F793C99" w14:textId="77777777" w:rsidR="00093A5E" w:rsidRPr="006A64EE" w:rsidRDefault="009C2544" w:rsidP="004255F8">
            <w:pPr>
              <w:pStyle w:val="TableParagraph"/>
              <w:widowControl/>
              <w:suppressAutoHyphens/>
              <w:jc w:val="center"/>
              <w:rPr>
                <w:b/>
              </w:rPr>
            </w:pPr>
            <w:r w:rsidRPr="006A64EE">
              <w:rPr>
                <w:b/>
              </w:rPr>
              <w:t>(+ TCZ ab Woche 24)</w:t>
            </w:r>
          </w:p>
          <w:p w14:paraId="75DD59C6" w14:textId="131BE051" w:rsidR="002D5756" w:rsidRPr="006A64EE" w:rsidRDefault="009C2544" w:rsidP="004255F8">
            <w:pPr>
              <w:pStyle w:val="TableParagraph"/>
              <w:widowControl/>
              <w:suppressAutoHyphens/>
              <w:jc w:val="center"/>
              <w:rPr>
                <w:b/>
              </w:rPr>
            </w:pPr>
            <w:r w:rsidRPr="006A64EE">
              <w:rPr>
                <w:b/>
              </w:rPr>
              <w:t>n = 393</w:t>
            </w:r>
          </w:p>
        </w:tc>
        <w:tc>
          <w:tcPr>
            <w:tcW w:w="2611" w:type="dxa"/>
          </w:tcPr>
          <w:p w14:paraId="4FC9A2EF" w14:textId="77777777" w:rsidR="00093A5E" w:rsidRPr="006A64EE" w:rsidRDefault="009C2544" w:rsidP="004255F8">
            <w:pPr>
              <w:pStyle w:val="TableParagraph"/>
              <w:widowControl/>
              <w:suppressAutoHyphens/>
              <w:jc w:val="center"/>
              <w:rPr>
                <w:b/>
              </w:rPr>
            </w:pPr>
            <w:r w:rsidRPr="006A64EE">
              <w:rPr>
                <w:b/>
              </w:rPr>
              <w:t>TCZ 8 mg/kg + MTX</w:t>
            </w:r>
          </w:p>
          <w:p w14:paraId="057C9587" w14:textId="77777777" w:rsidR="00093A5E" w:rsidRPr="006A64EE" w:rsidRDefault="00093A5E" w:rsidP="004255F8">
            <w:pPr>
              <w:pStyle w:val="TableParagraph"/>
              <w:widowControl/>
              <w:suppressAutoHyphens/>
              <w:jc w:val="center"/>
              <w:rPr>
                <w:i/>
              </w:rPr>
            </w:pPr>
          </w:p>
          <w:p w14:paraId="09CA0A4D" w14:textId="77777777" w:rsidR="002D5756" w:rsidRPr="006A64EE" w:rsidRDefault="009C2544" w:rsidP="004255F8">
            <w:pPr>
              <w:pStyle w:val="TableParagraph"/>
              <w:widowControl/>
              <w:suppressAutoHyphens/>
              <w:jc w:val="center"/>
              <w:rPr>
                <w:b/>
              </w:rPr>
            </w:pPr>
            <w:r w:rsidRPr="006A64EE">
              <w:rPr>
                <w:b/>
              </w:rPr>
              <w:t>n = 398</w:t>
            </w:r>
          </w:p>
        </w:tc>
      </w:tr>
      <w:tr w:rsidR="00593482" w:rsidRPr="006A64EE" w14:paraId="59F0E389" w14:textId="77777777" w:rsidTr="00E54A2C">
        <w:trPr>
          <w:cantSplit/>
        </w:trPr>
        <w:tc>
          <w:tcPr>
            <w:tcW w:w="2659" w:type="dxa"/>
          </w:tcPr>
          <w:p w14:paraId="2E8A0813" w14:textId="325C3730" w:rsidR="002D5756" w:rsidRPr="006A64EE" w:rsidRDefault="009C2544" w:rsidP="0011146A">
            <w:pPr>
              <w:pStyle w:val="TableParagraph"/>
              <w:widowControl/>
              <w:suppressAutoHyphens/>
            </w:pPr>
            <w:r w:rsidRPr="006A64EE">
              <w:t>Gesamt-Sharp-Genant-Score</w:t>
            </w:r>
          </w:p>
        </w:tc>
        <w:tc>
          <w:tcPr>
            <w:tcW w:w="2489" w:type="dxa"/>
          </w:tcPr>
          <w:p w14:paraId="006492E1" w14:textId="77777777" w:rsidR="002D5756" w:rsidRPr="006A64EE" w:rsidRDefault="009C2544" w:rsidP="004255F8">
            <w:pPr>
              <w:pStyle w:val="TableParagraph"/>
              <w:widowControl/>
              <w:suppressAutoHyphens/>
              <w:jc w:val="center"/>
            </w:pPr>
            <w:r w:rsidRPr="006A64EE">
              <w:t>1,13</w:t>
            </w:r>
          </w:p>
        </w:tc>
        <w:tc>
          <w:tcPr>
            <w:tcW w:w="2611" w:type="dxa"/>
          </w:tcPr>
          <w:p w14:paraId="2D636A47" w14:textId="77777777" w:rsidR="002D5756" w:rsidRPr="006A64EE" w:rsidRDefault="009C2544" w:rsidP="004255F8">
            <w:pPr>
              <w:pStyle w:val="TableParagraph"/>
              <w:widowControl/>
              <w:suppressAutoHyphens/>
              <w:jc w:val="center"/>
            </w:pPr>
            <w:r w:rsidRPr="006A64EE">
              <w:t>0,29</w:t>
            </w:r>
            <w:r w:rsidRPr="006A64EE">
              <w:rPr>
                <w:vertAlign w:val="superscript"/>
              </w:rPr>
              <w:t>*</w:t>
            </w:r>
          </w:p>
        </w:tc>
      </w:tr>
      <w:tr w:rsidR="00593482" w:rsidRPr="006A64EE" w14:paraId="3DCFDB84" w14:textId="77777777" w:rsidTr="00E54A2C">
        <w:trPr>
          <w:cantSplit/>
        </w:trPr>
        <w:tc>
          <w:tcPr>
            <w:tcW w:w="2659" w:type="dxa"/>
          </w:tcPr>
          <w:p w14:paraId="0955DA69" w14:textId="77777777" w:rsidR="002D5756" w:rsidRPr="006A64EE" w:rsidRDefault="009C2544" w:rsidP="004255F8">
            <w:pPr>
              <w:pStyle w:val="TableParagraph"/>
              <w:widowControl/>
              <w:suppressAutoHyphens/>
            </w:pPr>
            <w:r w:rsidRPr="006A64EE">
              <w:t>Erosion Score</w:t>
            </w:r>
          </w:p>
        </w:tc>
        <w:tc>
          <w:tcPr>
            <w:tcW w:w="2489" w:type="dxa"/>
          </w:tcPr>
          <w:p w14:paraId="3DA8A73E" w14:textId="77777777" w:rsidR="002D5756" w:rsidRPr="006A64EE" w:rsidRDefault="009C2544" w:rsidP="004255F8">
            <w:pPr>
              <w:pStyle w:val="TableParagraph"/>
              <w:widowControl/>
              <w:suppressAutoHyphens/>
              <w:jc w:val="center"/>
            </w:pPr>
            <w:r w:rsidRPr="006A64EE">
              <w:t>0,71</w:t>
            </w:r>
          </w:p>
        </w:tc>
        <w:tc>
          <w:tcPr>
            <w:tcW w:w="2611" w:type="dxa"/>
          </w:tcPr>
          <w:p w14:paraId="0A24B8BD" w14:textId="77777777" w:rsidR="002D5756" w:rsidRPr="006A64EE" w:rsidRDefault="009C2544" w:rsidP="004255F8">
            <w:pPr>
              <w:pStyle w:val="TableParagraph"/>
              <w:widowControl/>
              <w:suppressAutoHyphens/>
              <w:jc w:val="center"/>
            </w:pPr>
            <w:r w:rsidRPr="006A64EE">
              <w:t>0,17</w:t>
            </w:r>
            <w:r w:rsidRPr="006A64EE">
              <w:rPr>
                <w:vertAlign w:val="superscript"/>
              </w:rPr>
              <w:t>*</w:t>
            </w:r>
          </w:p>
        </w:tc>
      </w:tr>
      <w:tr w:rsidR="00593482" w:rsidRPr="006A64EE" w14:paraId="6F4B4C5B" w14:textId="77777777" w:rsidTr="00E54A2C">
        <w:trPr>
          <w:cantSplit/>
        </w:trPr>
        <w:tc>
          <w:tcPr>
            <w:tcW w:w="2659" w:type="dxa"/>
          </w:tcPr>
          <w:p w14:paraId="6A251AE9" w14:textId="77777777" w:rsidR="002D5756" w:rsidRPr="006A64EE" w:rsidRDefault="009C2544" w:rsidP="004255F8">
            <w:pPr>
              <w:pStyle w:val="TableParagraph"/>
              <w:widowControl/>
              <w:suppressAutoHyphens/>
            </w:pPr>
            <w:r w:rsidRPr="006A64EE">
              <w:t>JSN Score</w:t>
            </w:r>
          </w:p>
        </w:tc>
        <w:tc>
          <w:tcPr>
            <w:tcW w:w="2489" w:type="dxa"/>
          </w:tcPr>
          <w:p w14:paraId="2C86532F" w14:textId="77777777" w:rsidR="002D5756" w:rsidRPr="006A64EE" w:rsidRDefault="009C2544" w:rsidP="004255F8">
            <w:pPr>
              <w:pStyle w:val="TableParagraph"/>
              <w:widowControl/>
              <w:suppressAutoHyphens/>
              <w:jc w:val="center"/>
            </w:pPr>
            <w:r w:rsidRPr="006A64EE">
              <w:t>0,42</w:t>
            </w:r>
          </w:p>
        </w:tc>
        <w:tc>
          <w:tcPr>
            <w:tcW w:w="2611" w:type="dxa"/>
          </w:tcPr>
          <w:p w14:paraId="3831F330" w14:textId="77777777" w:rsidR="002D5756" w:rsidRPr="006A64EE" w:rsidRDefault="009C2544" w:rsidP="004255F8">
            <w:pPr>
              <w:pStyle w:val="TableParagraph"/>
              <w:widowControl/>
              <w:suppressAutoHyphens/>
              <w:jc w:val="center"/>
            </w:pPr>
            <w:r w:rsidRPr="006A64EE">
              <w:t>0,12</w:t>
            </w:r>
            <w:r w:rsidRPr="006A64EE">
              <w:rPr>
                <w:vertAlign w:val="superscript"/>
              </w:rPr>
              <w:t>**</w:t>
            </w:r>
          </w:p>
        </w:tc>
      </w:tr>
    </w:tbl>
    <w:p w14:paraId="2C7D37A4" w14:textId="77777777" w:rsidR="00815462" w:rsidRDefault="009C2544" w:rsidP="004255F8">
      <w:pPr>
        <w:widowControl/>
        <w:rPr>
          <w:i/>
          <w:sz w:val="18"/>
          <w:szCs w:val="18"/>
        </w:rPr>
      </w:pPr>
      <w:r w:rsidRPr="006A64EE">
        <w:rPr>
          <w:i/>
          <w:sz w:val="18"/>
          <w:szCs w:val="18"/>
        </w:rPr>
        <w:t>PBO</w:t>
      </w:r>
      <w:r w:rsidR="00E54A2C" w:rsidRPr="006A64EE">
        <w:rPr>
          <w:i/>
          <w:sz w:val="18"/>
          <w:szCs w:val="18"/>
        </w:rPr>
        <w:tab/>
      </w:r>
      <w:r w:rsidRPr="006A64EE">
        <w:rPr>
          <w:i/>
          <w:sz w:val="18"/>
          <w:szCs w:val="18"/>
        </w:rPr>
        <w:t xml:space="preserve">- Placebo </w:t>
      </w:r>
    </w:p>
    <w:p w14:paraId="40A29B18" w14:textId="664062DD" w:rsidR="00815462" w:rsidRDefault="009C2544" w:rsidP="004255F8">
      <w:pPr>
        <w:widowControl/>
        <w:rPr>
          <w:i/>
          <w:sz w:val="18"/>
          <w:szCs w:val="18"/>
        </w:rPr>
      </w:pPr>
      <w:r w:rsidRPr="006A64EE">
        <w:rPr>
          <w:i/>
          <w:sz w:val="18"/>
          <w:szCs w:val="18"/>
        </w:rPr>
        <w:t xml:space="preserve">MTX </w:t>
      </w:r>
      <w:r w:rsidR="00815462">
        <w:rPr>
          <w:i/>
          <w:sz w:val="18"/>
          <w:szCs w:val="18"/>
        </w:rPr>
        <w:t xml:space="preserve">   </w:t>
      </w:r>
      <w:r w:rsidR="00815462">
        <w:rPr>
          <w:i/>
          <w:sz w:val="18"/>
          <w:szCs w:val="18"/>
        </w:rPr>
        <w:tab/>
        <w:t xml:space="preserve">- </w:t>
      </w:r>
      <w:r w:rsidRPr="006A64EE">
        <w:rPr>
          <w:i/>
          <w:sz w:val="18"/>
          <w:szCs w:val="18"/>
        </w:rPr>
        <w:t xml:space="preserve">Methotrexat </w:t>
      </w:r>
    </w:p>
    <w:p w14:paraId="61FA4D82" w14:textId="3924B0B3" w:rsidR="00093A5E" w:rsidRPr="006A64EE" w:rsidRDefault="009C2544" w:rsidP="004255F8">
      <w:pPr>
        <w:widowControl/>
        <w:rPr>
          <w:i/>
          <w:sz w:val="18"/>
          <w:szCs w:val="18"/>
        </w:rPr>
      </w:pPr>
      <w:r w:rsidRPr="006A64EE">
        <w:rPr>
          <w:i/>
          <w:sz w:val="18"/>
          <w:szCs w:val="18"/>
        </w:rPr>
        <w:t xml:space="preserve">TCZ </w:t>
      </w:r>
      <w:r w:rsidR="00815462">
        <w:rPr>
          <w:i/>
          <w:sz w:val="18"/>
          <w:szCs w:val="18"/>
        </w:rPr>
        <w:tab/>
      </w:r>
      <w:r w:rsidRPr="006A64EE">
        <w:rPr>
          <w:i/>
          <w:sz w:val="18"/>
          <w:szCs w:val="18"/>
        </w:rPr>
        <w:t>- Tocilizumab</w:t>
      </w:r>
    </w:p>
    <w:p w14:paraId="7254FF99" w14:textId="1A13FFCB" w:rsidR="00093A5E" w:rsidRPr="006A64EE" w:rsidRDefault="009C2544" w:rsidP="004255F8">
      <w:pPr>
        <w:widowControl/>
        <w:rPr>
          <w:i/>
          <w:sz w:val="18"/>
          <w:szCs w:val="18"/>
        </w:rPr>
      </w:pPr>
      <w:r w:rsidRPr="006A64EE">
        <w:rPr>
          <w:i/>
          <w:sz w:val="18"/>
          <w:szCs w:val="18"/>
        </w:rPr>
        <w:t>JSN</w:t>
      </w:r>
      <w:r w:rsidR="00E54A2C" w:rsidRPr="006A64EE">
        <w:rPr>
          <w:i/>
          <w:sz w:val="18"/>
          <w:szCs w:val="18"/>
        </w:rPr>
        <w:tab/>
      </w:r>
      <w:r w:rsidRPr="006A64EE">
        <w:rPr>
          <w:i/>
          <w:sz w:val="18"/>
          <w:szCs w:val="18"/>
        </w:rPr>
        <w:t>- Gelenkspaltverengung (JSN = joint space narrowing)</w:t>
      </w:r>
    </w:p>
    <w:p w14:paraId="10099BEE" w14:textId="0C48C2C0" w:rsidR="00093A5E" w:rsidRPr="006A64EE" w:rsidRDefault="009C2544" w:rsidP="004255F8">
      <w:pPr>
        <w:widowControl/>
        <w:tabs>
          <w:tab w:val="left" w:pos="476"/>
        </w:tabs>
        <w:rPr>
          <w:i/>
          <w:sz w:val="18"/>
          <w:szCs w:val="18"/>
        </w:rPr>
      </w:pPr>
      <w:r w:rsidRPr="006A64EE">
        <w:rPr>
          <w:i/>
          <w:sz w:val="18"/>
          <w:szCs w:val="18"/>
        </w:rPr>
        <w:t>*</w:t>
      </w:r>
      <w:r w:rsidRPr="006A64EE">
        <w:rPr>
          <w:i/>
          <w:sz w:val="18"/>
          <w:szCs w:val="18"/>
        </w:rPr>
        <w:tab/>
      </w:r>
      <w:r w:rsidR="00E54A2C" w:rsidRPr="006A64EE">
        <w:rPr>
          <w:i/>
          <w:sz w:val="18"/>
          <w:szCs w:val="18"/>
        </w:rPr>
        <w:tab/>
      </w:r>
      <w:r w:rsidRPr="006A64EE">
        <w:rPr>
          <w:i/>
          <w:sz w:val="18"/>
          <w:szCs w:val="18"/>
        </w:rPr>
        <w:t>- p ≤ 0,0001, TCZ vs. PBO + MTX</w:t>
      </w:r>
    </w:p>
    <w:p w14:paraId="7BFAB6D5" w14:textId="5E63F579" w:rsidR="00093A5E" w:rsidRPr="006A64EE" w:rsidRDefault="009C2544" w:rsidP="004255F8">
      <w:pPr>
        <w:widowControl/>
        <w:tabs>
          <w:tab w:val="left" w:pos="476"/>
        </w:tabs>
        <w:rPr>
          <w:i/>
          <w:sz w:val="18"/>
          <w:szCs w:val="18"/>
        </w:rPr>
      </w:pPr>
      <w:r w:rsidRPr="006A64EE">
        <w:rPr>
          <w:i/>
          <w:sz w:val="18"/>
          <w:szCs w:val="18"/>
        </w:rPr>
        <w:t>**</w:t>
      </w:r>
      <w:r w:rsidRPr="006A64EE">
        <w:rPr>
          <w:i/>
          <w:sz w:val="18"/>
          <w:szCs w:val="18"/>
        </w:rPr>
        <w:tab/>
      </w:r>
      <w:r w:rsidR="00E54A2C" w:rsidRPr="006A64EE">
        <w:rPr>
          <w:i/>
          <w:sz w:val="18"/>
          <w:szCs w:val="18"/>
        </w:rPr>
        <w:tab/>
      </w:r>
      <w:r w:rsidRPr="006A64EE">
        <w:rPr>
          <w:i/>
          <w:sz w:val="18"/>
          <w:szCs w:val="18"/>
        </w:rPr>
        <w:t>- p &lt; 0,005, TCZ vs. PBO + MTX</w:t>
      </w:r>
    </w:p>
    <w:p w14:paraId="5C450682" w14:textId="77777777" w:rsidR="00093A5E" w:rsidRPr="006A64EE" w:rsidRDefault="00093A5E" w:rsidP="004255F8">
      <w:pPr>
        <w:pStyle w:val="a3"/>
        <w:widowControl/>
        <w:rPr>
          <w:i/>
        </w:rPr>
      </w:pPr>
    </w:p>
    <w:p w14:paraId="2782369F" w14:textId="25495575" w:rsidR="00093A5E" w:rsidRPr="006A64EE" w:rsidRDefault="009C2544" w:rsidP="004255F8">
      <w:pPr>
        <w:pStyle w:val="a3"/>
        <w:widowControl/>
      </w:pPr>
      <w:r w:rsidRPr="006A64EE">
        <w:t xml:space="preserve">Nach einem Jahr Behandlung mit </w:t>
      </w:r>
      <w:r w:rsidR="008F6EC5" w:rsidRPr="00890245">
        <w:t>Tocilizumab</w:t>
      </w:r>
      <w:r w:rsidRPr="006A64EE">
        <w:t xml:space="preserve"> plus MTX hatten 85 % der Patienten (n = 348) keine Progression der strukturellen Gelenkschäden, definiert durch eine Veränderung des Gesamt-Sharp-Scores von null oder weniger, verglichen mit 67 % der Patienten, die mit Placebo plus MTX behandelt wurden (n = 290) (p ≤ 0,001). Dies blieb während der folgenden 2 Behandlungsjahre vergleichbar</w:t>
      </w:r>
      <w:r w:rsidR="0013617A">
        <w:t xml:space="preserve"> </w:t>
      </w:r>
      <w:r w:rsidRPr="006A64EE">
        <w:t>(83</w:t>
      </w:r>
      <w:r w:rsidR="0013617A">
        <w:t> </w:t>
      </w:r>
      <w:r w:rsidRPr="006A64EE">
        <w:t>%; n = 353). Bei 93 % (n = 271) der Patienten kam es zwischen Woche 52 und Woche 104 zu keiner Progression.</w:t>
      </w:r>
    </w:p>
    <w:p w14:paraId="49763785" w14:textId="77777777" w:rsidR="00093A5E" w:rsidRPr="006A64EE" w:rsidRDefault="00093A5E" w:rsidP="004255F8">
      <w:pPr>
        <w:pStyle w:val="a3"/>
        <w:widowControl/>
      </w:pPr>
    </w:p>
    <w:p w14:paraId="51B5C017" w14:textId="77777777" w:rsidR="00093A5E" w:rsidRPr="006A64EE" w:rsidRDefault="009C2544" w:rsidP="004255F8">
      <w:pPr>
        <w:widowControl/>
        <w:rPr>
          <w:i/>
        </w:rPr>
      </w:pPr>
      <w:r w:rsidRPr="006A64EE">
        <w:rPr>
          <w:i/>
        </w:rPr>
        <w:t>Gesundheitsbezogene Ergebnisse und Lebensqualität</w:t>
      </w:r>
    </w:p>
    <w:p w14:paraId="72318688" w14:textId="4A2479BF" w:rsidR="00093A5E" w:rsidRPr="006A64EE" w:rsidRDefault="009C2544" w:rsidP="004255F8">
      <w:pPr>
        <w:pStyle w:val="a3"/>
        <w:widowControl/>
      </w:pPr>
      <w:r w:rsidRPr="006A64EE">
        <w:t xml:space="preserve">Patienten, die mit </w:t>
      </w:r>
      <w:r w:rsidR="008F6EC5" w:rsidRPr="00890245">
        <w:t>Tocilizumab</w:t>
      </w:r>
      <w:r w:rsidRPr="006A64EE">
        <w:t xml:space="preserve"> behandelt wurden, zeigten eine Verbesserung bei den durch die Patienten berichteten Ergebnissen (Health Assessment Questionnaire Disability Index, HAQ-DI), Short Form-36 und Functional Assessment of Chronic Illness Therapy Fragebogen. Bei Patienten, die mit </w:t>
      </w:r>
      <w:r w:rsidR="008F6EC5" w:rsidRPr="00890245">
        <w:t>Tocilizumab</w:t>
      </w:r>
      <w:r w:rsidRPr="006A64EE">
        <w:t xml:space="preserve"> behandelt wurden, wurden im Vergleich zu Patienten, die mit DMARDs behandelt wurden, statistisch signifikante Verbesserungen in Bezug auf den HAQ-DI Score beobachtet. Während der offenen Phase der Studie II blieb die Verbesserung der körperlichen Funktion bis zu 2</w:t>
      </w:r>
      <w:r w:rsidR="00322FF0">
        <w:t> </w:t>
      </w:r>
      <w:r w:rsidRPr="006A64EE">
        <w:t>Jahre erhalten. In Woche 52 lag der Mittelwert der Veränderung im HAQ-DI in der Gruppe, die 8</w:t>
      </w:r>
      <w:r w:rsidR="00322FF0">
        <w:t> </w:t>
      </w:r>
      <w:r w:rsidRPr="006A64EE">
        <w:t xml:space="preserve">mg/kg </w:t>
      </w:r>
      <w:r w:rsidR="008F6EC5" w:rsidRPr="00890245">
        <w:t>Tocilizumab</w:t>
      </w:r>
      <w:r w:rsidRPr="006A64EE">
        <w:t xml:space="preserve"> plus MTX erhalten hatte, bei -0,58 verglichen mit -0,39 in der Gruppe, die Placebo plus MTX erhalten hatte. Der Mittelwert der Veränderung im HAQ-DI dauerte in Woche 104 in der Gruppe, die 8 mg/kg </w:t>
      </w:r>
      <w:r w:rsidR="008F6EC5" w:rsidRPr="00890245">
        <w:t>Tocilizumab</w:t>
      </w:r>
      <w:r w:rsidRPr="006A64EE">
        <w:t xml:space="preserve"> plus MTX erhalten hatte, an (-0,61).</w:t>
      </w:r>
    </w:p>
    <w:p w14:paraId="7102FFA5" w14:textId="77777777" w:rsidR="00093A5E" w:rsidRPr="006A64EE" w:rsidRDefault="00093A5E" w:rsidP="004255F8">
      <w:pPr>
        <w:pStyle w:val="a3"/>
        <w:widowControl/>
      </w:pPr>
    </w:p>
    <w:p w14:paraId="44959F77" w14:textId="77777777" w:rsidR="00093A5E" w:rsidRPr="006A64EE" w:rsidRDefault="009C2544" w:rsidP="004255F8">
      <w:pPr>
        <w:widowControl/>
        <w:rPr>
          <w:i/>
        </w:rPr>
      </w:pPr>
      <w:r w:rsidRPr="006A64EE">
        <w:rPr>
          <w:i/>
        </w:rPr>
        <w:t>Hämoglobinwerte</w:t>
      </w:r>
    </w:p>
    <w:p w14:paraId="4D03CAC3" w14:textId="07F0EF64" w:rsidR="00093A5E" w:rsidRPr="006A64EE" w:rsidRDefault="009C2544" w:rsidP="004255F8">
      <w:pPr>
        <w:pStyle w:val="a3"/>
        <w:widowControl/>
      </w:pPr>
      <w:r w:rsidRPr="006A64EE">
        <w:t xml:space="preserve">Verglichen mit DMARDs wurde mit </w:t>
      </w:r>
      <w:r w:rsidR="008F6EC5" w:rsidRPr="00890245">
        <w:t>Tocilizumab</w:t>
      </w:r>
      <w:r w:rsidRPr="006A64EE">
        <w:t xml:space="preserve"> in Woche</w:t>
      </w:r>
      <w:r w:rsidR="003C5089">
        <w:t> </w:t>
      </w:r>
      <w:r w:rsidRPr="006A64EE">
        <w:t>24 eine statistisch signifikante</w:t>
      </w:r>
      <w:r w:rsidR="003C5089">
        <w:t xml:space="preserve"> </w:t>
      </w:r>
      <w:r w:rsidRPr="006A64EE">
        <w:t>(p</w:t>
      </w:r>
      <w:r w:rsidR="003C5089">
        <w:t> </w:t>
      </w:r>
      <w:r w:rsidRPr="006A64EE">
        <w:t>&lt;</w:t>
      </w:r>
      <w:r w:rsidR="003C5089">
        <w:t> </w:t>
      </w:r>
      <w:r w:rsidRPr="006A64EE">
        <w:t>0,0001) Verbesserung der Hämoglobinwerte beobachtet. Die mittleren Hämoglobinwerte stiegen bis Woche</w:t>
      </w:r>
      <w:r w:rsidR="003C5089">
        <w:t> </w:t>
      </w:r>
      <w:r w:rsidRPr="006A64EE">
        <w:t>2 an und blieben dann bis Woche</w:t>
      </w:r>
      <w:r w:rsidR="003C5089">
        <w:t> </w:t>
      </w:r>
      <w:r w:rsidRPr="006A64EE">
        <w:t>24 auf einem normalen Niveau.</w:t>
      </w:r>
    </w:p>
    <w:p w14:paraId="25867BCD" w14:textId="77777777" w:rsidR="00093A5E" w:rsidRPr="006A64EE" w:rsidRDefault="00093A5E" w:rsidP="004255F8">
      <w:pPr>
        <w:pStyle w:val="a3"/>
        <w:widowControl/>
      </w:pPr>
    </w:p>
    <w:p w14:paraId="707DEB1A" w14:textId="45ADFAA1" w:rsidR="00093A5E" w:rsidRPr="006A64EE" w:rsidRDefault="008F6EC5" w:rsidP="004255F8">
      <w:pPr>
        <w:widowControl/>
        <w:rPr>
          <w:i/>
        </w:rPr>
      </w:pPr>
      <w:r w:rsidRPr="00B320E1">
        <w:rPr>
          <w:i/>
          <w:iCs/>
        </w:rPr>
        <w:t>Tocilizumab</w:t>
      </w:r>
      <w:r w:rsidR="009C2544" w:rsidRPr="006A64EE">
        <w:rPr>
          <w:i/>
        </w:rPr>
        <w:t xml:space="preserve"> versus Adalimumab in der Monotherapie</w:t>
      </w:r>
    </w:p>
    <w:p w14:paraId="762185CD" w14:textId="7B5D66D4" w:rsidR="00093A5E" w:rsidRPr="006A64EE" w:rsidRDefault="009C2544" w:rsidP="004255F8">
      <w:pPr>
        <w:pStyle w:val="a3"/>
        <w:widowControl/>
      </w:pPr>
      <w:r w:rsidRPr="006A64EE">
        <w:t xml:space="preserve">Bei der Studie VI (WA19924) handelt es sich um eine 24-wöchige doppelblinde Studie zum Vergleich einer </w:t>
      </w:r>
      <w:r w:rsidR="008F6EC5" w:rsidRPr="00890245">
        <w:t>Tocilizumab</w:t>
      </w:r>
      <w:r w:rsidR="008F6EC5">
        <w:t>-</w:t>
      </w:r>
      <w:r w:rsidRPr="006A64EE">
        <w:t xml:space="preserve">Monotherapie mit einer Adalimumab-Monotherapie, in der 326 Patienten mit RA, bei denen eine MTX-Unverträglichkeit vorlag oder eine fortgeführte Behandlung mit MTX als unangemessen erschien (einschließlich Patienten mit unzureichendem Ansprechen auf MTX), bewertet wurden. Patienten im </w:t>
      </w:r>
      <w:r w:rsidR="008F6EC5" w:rsidRPr="00890245">
        <w:t>Tocilizumab</w:t>
      </w:r>
      <w:r w:rsidR="008F6EC5">
        <w:t>-</w:t>
      </w:r>
      <w:r w:rsidRPr="006A64EE">
        <w:t xml:space="preserve">Arm erhielten eine intravenöse </w:t>
      </w:r>
      <w:r w:rsidR="008F6EC5" w:rsidRPr="00890245">
        <w:t>Tocilizumab</w:t>
      </w:r>
      <w:r w:rsidR="008F6EC5">
        <w:t>-</w:t>
      </w:r>
      <w:r w:rsidRPr="006A64EE">
        <w:t>Infusion</w:t>
      </w:r>
      <w:r w:rsidR="00462095">
        <w:t xml:space="preserve"> </w:t>
      </w:r>
      <w:r w:rsidRPr="006A64EE">
        <w:t>(8</w:t>
      </w:r>
      <w:r w:rsidR="00462095">
        <w:t> </w:t>
      </w:r>
      <w:r w:rsidRPr="006A64EE">
        <w:t xml:space="preserve">mg/kg) alle 4 Wochen (q4w) und eine subkutane Placebo-Injektion alle 2 Wochen (q2w). Patienten </w:t>
      </w:r>
      <w:r w:rsidRPr="006A64EE">
        <w:lastRenderedPageBreak/>
        <w:t>im Adalimumab-Arm erhielten eine subkutane Adalimumab-Injektion (40 mg) q2w und eine intravenöse Placebo-Infusion q4w.</w:t>
      </w:r>
    </w:p>
    <w:p w14:paraId="7F16ED93" w14:textId="77777777" w:rsidR="00093A5E" w:rsidRPr="006A64EE" w:rsidRDefault="00093A5E" w:rsidP="004255F8">
      <w:pPr>
        <w:pStyle w:val="a3"/>
        <w:widowControl/>
      </w:pPr>
    </w:p>
    <w:p w14:paraId="30FDC1C9" w14:textId="5AAC3401" w:rsidR="00093A5E" w:rsidRPr="006A64EE" w:rsidRDefault="009C2544" w:rsidP="004255F8">
      <w:pPr>
        <w:pStyle w:val="a3"/>
        <w:widowControl/>
      </w:pPr>
      <w:r w:rsidRPr="006A64EE">
        <w:t xml:space="preserve">Eine statistisch signifikante Überlegenheit wurde zugunsten des Behandlungseffekts von </w:t>
      </w:r>
      <w:r w:rsidR="008F6EC5" w:rsidRPr="00890245">
        <w:t>Tocilizumab</w:t>
      </w:r>
      <w:r w:rsidRPr="006A64EE">
        <w:t xml:space="preserve"> im Vergleich zu Adalimumab im Hinblick auf die Kontrolle der Krankheitsaktivität, ab Baseline bis Woche 24, für den primären Endpunkt der Veränderung des DAS28 und auch für alle sekundären Endpunkte (siehe Tabelle 7) beobachtet.</w:t>
      </w:r>
    </w:p>
    <w:p w14:paraId="11FFF7D1" w14:textId="77777777" w:rsidR="00093A5E" w:rsidRPr="006A64EE" w:rsidRDefault="00093A5E" w:rsidP="004255F8">
      <w:pPr>
        <w:widowControl/>
      </w:pPr>
    </w:p>
    <w:p w14:paraId="66E14473" w14:textId="77777777" w:rsidR="00093A5E" w:rsidRPr="006A64EE" w:rsidRDefault="007D680A" w:rsidP="00891FD9">
      <w:pPr>
        <w:pStyle w:val="Tabletittle"/>
      </w:pPr>
      <w:r w:rsidRPr="006A64EE">
        <w:t>Tabelle 7:</w:t>
      </w:r>
      <w:r w:rsidR="00FB1376" w:rsidRPr="006A64EE">
        <w:tab/>
      </w:r>
      <w:r w:rsidRPr="006A64EE">
        <w:t>Wirksamkeitsergebnisse für Studie VI (WA19924)</w:t>
      </w:r>
    </w:p>
    <w:p w14:paraId="46797F2A" w14:textId="23D2BE75" w:rsidR="002D5756" w:rsidRPr="006A64EE" w:rsidRDefault="002D5756" w:rsidP="00891FD9">
      <w:pPr>
        <w:pStyle w:val="a3"/>
        <w:keepNext/>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915"/>
        <w:gridCol w:w="1963"/>
        <w:gridCol w:w="1821"/>
        <w:gridCol w:w="1362"/>
      </w:tblGrid>
      <w:tr w:rsidR="00593482" w:rsidRPr="006A64EE" w14:paraId="16EFAE92" w14:textId="77777777" w:rsidTr="00891FD9">
        <w:trPr>
          <w:cantSplit/>
        </w:trPr>
        <w:tc>
          <w:tcPr>
            <w:tcW w:w="3944" w:type="dxa"/>
          </w:tcPr>
          <w:p w14:paraId="03979913" w14:textId="77777777" w:rsidR="00FB1376" w:rsidRPr="006A64EE" w:rsidRDefault="00FB1376" w:rsidP="00891FD9">
            <w:pPr>
              <w:pStyle w:val="TableParagraph"/>
              <w:keepNext/>
              <w:widowControl/>
              <w:suppressAutoHyphens/>
              <w:jc w:val="right"/>
              <w:rPr>
                <w:b/>
                <w:sz w:val="20"/>
                <w:szCs w:val="20"/>
              </w:rPr>
            </w:pPr>
          </w:p>
        </w:tc>
        <w:tc>
          <w:tcPr>
            <w:tcW w:w="1977" w:type="dxa"/>
          </w:tcPr>
          <w:p w14:paraId="42C05057" w14:textId="493EC090" w:rsidR="00093A5E" w:rsidRPr="00E303AE" w:rsidRDefault="00FB1376" w:rsidP="00891FD9">
            <w:pPr>
              <w:pStyle w:val="TableParagraph"/>
              <w:keepNext/>
              <w:widowControl/>
              <w:suppressAutoHyphens/>
              <w:jc w:val="center"/>
              <w:rPr>
                <w:b/>
                <w:sz w:val="20"/>
                <w:szCs w:val="20"/>
                <w:lang w:val="en-US"/>
              </w:rPr>
            </w:pPr>
            <w:r w:rsidRPr="00E303AE">
              <w:rPr>
                <w:b/>
                <w:sz w:val="20"/>
                <w:szCs w:val="20"/>
                <w:lang w:val="en-US"/>
              </w:rPr>
              <w:t>ADA + Placebo (</w:t>
            </w:r>
            <w:proofErr w:type="spellStart"/>
            <w:r w:rsidR="00E3319F">
              <w:rPr>
                <w:b/>
                <w:sz w:val="20"/>
                <w:szCs w:val="20"/>
                <w:lang w:val="en-US"/>
              </w:rPr>
              <w:t>i.v.</w:t>
            </w:r>
            <w:proofErr w:type="spellEnd"/>
            <w:r w:rsidRPr="00E303AE">
              <w:rPr>
                <w:b/>
                <w:sz w:val="20"/>
                <w:szCs w:val="20"/>
                <w:lang w:val="en-US"/>
              </w:rPr>
              <w:t xml:space="preserve">) </w:t>
            </w:r>
          </w:p>
          <w:p w14:paraId="69D828CB" w14:textId="6B0BE796" w:rsidR="00FB1376" w:rsidRPr="00E303AE" w:rsidRDefault="00FB1376" w:rsidP="00891FD9">
            <w:pPr>
              <w:pStyle w:val="TableParagraph"/>
              <w:keepNext/>
              <w:widowControl/>
              <w:suppressAutoHyphens/>
              <w:jc w:val="center"/>
              <w:rPr>
                <w:b/>
                <w:sz w:val="20"/>
                <w:szCs w:val="20"/>
                <w:lang w:val="en-US"/>
              </w:rPr>
            </w:pPr>
            <w:r w:rsidRPr="00E303AE">
              <w:rPr>
                <w:b/>
                <w:sz w:val="20"/>
                <w:szCs w:val="20"/>
                <w:lang w:val="en-US"/>
              </w:rPr>
              <w:t>n = 162</w:t>
            </w:r>
          </w:p>
        </w:tc>
        <w:tc>
          <w:tcPr>
            <w:tcW w:w="1834" w:type="dxa"/>
          </w:tcPr>
          <w:p w14:paraId="5F68AC88" w14:textId="076E1D5F" w:rsidR="00093A5E" w:rsidRPr="00B436C7" w:rsidRDefault="00FB1376" w:rsidP="00891FD9">
            <w:pPr>
              <w:pStyle w:val="TableParagraph"/>
              <w:keepNext/>
              <w:widowControl/>
              <w:suppressAutoHyphens/>
              <w:jc w:val="center"/>
              <w:rPr>
                <w:b/>
                <w:sz w:val="20"/>
                <w:szCs w:val="20"/>
                <w:lang w:val="en-US"/>
              </w:rPr>
            </w:pPr>
            <w:r w:rsidRPr="00B436C7">
              <w:rPr>
                <w:b/>
                <w:sz w:val="20"/>
                <w:szCs w:val="20"/>
                <w:lang w:val="en-US"/>
              </w:rPr>
              <w:t>TCZ + Placebo (</w:t>
            </w:r>
            <w:r w:rsidR="00E3319F" w:rsidRPr="00B436C7">
              <w:rPr>
                <w:b/>
                <w:sz w:val="20"/>
                <w:szCs w:val="20"/>
                <w:lang w:val="en-US"/>
              </w:rPr>
              <w:t>s-c.</w:t>
            </w:r>
            <w:r w:rsidRPr="00B436C7">
              <w:rPr>
                <w:b/>
                <w:sz w:val="20"/>
                <w:szCs w:val="20"/>
                <w:lang w:val="en-US"/>
              </w:rPr>
              <w:t>)</w:t>
            </w:r>
          </w:p>
          <w:p w14:paraId="24A1EB1C" w14:textId="66D6F457" w:rsidR="00FB1376" w:rsidRPr="00B436C7" w:rsidRDefault="00FB1376" w:rsidP="00891FD9">
            <w:pPr>
              <w:pStyle w:val="TableParagraph"/>
              <w:keepNext/>
              <w:widowControl/>
              <w:suppressAutoHyphens/>
              <w:jc w:val="center"/>
              <w:rPr>
                <w:b/>
                <w:sz w:val="20"/>
                <w:szCs w:val="20"/>
                <w:lang w:val="en-US"/>
              </w:rPr>
            </w:pPr>
            <w:r w:rsidRPr="00B436C7">
              <w:rPr>
                <w:b/>
                <w:sz w:val="20"/>
                <w:szCs w:val="20"/>
                <w:lang w:val="en-US"/>
              </w:rPr>
              <w:t>n = 163</w:t>
            </w:r>
          </w:p>
        </w:tc>
        <w:tc>
          <w:tcPr>
            <w:tcW w:w="1372" w:type="dxa"/>
          </w:tcPr>
          <w:p w14:paraId="72C55235" w14:textId="135E0534" w:rsidR="00FB1376" w:rsidRPr="006A64EE" w:rsidRDefault="00FB1376" w:rsidP="00891FD9">
            <w:pPr>
              <w:pStyle w:val="TableParagraph"/>
              <w:keepNext/>
              <w:widowControl/>
              <w:suppressAutoHyphens/>
              <w:jc w:val="center"/>
              <w:rPr>
                <w:sz w:val="20"/>
                <w:szCs w:val="20"/>
              </w:rPr>
            </w:pPr>
            <w:r w:rsidRPr="00E303AE">
              <w:rPr>
                <w:b/>
                <w:bCs/>
                <w:sz w:val="20"/>
                <w:szCs w:val="20"/>
              </w:rPr>
              <w:t>p-Wert</w:t>
            </w:r>
            <w:r w:rsidR="003427E8">
              <w:rPr>
                <w:sz w:val="20"/>
                <w:szCs w:val="20"/>
              </w:rPr>
              <w:t xml:space="preserve"> </w:t>
            </w:r>
            <w:r w:rsidR="003427E8" w:rsidRPr="00E303AE">
              <w:rPr>
                <w:b/>
                <w:sz w:val="20"/>
                <w:szCs w:val="20"/>
                <w:vertAlign w:val="superscript"/>
              </w:rPr>
              <w:t>(a)</w:t>
            </w:r>
          </w:p>
        </w:tc>
      </w:tr>
      <w:tr w:rsidR="00593482" w:rsidRPr="006A64EE" w14:paraId="22B09466" w14:textId="77777777" w:rsidTr="00891FD9">
        <w:trPr>
          <w:cantSplit/>
        </w:trPr>
        <w:tc>
          <w:tcPr>
            <w:tcW w:w="9127" w:type="dxa"/>
            <w:gridSpan w:val="4"/>
          </w:tcPr>
          <w:p w14:paraId="2532A354" w14:textId="1A03FFE9" w:rsidR="00FB1376" w:rsidRPr="006A64EE" w:rsidRDefault="00FB1376" w:rsidP="004255F8">
            <w:pPr>
              <w:pStyle w:val="TableParagraph"/>
              <w:widowControl/>
              <w:suppressAutoHyphens/>
              <w:rPr>
                <w:sz w:val="20"/>
                <w:szCs w:val="20"/>
              </w:rPr>
            </w:pPr>
            <w:r w:rsidRPr="006A64EE">
              <w:rPr>
                <w:b/>
                <w:sz w:val="20"/>
                <w:szCs w:val="20"/>
              </w:rPr>
              <w:t>Primärer Endpunkt – Mittlere Veränderung ab Baseline in Woche 24</w:t>
            </w:r>
          </w:p>
        </w:tc>
      </w:tr>
      <w:tr w:rsidR="00593482" w:rsidRPr="006A64EE" w14:paraId="4E58D68A" w14:textId="77777777" w:rsidTr="00891FD9">
        <w:trPr>
          <w:cantSplit/>
        </w:trPr>
        <w:tc>
          <w:tcPr>
            <w:tcW w:w="3944" w:type="dxa"/>
          </w:tcPr>
          <w:p w14:paraId="5698C78C" w14:textId="77777777" w:rsidR="002D5756" w:rsidRPr="006A64EE" w:rsidRDefault="009C2544" w:rsidP="004255F8">
            <w:pPr>
              <w:pStyle w:val="TableParagraph"/>
              <w:widowControl/>
              <w:suppressAutoHyphens/>
              <w:jc w:val="right"/>
              <w:rPr>
                <w:bCs/>
                <w:sz w:val="20"/>
                <w:szCs w:val="20"/>
              </w:rPr>
            </w:pPr>
            <w:r w:rsidRPr="006A64EE">
              <w:rPr>
                <w:bCs/>
                <w:sz w:val="20"/>
                <w:szCs w:val="20"/>
              </w:rPr>
              <w:t>DAS28 (bereinigter Mittelwert)</w:t>
            </w:r>
          </w:p>
        </w:tc>
        <w:tc>
          <w:tcPr>
            <w:tcW w:w="1977" w:type="dxa"/>
          </w:tcPr>
          <w:p w14:paraId="3E2C1B6E" w14:textId="77777777" w:rsidR="002D5756" w:rsidRPr="006A64EE" w:rsidRDefault="009C2544" w:rsidP="00384E39">
            <w:pPr>
              <w:pStyle w:val="TableParagraph"/>
              <w:widowControl/>
              <w:suppressAutoHyphens/>
              <w:jc w:val="center"/>
              <w:rPr>
                <w:bCs/>
                <w:sz w:val="20"/>
                <w:szCs w:val="20"/>
              </w:rPr>
            </w:pPr>
            <w:r w:rsidRPr="006A64EE">
              <w:rPr>
                <w:bCs/>
                <w:sz w:val="20"/>
                <w:szCs w:val="20"/>
              </w:rPr>
              <w:t>-1,8</w:t>
            </w:r>
          </w:p>
        </w:tc>
        <w:tc>
          <w:tcPr>
            <w:tcW w:w="1834" w:type="dxa"/>
          </w:tcPr>
          <w:p w14:paraId="3D250F12" w14:textId="77777777" w:rsidR="002D5756" w:rsidRPr="006A64EE" w:rsidRDefault="009C2544" w:rsidP="00384E39">
            <w:pPr>
              <w:pStyle w:val="TableParagraph"/>
              <w:widowControl/>
              <w:suppressAutoHyphens/>
              <w:jc w:val="center"/>
              <w:rPr>
                <w:bCs/>
                <w:sz w:val="20"/>
                <w:szCs w:val="20"/>
              </w:rPr>
            </w:pPr>
            <w:r w:rsidRPr="006A64EE">
              <w:rPr>
                <w:bCs/>
                <w:sz w:val="20"/>
                <w:szCs w:val="20"/>
              </w:rPr>
              <w:t>-3,3</w:t>
            </w:r>
          </w:p>
        </w:tc>
        <w:tc>
          <w:tcPr>
            <w:tcW w:w="1372" w:type="dxa"/>
          </w:tcPr>
          <w:p w14:paraId="51C003A6" w14:textId="77777777" w:rsidR="002D5756" w:rsidRPr="006A64EE" w:rsidRDefault="002D5756" w:rsidP="00384E39">
            <w:pPr>
              <w:pStyle w:val="TableParagraph"/>
              <w:widowControl/>
              <w:suppressAutoHyphens/>
              <w:jc w:val="center"/>
              <w:rPr>
                <w:bCs/>
                <w:sz w:val="20"/>
                <w:szCs w:val="20"/>
              </w:rPr>
            </w:pPr>
          </w:p>
        </w:tc>
      </w:tr>
      <w:tr w:rsidR="00384E39" w:rsidRPr="006A64EE" w14:paraId="08159187" w14:textId="77777777" w:rsidTr="00891FD9">
        <w:trPr>
          <w:cantSplit/>
          <w:trHeight w:val="526"/>
        </w:trPr>
        <w:tc>
          <w:tcPr>
            <w:tcW w:w="3944" w:type="dxa"/>
          </w:tcPr>
          <w:p w14:paraId="412B40CD" w14:textId="28A2507F" w:rsidR="00384E39" w:rsidRPr="006A64EE" w:rsidRDefault="00384E39" w:rsidP="00384E39">
            <w:pPr>
              <w:pStyle w:val="TableParagraph"/>
              <w:widowControl/>
              <w:suppressAutoHyphens/>
              <w:jc w:val="right"/>
              <w:rPr>
                <w:bCs/>
                <w:sz w:val="20"/>
                <w:szCs w:val="20"/>
              </w:rPr>
            </w:pPr>
            <w:r w:rsidRPr="006A64EE">
              <w:rPr>
                <w:bCs/>
                <w:sz w:val="20"/>
                <w:szCs w:val="20"/>
              </w:rPr>
              <w:t>Unterschied im bereinigten Mittelwert (95-%-KI)</w:t>
            </w:r>
          </w:p>
        </w:tc>
        <w:tc>
          <w:tcPr>
            <w:tcW w:w="3811" w:type="dxa"/>
            <w:gridSpan w:val="2"/>
          </w:tcPr>
          <w:p w14:paraId="4C43C7EC" w14:textId="77777777" w:rsidR="00384E39" w:rsidRPr="006A64EE" w:rsidRDefault="00384E39" w:rsidP="00384E39">
            <w:pPr>
              <w:pStyle w:val="TableParagraph"/>
              <w:widowControl/>
              <w:suppressAutoHyphens/>
              <w:jc w:val="center"/>
              <w:rPr>
                <w:bCs/>
                <w:sz w:val="20"/>
                <w:szCs w:val="20"/>
              </w:rPr>
            </w:pPr>
            <w:r w:rsidRPr="006A64EE">
              <w:rPr>
                <w:bCs/>
                <w:sz w:val="20"/>
                <w:szCs w:val="20"/>
              </w:rPr>
              <w:t>-1,5 (-1,8; -1,1)</w:t>
            </w:r>
          </w:p>
        </w:tc>
        <w:tc>
          <w:tcPr>
            <w:tcW w:w="1372" w:type="dxa"/>
          </w:tcPr>
          <w:p w14:paraId="5F598379" w14:textId="77777777" w:rsidR="00384E39" w:rsidRPr="006A64EE" w:rsidRDefault="00384E39" w:rsidP="00384E39">
            <w:pPr>
              <w:pStyle w:val="TableParagraph"/>
              <w:widowControl/>
              <w:suppressAutoHyphens/>
              <w:jc w:val="center"/>
              <w:rPr>
                <w:bCs/>
                <w:sz w:val="20"/>
                <w:szCs w:val="20"/>
              </w:rPr>
            </w:pPr>
            <w:r w:rsidRPr="006A64EE">
              <w:rPr>
                <w:bCs/>
                <w:sz w:val="20"/>
                <w:szCs w:val="20"/>
              </w:rPr>
              <w:t>&lt; 0,0001</w:t>
            </w:r>
          </w:p>
        </w:tc>
      </w:tr>
      <w:tr w:rsidR="00593482" w:rsidRPr="006A64EE" w14:paraId="41F7B073" w14:textId="77777777" w:rsidTr="00891FD9">
        <w:trPr>
          <w:cantSplit/>
        </w:trPr>
        <w:tc>
          <w:tcPr>
            <w:tcW w:w="9127" w:type="dxa"/>
            <w:gridSpan w:val="4"/>
          </w:tcPr>
          <w:p w14:paraId="24CF5B8B" w14:textId="77777777" w:rsidR="002D5756" w:rsidRPr="006A64EE" w:rsidRDefault="009C2544" w:rsidP="004255F8">
            <w:pPr>
              <w:pStyle w:val="TableParagraph"/>
              <w:widowControl/>
              <w:suppressAutoHyphens/>
              <w:rPr>
                <w:b/>
                <w:sz w:val="20"/>
                <w:szCs w:val="20"/>
              </w:rPr>
            </w:pPr>
            <w:r w:rsidRPr="006A64EE">
              <w:rPr>
                <w:b/>
                <w:sz w:val="20"/>
                <w:szCs w:val="20"/>
              </w:rPr>
              <w:t xml:space="preserve">Sekundäre Endpunkte – Anteil der Patienten mit Ansprechen in Woche 24 </w:t>
            </w:r>
            <w:r w:rsidRPr="006A64EE">
              <w:rPr>
                <w:b/>
                <w:sz w:val="20"/>
                <w:szCs w:val="20"/>
                <w:vertAlign w:val="superscript"/>
              </w:rPr>
              <w:t>(b)</w:t>
            </w:r>
          </w:p>
        </w:tc>
      </w:tr>
      <w:tr w:rsidR="00593482" w:rsidRPr="006A64EE" w14:paraId="408071B7" w14:textId="77777777" w:rsidTr="00891FD9">
        <w:trPr>
          <w:cantSplit/>
        </w:trPr>
        <w:tc>
          <w:tcPr>
            <w:tcW w:w="3944" w:type="dxa"/>
          </w:tcPr>
          <w:p w14:paraId="5638F428" w14:textId="77777777" w:rsidR="002D5756" w:rsidRPr="006A64EE" w:rsidRDefault="009C2544" w:rsidP="004255F8">
            <w:pPr>
              <w:pStyle w:val="TableParagraph"/>
              <w:widowControl/>
              <w:suppressAutoHyphens/>
              <w:jc w:val="right"/>
              <w:rPr>
                <w:sz w:val="20"/>
                <w:szCs w:val="20"/>
              </w:rPr>
            </w:pPr>
            <w:r w:rsidRPr="006A64EE">
              <w:rPr>
                <w:sz w:val="20"/>
                <w:szCs w:val="20"/>
              </w:rPr>
              <w:t>DAS28 &lt; 2,6; n (%)</w:t>
            </w:r>
          </w:p>
        </w:tc>
        <w:tc>
          <w:tcPr>
            <w:tcW w:w="1977" w:type="dxa"/>
          </w:tcPr>
          <w:p w14:paraId="61FB8E34" w14:textId="77777777" w:rsidR="002D5756" w:rsidRPr="006A64EE" w:rsidRDefault="009C2544" w:rsidP="00384E39">
            <w:pPr>
              <w:pStyle w:val="TableParagraph"/>
              <w:widowControl/>
              <w:suppressAutoHyphens/>
              <w:jc w:val="center"/>
              <w:rPr>
                <w:sz w:val="20"/>
                <w:szCs w:val="20"/>
              </w:rPr>
            </w:pPr>
            <w:r w:rsidRPr="006A64EE">
              <w:rPr>
                <w:sz w:val="20"/>
                <w:szCs w:val="20"/>
              </w:rPr>
              <w:t>17 (10,5)</w:t>
            </w:r>
          </w:p>
        </w:tc>
        <w:tc>
          <w:tcPr>
            <w:tcW w:w="1834" w:type="dxa"/>
          </w:tcPr>
          <w:p w14:paraId="0A8B3B68" w14:textId="77777777" w:rsidR="002D5756" w:rsidRPr="006A64EE" w:rsidRDefault="009C2544" w:rsidP="00384E39">
            <w:pPr>
              <w:pStyle w:val="TableParagraph"/>
              <w:widowControl/>
              <w:suppressAutoHyphens/>
              <w:jc w:val="center"/>
              <w:rPr>
                <w:sz w:val="20"/>
                <w:szCs w:val="20"/>
              </w:rPr>
            </w:pPr>
            <w:r w:rsidRPr="006A64EE">
              <w:rPr>
                <w:sz w:val="20"/>
                <w:szCs w:val="20"/>
              </w:rPr>
              <w:t>65 (39,9)</w:t>
            </w:r>
          </w:p>
        </w:tc>
        <w:tc>
          <w:tcPr>
            <w:tcW w:w="1372" w:type="dxa"/>
          </w:tcPr>
          <w:p w14:paraId="1A72C872" w14:textId="77777777" w:rsidR="002D5756" w:rsidRPr="006A64EE" w:rsidRDefault="009C2544" w:rsidP="00384E39">
            <w:pPr>
              <w:pStyle w:val="TableParagraph"/>
              <w:widowControl/>
              <w:suppressAutoHyphens/>
              <w:jc w:val="center"/>
              <w:rPr>
                <w:sz w:val="20"/>
                <w:szCs w:val="20"/>
              </w:rPr>
            </w:pPr>
            <w:r w:rsidRPr="006A64EE">
              <w:rPr>
                <w:sz w:val="20"/>
                <w:szCs w:val="20"/>
              </w:rPr>
              <w:t>&lt; 0,0001</w:t>
            </w:r>
          </w:p>
        </w:tc>
      </w:tr>
      <w:tr w:rsidR="00593482" w:rsidRPr="006A64EE" w14:paraId="2288C80E" w14:textId="77777777" w:rsidTr="00891FD9">
        <w:trPr>
          <w:cantSplit/>
        </w:trPr>
        <w:tc>
          <w:tcPr>
            <w:tcW w:w="3944" w:type="dxa"/>
          </w:tcPr>
          <w:p w14:paraId="1A974B14" w14:textId="77777777" w:rsidR="002D5756" w:rsidRPr="006A64EE" w:rsidRDefault="009C2544" w:rsidP="004255F8">
            <w:pPr>
              <w:pStyle w:val="TableParagraph"/>
              <w:widowControl/>
              <w:suppressAutoHyphens/>
              <w:jc w:val="right"/>
              <w:rPr>
                <w:sz w:val="20"/>
                <w:szCs w:val="20"/>
              </w:rPr>
            </w:pPr>
            <w:r w:rsidRPr="006A64EE">
              <w:rPr>
                <w:sz w:val="20"/>
                <w:szCs w:val="20"/>
              </w:rPr>
              <w:t>DAS28 ≤ 3,2; n (%)</w:t>
            </w:r>
          </w:p>
        </w:tc>
        <w:tc>
          <w:tcPr>
            <w:tcW w:w="1977" w:type="dxa"/>
          </w:tcPr>
          <w:p w14:paraId="392810B0" w14:textId="77777777" w:rsidR="002D5756" w:rsidRPr="006A64EE" w:rsidRDefault="009C2544" w:rsidP="00384E39">
            <w:pPr>
              <w:pStyle w:val="TableParagraph"/>
              <w:widowControl/>
              <w:suppressAutoHyphens/>
              <w:jc w:val="center"/>
              <w:rPr>
                <w:sz w:val="20"/>
                <w:szCs w:val="20"/>
              </w:rPr>
            </w:pPr>
            <w:r w:rsidRPr="006A64EE">
              <w:rPr>
                <w:sz w:val="20"/>
                <w:szCs w:val="20"/>
              </w:rPr>
              <w:t>32 (19,8)</w:t>
            </w:r>
          </w:p>
        </w:tc>
        <w:tc>
          <w:tcPr>
            <w:tcW w:w="1834" w:type="dxa"/>
          </w:tcPr>
          <w:p w14:paraId="51150248" w14:textId="77777777" w:rsidR="002D5756" w:rsidRPr="006A64EE" w:rsidRDefault="009C2544" w:rsidP="00384E39">
            <w:pPr>
              <w:pStyle w:val="TableParagraph"/>
              <w:widowControl/>
              <w:suppressAutoHyphens/>
              <w:jc w:val="center"/>
              <w:rPr>
                <w:sz w:val="20"/>
                <w:szCs w:val="20"/>
              </w:rPr>
            </w:pPr>
            <w:r w:rsidRPr="006A64EE">
              <w:rPr>
                <w:sz w:val="20"/>
                <w:szCs w:val="20"/>
              </w:rPr>
              <w:t>84 (51,5)</w:t>
            </w:r>
          </w:p>
        </w:tc>
        <w:tc>
          <w:tcPr>
            <w:tcW w:w="1372" w:type="dxa"/>
          </w:tcPr>
          <w:p w14:paraId="2E0575E6" w14:textId="77777777" w:rsidR="002D5756" w:rsidRPr="006A64EE" w:rsidRDefault="009C2544" w:rsidP="00384E39">
            <w:pPr>
              <w:pStyle w:val="TableParagraph"/>
              <w:widowControl/>
              <w:suppressAutoHyphens/>
              <w:jc w:val="center"/>
              <w:rPr>
                <w:sz w:val="20"/>
                <w:szCs w:val="20"/>
              </w:rPr>
            </w:pPr>
            <w:r w:rsidRPr="006A64EE">
              <w:rPr>
                <w:sz w:val="20"/>
                <w:szCs w:val="20"/>
              </w:rPr>
              <w:t>&lt; 0,0001</w:t>
            </w:r>
          </w:p>
        </w:tc>
      </w:tr>
      <w:tr w:rsidR="00593482" w:rsidRPr="006A64EE" w14:paraId="5D58212E" w14:textId="77777777" w:rsidTr="00891FD9">
        <w:trPr>
          <w:cantSplit/>
        </w:trPr>
        <w:tc>
          <w:tcPr>
            <w:tcW w:w="3944" w:type="dxa"/>
          </w:tcPr>
          <w:p w14:paraId="746F9035" w14:textId="77777777" w:rsidR="002D5756" w:rsidRPr="006A64EE" w:rsidRDefault="009C2544" w:rsidP="004255F8">
            <w:pPr>
              <w:pStyle w:val="TableParagraph"/>
              <w:widowControl/>
              <w:suppressAutoHyphens/>
              <w:jc w:val="right"/>
              <w:rPr>
                <w:sz w:val="20"/>
                <w:szCs w:val="20"/>
              </w:rPr>
            </w:pPr>
            <w:r w:rsidRPr="006A64EE">
              <w:rPr>
                <w:sz w:val="20"/>
                <w:szCs w:val="20"/>
              </w:rPr>
              <w:t>ACR20-Ansprechen, n (%)</w:t>
            </w:r>
          </w:p>
        </w:tc>
        <w:tc>
          <w:tcPr>
            <w:tcW w:w="1977" w:type="dxa"/>
          </w:tcPr>
          <w:p w14:paraId="76FC3A43" w14:textId="77777777" w:rsidR="002D5756" w:rsidRPr="006A64EE" w:rsidRDefault="009C2544" w:rsidP="00384E39">
            <w:pPr>
              <w:pStyle w:val="TableParagraph"/>
              <w:widowControl/>
              <w:suppressAutoHyphens/>
              <w:jc w:val="center"/>
              <w:rPr>
                <w:sz w:val="20"/>
                <w:szCs w:val="20"/>
              </w:rPr>
            </w:pPr>
            <w:r w:rsidRPr="006A64EE">
              <w:rPr>
                <w:sz w:val="20"/>
                <w:szCs w:val="20"/>
              </w:rPr>
              <w:t>80 (49,4)</w:t>
            </w:r>
          </w:p>
        </w:tc>
        <w:tc>
          <w:tcPr>
            <w:tcW w:w="1834" w:type="dxa"/>
          </w:tcPr>
          <w:p w14:paraId="455403AA" w14:textId="77777777" w:rsidR="002D5756" w:rsidRPr="006A64EE" w:rsidRDefault="009C2544" w:rsidP="00384E39">
            <w:pPr>
              <w:pStyle w:val="TableParagraph"/>
              <w:widowControl/>
              <w:suppressAutoHyphens/>
              <w:jc w:val="center"/>
              <w:rPr>
                <w:sz w:val="20"/>
                <w:szCs w:val="20"/>
              </w:rPr>
            </w:pPr>
            <w:r w:rsidRPr="006A64EE">
              <w:rPr>
                <w:sz w:val="20"/>
                <w:szCs w:val="20"/>
              </w:rPr>
              <w:t>106 (65,0)</w:t>
            </w:r>
          </w:p>
        </w:tc>
        <w:tc>
          <w:tcPr>
            <w:tcW w:w="1372" w:type="dxa"/>
          </w:tcPr>
          <w:p w14:paraId="431D7D2E" w14:textId="77777777" w:rsidR="002D5756" w:rsidRPr="006A64EE" w:rsidRDefault="009C2544" w:rsidP="00384E39">
            <w:pPr>
              <w:pStyle w:val="TableParagraph"/>
              <w:widowControl/>
              <w:suppressAutoHyphens/>
              <w:jc w:val="center"/>
              <w:rPr>
                <w:sz w:val="20"/>
                <w:szCs w:val="20"/>
              </w:rPr>
            </w:pPr>
            <w:r w:rsidRPr="006A64EE">
              <w:rPr>
                <w:sz w:val="20"/>
                <w:szCs w:val="20"/>
              </w:rPr>
              <w:t>0,0038</w:t>
            </w:r>
          </w:p>
        </w:tc>
      </w:tr>
      <w:tr w:rsidR="00593482" w:rsidRPr="006A64EE" w14:paraId="29E5E77E" w14:textId="77777777" w:rsidTr="00891FD9">
        <w:trPr>
          <w:cantSplit/>
        </w:trPr>
        <w:tc>
          <w:tcPr>
            <w:tcW w:w="3944" w:type="dxa"/>
          </w:tcPr>
          <w:p w14:paraId="18FDC8E4" w14:textId="77777777" w:rsidR="002D5756" w:rsidRPr="006A64EE" w:rsidRDefault="009C2544" w:rsidP="004255F8">
            <w:pPr>
              <w:pStyle w:val="TableParagraph"/>
              <w:widowControl/>
              <w:suppressAutoHyphens/>
              <w:jc w:val="right"/>
              <w:rPr>
                <w:sz w:val="20"/>
                <w:szCs w:val="20"/>
              </w:rPr>
            </w:pPr>
            <w:r w:rsidRPr="006A64EE">
              <w:rPr>
                <w:sz w:val="20"/>
                <w:szCs w:val="20"/>
              </w:rPr>
              <w:t>ACR50-Ansprechen, n (%)</w:t>
            </w:r>
          </w:p>
        </w:tc>
        <w:tc>
          <w:tcPr>
            <w:tcW w:w="1977" w:type="dxa"/>
          </w:tcPr>
          <w:p w14:paraId="5B108AE0" w14:textId="77777777" w:rsidR="002D5756" w:rsidRPr="006A64EE" w:rsidRDefault="009C2544" w:rsidP="00384E39">
            <w:pPr>
              <w:pStyle w:val="TableParagraph"/>
              <w:widowControl/>
              <w:suppressAutoHyphens/>
              <w:jc w:val="center"/>
              <w:rPr>
                <w:sz w:val="20"/>
                <w:szCs w:val="20"/>
              </w:rPr>
            </w:pPr>
            <w:r w:rsidRPr="006A64EE">
              <w:rPr>
                <w:sz w:val="20"/>
                <w:szCs w:val="20"/>
              </w:rPr>
              <w:t>45 (27,8)</w:t>
            </w:r>
          </w:p>
        </w:tc>
        <w:tc>
          <w:tcPr>
            <w:tcW w:w="1834" w:type="dxa"/>
          </w:tcPr>
          <w:p w14:paraId="24AC881F" w14:textId="77777777" w:rsidR="002D5756" w:rsidRPr="006A64EE" w:rsidRDefault="009C2544" w:rsidP="00384E39">
            <w:pPr>
              <w:pStyle w:val="TableParagraph"/>
              <w:widowControl/>
              <w:suppressAutoHyphens/>
              <w:jc w:val="center"/>
              <w:rPr>
                <w:sz w:val="20"/>
                <w:szCs w:val="20"/>
              </w:rPr>
            </w:pPr>
            <w:r w:rsidRPr="006A64EE">
              <w:rPr>
                <w:sz w:val="20"/>
                <w:szCs w:val="20"/>
              </w:rPr>
              <w:t>77 (47,2)</w:t>
            </w:r>
          </w:p>
        </w:tc>
        <w:tc>
          <w:tcPr>
            <w:tcW w:w="1372" w:type="dxa"/>
          </w:tcPr>
          <w:p w14:paraId="09EED173" w14:textId="77777777" w:rsidR="002D5756" w:rsidRPr="006A64EE" w:rsidRDefault="009C2544" w:rsidP="00384E39">
            <w:pPr>
              <w:pStyle w:val="TableParagraph"/>
              <w:widowControl/>
              <w:suppressAutoHyphens/>
              <w:jc w:val="center"/>
              <w:rPr>
                <w:sz w:val="20"/>
                <w:szCs w:val="20"/>
              </w:rPr>
            </w:pPr>
            <w:r w:rsidRPr="006A64EE">
              <w:rPr>
                <w:sz w:val="20"/>
                <w:szCs w:val="20"/>
              </w:rPr>
              <w:t>0,0002</w:t>
            </w:r>
          </w:p>
        </w:tc>
      </w:tr>
      <w:tr w:rsidR="00593482" w:rsidRPr="006A64EE" w14:paraId="0448370B" w14:textId="77777777" w:rsidTr="00891FD9">
        <w:trPr>
          <w:cantSplit/>
        </w:trPr>
        <w:tc>
          <w:tcPr>
            <w:tcW w:w="3944" w:type="dxa"/>
          </w:tcPr>
          <w:p w14:paraId="73EEA7E2" w14:textId="77777777" w:rsidR="002D5756" w:rsidRPr="006A64EE" w:rsidRDefault="009C2544" w:rsidP="004255F8">
            <w:pPr>
              <w:pStyle w:val="TableParagraph"/>
              <w:widowControl/>
              <w:suppressAutoHyphens/>
              <w:jc w:val="right"/>
              <w:rPr>
                <w:sz w:val="20"/>
                <w:szCs w:val="20"/>
              </w:rPr>
            </w:pPr>
            <w:r w:rsidRPr="006A64EE">
              <w:rPr>
                <w:sz w:val="20"/>
                <w:szCs w:val="20"/>
              </w:rPr>
              <w:t>ACR70-Ansprechen, n (%)</w:t>
            </w:r>
          </w:p>
        </w:tc>
        <w:tc>
          <w:tcPr>
            <w:tcW w:w="1977" w:type="dxa"/>
          </w:tcPr>
          <w:p w14:paraId="25AB8483" w14:textId="77777777" w:rsidR="002D5756" w:rsidRPr="006A64EE" w:rsidRDefault="009C2544" w:rsidP="00384E39">
            <w:pPr>
              <w:pStyle w:val="TableParagraph"/>
              <w:widowControl/>
              <w:suppressAutoHyphens/>
              <w:jc w:val="center"/>
              <w:rPr>
                <w:sz w:val="20"/>
                <w:szCs w:val="20"/>
              </w:rPr>
            </w:pPr>
            <w:r w:rsidRPr="006A64EE">
              <w:rPr>
                <w:sz w:val="20"/>
                <w:szCs w:val="20"/>
              </w:rPr>
              <w:t>29 (17,9)</w:t>
            </w:r>
          </w:p>
        </w:tc>
        <w:tc>
          <w:tcPr>
            <w:tcW w:w="1834" w:type="dxa"/>
          </w:tcPr>
          <w:p w14:paraId="40074F5C" w14:textId="77777777" w:rsidR="002D5756" w:rsidRPr="006A64EE" w:rsidRDefault="009C2544" w:rsidP="00384E39">
            <w:pPr>
              <w:pStyle w:val="TableParagraph"/>
              <w:widowControl/>
              <w:suppressAutoHyphens/>
              <w:jc w:val="center"/>
              <w:rPr>
                <w:sz w:val="20"/>
                <w:szCs w:val="20"/>
              </w:rPr>
            </w:pPr>
            <w:r w:rsidRPr="006A64EE">
              <w:rPr>
                <w:sz w:val="20"/>
                <w:szCs w:val="20"/>
              </w:rPr>
              <w:t>53 (32,5)</w:t>
            </w:r>
          </w:p>
        </w:tc>
        <w:tc>
          <w:tcPr>
            <w:tcW w:w="1372" w:type="dxa"/>
          </w:tcPr>
          <w:p w14:paraId="737C57FB" w14:textId="77777777" w:rsidR="002D5756" w:rsidRPr="006A64EE" w:rsidRDefault="009C2544" w:rsidP="00384E39">
            <w:pPr>
              <w:pStyle w:val="TableParagraph"/>
              <w:widowControl/>
              <w:suppressAutoHyphens/>
              <w:jc w:val="center"/>
              <w:rPr>
                <w:sz w:val="20"/>
                <w:szCs w:val="20"/>
              </w:rPr>
            </w:pPr>
            <w:r w:rsidRPr="006A64EE">
              <w:rPr>
                <w:sz w:val="20"/>
                <w:szCs w:val="20"/>
              </w:rPr>
              <w:t>0,0023</w:t>
            </w:r>
          </w:p>
        </w:tc>
      </w:tr>
    </w:tbl>
    <w:p w14:paraId="6D1ACF42" w14:textId="77777777" w:rsidR="00093A5E" w:rsidRPr="006A64EE" w:rsidRDefault="0064484D" w:rsidP="004255F8">
      <w:pPr>
        <w:widowControl/>
        <w:rPr>
          <w:i/>
          <w:sz w:val="18"/>
          <w:szCs w:val="18"/>
        </w:rPr>
      </w:pPr>
      <w:r w:rsidRPr="006A64EE">
        <w:rPr>
          <w:i/>
          <w:sz w:val="18"/>
          <w:szCs w:val="18"/>
          <w:vertAlign w:val="superscript"/>
        </w:rPr>
        <w:t xml:space="preserve">a </w:t>
      </w:r>
      <w:r w:rsidRPr="006A64EE">
        <w:rPr>
          <w:i/>
          <w:sz w:val="18"/>
          <w:szCs w:val="18"/>
        </w:rPr>
        <w:t>p-Wert ist adjustiert in Bezug auf Region und Dauer der RA für alle Endpunkte und zusätzlich für den Baseline-Wert aller stetigen Endpunkte.</w:t>
      </w:r>
    </w:p>
    <w:p w14:paraId="3B6A307F" w14:textId="77777777" w:rsidR="00093A5E" w:rsidRPr="006A64EE" w:rsidRDefault="0064484D" w:rsidP="004255F8">
      <w:pPr>
        <w:widowControl/>
        <w:rPr>
          <w:i/>
          <w:sz w:val="18"/>
          <w:szCs w:val="18"/>
        </w:rPr>
      </w:pPr>
      <w:r w:rsidRPr="006A64EE">
        <w:rPr>
          <w:i/>
          <w:sz w:val="18"/>
          <w:szCs w:val="18"/>
          <w:vertAlign w:val="superscript"/>
        </w:rPr>
        <w:t xml:space="preserve">b </w:t>
      </w:r>
      <w:r w:rsidRPr="006A64EE">
        <w:rPr>
          <w:i/>
          <w:sz w:val="18"/>
          <w:szCs w:val="18"/>
        </w:rPr>
        <w:t>Patienten mit fehlenden Daten wurden als Therapie-Versager (non-responder) gewertet. Multiplizität unter Anwendung der Bonferroni-Holm-Methode kontrolliert</w:t>
      </w:r>
    </w:p>
    <w:p w14:paraId="73D3501A" w14:textId="77777777" w:rsidR="00093A5E" w:rsidRPr="006A64EE" w:rsidRDefault="00093A5E" w:rsidP="004255F8">
      <w:pPr>
        <w:pStyle w:val="a3"/>
        <w:widowControl/>
        <w:rPr>
          <w:i/>
        </w:rPr>
      </w:pPr>
    </w:p>
    <w:p w14:paraId="2AA73377" w14:textId="26697CD0" w:rsidR="00093A5E" w:rsidRPr="006A64EE" w:rsidRDefault="009C2544" w:rsidP="00384E39">
      <w:pPr>
        <w:pStyle w:val="a3"/>
        <w:widowControl/>
      </w:pPr>
      <w:r w:rsidRPr="006A64EE">
        <w:t xml:space="preserve">Das gesamte klinische Nebenwirkungsprofil von </w:t>
      </w:r>
      <w:r w:rsidR="008F6EC5" w:rsidRPr="00890245">
        <w:t>Tocilizumab</w:t>
      </w:r>
      <w:r w:rsidRPr="006A64EE">
        <w:t xml:space="preserve"> und Adalimumab war ähnlich. Der Anteil an Patienten mit schwerwiegenden unerwünschten Ereignissen war in beiden Behandlungsgruppen vergleichbar (</w:t>
      </w:r>
      <w:r w:rsidR="008F6EC5" w:rsidRPr="00890245">
        <w:t>Tocilizumab</w:t>
      </w:r>
      <w:r w:rsidRPr="006A64EE">
        <w:t xml:space="preserve"> 11,7 % </w:t>
      </w:r>
      <w:r w:rsidRPr="006A64EE">
        <w:rPr>
          <w:i/>
        </w:rPr>
        <w:t>vs</w:t>
      </w:r>
      <w:r w:rsidRPr="006A64EE">
        <w:t xml:space="preserve">. Adalimumab 9,9 %). Die Arten von unerwünschten Arzneimittelwirkungen im </w:t>
      </w:r>
      <w:r w:rsidR="008F6EC5" w:rsidRPr="00890245">
        <w:t>Tocilizumab</w:t>
      </w:r>
      <w:r w:rsidR="008F6EC5">
        <w:t>-</w:t>
      </w:r>
      <w:r w:rsidRPr="006A64EE">
        <w:t xml:space="preserve">Arm entsprachen dem bekannten Sicherheitsprofil von </w:t>
      </w:r>
      <w:r w:rsidR="008F6EC5" w:rsidRPr="00890245">
        <w:t>Tocilizumab</w:t>
      </w:r>
      <w:r w:rsidRPr="006A64EE">
        <w:t xml:space="preserve">, und unerwünschte Arzneimittelwirkungen wurden mit einer ähnlichen Häufigkeit im Vergleich zu Tabelle 1 berichtet. Eine höhere Inzidenz von Infektionen und parasitären Erkrankungen wurde im </w:t>
      </w:r>
      <w:r w:rsidR="008F6EC5" w:rsidRPr="00890245">
        <w:t>Tocilizumab</w:t>
      </w:r>
      <w:r w:rsidR="008F6EC5">
        <w:t>-</w:t>
      </w:r>
      <w:r w:rsidRPr="006A64EE">
        <w:t xml:space="preserve">Arm (48 % </w:t>
      </w:r>
      <w:r w:rsidRPr="006A64EE">
        <w:rPr>
          <w:i/>
        </w:rPr>
        <w:t>vs</w:t>
      </w:r>
      <w:r w:rsidRPr="006A64EE">
        <w:t xml:space="preserve">. 42 %) berichtet, wobei kein Unterschied in der Inzidenz von schwerwiegenden Infektionen (3,1 %) bestand. Beide Studienbehandlungen führten zu vergleichbaren Veränderungsmustern bei den Laborsicherheitsparametern (Verringerung der Anzahl der Neutrophilen und Thrombozyten, Erhöhung der ALAT, ASAT und Lipide). Das Ausmaß der Veränderung und die Häufigkeit starker Auffälligkeiten waren jedoch bei </w:t>
      </w:r>
      <w:r w:rsidR="008F6EC5" w:rsidRPr="00890245">
        <w:t>Tocilizumab</w:t>
      </w:r>
      <w:r w:rsidRPr="006A64EE">
        <w:t xml:space="preserve"> höher als bei Adalimumab. Bei vier Patienten im </w:t>
      </w:r>
      <w:r w:rsidR="008F6EC5" w:rsidRPr="00890245">
        <w:t>Tocilizumab</w:t>
      </w:r>
      <w:r w:rsidR="008F6EC5">
        <w:t>-</w:t>
      </w:r>
      <w:r w:rsidRPr="006A64EE">
        <w:t xml:space="preserve">Arm (2,5 %) und zwei Patienten im Adalimumab-Arm (1,2 %) trat ein Abfall der Neutrophilenzahl vom CTC-Grad 3 oder 4 auf. Bei elf Patienten im </w:t>
      </w:r>
      <w:r w:rsidR="008F6EC5" w:rsidRPr="00890245">
        <w:t>Tocilizumab</w:t>
      </w:r>
      <w:r w:rsidR="008F6EC5">
        <w:t>-</w:t>
      </w:r>
      <w:r w:rsidRPr="006A64EE">
        <w:t xml:space="preserve">Arm (6,8 %) und fünf Patienten im Adalimumab-Arm (3,1 %) trat eine Erhöhung der ALAT vom CTC-Grad 2 oder höher auf. Der mittlere LDL-Anstieg ab Baseline lag bei Patienten im </w:t>
      </w:r>
      <w:r w:rsidR="008F6EC5" w:rsidRPr="00890245">
        <w:t>Tocilizumab</w:t>
      </w:r>
      <w:r w:rsidR="008F6EC5">
        <w:t>-</w:t>
      </w:r>
      <w:r w:rsidRPr="006A64EE">
        <w:t>Arm bei 0,64</w:t>
      </w:r>
      <w:r w:rsidR="00322FF0">
        <w:t> </w:t>
      </w:r>
      <w:r w:rsidRPr="006A64EE">
        <w:t>mmol/l</w:t>
      </w:r>
      <w:r w:rsidR="00384E39" w:rsidRPr="006A64EE">
        <w:t xml:space="preserve"> </w:t>
      </w:r>
      <w:r w:rsidRPr="006A64EE">
        <w:t xml:space="preserve">(25 mg/dl) und bei Patienten im Adalimumab-Arm bei 0,19 mmol/l (7 mg/dl). Die Sicherheit, die im Tocilizumab-Arm beobachtet wurde, stimmte mit dem bekannten Sicherheitsprofil von </w:t>
      </w:r>
      <w:r w:rsidR="008F6EC5" w:rsidRPr="00890245">
        <w:t>Tocilizumab</w:t>
      </w:r>
      <w:r w:rsidRPr="006A64EE">
        <w:t xml:space="preserve"> überein, und es wurden keine neuen oder unerwarteten Nebenwirkungen beobachtet (siehe Tabelle 1).</w:t>
      </w:r>
    </w:p>
    <w:p w14:paraId="6B6E38FD" w14:textId="77777777" w:rsidR="00093A5E" w:rsidRPr="006A64EE" w:rsidRDefault="00093A5E" w:rsidP="004255F8">
      <w:pPr>
        <w:pStyle w:val="a3"/>
        <w:widowControl/>
      </w:pPr>
    </w:p>
    <w:p w14:paraId="0B706CD2" w14:textId="77777777" w:rsidR="00093A5E" w:rsidRPr="006A64EE" w:rsidRDefault="0059713A" w:rsidP="004255F8">
      <w:pPr>
        <w:pStyle w:val="2"/>
      </w:pPr>
      <w:r w:rsidRPr="006A64EE">
        <w:t>5.2</w:t>
      </w:r>
      <w:r w:rsidRPr="006A64EE">
        <w:tab/>
        <w:t>Pharmakokinetische Eigenschaften</w:t>
      </w:r>
    </w:p>
    <w:p w14:paraId="730B71CD" w14:textId="77777777" w:rsidR="00093A5E" w:rsidRPr="006A64EE" w:rsidRDefault="00093A5E" w:rsidP="00121CB7"/>
    <w:p w14:paraId="0D7C271E" w14:textId="474A4A18" w:rsidR="00093A5E" w:rsidRPr="006A64EE" w:rsidRDefault="009C2544" w:rsidP="004255F8">
      <w:pPr>
        <w:pStyle w:val="a3"/>
        <w:widowControl/>
      </w:pPr>
      <w:r w:rsidRPr="006A64EE">
        <w:t xml:space="preserve">Die Pharmakokinetik von </w:t>
      </w:r>
      <w:r w:rsidR="000F19ED">
        <w:t>Tocilizumab</w:t>
      </w:r>
      <w:r w:rsidRPr="006A64EE">
        <w:t xml:space="preserve"> ist durch eine nicht lineare Elimination gekennzeichnet, genauer gesagt ist es eine Kombination aus linearer Clearance und Michaelis-Menten-Elimination. Der nicht lineare Teil der </w:t>
      </w:r>
      <w:r w:rsidR="000F19ED">
        <w:t>Tocilizumab</w:t>
      </w:r>
      <w:r w:rsidRPr="006A64EE">
        <w:t xml:space="preserve">-Elimination führt zu einem mehr als dosisproportionalen Anstieg der Exposition. Die pharmakokinetischen Parameter von </w:t>
      </w:r>
      <w:r w:rsidR="000F19ED">
        <w:t>Tocilizumab</w:t>
      </w:r>
      <w:r w:rsidRPr="006A64EE">
        <w:t xml:space="preserve"> verändern sich im Zeitverlauf nicht. Da die Gesamt-Clearance von der </w:t>
      </w:r>
      <w:r w:rsidR="000F19ED">
        <w:t>Tocilizumab</w:t>
      </w:r>
      <w:r w:rsidRPr="006A64EE">
        <w:t xml:space="preserve">-Konzentration im Serum abhängt, ist auch die </w:t>
      </w:r>
      <w:r w:rsidRPr="006A64EE">
        <w:lastRenderedPageBreak/>
        <w:t xml:space="preserve">Halbwertszeit von </w:t>
      </w:r>
      <w:r w:rsidR="000F19ED">
        <w:t>Tocilizumab</w:t>
      </w:r>
      <w:r w:rsidRPr="006A64EE">
        <w:t xml:space="preserve"> konzentrationsabhängig und schwankt je nach Konzentration im Serum. Die Analysen zur Populationspharmakokinetik aller bisher getesteten Patientenpopulationen ergaben keinen Zusammenhang zwischen der Clearance und dem Vorhandensein von Antikörpern gegen den Wirkstoff.</w:t>
      </w:r>
    </w:p>
    <w:p w14:paraId="6EF55D99" w14:textId="77777777" w:rsidR="00093A5E" w:rsidRPr="006A64EE" w:rsidRDefault="00093A5E" w:rsidP="004255F8">
      <w:pPr>
        <w:widowControl/>
      </w:pPr>
    </w:p>
    <w:p w14:paraId="6FDDFAFE" w14:textId="77777777" w:rsidR="00093A5E" w:rsidRPr="006A64EE" w:rsidRDefault="007D680A" w:rsidP="004255F8">
      <w:pPr>
        <w:keepNext/>
        <w:widowControl/>
      </w:pPr>
      <w:r w:rsidRPr="006A64EE">
        <w:rPr>
          <w:u w:val="single"/>
        </w:rPr>
        <w:t>RA</w:t>
      </w:r>
    </w:p>
    <w:p w14:paraId="4D601A12" w14:textId="77777777" w:rsidR="00093A5E" w:rsidRPr="006A64EE" w:rsidRDefault="009C2544" w:rsidP="004255F8">
      <w:pPr>
        <w:pStyle w:val="a3"/>
        <w:keepNext/>
        <w:widowControl/>
      </w:pPr>
      <w:r w:rsidRPr="006A64EE">
        <w:rPr>
          <w:u w:val="single"/>
        </w:rPr>
        <w:t>Intravenöse Anwendung</w:t>
      </w:r>
    </w:p>
    <w:p w14:paraId="58663E74" w14:textId="1B00B0D5" w:rsidR="00093A5E" w:rsidRPr="006A64EE" w:rsidRDefault="009C2544" w:rsidP="004255F8">
      <w:pPr>
        <w:pStyle w:val="a3"/>
        <w:widowControl/>
      </w:pPr>
      <w:r w:rsidRPr="006A64EE">
        <w:t xml:space="preserve">Die Pharmakokinetik von </w:t>
      </w:r>
      <w:r w:rsidR="000F19ED">
        <w:t>Tocilizumab</w:t>
      </w:r>
      <w:r w:rsidRPr="006A64EE">
        <w:t xml:space="preserve"> wurde anhand einer Analyse zur Populationspharmakokinetik, basierend auf den Daten von 3</w:t>
      </w:r>
      <w:r w:rsidR="006B2CAB">
        <w:t> </w:t>
      </w:r>
      <w:r w:rsidRPr="006A64EE">
        <w:t>552 Patienten mit RA, die während 24</w:t>
      </w:r>
      <w:r w:rsidR="006B2CAB">
        <w:t> </w:t>
      </w:r>
      <w:r w:rsidRPr="006A64EE">
        <w:t>Wochen entweder alle</w:t>
      </w:r>
      <w:r w:rsidR="0064484D" w:rsidRPr="006A64EE">
        <w:t xml:space="preserve"> </w:t>
      </w:r>
      <w:r w:rsidRPr="006A64EE">
        <w:t>4</w:t>
      </w:r>
      <w:r w:rsidR="006B2CAB">
        <w:t> </w:t>
      </w:r>
      <w:r w:rsidRPr="006A64EE">
        <w:t>Wochen mit einer einstündigen Infusion von 4</w:t>
      </w:r>
      <w:r w:rsidR="006B2CAB">
        <w:t> </w:t>
      </w:r>
      <w:r w:rsidRPr="006A64EE">
        <w:t>mg/kg oder 8</w:t>
      </w:r>
      <w:r w:rsidR="006B2CAB">
        <w:t> </w:t>
      </w:r>
      <w:r w:rsidRPr="006A64EE">
        <w:t xml:space="preserve">mg/kg </w:t>
      </w:r>
      <w:r w:rsidR="000F19ED">
        <w:t>Tocilizumab</w:t>
      </w:r>
      <w:r w:rsidRPr="006A64EE">
        <w:t xml:space="preserve"> oder mit 162</w:t>
      </w:r>
      <w:r w:rsidR="006B2CAB">
        <w:t> </w:t>
      </w:r>
      <w:r w:rsidRPr="006A64EE">
        <w:t xml:space="preserve">mg </w:t>
      </w:r>
      <w:r w:rsidR="000F19ED">
        <w:t>Tocilizumab</w:t>
      </w:r>
      <w:r w:rsidRPr="006A64EE">
        <w:t xml:space="preserve"> subkutan einmal wöchentlich oder jede zweite Woche behandelt wurden, bestimmt.</w:t>
      </w:r>
    </w:p>
    <w:p w14:paraId="6576C008" w14:textId="77777777" w:rsidR="00093A5E" w:rsidRPr="006A64EE" w:rsidRDefault="00093A5E" w:rsidP="004255F8">
      <w:pPr>
        <w:pStyle w:val="a3"/>
        <w:widowControl/>
        <w:rPr>
          <w:sz w:val="20"/>
          <w:szCs w:val="20"/>
        </w:rPr>
      </w:pPr>
    </w:p>
    <w:p w14:paraId="1B6768CB" w14:textId="18340F78" w:rsidR="00093A5E" w:rsidRPr="006A64EE" w:rsidRDefault="009C2544" w:rsidP="004255F8">
      <w:pPr>
        <w:pStyle w:val="a3"/>
        <w:widowControl/>
      </w:pPr>
      <w:r w:rsidRPr="006A64EE">
        <w:t>Die folgenden Parameter (vorausberechneter Mittelwert ± Standardabweichung [SD]) wurden für eine Dosierung von 8</w:t>
      </w:r>
      <w:r w:rsidR="006B2CAB">
        <w:t> </w:t>
      </w:r>
      <w:r w:rsidRPr="006A64EE">
        <w:t xml:space="preserve">mg/kg </w:t>
      </w:r>
      <w:r w:rsidR="000F19ED">
        <w:t>Tocilizumab</w:t>
      </w:r>
      <w:r w:rsidRPr="006A64EE">
        <w:t>, verabreicht alle 4</w:t>
      </w:r>
      <w:r w:rsidR="006B2CAB">
        <w:t> </w:t>
      </w:r>
      <w:r w:rsidRPr="006A64EE">
        <w:t>Wochen, geschätzt: Steady State Area Under</w:t>
      </w:r>
      <w:r w:rsidR="0064484D" w:rsidRPr="006A64EE">
        <w:t xml:space="preserve"> </w:t>
      </w:r>
      <w:r w:rsidRPr="006A64EE">
        <w:t>the Curve (AUC) = 38</w:t>
      </w:r>
      <w:r w:rsidR="006B2CAB">
        <w:t> </w:t>
      </w:r>
      <w:r w:rsidRPr="006A64EE">
        <w:t xml:space="preserve">000 </w:t>
      </w:r>
      <w:r w:rsidR="00CD4851" w:rsidRPr="006A64EE">
        <w:t>±</w:t>
      </w:r>
      <w:r w:rsidRPr="006A64EE">
        <w:t xml:space="preserve"> 13</w:t>
      </w:r>
      <w:r w:rsidR="006B2CAB">
        <w:t> </w:t>
      </w:r>
      <w:r w:rsidRPr="006A64EE">
        <w:t>000 h • μg/ml, minimale Serumkonzentration</w:t>
      </w:r>
      <w:r w:rsidR="0064484D" w:rsidRPr="006A64EE">
        <w:t xml:space="preserve"> </w:t>
      </w:r>
      <w:r w:rsidRPr="006A64EE">
        <w:t>(C</w:t>
      </w:r>
      <w:r w:rsidRPr="006A64EE">
        <w:rPr>
          <w:vertAlign w:val="subscript"/>
        </w:rPr>
        <w:t>min</w:t>
      </w:r>
      <w:r w:rsidRPr="006A64EE">
        <w:t xml:space="preserve">) = 15,9 </w:t>
      </w:r>
      <w:r w:rsidR="00CD4851" w:rsidRPr="006A64EE">
        <w:t>±</w:t>
      </w:r>
      <w:r w:rsidRPr="006A64EE">
        <w:t xml:space="preserve"> 13,1</w:t>
      </w:r>
      <w:r w:rsidR="00322FF0">
        <w:t> </w:t>
      </w:r>
      <w:r w:rsidRPr="006A64EE">
        <w:t>µg/ml und maximale Serumkonzentration (C</w:t>
      </w:r>
      <w:r w:rsidRPr="006A64EE">
        <w:rPr>
          <w:vertAlign w:val="subscript"/>
        </w:rPr>
        <w:t>max</w:t>
      </w:r>
      <w:r w:rsidRPr="006A64EE">
        <w:t xml:space="preserve">) = 182 </w:t>
      </w:r>
      <w:r w:rsidR="00CD4851" w:rsidRPr="006A64EE">
        <w:t>±</w:t>
      </w:r>
      <w:r w:rsidRPr="006A64EE">
        <w:t xml:space="preserve"> 50,4 µg/ml, und die Akkumulationsverhältnisse für AUC und C</w:t>
      </w:r>
      <w:r w:rsidRPr="006A64EE">
        <w:rPr>
          <w:vertAlign w:val="subscript"/>
        </w:rPr>
        <w:t>max</w:t>
      </w:r>
      <w:r w:rsidRPr="006A64EE">
        <w:t xml:space="preserve"> waren mit 1,32 bzw. 1,09 klein. Für C</w:t>
      </w:r>
      <w:r w:rsidRPr="006A64EE">
        <w:rPr>
          <w:vertAlign w:val="subscript"/>
        </w:rPr>
        <w:t>min</w:t>
      </w:r>
      <w:r w:rsidRPr="006A64EE">
        <w:t xml:space="preserve"> war das Akkumulationsverhältnis höher (2,49), was aufgrund des Beitrags der nicht linearen Clearance bei geringeren Konzentrationen zu erwarten war. Der Steady State wurde für C</w:t>
      </w:r>
      <w:r w:rsidRPr="006A64EE">
        <w:rPr>
          <w:vertAlign w:val="subscript"/>
        </w:rPr>
        <w:t>max</w:t>
      </w:r>
      <w:r w:rsidRPr="006A64EE">
        <w:t xml:space="preserve"> nach der ersten Anwendung und nach 8 und 20 Wochen für AUC bzw. C</w:t>
      </w:r>
      <w:r w:rsidRPr="006A64EE">
        <w:rPr>
          <w:vertAlign w:val="subscript"/>
        </w:rPr>
        <w:t>min</w:t>
      </w:r>
      <w:r w:rsidRPr="006A64EE">
        <w:t xml:space="preserve"> erreicht. Die AUC, C</w:t>
      </w:r>
      <w:r w:rsidRPr="006A64EE">
        <w:rPr>
          <w:vertAlign w:val="subscript"/>
        </w:rPr>
        <w:t>min</w:t>
      </w:r>
      <w:r w:rsidRPr="006A64EE">
        <w:t xml:space="preserve"> und C</w:t>
      </w:r>
      <w:r w:rsidRPr="006A64EE">
        <w:rPr>
          <w:vertAlign w:val="subscript"/>
        </w:rPr>
        <w:t>max</w:t>
      </w:r>
      <w:r w:rsidRPr="006A64EE">
        <w:t xml:space="preserve"> von </w:t>
      </w:r>
      <w:r w:rsidR="000F19ED">
        <w:t>Tocilizumab</w:t>
      </w:r>
      <w:r w:rsidRPr="006A64EE">
        <w:t xml:space="preserve"> stiegen mit steigendem Körpergewicht. Bei einem Körpergewicht von ≥ 100 kg lagen der vorausberechnete Mittelwert ± Standardabweichung (SD) der AUC, der C</w:t>
      </w:r>
      <w:r w:rsidRPr="006A64EE">
        <w:rPr>
          <w:vertAlign w:val="subscript"/>
        </w:rPr>
        <w:t>min</w:t>
      </w:r>
      <w:r w:rsidRPr="006A64EE">
        <w:t xml:space="preserve"> und der C</w:t>
      </w:r>
      <w:r w:rsidRPr="006A64EE">
        <w:rPr>
          <w:vertAlign w:val="subscript"/>
        </w:rPr>
        <w:t>max</w:t>
      </w:r>
      <w:r w:rsidRPr="006A64EE">
        <w:t xml:space="preserve"> von </w:t>
      </w:r>
      <w:r w:rsidR="000F19ED">
        <w:t>Tocilizumab</w:t>
      </w:r>
      <w:r w:rsidRPr="006A64EE">
        <w:t xml:space="preserve"> im Steady State bei 50</w:t>
      </w:r>
      <w:r w:rsidR="006B2CAB">
        <w:t> </w:t>
      </w:r>
      <w:r w:rsidRPr="006A64EE">
        <w:t>000 ± 16</w:t>
      </w:r>
      <w:r w:rsidR="006B2CAB">
        <w:t> </w:t>
      </w:r>
      <w:r w:rsidRPr="006A64EE">
        <w:t xml:space="preserve">800 h • μg/ml, beziehungsweise bei 24,4 ± 17,5 µg/ml und 226 ± 50,3 µg/ml, was höher liegt als die mittleren Expositionswerte in der oben beschriebenen Patientenpopulation (d. h. alle Körpergewichte). Die Dosis-Wirkungs-Kurve flacht bei höheren Dosierungen ab, was zu geringeren Wirksamkeitsverbesserungen für jede weitere Erhöhung der </w:t>
      </w:r>
      <w:r w:rsidR="000F19ED">
        <w:t>Tocilizumab</w:t>
      </w:r>
      <w:r w:rsidRPr="006A64EE">
        <w:t xml:space="preserve"> Konzentration führt, sodass klinisch bedeutende Verbesserungen der Wirksamkeit bei Patienten, die mit &gt; 800 mg </w:t>
      </w:r>
      <w:r w:rsidR="000F19ED">
        <w:t>Tocilizumab</w:t>
      </w:r>
      <w:r w:rsidRPr="006A64EE">
        <w:t xml:space="preserve"> behandelt wurden, nicht nachgewiesen werden konnten. Aus diesem Grund werden Dosierungen von über 800 mg </w:t>
      </w:r>
      <w:r w:rsidR="000F19ED">
        <w:t>Tocilizumab</w:t>
      </w:r>
      <w:r w:rsidRPr="006A64EE">
        <w:t xml:space="preserve"> pro Infusion nicht empfohlen (siehe Abschnitt 4.2).</w:t>
      </w:r>
    </w:p>
    <w:p w14:paraId="692BF83A" w14:textId="77777777" w:rsidR="00093A5E" w:rsidRPr="006A64EE" w:rsidRDefault="00093A5E" w:rsidP="004255F8">
      <w:pPr>
        <w:pStyle w:val="a3"/>
        <w:widowControl/>
        <w:rPr>
          <w:sz w:val="20"/>
          <w:szCs w:val="20"/>
        </w:rPr>
      </w:pPr>
    </w:p>
    <w:p w14:paraId="3BF912CF" w14:textId="77777777" w:rsidR="00093A5E" w:rsidRPr="006A64EE" w:rsidRDefault="009C2544" w:rsidP="004255F8">
      <w:pPr>
        <w:pStyle w:val="a3"/>
        <w:widowControl/>
      </w:pPr>
      <w:r w:rsidRPr="006A64EE">
        <w:rPr>
          <w:u w:val="single"/>
        </w:rPr>
        <w:t>Verteilung</w:t>
      </w:r>
    </w:p>
    <w:p w14:paraId="6372FBFE" w14:textId="77777777" w:rsidR="00093A5E" w:rsidRPr="006A64EE" w:rsidRDefault="009C2544" w:rsidP="004255F8">
      <w:pPr>
        <w:pStyle w:val="a3"/>
        <w:widowControl/>
      </w:pPr>
      <w:r w:rsidRPr="006A64EE">
        <w:t>Bei Patienten mit RA lag das zentrale Verteilungsvolumen bei 3,72 l, das periphere Verteilungsvolumen bei 3,35 l, woraus ein Verteilungsvolumen von 7,07 l im Steady State resultiert.</w:t>
      </w:r>
    </w:p>
    <w:p w14:paraId="4D3A3489" w14:textId="77777777" w:rsidR="00093A5E" w:rsidRPr="006A64EE" w:rsidRDefault="00093A5E" w:rsidP="004255F8">
      <w:pPr>
        <w:pStyle w:val="a3"/>
        <w:widowControl/>
        <w:rPr>
          <w:sz w:val="20"/>
          <w:szCs w:val="20"/>
        </w:rPr>
      </w:pPr>
    </w:p>
    <w:p w14:paraId="534B11A0" w14:textId="77777777" w:rsidR="00093A5E" w:rsidRPr="006A64EE" w:rsidRDefault="009C2544" w:rsidP="004255F8">
      <w:pPr>
        <w:pStyle w:val="a3"/>
        <w:widowControl/>
      </w:pPr>
      <w:r w:rsidRPr="006A64EE">
        <w:rPr>
          <w:u w:val="single"/>
        </w:rPr>
        <w:t>Elimination</w:t>
      </w:r>
    </w:p>
    <w:p w14:paraId="70F1636C" w14:textId="1EB4CFF6" w:rsidR="00093A5E" w:rsidRPr="006A64EE" w:rsidRDefault="009C2544" w:rsidP="004255F8">
      <w:pPr>
        <w:pStyle w:val="a3"/>
        <w:widowControl/>
      </w:pPr>
      <w:r w:rsidRPr="006A64EE">
        <w:t xml:space="preserve">Nach intravenöser Verabreichung wird </w:t>
      </w:r>
      <w:r w:rsidR="000F19ED">
        <w:t>Tocilizumab</w:t>
      </w:r>
      <w:r w:rsidRPr="006A64EE">
        <w:t xml:space="preserve"> biphasisch aus dem Kreislauf eliminiert. Die Gesamt-Clearance von </w:t>
      </w:r>
      <w:r w:rsidR="000F19ED">
        <w:t>Tocilizumab</w:t>
      </w:r>
      <w:r w:rsidRPr="006A64EE">
        <w:t xml:space="preserve"> war abhängig von der Konzentration und entspricht der Summe der linearen und der nicht linearen Clearance. Die lineare Clearance wurde als Parameter in der Analyse zur Populationspharmakokinetik geschätzt und lag bei 9,5 ml/h. Die konzentrationsabhängige nicht lineare Clearance spielt eine wichtige Rolle bei niedrigen Konzentrationen von </w:t>
      </w:r>
      <w:r w:rsidR="000F19ED">
        <w:t>Tocilizumab</w:t>
      </w:r>
      <w:r w:rsidRPr="006A64EE">
        <w:t xml:space="preserve">. Wenn der nicht lineare Stoffwechselweg gesättigt ist, wird die Clearance bei höheren Konzentrationen von </w:t>
      </w:r>
      <w:r w:rsidR="000F19ED">
        <w:t>Tocilizumab</w:t>
      </w:r>
      <w:r w:rsidRPr="006A64EE">
        <w:t xml:space="preserve"> hauptsächlich von der linearen Clearance bestimmt.</w:t>
      </w:r>
    </w:p>
    <w:p w14:paraId="7780289C" w14:textId="77777777" w:rsidR="00093A5E" w:rsidRPr="006A64EE" w:rsidRDefault="00093A5E" w:rsidP="004255F8">
      <w:pPr>
        <w:pStyle w:val="a3"/>
        <w:widowControl/>
        <w:rPr>
          <w:sz w:val="20"/>
          <w:szCs w:val="20"/>
        </w:rPr>
      </w:pPr>
    </w:p>
    <w:p w14:paraId="24D2C1E3" w14:textId="199ADF92" w:rsidR="00093A5E" w:rsidRPr="006A64EE" w:rsidRDefault="009C2544" w:rsidP="00B320E1">
      <w:pPr>
        <w:pStyle w:val="a3"/>
        <w:widowControl/>
        <w:jc w:val="both"/>
      </w:pPr>
      <w:r w:rsidRPr="006A64EE">
        <w:t>Die t</w:t>
      </w:r>
      <w:r w:rsidRPr="00901DE4">
        <w:rPr>
          <w:vertAlign w:val="subscript"/>
        </w:rPr>
        <w:t>1/2</w:t>
      </w:r>
      <w:r w:rsidRPr="006A64EE">
        <w:t xml:space="preserve"> von </w:t>
      </w:r>
      <w:r w:rsidR="000F19ED">
        <w:t>Tocilizumab</w:t>
      </w:r>
      <w:r w:rsidRPr="006A64EE">
        <w:t xml:space="preserve"> war konzentrationsabhängig. Im Steady State reduzierte sich die tatsächliche t</w:t>
      </w:r>
      <w:r w:rsidRPr="00901DE4">
        <w:rPr>
          <w:vertAlign w:val="subscript"/>
        </w:rPr>
        <w:t>1/2</w:t>
      </w:r>
      <w:r w:rsidRPr="006A64EE">
        <w:t xml:space="preserve"> nach Gabe einer Dosis von 8 mg/kg alle 4 Wochen mit abnehmender Konzentration innerhalb eines Dosierungsintervalls von 18 auf 6 Tage.</w:t>
      </w:r>
    </w:p>
    <w:p w14:paraId="4464D7DD" w14:textId="77777777" w:rsidR="00093A5E" w:rsidRPr="006A64EE" w:rsidRDefault="00093A5E" w:rsidP="004255F8">
      <w:pPr>
        <w:pStyle w:val="a3"/>
        <w:widowControl/>
        <w:rPr>
          <w:sz w:val="20"/>
          <w:szCs w:val="20"/>
        </w:rPr>
      </w:pPr>
    </w:p>
    <w:p w14:paraId="5BBECCD5" w14:textId="77777777" w:rsidR="00093A5E" w:rsidRPr="006A64EE" w:rsidRDefault="009C2544" w:rsidP="004255F8">
      <w:pPr>
        <w:pStyle w:val="a3"/>
        <w:widowControl/>
      </w:pPr>
      <w:r w:rsidRPr="006A64EE">
        <w:rPr>
          <w:u w:val="single"/>
        </w:rPr>
        <w:t>Linearität/Nicht-Linearität</w:t>
      </w:r>
    </w:p>
    <w:p w14:paraId="3973EDD8" w14:textId="657F974A" w:rsidR="00093A5E" w:rsidRPr="006A64EE" w:rsidRDefault="009C2544" w:rsidP="004255F8">
      <w:pPr>
        <w:pStyle w:val="a3"/>
        <w:widowControl/>
      </w:pPr>
      <w:r w:rsidRPr="006A64EE">
        <w:t xml:space="preserve">Die pharmakokinetischen Parameter von </w:t>
      </w:r>
      <w:r w:rsidR="000F19ED">
        <w:t>Tocilizumab</w:t>
      </w:r>
      <w:r w:rsidRPr="006A64EE">
        <w:t xml:space="preserve"> veränderten sich im Zeitverlauf nicht. Bei einer Dosis von 4 mg/kg bzw. 8 mg/kg alle 4 Wochen wurde ein mehr als dosisproportionaler Anstieg der AUC und C</w:t>
      </w:r>
      <w:r w:rsidRPr="006A64EE">
        <w:rPr>
          <w:vertAlign w:val="subscript"/>
        </w:rPr>
        <w:t>min</w:t>
      </w:r>
      <w:r w:rsidRPr="006A64EE">
        <w:t xml:space="preserve"> beobachtet. C</w:t>
      </w:r>
      <w:r w:rsidRPr="006A64EE">
        <w:rPr>
          <w:vertAlign w:val="subscript"/>
        </w:rPr>
        <w:t>max</w:t>
      </w:r>
      <w:r w:rsidRPr="006A64EE">
        <w:t xml:space="preserve"> erhöhte sich dosisproportional. Im Steady State lagen die prognostizierte AUC und C</w:t>
      </w:r>
      <w:r w:rsidRPr="006A64EE">
        <w:rPr>
          <w:vertAlign w:val="subscript"/>
        </w:rPr>
        <w:t>min</w:t>
      </w:r>
      <w:r w:rsidRPr="006A64EE">
        <w:t xml:space="preserve"> mit 8 mg/kg um das 3,2- bzw. 30-Fache höher verglichen mit 4 mg/kg.</w:t>
      </w:r>
    </w:p>
    <w:p w14:paraId="2F784578" w14:textId="77777777" w:rsidR="00093A5E" w:rsidRPr="006A64EE" w:rsidRDefault="00093A5E" w:rsidP="004255F8">
      <w:pPr>
        <w:pStyle w:val="a3"/>
        <w:widowControl/>
        <w:rPr>
          <w:sz w:val="20"/>
          <w:szCs w:val="20"/>
        </w:rPr>
      </w:pPr>
    </w:p>
    <w:p w14:paraId="14CF5C2E" w14:textId="77777777" w:rsidR="00093A5E" w:rsidRPr="006A64EE" w:rsidRDefault="009C2544" w:rsidP="00384E39">
      <w:pPr>
        <w:pStyle w:val="a3"/>
        <w:keepNext/>
        <w:widowControl/>
      </w:pPr>
      <w:r w:rsidRPr="006A64EE">
        <w:rPr>
          <w:u w:val="single"/>
        </w:rPr>
        <w:t>Subkutane Anwendung</w:t>
      </w:r>
    </w:p>
    <w:p w14:paraId="6C608CE4" w14:textId="69B1E50A" w:rsidR="00093A5E" w:rsidRPr="006A64EE" w:rsidRDefault="009C2544" w:rsidP="004255F8">
      <w:pPr>
        <w:pStyle w:val="a3"/>
        <w:widowControl/>
      </w:pPr>
      <w:r w:rsidRPr="006A64EE">
        <w:t xml:space="preserve">Die Pharmakokinetik von </w:t>
      </w:r>
      <w:r w:rsidR="000F19ED">
        <w:t>Tocilizumab</w:t>
      </w:r>
      <w:r w:rsidRPr="006A64EE">
        <w:t xml:space="preserve"> wurde anhand einer Analyse zur Populationspharmakokinetik basierend auf den Daten von 3</w:t>
      </w:r>
      <w:r w:rsidR="006B2CAB">
        <w:t> </w:t>
      </w:r>
      <w:r w:rsidRPr="006A64EE">
        <w:t>552 Patienten mit RA, die einmal pro Woche mit 162</w:t>
      </w:r>
      <w:r w:rsidR="006B2CAB">
        <w:t> </w:t>
      </w:r>
      <w:r w:rsidRPr="006A64EE">
        <w:t xml:space="preserve">mg subkutan, alle </w:t>
      </w:r>
      <w:r w:rsidRPr="006A64EE">
        <w:lastRenderedPageBreak/>
        <w:t>2</w:t>
      </w:r>
      <w:r w:rsidR="006B2CAB">
        <w:t> </w:t>
      </w:r>
      <w:r w:rsidRPr="006A64EE">
        <w:t>Wochen mit 162</w:t>
      </w:r>
      <w:r w:rsidR="006B2CAB">
        <w:t> </w:t>
      </w:r>
      <w:r w:rsidRPr="006A64EE">
        <w:t>mg subkutan oder einmal alle 4</w:t>
      </w:r>
      <w:r w:rsidR="006B2CAB">
        <w:t> </w:t>
      </w:r>
      <w:r w:rsidRPr="006A64EE">
        <w:t>Wochen mit entweder 4</w:t>
      </w:r>
      <w:r w:rsidR="006B2CAB">
        <w:t> </w:t>
      </w:r>
      <w:r w:rsidRPr="006A64EE">
        <w:t>mg/kg oder 8</w:t>
      </w:r>
      <w:r w:rsidR="006B2CAB">
        <w:t> </w:t>
      </w:r>
      <w:r w:rsidRPr="006A64EE">
        <w:t>mg/kg intravenös über 24</w:t>
      </w:r>
      <w:r w:rsidR="006B2CAB">
        <w:t> </w:t>
      </w:r>
      <w:r w:rsidRPr="006A64EE">
        <w:t>Wochen behandelt wurden, bestimmt.</w:t>
      </w:r>
    </w:p>
    <w:p w14:paraId="4F09F400" w14:textId="77777777" w:rsidR="00093A5E" w:rsidRPr="006A64EE" w:rsidRDefault="00093A5E" w:rsidP="004255F8">
      <w:pPr>
        <w:pStyle w:val="a3"/>
        <w:widowControl/>
        <w:rPr>
          <w:sz w:val="20"/>
          <w:szCs w:val="20"/>
        </w:rPr>
      </w:pPr>
    </w:p>
    <w:p w14:paraId="4902C9CC" w14:textId="4EFE842F" w:rsidR="00093A5E" w:rsidRPr="006A64EE" w:rsidRDefault="009C2544" w:rsidP="004255F8">
      <w:pPr>
        <w:pStyle w:val="a3"/>
        <w:widowControl/>
      </w:pPr>
      <w:r w:rsidRPr="006A64EE">
        <w:t xml:space="preserve">Die pharmakokinetischen Parameter von </w:t>
      </w:r>
      <w:r w:rsidR="00580109">
        <w:t>Tocilizumab</w:t>
      </w:r>
      <w:r w:rsidRPr="006A64EE">
        <w:t xml:space="preserve"> veränderten sich im Zeitverlauf nicht. Der vorausberechnete Mittelwert </w:t>
      </w:r>
      <w:r w:rsidR="0064484D" w:rsidRPr="006A64EE">
        <w:t>±</w:t>
      </w:r>
      <w:r w:rsidRPr="006A64EE">
        <w:t xml:space="preserve"> Standardabweichung (SD) der AUC</w:t>
      </w:r>
      <w:r w:rsidRPr="00B436C7">
        <w:rPr>
          <w:vertAlign w:val="subscript"/>
        </w:rPr>
        <w:t>1Woche</w:t>
      </w:r>
      <w:r w:rsidRPr="006A64EE">
        <w:t xml:space="preserve"> im Steady State, von C</w:t>
      </w:r>
      <w:r w:rsidRPr="006A64EE">
        <w:rPr>
          <w:vertAlign w:val="subscript"/>
        </w:rPr>
        <w:t>min</w:t>
      </w:r>
      <w:r w:rsidRPr="006A64EE">
        <w:t xml:space="preserve"> und</w:t>
      </w:r>
      <w:r w:rsidR="0064484D" w:rsidRPr="006A64EE">
        <w:t xml:space="preserve"> </w:t>
      </w:r>
      <w:r w:rsidR="007D680A" w:rsidRPr="006A64EE">
        <w:t>von C</w:t>
      </w:r>
      <w:r w:rsidR="007D680A" w:rsidRPr="006A64EE">
        <w:rPr>
          <w:vertAlign w:val="subscript"/>
        </w:rPr>
        <w:t>max</w:t>
      </w:r>
      <w:r w:rsidR="007D680A" w:rsidRPr="006A64EE">
        <w:t xml:space="preserve"> von </w:t>
      </w:r>
      <w:r w:rsidR="00580109">
        <w:t>Tocilizumab</w:t>
      </w:r>
      <w:r w:rsidR="007D680A" w:rsidRPr="006A64EE">
        <w:t xml:space="preserve"> 162</w:t>
      </w:r>
      <w:r w:rsidR="006B2CAB">
        <w:t> </w:t>
      </w:r>
      <w:r w:rsidR="007D680A" w:rsidRPr="006A64EE">
        <w:t>mg wöchentlich subkutan lagen bei jeweils 7</w:t>
      </w:r>
      <w:r w:rsidR="006B2CAB">
        <w:t> </w:t>
      </w:r>
      <w:r w:rsidR="007D680A" w:rsidRPr="006A64EE">
        <w:t>970 ± 3</w:t>
      </w:r>
      <w:r w:rsidR="006B2CAB">
        <w:t> </w:t>
      </w:r>
      <w:r w:rsidR="007D680A" w:rsidRPr="006A64EE">
        <w:t xml:space="preserve">432 h • µg/ml, 43,0 </w:t>
      </w:r>
      <w:r w:rsidR="0064484D" w:rsidRPr="006A64EE">
        <w:t>±</w:t>
      </w:r>
      <w:r w:rsidR="007D680A" w:rsidRPr="006A64EE">
        <w:t xml:space="preserve"> 19,8 µg/ml und 49,8 ± 21,0 µg/ml. Für AUC, C</w:t>
      </w:r>
      <w:r w:rsidR="007D680A" w:rsidRPr="006A64EE">
        <w:rPr>
          <w:vertAlign w:val="subscript"/>
        </w:rPr>
        <w:t>min</w:t>
      </w:r>
      <w:r w:rsidR="007D680A" w:rsidRPr="006A64EE">
        <w:t xml:space="preserve"> und C</w:t>
      </w:r>
      <w:r w:rsidR="007D680A" w:rsidRPr="006A64EE">
        <w:rPr>
          <w:vertAlign w:val="subscript"/>
        </w:rPr>
        <w:t>max</w:t>
      </w:r>
      <w:r w:rsidR="007D680A" w:rsidRPr="006A64EE">
        <w:t xml:space="preserve"> lag das Akkumulationsverhältnis bei jeweils 6,32, 6,30 und 5,27. Für AUC, C</w:t>
      </w:r>
      <w:r w:rsidR="007D680A" w:rsidRPr="006A64EE">
        <w:rPr>
          <w:vertAlign w:val="subscript"/>
        </w:rPr>
        <w:t>min</w:t>
      </w:r>
      <w:r w:rsidR="007D680A" w:rsidRPr="006A64EE">
        <w:t xml:space="preserve"> und C</w:t>
      </w:r>
      <w:r w:rsidR="007D680A" w:rsidRPr="006A64EE">
        <w:rPr>
          <w:vertAlign w:val="subscript"/>
        </w:rPr>
        <w:t>max</w:t>
      </w:r>
      <w:r w:rsidR="007D680A" w:rsidRPr="006A64EE">
        <w:t xml:space="preserve"> wurde Steady State nach 12</w:t>
      </w:r>
      <w:r w:rsidR="006B2CAB">
        <w:t> </w:t>
      </w:r>
      <w:r w:rsidR="007D680A" w:rsidRPr="006A64EE">
        <w:t>Wochen erreicht.</w:t>
      </w:r>
    </w:p>
    <w:p w14:paraId="0B047526" w14:textId="77777777" w:rsidR="00093A5E" w:rsidRPr="006A64EE" w:rsidRDefault="00093A5E" w:rsidP="004255F8">
      <w:pPr>
        <w:pStyle w:val="a3"/>
        <w:widowControl/>
      </w:pPr>
    </w:p>
    <w:p w14:paraId="6768CC8B" w14:textId="663B8C7A" w:rsidR="00093A5E" w:rsidRPr="006A64EE" w:rsidRDefault="009C2544" w:rsidP="004255F8">
      <w:pPr>
        <w:pStyle w:val="a3"/>
        <w:widowControl/>
      </w:pPr>
      <w:r w:rsidRPr="006A64EE">
        <w:t>Für die Dosis von 162</w:t>
      </w:r>
      <w:r w:rsidR="006B5972">
        <w:t> </w:t>
      </w:r>
      <w:r w:rsidRPr="006A64EE">
        <w:t>mg alle zwei Wochen lag der vorausberechnete Mittelwer</w:t>
      </w:r>
      <w:r w:rsidR="0064484D" w:rsidRPr="006A64EE">
        <w:t>t ±</w:t>
      </w:r>
      <w:r w:rsidRPr="006A64EE">
        <w:t xml:space="preserve"> Standardabweichung (SD) der AUC</w:t>
      </w:r>
      <w:r w:rsidRPr="00B436C7">
        <w:rPr>
          <w:vertAlign w:val="subscript"/>
        </w:rPr>
        <w:t>2Wochen</w:t>
      </w:r>
      <w:r w:rsidRPr="006A64EE">
        <w:t xml:space="preserve"> im Steady State, für C</w:t>
      </w:r>
      <w:r w:rsidRPr="006A64EE">
        <w:rPr>
          <w:vertAlign w:val="subscript"/>
        </w:rPr>
        <w:t>min</w:t>
      </w:r>
      <w:r w:rsidRPr="006A64EE">
        <w:t xml:space="preserve"> und für C</w:t>
      </w:r>
      <w:r w:rsidRPr="006A64EE">
        <w:rPr>
          <w:vertAlign w:val="subscript"/>
        </w:rPr>
        <w:t>max</w:t>
      </w:r>
      <w:r w:rsidRPr="006A64EE">
        <w:t xml:space="preserve"> von </w:t>
      </w:r>
      <w:r w:rsidR="00580109">
        <w:t>Tocilizumab</w:t>
      </w:r>
      <w:r w:rsidRPr="006A64EE">
        <w:t xml:space="preserve"> bei jeweils 3</w:t>
      </w:r>
      <w:r w:rsidR="006B5972">
        <w:t> </w:t>
      </w:r>
      <w:r w:rsidRPr="006A64EE">
        <w:t>430 ± 2</w:t>
      </w:r>
      <w:r w:rsidR="006B5972">
        <w:t> </w:t>
      </w:r>
      <w:r w:rsidRPr="006A64EE">
        <w:t>660 h • µg/ml, 5,7 ± 6,8 µg/ml und 13,2 ± 8,8 µg/ml. Für AUC, C</w:t>
      </w:r>
      <w:r w:rsidRPr="006A64EE">
        <w:rPr>
          <w:vertAlign w:val="subscript"/>
        </w:rPr>
        <w:t>min</w:t>
      </w:r>
      <w:r w:rsidRPr="006A64EE">
        <w:t xml:space="preserve"> und C</w:t>
      </w:r>
      <w:r w:rsidRPr="006A64EE">
        <w:rPr>
          <w:vertAlign w:val="subscript"/>
        </w:rPr>
        <w:t>max</w:t>
      </w:r>
      <w:r w:rsidRPr="006A64EE">
        <w:t xml:space="preserve"> lag das Akkumulationsverhältnis bei jeweils 2,67, 6,02 und 2,12. Steady State wurde für AUC und C</w:t>
      </w:r>
      <w:r w:rsidRPr="006A64EE">
        <w:rPr>
          <w:vertAlign w:val="subscript"/>
        </w:rPr>
        <w:t>min</w:t>
      </w:r>
      <w:r w:rsidRPr="006A64EE">
        <w:t xml:space="preserve"> nach 12</w:t>
      </w:r>
      <w:r w:rsidR="006B5972">
        <w:t> </w:t>
      </w:r>
      <w:r w:rsidRPr="006A64EE">
        <w:t>Wochen und für C</w:t>
      </w:r>
      <w:r w:rsidRPr="006A64EE">
        <w:rPr>
          <w:vertAlign w:val="subscript"/>
        </w:rPr>
        <w:t>max</w:t>
      </w:r>
      <w:r w:rsidRPr="006A64EE">
        <w:t xml:space="preserve"> nach 10</w:t>
      </w:r>
      <w:r w:rsidR="006B5972">
        <w:t> </w:t>
      </w:r>
      <w:r w:rsidRPr="006A64EE">
        <w:t>Wochen erreicht.</w:t>
      </w:r>
    </w:p>
    <w:p w14:paraId="3A7BD3B4" w14:textId="77777777" w:rsidR="00093A5E" w:rsidRPr="006A64EE" w:rsidRDefault="00093A5E" w:rsidP="004255F8">
      <w:pPr>
        <w:pStyle w:val="a3"/>
        <w:widowControl/>
      </w:pPr>
    </w:p>
    <w:p w14:paraId="21F39CBB" w14:textId="77777777" w:rsidR="00093A5E" w:rsidRPr="006A64EE" w:rsidRDefault="009C2544" w:rsidP="00B320E1">
      <w:pPr>
        <w:pStyle w:val="a3"/>
        <w:keepNext/>
        <w:widowControl/>
      </w:pPr>
      <w:r w:rsidRPr="006A64EE">
        <w:rPr>
          <w:u w:val="single"/>
        </w:rPr>
        <w:t>Resorption</w:t>
      </w:r>
    </w:p>
    <w:p w14:paraId="70164208" w14:textId="706A43BC" w:rsidR="00093A5E" w:rsidRPr="006A64EE" w:rsidRDefault="009C2544" w:rsidP="004255F8">
      <w:pPr>
        <w:pStyle w:val="a3"/>
        <w:widowControl/>
      </w:pPr>
      <w:r w:rsidRPr="006A64EE">
        <w:t>Nach subkutaner Anwendung bei Patienten mit RA lag der Zeitpunkt des Auftretens des Spitzenplasmaspiegels t</w:t>
      </w:r>
      <w:r w:rsidRPr="00B436C7">
        <w:rPr>
          <w:vertAlign w:val="subscript"/>
        </w:rPr>
        <w:t>max</w:t>
      </w:r>
      <w:r w:rsidRPr="006A64EE">
        <w:t xml:space="preserve"> von </w:t>
      </w:r>
      <w:r w:rsidR="00580109">
        <w:t>Tocilizumab</w:t>
      </w:r>
      <w:r w:rsidRPr="006A64EE">
        <w:t xml:space="preserve"> bei 2,8 Tagen. Die Bioverfügbarkeit der subkutanen Darreichungsform betrug 79 %.</w:t>
      </w:r>
    </w:p>
    <w:p w14:paraId="20F019EE" w14:textId="77777777" w:rsidR="00093A5E" w:rsidRPr="006A64EE" w:rsidRDefault="00093A5E" w:rsidP="004255F8">
      <w:pPr>
        <w:pStyle w:val="a3"/>
        <w:widowControl/>
      </w:pPr>
    </w:p>
    <w:p w14:paraId="71329FB7" w14:textId="77777777" w:rsidR="00093A5E" w:rsidRPr="006A64EE" w:rsidRDefault="009C2544" w:rsidP="004255F8">
      <w:pPr>
        <w:pStyle w:val="a3"/>
        <w:widowControl/>
      </w:pPr>
      <w:r w:rsidRPr="006A64EE">
        <w:rPr>
          <w:u w:val="single"/>
        </w:rPr>
        <w:t>Elimination</w:t>
      </w:r>
    </w:p>
    <w:p w14:paraId="5A84585F" w14:textId="77777777" w:rsidR="00093A5E" w:rsidRPr="006A64EE" w:rsidRDefault="009C2544" w:rsidP="004255F8">
      <w:pPr>
        <w:pStyle w:val="a3"/>
        <w:widowControl/>
      </w:pPr>
      <w:r w:rsidRPr="006A64EE">
        <w:t>Für Patienten mit RA beträgt die tatsächliche Eliminationshalbwertszeit t</w:t>
      </w:r>
      <w:r w:rsidRPr="00901DE4">
        <w:rPr>
          <w:vertAlign w:val="subscript"/>
        </w:rPr>
        <w:t>1/2</w:t>
      </w:r>
      <w:r w:rsidRPr="006A64EE">
        <w:t xml:space="preserve"> bei wöchentlicher Anwendung von 162 mg subkutan bis zu 13 Tage und bei Anwendung von 162 mg subkutan alle zwei Wochen 5 Tage im Steady State.</w:t>
      </w:r>
    </w:p>
    <w:p w14:paraId="223F171F" w14:textId="77777777" w:rsidR="00093A5E" w:rsidRPr="006A64EE" w:rsidRDefault="00093A5E" w:rsidP="004255F8">
      <w:pPr>
        <w:pStyle w:val="a3"/>
        <w:widowControl/>
      </w:pPr>
    </w:p>
    <w:p w14:paraId="2443A8BF" w14:textId="77777777" w:rsidR="00093A5E" w:rsidRPr="006A64EE" w:rsidRDefault="009C2544" w:rsidP="004255F8">
      <w:pPr>
        <w:pStyle w:val="a3"/>
        <w:widowControl/>
      </w:pPr>
      <w:r w:rsidRPr="006A64EE">
        <w:rPr>
          <w:u w:val="single"/>
        </w:rPr>
        <w:t>sJIA</w:t>
      </w:r>
    </w:p>
    <w:p w14:paraId="6457AA58" w14:textId="77777777" w:rsidR="00093A5E" w:rsidRPr="006A64EE" w:rsidRDefault="009C2544" w:rsidP="004255F8">
      <w:pPr>
        <w:pStyle w:val="a3"/>
        <w:widowControl/>
      </w:pPr>
      <w:r w:rsidRPr="006A64EE">
        <w:rPr>
          <w:u w:val="single"/>
        </w:rPr>
        <w:t>Subkutane Anwendung</w:t>
      </w:r>
    </w:p>
    <w:p w14:paraId="318DC15F" w14:textId="1F3BFF34" w:rsidR="00093A5E" w:rsidRPr="006A64EE" w:rsidRDefault="009C2544" w:rsidP="00F43754">
      <w:pPr>
        <w:pStyle w:val="a3"/>
        <w:widowControl/>
      </w:pPr>
      <w:r w:rsidRPr="006A64EE">
        <w:t xml:space="preserve">Die Pharmakokinetik von </w:t>
      </w:r>
      <w:r w:rsidR="00580109">
        <w:t>Tocilizumab</w:t>
      </w:r>
      <w:r w:rsidRPr="006A64EE">
        <w:t xml:space="preserve"> wurde anhand einer Analyse zur Populationspharmakokinetik basierend auf den Daten von 140 Patienten mit sJIA bestimmt, die mit 8 mg/kg i.v. alle 2 Wochen (Patienten mit einem Körpergewicht von ≥ 30 kg), 12 mg/kg i.v. alle 2 Wochen (Patienten mit einem Körpergewicht von &lt; 30 kg), 162 mg s.c. einmal pro Woche (Patienten mit einem Körpergewicht von</w:t>
      </w:r>
      <w:r w:rsidR="00F43754">
        <w:t xml:space="preserve"> </w:t>
      </w:r>
      <w:r w:rsidRPr="006A64EE">
        <w:t>≥ 30 kg) oder 162 mg s.c. alle 10 Tage oder alle 2 Wochen (Patienten mit einem Körpergewicht unter 30 kg) behandelt wurden.</w:t>
      </w:r>
    </w:p>
    <w:p w14:paraId="26403A3F" w14:textId="77777777" w:rsidR="00093A5E" w:rsidRPr="006A64EE" w:rsidRDefault="00093A5E" w:rsidP="004255F8">
      <w:pPr>
        <w:pStyle w:val="a3"/>
        <w:widowControl/>
      </w:pPr>
    </w:p>
    <w:p w14:paraId="779A5E7A" w14:textId="158902F5" w:rsidR="00093A5E" w:rsidRPr="006A64EE" w:rsidRDefault="009C2544" w:rsidP="004255F8">
      <w:pPr>
        <w:pStyle w:val="a3"/>
        <w:widowControl/>
      </w:pPr>
      <w:r w:rsidRPr="006A64EE">
        <w:t xml:space="preserve">Es liegen nur begrenzte Daten zu Expositionen nach subkutaner Verabreichung von </w:t>
      </w:r>
      <w:r w:rsidR="00580109">
        <w:t>Tocilizumab</w:t>
      </w:r>
      <w:r w:rsidRPr="006A64EE">
        <w:t xml:space="preserve"> bei sJIA-Patienten unter 2 Jahren mit einem Körpergewicht unter 10 kg vor.</w:t>
      </w:r>
      <w:r w:rsidR="0064484D" w:rsidRPr="006A64EE">
        <w:t xml:space="preserve"> </w:t>
      </w:r>
      <w:r w:rsidRPr="006A64EE">
        <w:t xml:space="preserve">Patienten mit sJIA müssen ein Mindestkörpergewicht von 10 kg haben, wenn sie </w:t>
      </w:r>
      <w:r w:rsidR="00580109">
        <w:t>Tocilizumab</w:t>
      </w:r>
      <w:r w:rsidRPr="006A64EE">
        <w:t xml:space="preserve"> subkutan erhalten (siehe Abschnitt</w:t>
      </w:r>
      <w:r w:rsidR="00846418">
        <w:t> </w:t>
      </w:r>
      <w:r w:rsidRPr="006A64EE">
        <w:t>4.2).</w:t>
      </w:r>
    </w:p>
    <w:p w14:paraId="78275F02" w14:textId="77777777" w:rsidR="00093A5E" w:rsidRPr="006A64EE" w:rsidRDefault="00093A5E" w:rsidP="004255F8">
      <w:pPr>
        <w:pStyle w:val="a3"/>
        <w:widowControl/>
      </w:pPr>
    </w:p>
    <w:p w14:paraId="326DA2CB" w14:textId="77777777" w:rsidR="00093A5E" w:rsidRPr="006A64EE" w:rsidRDefault="009C2544" w:rsidP="004255F8">
      <w:pPr>
        <w:pStyle w:val="Tabletittle"/>
      </w:pPr>
      <w:r w:rsidRPr="006A64EE">
        <w:t>Tabelle 8:</w:t>
      </w:r>
      <w:r w:rsidR="002856D0" w:rsidRPr="006A64EE">
        <w:tab/>
      </w:r>
      <w:r w:rsidRPr="006A64EE">
        <w:t>Vorausberechneter Mittelwert ± SD der PK-Parameter bei Steady State nach subkutaner Anwendung bei sJIA</w:t>
      </w:r>
    </w:p>
    <w:p w14:paraId="1C570798" w14:textId="1974D720" w:rsidR="002D5756" w:rsidRPr="006A64EE" w:rsidRDefault="002D5756" w:rsidP="004255F8">
      <w:pPr>
        <w:pStyle w:val="a3"/>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402"/>
        <w:gridCol w:w="2411"/>
        <w:gridCol w:w="2976"/>
      </w:tblGrid>
      <w:tr w:rsidR="00593482" w:rsidRPr="006A64EE" w14:paraId="2A57B930" w14:textId="77777777" w:rsidTr="00384E39">
        <w:trPr>
          <w:tblHeader/>
        </w:trPr>
        <w:tc>
          <w:tcPr>
            <w:tcW w:w="3402" w:type="dxa"/>
          </w:tcPr>
          <w:p w14:paraId="51CB0BFD" w14:textId="359B5D13" w:rsidR="002D5756" w:rsidRPr="006A64EE" w:rsidRDefault="00580109" w:rsidP="004255F8">
            <w:pPr>
              <w:pStyle w:val="TableParagraph"/>
              <w:widowControl/>
              <w:suppressAutoHyphens/>
              <w:rPr>
                <w:b/>
              </w:rPr>
            </w:pPr>
            <w:r w:rsidRPr="00B320E1">
              <w:rPr>
                <w:b/>
                <w:bCs/>
              </w:rPr>
              <w:t>Tocilizumab</w:t>
            </w:r>
            <w:r>
              <w:rPr>
                <w:b/>
              </w:rPr>
              <w:t>-</w:t>
            </w:r>
            <w:r w:rsidR="009C2544" w:rsidRPr="006A64EE">
              <w:rPr>
                <w:b/>
              </w:rPr>
              <w:t>PK-Parameter</w:t>
            </w:r>
          </w:p>
        </w:tc>
        <w:tc>
          <w:tcPr>
            <w:tcW w:w="2411" w:type="dxa"/>
          </w:tcPr>
          <w:p w14:paraId="7597C478" w14:textId="77777777" w:rsidR="002D5756" w:rsidRPr="006A64EE" w:rsidRDefault="009C2544" w:rsidP="004255F8">
            <w:pPr>
              <w:pStyle w:val="TableParagraph"/>
              <w:widowControl/>
              <w:suppressAutoHyphens/>
              <w:jc w:val="center"/>
              <w:rPr>
                <w:b/>
              </w:rPr>
            </w:pPr>
            <w:r w:rsidRPr="006A64EE">
              <w:rPr>
                <w:b/>
              </w:rPr>
              <w:t>162 mg qw ≥ 30 kg</w:t>
            </w:r>
          </w:p>
        </w:tc>
        <w:tc>
          <w:tcPr>
            <w:tcW w:w="2976" w:type="dxa"/>
          </w:tcPr>
          <w:p w14:paraId="5A592E72" w14:textId="77777777" w:rsidR="002D5756" w:rsidRPr="006A64EE" w:rsidRDefault="009C2544" w:rsidP="004255F8">
            <w:pPr>
              <w:pStyle w:val="TableParagraph"/>
              <w:widowControl/>
              <w:suppressAutoHyphens/>
              <w:jc w:val="center"/>
              <w:rPr>
                <w:b/>
              </w:rPr>
            </w:pPr>
            <w:r w:rsidRPr="006A64EE">
              <w:rPr>
                <w:b/>
              </w:rPr>
              <w:t>162 mg q2w unter 30 kg</w:t>
            </w:r>
          </w:p>
        </w:tc>
      </w:tr>
      <w:tr w:rsidR="00593482" w:rsidRPr="006A64EE" w14:paraId="391F3EFF" w14:textId="77777777" w:rsidTr="002856D0">
        <w:trPr>
          <w:cantSplit/>
        </w:trPr>
        <w:tc>
          <w:tcPr>
            <w:tcW w:w="3402" w:type="dxa"/>
          </w:tcPr>
          <w:p w14:paraId="02681DE3" w14:textId="77777777" w:rsidR="002D5756" w:rsidRPr="006A64EE" w:rsidRDefault="009C2544" w:rsidP="004255F8">
            <w:pPr>
              <w:pStyle w:val="TableParagraph"/>
              <w:widowControl/>
              <w:suppressAutoHyphens/>
            </w:pPr>
            <w:r w:rsidRPr="006A64EE">
              <w:t>C</w:t>
            </w:r>
            <w:r w:rsidRPr="006A64EE">
              <w:rPr>
                <w:vertAlign w:val="subscript"/>
              </w:rPr>
              <w:t>max</w:t>
            </w:r>
            <w:r w:rsidRPr="006A64EE">
              <w:t xml:space="preserve"> (µg/ml)</w:t>
            </w:r>
          </w:p>
        </w:tc>
        <w:tc>
          <w:tcPr>
            <w:tcW w:w="2411" w:type="dxa"/>
          </w:tcPr>
          <w:p w14:paraId="6F4F50D3" w14:textId="77777777" w:rsidR="002D5756" w:rsidRPr="006A64EE" w:rsidRDefault="009C2544" w:rsidP="004255F8">
            <w:pPr>
              <w:pStyle w:val="TableParagraph"/>
              <w:widowControl/>
              <w:suppressAutoHyphens/>
              <w:jc w:val="center"/>
            </w:pPr>
            <w:r w:rsidRPr="006A64EE">
              <w:t>99,8 ± 46,2</w:t>
            </w:r>
          </w:p>
        </w:tc>
        <w:tc>
          <w:tcPr>
            <w:tcW w:w="2976" w:type="dxa"/>
          </w:tcPr>
          <w:p w14:paraId="50DC93CF" w14:textId="77777777" w:rsidR="002D5756" w:rsidRPr="006A64EE" w:rsidRDefault="009C2544" w:rsidP="004255F8">
            <w:pPr>
              <w:pStyle w:val="TableParagraph"/>
              <w:widowControl/>
              <w:suppressAutoHyphens/>
              <w:jc w:val="center"/>
            </w:pPr>
            <w:r w:rsidRPr="006A64EE">
              <w:t>134 ± 58,6</w:t>
            </w:r>
          </w:p>
        </w:tc>
      </w:tr>
      <w:tr w:rsidR="00593482" w:rsidRPr="006A64EE" w14:paraId="1F3E4E0D" w14:textId="77777777" w:rsidTr="002856D0">
        <w:trPr>
          <w:cantSplit/>
        </w:trPr>
        <w:tc>
          <w:tcPr>
            <w:tcW w:w="3402" w:type="dxa"/>
          </w:tcPr>
          <w:p w14:paraId="7EC08B75" w14:textId="77777777" w:rsidR="002D5756" w:rsidRPr="006A64EE" w:rsidRDefault="009C2544" w:rsidP="004255F8">
            <w:pPr>
              <w:pStyle w:val="TableParagraph"/>
              <w:widowControl/>
              <w:suppressAutoHyphens/>
            </w:pPr>
            <w:r w:rsidRPr="006A64EE">
              <w:t>C</w:t>
            </w:r>
            <w:r w:rsidRPr="006A64EE">
              <w:rPr>
                <w:vertAlign w:val="subscript"/>
              </w:rPr>
              <w:t>min</w:t>
            </w:r>
            <w:r w:rsidRPr="006A64EE">
              <w:t xml:space="preserve"> (µg/ml)</w:t>
            </w:r>
          </w:p>
        </w:tc>
        <w:tc>
          <w:tcPr>
            <w:tcW w:w="2411" w:type="dxa"/>
          </w:tcPr>
          <w:p w14:paraId="3BB30B01" w14:textId="77777777" w:rsidR="002D5756" w:rsidRPr="006A64EE" w:rsidRDefault="009C2544" w:rsidP="004255F8">
            <w:pPr>
              <w:pStyle w:val="TableParagraph"/>
              <w:widowControl/>
              <w:suppressAutoHyphens/>
              <w:jc w:val="center"/>
            </w:pPr>
            <w:r w:rsidRPr="006A64EE">
              <w:t>79,2 ± 35,6</w:t>
            </w:r>
          </w:p>
        </w:tc>
        <w:tc>
          <w:tcPr>
            <w:tcW w:w="2976" w:type="dxa"/>
          </w:tcPr>
          <w:p w14:paraId="5EB9F6CF" w14:textId="77777777" w:rsidR="002D5756" w:rsidRPr="006A64EE" w:rsidRDefault="009C2544" w:rsidP="004255F8">
            <w:pPr>
              <w:pStyle w:val="TableParagraph"/>
              <w:widowControl/>
              <w:suppressAutoHyphens/>
              <w:jc w:val="center"/>
            </w:pPr>
            <w:r w:rsidRPr="006A64EE">
              <w:t>65,9 ± 31,3</w:t>
            </w:r>
          </w:p>
        </w:tc>
      </w:tr>
      <w:tr w:rsidR="00593482" w:rsidRPr="006A64EE" w14:paraId="239222A0" w14:textId="77777777" w:rsidTr="002856D0">
        <w:trPr>
          <w:cantSplit/>
        </w:trPr>
        <w:tc>
          <w:tcPr>
            <w:tcW w:w="3402" w:type="dxa"/>
          </w:tcPr>
          <w:p w14:paraId="3444FCF3" w14:textId="77777777" w:rsidR="002D5756" w:rsidRPr="006A64EE" w:rsidRDefault="009C2544" w:rsidP="004255F8">
            <w:pPr>
              <w:pStyle w:val="TableParagraph"/>
              <w:widowControl/>
              <w:suppressAutoHyphens/>
            </w:pPr>
            <w:r w:rsidRPr="006A64EE">
              <w:t>C</w:t>
            </w:r>
            <w:r w:rsidRPr="006A64EE">
              <w:rPr>
                <w:vertAlign w:val="subscript"/>
              </w:rPr>
              <w:t>mittel</w:t>
            </w:r>
            <w:r w:rsidRPr="006A64EE">
              <w:t xml:space="preserve"> (µg/ml)</w:t>
            </w:r>
          </w:p>
        </w:tc>
        <w:tc>
          <w:tcPr>
            <w:tcW w:w="2411" w:type="dxa"/>
          </w:tcPr>
          <w:p w14:paraId="55A8C0E8" w14:textId="77777777" w:rsidR="002D5756" w:rsidRPr="006A64EE" w:rsidRDefault="009C2544" w:rsidP="004255F8">
            <w:pPr>
              <w:pStyle w:val="TableParagraph"/>
              <w:widowControl/>
              <w:suppressAutoHyphens/>
              <w:jc w:val="center"/>
            </w:pPr>
            <w:r w:rsidRPr="006A64EE">
              <w:t>91,3 ± 40,4</w:t>
            </w:r>
          </w:p>
        </w:tc>
        <w:tc>
          <w:tcPr>
            <w:tcW w:w="2976" w:type="dxa"/>
          </w:tcPr>
          <w:p w14:paraId="45FD5AD3" w14:textId="77777777" w:rsidR="002D5756" w:rsidRPr="006A64EE" w:rsidRDefault="009C2544" w:rsidP="004255F8">
            <w:pPr>
              <w:pStyle w:val="TableParagraph"/>
              <w:widowControl/>
              <w:suppressAutoHyphens/>
              <w:jc w:val="center"/>
            </w:pPr>
            <w:r w:rsidRPr="006A64EE">
              <w:t>101 ± 43,2</w:t>
            </w:r>
          </w:p>
        </w:tc>
      </w:tr>
      <w:tr w:rsidR="00593482" w:rsidRPr="006A64EE" w14:paraId="20895BD3" w14:textId="77777777" w:rsidTr="002856D0">
        <w:trPr>
          <w:cantSplit/>
        </w:trPr>
        <w:tc>
          <w:tcPr>
            <w:tcW w:w="3402" w:type="dxa"/>
          </w:tcPr>
          <w:p w14:paraId="38472306" w14:textId="77777777" w:rsidR="002D5756" w:rsidRPr="006A64EE" w:rsidRDefault="009C2544" w:rsidP="004255F8">
            <w:pPr>
              <w:pStyle w:val="TableParagraph"/>
              <w:widowControl/>
              <w:suppressAutoHyphens/>
            </w:pPr>
            <w:r w:rsidRPr="006A64EE">
              <w:t>Akkumulation C</w:t>
            </w:r>
            <w:r w:rsidRPr="006A64EE">
              <w:rPr>
                <w:vertAlign w:val="subscript"/>
              </w:rPr>
              <w:t>max</w:t>
            </w:r>
          </w:p>
        </w:tc>
        <w:tc>
          <w:tcPr>
            <w:tcW w:w="2411" w:type="dxa"/>
          </w:tcPr>
          <w:p w14:paraId="1C178149" w14:textId="77777777" w:rsidR="002D5756" w:rsidRPr="006A64EE" w:rsidRDefault="009C2544" w:rsidP="004255F8">
            <w:pPr>
              <w:pStyle w:val="TableParagraph"/>
              <w:widowControl/>
              <w:suppressAutoHyphens/>
              <w:jc w:val="center"/>
            </w:pPr>
            <w:r w:rsidRPr="006A64EE">
              <w:t>3,66</w:t>
            </w:r>
          </w:p>
        </w:tc>
        <w:tc>
          <w:tcPr>
            <w:tcW w:w="2976" w:type="dxa"/>
          </w:tcPr>
          <w:p w14:paraId="4CC79AC5" w14:textId="77777777" w:rsidR="002D5756" w:rsidRPr="006A64EE" w:rsidRDefault="009C2544" w:rsidP="004255F8">
            <w:pPr>
              <w:pStyle w:val="TableParagraph"/>
              <w:widowControl/>
              <w:suppressAutoHyphens/>
              <w:jc w:val="center"/>
            </w:pPr>
            <w:r w:rsidRPr="006A64EE">
              <w:t>1,88</w:t>
            </w:r>
          </w:p>
        </w:tc>
      </w:tr>
      <w:tr w:rsidR="00593482" w:rsidRPr="006A64EE" w14:paraId="2A858CE5" w14:textId="77777777" w:rsidTr="002856D0">
        <w:trPr>
          <w:cantSplit/>
        </w:trPr>
        <w:tc>
          <w:tcPr>
            <w:tcW w:w="3402" w:type="dxa"/>
          </w:tcPr>
          <w:p w14:paraId="5094627A" w14:textId="77777777" w:rsidR="002D5756" w:rsidRPr="006A64EE" w:rsidRDefault="009C2544" w:rsidP="004255F8">
            <w:pPr>
              <w:pStyle w:val="TableParagraph"/>
              <w:widowControl/>
              <w:suppressAutoHyphens/>
            </w:pPr>
            <w:r w:rsidRPr="006A64EE">
              <w:t>Akkumulation C</w:t>
            </w:r>
            <w:r w:rsidRPr="006A64EE">
              <w:rPr>
                <w:vertAlign w:val="subscript"/>
              </w:rPr>
              <w:t>min</w:t>
            </w:r>
          </w:p>
        </w:tc>
        <w:tc>
          <w:tcPr>
            <w:tcW w:w="2411" w:type="dxa"/>
          </w:tcPr>
          <w:p w14:paraId="6792BE55" w14:textId="77777777" w:rsidR="002D5756" w:rsidRPr="006A64EE" w:rsidRDefault="009C2544" w:rsidP="004255F8">
            <w:pPr>
              <w:pStyle w:val="TableParagraph"/>
              <w:widowControl/>
              <w:suppressAutoHyphens/>
              <w:jc w:val="center"/>
            </w:pPr>
            <w:r w:rsidRPr="006A64EE">
              <w:t>4,39</w:t>
            </w:r>
          </w:p>
        </w:tc>
        <w:tc>
          <w:tcPr>
            <w:tcW w:w="2976" w:type="dxa"/>
          </w:tcPr>
          <w:p w14:paraId="039C9ED2" w14:textId="77777777" w:rsidR="002D5756" w:rsidRPr="006A64EE" w:rsidRDefault="009C2544" w:rsidP="004255F8">
            <w:pPr>
              <w:pStyle w:val="TableParagraph"/>
              <w:widowControl/>
              <w:suppressAutoHyphens/>
              <w:jc w:val="center"/>
            </w:pPr>
            <w:r w:rsidRPr="006A64EE">
              <w:t>3,21</w:t>
            </w:r>
          </w:p>
        </w:tc>
      </w:tr>
      <w:tr w:rsidR="00593482" w:rsidRPr="006A64EE" w14:paraId="60AF7CBA" w14:textId="77777777" w:rsidTr="002856D0">
        <w:trPr>
          <w:cantSplit/>
        </w:trPr>
        <w:tc>
          <w:tcPr>
            <w:tcW w:w="3402" w:type="dxa"/>
          </w:tcPr>
          <w:p w14:paraId="607B0648" w14:textId="77777777" w:rsidR="002D5756" w:rsidRPr="006A64EE" w:rsidRDefault="009C2544" w:rsidP="004255F8">
            <w:pPr>
              <w:pStyle w:val="TableParagraph"/>
              <w:widowControl/>
              <w:suppressAutoHyphens/>
            </w:pPr>
            <w:r w:rsidRPr="006A64EE">
              <w:t>Akkumulation C</w:t>
            </w:r>
            <w:r w:rsidRPr="006A64EE">
              <w:rPr>
                <w:vertAlign w:val="subscript"/>
              </w:rPr>
              <w:t>mittel</w:t>
            </w:r>
            <w:r w:rsidRPr="006A64EE">
              <w:t xml:space="preserve"> oder AUC</w:t>
            </w:r>
            <w:r w:rsidRPr="006A64EE">
              <w:rPr>
                <w:vertAlign w:val="subscript"/>
              </w:rPr>
              <w:t>τ</w:t>
            </w:r>
            <w:r w:rsidRPr="006A64EE">
              <w:t>*</w:t>
            </w:r>
          </w:p>
        </w:tc>
        <w:tc>
          <w:tcPr>
            <w:tcW w:w="2411" w:type="dxa"/>
          </w:tcPr>
          <w:p w14:paraId="6AACD0DE" w14:textId="77777777" w:rsidR="002D5756" w:rsidRPr="006A64EE" w:rsidRDefault="009C2544" w:rsidP="004255F8">
            <w:pPr>
              <w:pStyle w:val="TableParagraph"/>
              <w:widowControl/>
              <w:suppressAutoHyphens/>
              <w:jc w:val="center"/>
            </w:pPr>
            <w:r w:rsidRPr="006A64EE">
              <w:t>4,28</w:t>
            </w:r>
          </w:p>
        </w:tc>
        <w:tc>
          <w:tcPr>
            <w:tcW w:w="2976" w:type="dxa"/>
          </w:tcPr>
          <w:p w14:paraId="02D5D741" w14:textId="77777777" w:rsidR="002D5756" w:rsidRPr="006A64EE" w:rsidRDefault="009C2544" w:rsidP="004255F8">
            <w:pPr>
              <w:pStyle w:val="TableParagraph"/>
              <w:widowControl/>
              <w:suppressAutoHyphens/>
              <w:jc w:val="center"/>
            </w:pPr>
            <w:r w:rsidRPr="006A64EE">
              <w:t>2,27</w:t>
            </w:r>
          </w:p>
        </w:tc>
      </w:tr>
    </w:tbl>
    <w:p w14:paraId="4BF5B89B" w14:textId="77777777" w:rsidR="00093A5E" w:rsidRPr="006A64EE" w:rsidRDefault="009C2544" w:rsidP="004255F8">
      <w:pPr>
        <w:widowControl/>
        <w:rPr>
          <w:sz w:val="18"/>
          <w:szCs w:val="18"/>
        </w:rPr>
      </w:pPr>
      <w:r w:rsidRPr="006A64EE">
        <w:rPr>
          <w:sz w:val="18"/>
          <w:szCs w:val="18"/>
        </w:rPr>
        <w:t>*τ = 1 oder 2 Wochen für die beiden subkutanen Schemata</w:t>
      </w:r>
    </w:p>
    <w:p w14:paraId="2CB7E5A1" w14:textId="77777777" w:rsidR="00093A5E" w:rsidRPr="006A64EE" w:rsidRDefault="00093A5E" w:rsidP="004255F8">
      <w:pPr>
        <w:pStyle w:val="a3"/>
        <w:widowControl/>
      </w:pPr>
    </w:p>
    <w:p w14:paraId="30010839" w14:textId="77777777" w:rsidR="00093A5E" w:rsidRPr="006A64EE" w:rsidRDefault="009C2544" w:rsidP="004255F8">
      <w:pPr>
        <w:pStyle w:val="a3"/>
        <w:widowControl/>
      </w:pPr>
      <w:r w:rsidRPr="006A64EE">
        <w:t>Nach subkutaner Anwendung waren bei beiden Dosierungen von 162 mg subkutan qw und q2w bis Woche 12 etwa 90 % des Steady States erreicht.</w:t>
      </w:r>
    </w:p>
    <w:p w14:paraId="32A546B4" w14:textId="77777777" w:rsidR="00093A5E" w:rsidRPr="006A64EE" w:rsidRDefault="00093A5E" w:rsidP="004255F8">
      <w:pPr>
        <w:pStyle w:val="a3"/>
        <w:widowControl/>
      </w:pPr>
    </w:p>
    <w:p w14:paraId="6220BF52" w14:textId="77777777" w:rsidR="00093A5E" w:rsidRPr="006A64EE" w:rsidRDefault="009C2544" w:rsidP="004255F8">
      <w:pPr>
        <w:pStyle w:val="a3"/>
        <w:widowControl/>
      </w:pPr>
      <w:r w:rsidRPr="006A64EE">
        <w:rPr>
          <w:u w:val="single"/>
        </w:rPr>
        <w:t>Resorption</w:t>
      </w:r>
    </w:p>
    <w:p w14:paraId="6D928236" w14:textId="77777777" w:rsidR="00093A5E" w:rsidRPr="006A64EE" w:rsidRDefault="009C2544" w:rsidP="004255F8">
      <w:pPr>
        <w:pStyle w:val="a3"/>
        <w:widowControl/>
      </w:pPr>
      <w:r w:rsidRPr="006A64EE">
        <w:t>Nach subkutaner Anwendung bei Patienten mit sJIA betrug die Resorptionshalbwertszeit etwa 2 Tage und die Bioverfügbarkeit der subkutanen Darreichungsform bei Patienten mit pJIA 95 %.</w:t>
      </w:r>
    </w:p>
    <w:p w14:paraId="289A3FEA" w14:textId="77777777" w:rsidR="00093A5E" w:rsidRPr="006A64EE" w:rsidRDefault="00093A5E" w:rsidP="004255F8">
      <w:pPr>
        <w:widowControl/>
      </w:pPr>
    </w:p>
    <w:p w14:paraId="5757F8E3" w14:textId="77777777" w:rsidR="00093A5E" w:rsidRPr="006A64EE" w:rsidRDefault="007D680A" w:rsidP="004255F8">
      <w:pPr>
        <w:widowControl/>
      </w:pPr>
      <w:r w:rsidRPr="006A64EE">
        <w:rPr>
          <w:u w:val="single"/>
        </w:rPr>
        <w:t>Verteilung</w:t>
      </w:r>
    </w:p>
    <w:p w14:paraId="005387F5" w14:textId="6D29184A" w:rsidR="00093A5E" w:rsidRPr="006A64EE" w:rsidRDefault="00A16FF2" w:rsidP="004255F8">
      <w:pPr>
        <w:pStyle w:val="a3"/>
        <w:widowControl/>
      </w:pPr>
      <w:r>
        <w:rPr>
          <w:noProof/>
          <w:lang w:val="en-US" w:eastAsia="ko-KR"/>
        </w:rPr>
        <mc:AlternateContent>
          <mc:Choice Requires="wps">
            <w:drawing>
              <wp:anchor distT="0" distB="0" distL="0" distR="0" simplePos="0" relativeHeight="251658261" behindDoc="0" locked="0" layoutInCell="1" allowOverlap="1" wp14:anchorId="270DDEB4" wp14:editId="065B0706">
                <wp:simplePos x="0" y="0"/>
                <wp:positionH relativeFrom="page">
                  <wp:posOffset>2940050</wp:posOffset>
                </wp:positionH>
                <wp:positionV relativeFrom="paragraph">
                  <wp:posOffset>146685</wp:posOffset>
                </wp:positionV>
                <wp:extent cx="35560" cy="6350"/>
                <wp:effectExtent l="0" t="0" r="0" b="0"/>
                <wp:wrapNone/>
                <wp:docPr id="111977624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6350"/>
                        </a:xfrm>
                        <a:custGeom>
                          <a:avLst/>
                          <a:gdLst>
                            <a:gd name="T0" fmla="*/ 35051 w 35560"/>
                            <a:gd name="T1" fmla="*/ 0 h 6350"/>
                            <a:gd name="T2" fmla="*/ 0 w 35560"/>
                            <a:gd name="T3" fmla="*/ 0 h 6350"/>
                            <a:gd name="T4" fmla="*/ 0 w 35560"/>
                            <a:gd name="T5" fmla="*/ 6096 h 6350"/>
                            <a:gd name="T6" fmla="*/ 35051 w 35560"/>
                            <a:gd name="T7" fmla="*/ 6096 h 6350"/>
                            <a:gd name="T8" fmla="*/ 35051 w 35560"/>
                            <a:gd name="T9" fmla="*/ 0 h 6350"/>
                          </a:gdLst>
                          <a:ahLst/>
                          <a:cxnLst>
                            <a:cxn ang="0">
                              <a:pos x="T0" y="T1"/>
                            </a:cxn>
                            <a:cxn ang="0">
                              <a:pos x="T2" y="T3"/>
                            </a:cxn>
                            <a:cxn ang="0">
                              <a:pos x="T4" y="T5"/>
                            </a:cxn>
                            <a:cxn ang="0">
                              <a:pos x="T6" y="T7"/>
                            </a:cxn>
                            <a:cxn ang="0">
                              <a:pos x="T8" y="T9"/>
                            </a:cxn>
                          </a:cxnLst>
                          <a:rect l="0" t="0" r="r" b="b"/>
                          <a:pathLst>
                            <a:path w="35560" h="6350">
                              <a:moveTo>
                                <a:pt x="35051" y="0"/>
                              </a:moveTo>
                              <a:lnTo>
                                <a:pt x="0" y="0"/>
                              </a:lnTo>
                              <a:lnTo>
                                <a:pt x="0" y="6096"/>
                              </a:lnTo>
                              <a:lnTo>
                                <a:pt x="35051" y="6096"/>
                              </a:lnTo>
                              <a:lnTo>
                                <a:pt x="3505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8981C65" id="Graphic 2" o:spid="_x0000_s1026" style="position:absolute;margin-left:231.5pt;margin-top:11.55pt;width:2.8pt;height:.5pt;z-index:25165826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" path="m35051,l,,,6096r35051,l35051,xe" fillcolor="black" stroked="f">
                <v:path arrowok="t" o:connecttype="custom" o:connectlocs="35051,0;0,0;0,6096;35051,6096;35051,0" o:connectangles="0,0,0,0,0"/>
                <w10:wrap anchorx="page"/>
              </v:shape>
            </w:pict>
          </mc:Fallback>
        </mc:AlternateContent>
      </w:r>
      <w:r w:rsidR="009C2544" w:rsidRPr="006A64EE">
        <w:t>Bei pädiatrischen Patienten mit sJIA lag das zentrale Verteilungsvolumen bei 1,87 l, das periphere Verteilungsvolumen bei 2,14 l, woraus ein Verteilungsvolumen von 4,01 l im Steady State resultiert.</w:t>
      </w:r>
    </w:p>
    <w:p w14:paraId="1F9375C8" w14:textId="77777777" w:rsidR="00093A5E" w:rsidRPr="006A64EE" w:rsidRDefault="00093A5E" w:rsidP="004255F8">
      <w:pPr>
        <w:pStyle w:val="a3"/>
        <w:widowControl/>
      </w:pPr>
    </w:p>
    <w:p w14:paraId="45364F66" w14:textId="77777777" w:rsidR="00093A5E" w:rsidRPr="006A64EE" w:rsidRDefault="009C2544" w:rsidP="004255F8">
      <w:pPr>
        <w:pStyle w:val="a3"/>
        <w:widowControl/>
      </w:pPr>
      <w:r w:rsidRPr="006A64EE">
        <w:rPr>
          <w:u w:val="single"/>
        </w:rPr>
        <w:t>Elimination</w:t>
      </w:r>
    </w:p>
    <w:p w14:paraId="00315D79" w14:textId="244E6C62" w:rsidR="00093A5E" w:rsidRPr="006A64EE" w:rsidRDefault="009C2544" w:rsidP="004255F8">
      <w:pPr>
        <w:pStyle w:val="a3"/>
        <w:widowControl/>
      </w:pPr>
      <w:r w:rsidRPr="006A64EE">
        <w:t>Die Gesamt-Clearance von Tocilizumab war abhängig von der Konzentration und entspricht der Summe der linearen und der nicht-linearen Clearance. Die lineare Clearance wurde als Parameter in der Analyse zur Populationspharmakokinetik geschätzt und lag bei 5,7 ml/h bei pädiatrischen Patienten mit sJIA. Bei Patienten mit sJIA beträgt die tatsächliche t</w:t>
      </w:r>
      <w:r w:rsidRPr="00901DE4">
        <w:rPr>
          <w:vertAlign w:val="subscript"/>
        </w:rPr>
        <w:t>1/2</w:t>
      </w:r>
      <w:r w:rsidRPr="006A64EE">
        <w:t xml:space="preserve"> von </w:t>
      </w:r>
      <w:r w:rsidR="00580109">
        <w:t>Tocilizumab</w:t>
      </w:r>
      <w:r w:rsidRPr="006A64EE">
        <w:t xml:space="preserve"> innerhalb eines Dosierungsintervalls im Steady State nach subkutaner Anwendung bis zu 14 Tage bei beiden Dosierungsschemata mit 162 mg subkutan qw oder 162 mg subkutan q2w.</w:t>
      </w:r>
    </w:p>
    <w:p w14:paraId="00DBA854" w14:textId="77777777" w:rsidR="00093A5E" w:rsidRPr="006A64EE" w:rsidRDefault="00093A5E" w:rsidP="004255F8">
      <w:pPr>
        <w:pStyle w:val="a3"/>
        <w:widowControl/>
      </w:pPr>
    </w:p>
    <w:p w14:paraId="625B8CF7" w14:textId="77777777" w:rsidR="00093A5E" w:rsidRPr="006A64EE" w:rsidRDefault="009C2544" w:rsidP="004255F8">
      <w:pPr>
        <w:pStyle w:val="a3"/>
        <w:widowControl/>
      </w:pPr>
      <w:r w:rsidRPr="006A64EE">
        <w:rPr>
          <w:u w:val="single"/>
        </w:rPr>
        <w:t>pJIA</w:t>
      </w:r>
    </w:p>
    <w:p w14:paraId="2A89A256" w14:textId="77777777" w:rsidR="00093A5E" w:rsidRPr="006A64EE" w:rsidRDefault="009C2544" w:rsidP="004255F8">
      <w:pPr>
        <w:pStyle w:val="a3"/>
        <w:widowControl/>
      </w:pPr>
      <w:r w:rsidRPr="006A64EE">
        <w:rPr>
          <w:u w:val="single"/>
        </w:rPr>
        <w:t>Subkutane Anwendung</w:t>
      </w:r>
    </w:p>
    <w:p w14:paraId="4BED9113" w14:textId="6139D911" w:rsidR="00093A5E" w:rsidRPr="006A64EE" w:rsidRDefault="009C2544" w:rsidP="004255F8">
      <w:pPr>
        <w:pStyle w:val="a3"/>
        <w:widowControl/>
      </w:pPr>
      <w:r w:rsidRPr="006A64EE">
        <w:t xml:space="preserve">Die Pharmakokinetik von </w:t>
      </w:r>
      <w:r w:rsidR="00580109">
        <w:t>Tocilizumab</w:t>
      </w:r>
      <w:r w:rsidRPr="006A64EE">
        <w:t xml:space="preserve"> bei Patienten mit pJIA wurde durch eine populationspharmakokinetische Analyse bestimmt, bei der die 237 eingeschlossenen Patienten mit 8</w:t>
      </w:r>
      <w:r w:rsidR="00846418">
        <w:t> </w:t>
      </w:r>
      <w:r w:rsidRPr="006A64EE">
        <w:t>mg/kg intravenös alle 4 Wochen (Patienten mit einem Körpergewicht von ≥ 30 kg), 10 mg/kg intravenös alle 4 Wochen (Patienten mit einem Körpergewicht von weniger als 30 kg), 162 mg</w:t>
      </w:r>
      <w:r w:rsidR="000B1FEC">
        <w:t xml:space="preserve"> </w:t>
      </w:r>
      <w:r w:rsidRPr="006A64EE">
        <w:t>subkutan alle 2 Wochen (Patienten mit einem Körpergewicht von ≥ 30 kg) oder 162 mg subkutan alle 3 Wochen (Patienten mit einem Körpergewicht von weniger als 30 kg) behandelt wurden.</w:t>
      </w:r>
    </w:p>
    <w:p w14:paraId="73E35F70" w14:textId="77777777" w:rsidR="00093A5E" w:rsidRPr="006A64EE" w:rsidRDefault="00093A5E" w:rsidP="004255F8">
      <w:pPr>
        <w:pStyle w:val="a3"/>
        <w:widowControl/>
      </w:pPr>
    </w:p>
    <w:p w14:paraId="1CB257A5" w14:textId="77777777" w:rsidR="00093A5E" w:rsidRPr="006A64EE" w:rsidRDefault="009C2544" w:rsidP="004255F8">
      <w:pPr>
        <w:pStyle w:val="Tabletittle"/>
      </w:pPr>
      <w:r w:rsidRPr="006A64EE">
        <w:t>Tabelle 9:</w:t>
      </w:r>
      <w:r w:rsidR="002856D0" w:rsidRPr="006A64EE">
        <w:tab/>
      </w:r>
      <w:r w:rsidRPr="006A64EE">
        <w:t>Vorausberechneter Mittelwert ± SD der PK-Parameter bei Steady State nach subkutaner Anwendung bei pJIA</w:t>
      </w:r>
    </w:p>
    <w:p w14:paraId="69E5D1E0" w14:textId="74D14E36" w:rsidR="002D5756" w:rsidRPr="006A64EE" w:rsidRDefault="002D5756" w:rsidP="004255F8">
      <w:pPr>
        <w:pStyle w:val="a3"/>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99"/>
        <w:gridCol w:w="2361"/>
        <w:gridCol w:w="2978"/>
      </w:tblGrid>
      <w:tr w:rsidR="00593482" w:rsidRPr="006A64EE" w14:paraId="4E5A1618" w14:textId="77777777" w:rsidTr="00384E39">
        <w:trPr>
          <w:tblHeader/>
        </w:trPr>
        <w:tc>
          <w:tcPr>
            <w:tcW w:w="1999" w:type="dxa"/>
          </w:tcPr>
          <w:p w14:paraId="30B17942" w14:textId="03494762" w:rsidR="002D5756" w:rsidRPr="006A64EE" w:rsidRDefault="00580109" w:rsidP="004255F8">
            <w:pPr>
              <w:pStyle w:val="TableParagraph"/>
              <w:widowControl/>
              <w:suppressAutoHyphens/>
              <w:rPr>
                <w:b/>
                <w:sz w:val="20"/>
                <w:szCs w:val="20"/>
              </w:rPr>
            </w:pPr>
            <w:r w:rsidRPr="00B320E1">
              <w:rPr>
                <w:b/>
                <w:bCs/>
              </w:rPr>
              <w:t>Tocilizumab</w:t>
            </w:r>
            <w:r w:rsidRPr="00580109">
              <w:rPr>
                <w:b/>
                <w:sz w:val="20"/>
                <w:szCs w:val="20"/>
              </w:rPr>
              <w:t>-</w:t>
            </w:r>
            <w:r w:rsidR="009C2544" w:rsidRPr="00580109">
              <w:rPr>
                <w:b/>
                <w:sz w:val="20"/>
                <w:szCs w:val="20"/>
              </w:rPr>
              <w:t>P</w:t>
            </w:r>
            <w:r w:rsidR="009C2544" w:rsidRPr="006A64EE">
              <w:rPr>
                <w:b/>
                <w:sz w:val="20"/>
                <w:szCs w:val="20"/>
              </w:rPr>
              <w:t>K-Parameter</w:t>
            </w:r>
          </w:p>
        </w:tc>
        <w:tc>
          <w:tcPr>
            <w:tcW w:w="2361" w:type="dxa"/>
          </w:tcPr>
          <w:p w14:paraId="2385AE9F" w14:textId="77777777" w:rsidR="002D5756" w:rsidRPr="006A64EE" w:rsidRDefault="009C2544" w:rsidP="004255F8">
            <w:pPr>
              <w:pStyle w:val="TableParagraph"/>
              <w:widowControl/>
              <w:suppressAutoHyphens/>
              <w:jc w:val="center"/>
              <w:rPr>
                <w:b/>
                <w:sz w:val="20"/>
                <w:szCs w:val="20"/>
              </w:rPr>
            </w:pPr>
            <w:r w:rsidRPr="006A64EE">
              <w:rPr>
                <w:b/>
                <w:sz w:val="20"/>
                <w:szCs w:val="20"/>
              </w:rPr>
              <w:t>162 mg q2w ≥ 30 kg</w:t>
            </w:r>
          </w:p>
        </w:tc>
        <w:tc>
          <w:tcPr>
            <w:tcW w:w="2978" w:type="dxa"/>
          </w:tcPr>
          <w:p w14:paraId="5A88D4D7" w14:textId="77777777" w:rsidR="002D5756" w:rsidRPr="006A64EE" w:rsidRDefault="009C2544" w:rsidP="004255F8">
            <w:pPr>
              <w:pStyle w:val="TableParagraph"/>
              <w:widowControl/>
              <w:suppressAutoHyphens/>
              <w:jc w:val="center"/>
              <w:rPr>
                <w:b/>
                <w:sz w:val="20"/>
                <w:szCs w:val="20"/>
              </w:rPr>
            </w:pPr>
            <w:r w:rsidRPr="006A64EE">
              <w:rPr>
                <w:b/>
                <w:sz w:val="20"/>
                <w:szCs w:val="20"/>
              </w:rPr>
              <w:t>162 mg q3w weniger als 30 kg</w:t>
            </w:r>
          </w:p>
        </w:tc>
      </w:tr>
      <w:tr w:rsidR="00593482" w:rsidRPr="006A64EE" w14:paraId="4B3925E0" w14:textId="77777777" w:rsidTr="002856D0">
        <w:trPr>
          <w:cantSplit/>
        </w:trPr>
        <w:tc>
          <w:tcPr>
            <w:tcW w:w="1999" w:type="dxa"/>
          </w:tcPr>
          <w:p w14:paraId="710E7653"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max</w:t>
            </w:r>
            <w:r w:rsidRPr="006A64EE">
              <w:rPr>
                <w:sz w:val="20"/>
                <w:szCs w:val="20"/>
              </w:rPr>
              <w:t xml:space="preserve"> (µg/ml)</w:t>
            </w:r>
          </w:p>
        </w:tc>
        <w:tc>
          <w:tcPr>
            <w:tcW w:w="2361" w:type="dxa"/>
          </w:tcPr>
          <w:p w14:paraId="52DE45AA" w14:textId="77777777" w:rsidR="002D5756" w:rsidRPr="006A64EE" w:rsidRDefault="009C2544" w:rsidP="004255F8">
            <w:pPr>
              <w:pStyle w:val="TableParagraph"/>
              <w:widowControl/>
              <w:suppressAutoHyphens/>
              <w:jc w:val="center"/>
              <w:rPr>
                <w:sz w:val="20"/>
                <w:szCs w:val="20"/>
              </w:rPr>
            </w:pPr>
            <w:r w:rsidRPr="006A64EE">
              <w:rPr>
                <w:sz w:val="20"/>
                <w:szCs w:val="20"/>
              </w:rPr>
              <w:t>29,4 ± 13,5</w:t>
            </w:r>
          </w:p>
        </w:tc>
        <w:tc>
          <w:tcPr>
            <w:tcW w:w="2978" w:type="dxa"/>
          </w:tcPr>
          <w:p w14:paraId="342359CF" w14:textId="77777777" w:rsidR="002D5756" w:rsidRPr="006A64EE" w:rsidRDefault="009C2544" w:rsidP="004255F8">
            <w:pPr>
              <w:pStyle w:val="TableParagraph"/>
              <w:widowControl/>
              <w:suppressAutoHyphens/>
              <w:jc w:val="center"/>
              <w:rPr>
                <w:sz w:val="20"/>
                <w:szCs w:val="20"/>
              </w:rPr>
            </w:pPr>
            <w:r w:rsidRPr="006A64EE">
              <w:rPr>
                <w:sz w:val="20"/>
                <w:szCs w:val="20"/>
              </w:rPr>
              <w:t>75,5 ± 24,1</w:t>
            </w:r>
          </w:p>
        </w:tc>
      </w:tr>
      <w:tr w:rsidR="00593482" w:rsidRPr="006A64EE" w14:paraId="1F78D020" w14:textId="77777777" w:rsidTr="002856D0">
        <w:trPr>
          <w:cantSplit/>
        </w:trPr>
        <w:tc>
          <w:tcPr>
            <w:tcW w:w="1999" w:type="dxa"/>
          </w:tcPr>
          <w:p w14:paraId="6A6EEDBF"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min</w:t>
            </w:r>
            <w:r w:rsidRPr="006A64EE">
              <w:rPr>
                <w:sz w:val="20"/>
                <w:szCs w:val="20"/>
              </w:rPr>
              <w:t xml:space="preserve"> (µg/ml)</w:t>
            </w:r>
          </w:p>
        </w:tc>
        <w:tc>
          <w:tcPr>
            <w:tcW w:w="2361" w:type="dxa"/>
          </w:tcPr>
          <w:p w14:paraId="3CA39D64" w14:textId="77777777" w:rsidR="002D5756" w:rsidRPr="006A64EE" w:rsidRDefault="009C2544" w:rsidP="004255F8">
            <w:pPr>
              <w:pStyle w:val="TableParagraph"/>
              <w:widowControl/>
              <w:suppressAutoHyphens/>
              <w:jc w:val="center"/>
              <w:rPr>
                <w:sz w:val="20"/>
                <w:szCs w:val="20"/>
              </w:rPr>
            </w:pPr>
            <w:r w:rsidRPr="006A64EE">
              <w:rPr>
                <w:sz w:val="20"/>
                <w:szCs w:val="20"/>
              </w:rPr>
              <w:t>11,8 ± 7,08</w:t>
            </w:r>
          </w:p>
        </w:tc>
        <w:tc>
          <w:tcPr>
            <w:tcW w:w="2978" w:type="dxa"/>
          </w:tcPr>
          <w:p w14:paraId="6BD9D978" w14:textId="77777777" w:rsidR="002D5756" w:rsidRPr="006A64EE" w:rsidRDefault="009C2544" w:rsidP="004255F8">
            <w:pPr>
              <w:pStyle w:val="TableParagraph"/>
              <w:widowControl/>
              <w:suppressAutoHyphens/>
              <w:jc w:val="center"/>
              <w:rPr>
                <w:sz w:val="20"/>
                <w:szCs w:val="20"/>
              </w:rPr>
            </w:pPr>
            <w:r w:rsidRPr="006A64EE">
              <w:rPr>
                <w:sz w:val="20"/>
                <w:szCs w:val="20"/>
              </w:rPr>
              <w:t>18,4 ± 12,9</w:t>
            </w:r>
          </w:p>
        </w:tc>
      </w:tr>
      <w:tr w:rsidR="00593482" w:rsidRPr="006A64EE" w14:paraId="586FA712" w14:textId="77777777" w:rsidTr="002856D0">
        <w:trPr>
          <w:cantSplit/>
        </w:trPr>
        <w:tc>
          <w:tcPr>
            <w:tcW w:w="1999" w:type="dxa"/>
          </w:tcPr>
          <w:p w14:paraId="78D51518"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mittel</w:t>
            </w:r>
            <w:r w:rsidRPr="006A64EE">
              <w:rPr>
                <w:sz w:val="20"/>
                <w:szCs w:val="20"/>
              </w:rPr>
              <w:t xml:space="preserve"> (µg/ml)</w:t>
            </w:r>
          </w:p>
        </w:tc>
        <w:tc>
          <w:tcPr>
            <w:tcW w:w="2361" w:type="dxa"/>
          </w:tcPr>
          <w:p w14:paraId="21971FC6" w14:textId="77777777" w:rsidR="002D5756" w:rsidRPr="006A64EE" w:rsidRDefault="009C2544" w:rsidP="004255F8">
            <w:pPr>
              <w:pStyle w:val="TableParagraph"/>
              <w:widowControl/>
              <w:suppressAutoHyphens/>
              <w:jc w:val="center"/>
              <w:rPr>
                <w:sz w:val="20"/>
                <w:szCs w:val="20"/>
              </w:rPr>
            </w:pPr>
            <w:r w:rsidRPr="006A64EE">
              <w:rPr>
                <w:sz w:val="20"/>
                <w:szCs w:val="20"/>
              </w:rPr>
              <w:t>21,7 ± 10,4</w:t>
            </w:r>
          </w:p>
        </w:tc>
        <w:tc>
          <w:tcPr>
            <w:tcW w:w="2978" w:type="dxa"/>
          </w:tcPr>
          <w:p w14:paraId="3DAAB1B1" w14:textId="77777777" w:rsidR="002D5756" w:rsidRPr="006A64EE" w:rsidRDefault="009C2544" w:rsidP="004255F8">
            <w:pPr>
              <w:pStyle w:val="TableParagraph"/>
              <w:widowControl/>
              <w:suppressAutoHyphens/>
              <w:jc w:val="center"/>
              <w:rPr>
                <w:sz w:val="20"/>
                <w:szCs w:val="20"/>
              </w:rPr>
            </w:pPr>
            <w:r w:rsidRPr="006A64EE">
              <w:rPr>
                <w:sz w:val="20"/>
                <w:szCs w:val="20"/>
              </w:rPr>
              <w:t>45,5 ± 19,8</w:t>
            </w:r>
          </w:p>
        </w:tc>
      </w:tr>
      <w:tr w:rsidR="00593482" w:rsidRPr="006A64EE" w14:paraId="3FC60033" w14:textId="77777777" w:rsidTr="002856D0">
        <w:trPr>
          <w:cantSplit/>
        </w:trPr>
        <w:tc>
          <w:tcPr>
            <w:tcW w:w="1999" w:type="dxa"/>
          </w:tcPr>
          <w:p w14:paraId="4E693A3A"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max</w:t>
            </w:r>
          </w:p>
        </w:tc>
        <w:tc>
          <w:tcPr>
            <w:tcW w:w="2361" w:type="dxa"/>
          </w:tcPr>
          <w:p w14:paraId="35EB90FF" w14:textId="77777777" w:rsidR="002D5756" w:rsidRPr="006A64EE" w:rsidRDefault="009C2544" w:rsidP="004255F8">
            <w:pPr>
              <w:pStyle w:val="TableParagraph"/>
              <w:widowControl/>
              <w:suppressAutoHyphens/>
              <w:jc w:val="center"/>
              <w:rPr>
                <w:sz w:val="20"/>
                <w:szCs w:val="20"/>
              </w:rPr>
            </w:pPr>
            <w:r w:rsidRPr="006A64EE">
              <w:rPr>
                <w:sz w:val="20"/>
                <w:szCs w:val="20"/>
              </w:rPr>
              <w:t>1,72</w:t>
            </w:r>
          </w:p>
        </w:tc>
        <w:tc>
          <w:tcPr>
            <w:tcW w:w="2978" w:type="dxa"/>
          </w:tcPr>
          <w:p w14:paraId="29265CE2" w14:textId="77777777" w:rsidR="002D5756" w:rsidRPr="006A64EE" w:rsidRDefault="009C2544" w:rsidP="004255F8">
            <w:pPr>
              <w:pStyle w:val="TableParagraph"/>
              <w:widowControl/>
              <w:suppressAutoHyphens/>
              <w:jc w:val="center"/>
              <w:rPr>
                <w:sz w:val="20"/>
                <w:szCs w:val="20"/>
              </w:rPr>
            </w:pPr>
            <w:r w:rsidRPr="006A64EE">
              <w:rPr>
                <w:sz w:val="20"/>
                <w:szCs w:val="20"/>
              </w:rPr>
              <w:t>1,32</w:t>
            </w:r>
          </w:p>
        </w:tc>
      </w:tr>
      <w:tr w:rsidR="00593482" w:rsidRPr="006A64EE" w14:paraId="1E7C5271" w14:textId="77777777" w:rsidTr="002856D0">
        <w:trPr>
          <w:cantSplit/>
        </w:trPr>
        <w:tc>
          <w:tcPr>
            <w:tcW w:w="1999" w:type="dxa"/>
          </w:tcPr>
          <w:p w14:paraId="2A0283EA"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min</w:t>
            </w:r>
          </w:p>
        </w:tc>
        <w:tc>
          <w:tcPr>
            <w:tcW w:w="2361" w:type="dxa"/>
          </w:tcPr>
          <w:p w14:paraId="3D8B6440" w14:textId="77777777" w:rsidR="002D5756" w:rsidRPr="006A64EE" w:rsidRDefault="009C2544" w:rsidP="004255F8">
            <w:pPr>
              <w:pStyle w:val="TableParagraph"/>
              <w:widowControl/>
              <w:suppressAutoHyphens/>
              <w:jc w:val="center"/>
              <w:rPr>
                <w:sz w:val="20"/>
                <w:szCs w:val="20"/>
              </w:rPr>
            </w:pPr>
            <w:r w:rsidRPr="006A64EE">
              <w:rPr>
                <w:sz w:val="20"/>
                <w:szCs w:val="20"/>
              </w:rPr>
              <w:t>3,58</w:t>
            </w:r>
          </w:p>
        </w:tc>
        <w:tc>
          <w:tcPr>
            <w:tcW w:w="2978" w:type="dxa"/>
          </w:tcPr>
          <w:p w14:paraId="2791C697" w14:textId="77777777" w:rsidR="002D5756" w:rsidRPr="006A64EE" w:rsidRDefault="009C2544" w:rsidP="004255F8">
            <w:pPr>
              <w:pStyle w:val="TableParagraph"/>
              <w:widowControl/>
              <w:suppressAutoHyphens/>
              <w:jc w:val="center"/>
              <w:rPr>
                <w:sz w:val="20"/>
                <w:szCs w:val="20"/>
              </w:rPr>
            </w:pPr>
            <w:r w:rsidRPr="006A64EE">
              <w:rPr>
                <w:sz w:val="20"/>
                <w:szCs w:val="20"/>
              </w:rPr>
              <w:t>2,08</w:t>
            </w:r>
          </w:p>
        </w:tc>
      </w:tr>
      <w:tr w:rsidR="00593482" w:rsidRPr="006A64EE" w14:paraId="00AB896E" w14:textId="77777777" w:rsidTr="002856D0">
        <w:trPr>
          <w:cantSplit/>
        </w:trPr>
        <w:tc>
          <w:tcPr>
            <w:tcW w:w="1999" w:type="dxa"/>
          </w:tcPr>
          <w:p w14:paraId="22738CBF"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mittel</w:t>
            </w:r>
            <w:r w:rsidRPr="006A64EE">
              <w:rPr>
                <w:sz w:val="20"/>
                <w:szCs w:val="20"/>
              </w:rPr>
              <w:t xml:space="preserve"> oder AUC</w:t>
            </w:r>
            <w:r w:rsidRPr="006A64EE">
              <w:rPr>
                <w:sz w:val="20"/>
                <w:szCs w:val="20"/>
                <w:vertAlign w:val="subscript"/>
              </w:rPr>
              <w:t>τ</w:t>
            </w:r>
            <w:r w:rsidRPr="006A64EE">
              <w:rPr>
                <w:sz w:val="20"/>
                <w:szCs w:val="20"/>
              </w:rPr>
              <w:t>*</w:t>
            </w:r>
          </w:p>
        </w:tc>
        <w:tc>
          <w:tcPr>
            <w:tcW w:w="2361" w:type="dxa"/>
          </w:tcPr>
          <w:p w14:paraId="45EB511B" w14:textId="77777777" w:rsidR="002D5756" w:rsidRPr="006A64EE" w:rsidRDefault="009C2544" w:rsidP="004255F8">
            <w:pPr>
              <w:pStyle w:val="TableParagraph"/>
              <w:widowControl/>
              <w:suppressAutoHyphens/>
              <w:jc w:val="center"/>
              <w:rPr>
                <w:sz w:val="20"/>
                <w:szCs w:val="20"/>
              </w:rPr>
            </w:pPr>
            <w:r w:rsidRPr="006A64EE">
              <w:rPr>
                <w:sz w:val="20"/>
                <w:szCs w:val="20"/>
              </w:rPr>
              <w:t>2,04</w:t>
            </w:r>
          </w:p>
        </w:tc>
        <w:tc>
          <w:tcPr>
            <w:tcW w:w="2978" w:type="dxa"/>
          </w:tcPr>
          <w:p w14:paraId="6F934ADA" w14:textId="77777777" w:rsidR="002D5756" w:rsidRPr="006A64EE" w:rsidRDefault="009C2544" w:rsidP="004255F8">
            <w:pPr>
              <w:pStyle w:val="TableParagraph"/>
              <w:widowControl/>
              <w:suppressAutoHyphens/>
              <w:jc w:val="center"/>
              <w:rPr>
                <w:sz w:val="20"/>
                <w:szCs w:val="20"/>
              </w:rPr>
            </w:pPr>
            <w:r w:rsidRPr="006A64EE">
              <w:rPr>
                <w:sz w:val="20"/>
                <w:szCs w:val="20"/>
              </w:rPr>
              <w:t>1,46</w:t>
            </w:r>
          </w:p>
        </w:tc>
      </w:tr>
    </w:tbl>
    <w:p w14:paraId="214740FE" w14:textId="77777777" w:rsidR="00093A5E" w:rsidRPr="006A64EE" w:rsidRDefault="009C2544" w:rsidP="004255F8">
      <w:pPr>
        <w:widowControl/>
        <w:rPr>
          <w:sz w:val="18"/>
          <w:szCs w:val="18"/>
        </w:rPr>
      </w:pPr>
      <w:r w:rsidRPr="006A64EE">
        <w:rPr>
          <w:sz w:val="18"/>
          <w:szCs w:val="18"/>
        </w:rPr>
        <w:t>*τ = 2 Wochen bzw. 3 Wochen bei den beiden subkutanen Schemata</w:t>
      </w:r>
    </w:p>
    <w:p w14:paraId="45951E93" w14:textId="77777777" w:rsidR="00093A5E" w:rsidRPr="006A64EE" w:rsidRDefault="00093A5E" w:rsidP="004255F8">
      <w:pPr>
        <w:widowControl/>
      </w:pPr>
    </w:p>
    <w:p w14:paraId="400A8F98" w14:textId="547FD8C7" w:rsidR="00093A5E" w:rsidRPr="006A64EE" w:rsidRDefault="009C2544" w:rsidP="004255F8">
      <w:pPr>
        <w:pStyle w:val="a3"/>
        <w:widowControl/>
      </w:pPr>
      <w:r w:rsidRPr="006A64EE">
        <w:t>Nach intravenöser Anwendung waren bei der Dosierung von 10 mg/kg (</w:t>
      </w:r>
      <w:r w:rsidR="00C53C1B" w:rsidRPr="009204B8">
        <w:t>Körpergewicht</w:t>
      </w:r>
      <w:r w:rsidR="00C53C1B" w:rsidRPr="009204B8" w:rsidDel="009204B8">
        <w:t xml:space="preserve"> </w:t>
      </w:r>
      <w:r w:rsidRPr="006A64EE">
        <w:t>&lt; 30 kg) bis Woche 12 und bei der Dosierung von 8 mg/kg (</w:t>
      </w:r>
      <w:r w:rsidR="00C53C1B" w:rsidRPr="009204B8">
        <w:t>Körpergewicht</w:t>
      </w:r>
      <w:r w:rsidR="00C53C1B" w:rsidRPr="009204B8" w:rsidDel="009204B8">
        <w:t xml:space="preserve"> </w:t>
      </w:r>
      <w:r w:rsidRPr="006A64EE">
        <w:t>≥ 30 kg) bis Woche 16 etwa 90 % des Steady States erreicht. Nach subkutaner Anwendung waren bei beiden Dosierungen von 162 mg subkutan q2w und q3w bis Woche 12 etwa 90 % des Steady States erreicht.</w:t>
      </w:r>
    </w:p>
    <w:p w14:paraId="70338538" w14:textId="77777777" w:rsidR="00093A5E" w:rsidRPr="006A64EE" w:rsidRDefault="00093A5E" w:rsidP="004255F8">
      <w:pPr>
        <w:pStyle w:val="a3"/>
        <w:widowControl/>
      </w:pPr>
    </w:p>
    <w:p w14:paraId="7A5DF94C" w14:textId="77777777" w:rsidR="00093A5E" w:rsidRPr="006A64EE" w:rsidRDefault="009C2544" w:rsidP="004255F8">
      <w:pPr>
        <w:pStyle w:val="a3"/>
        <w:widowControl/>
      </w:pPr>
      <w:r w:rsidRPr="006A64EE">
        <w:rPr>
          <w:u w:val="single"/>
        </w:rPr>
        <w:t>Resorption</w:t>
      </w:r>
    </w:p>
    <w:p w14:paraId="4BFBA508" w14:textId="77777777" w:rsidR="00093A5E" w:rsidRPr="006A64EE" w:rsidRDefault="009C2544" w:rsidP="004255F8">
      <w:pPr>
        <w:pStyle w:val="a3"/>
        <w:widowControl/>
      </w:pPr>
      <w:r w:rsidRPr="006A64EE">
        <w:t>Nach subkutaner Anwendung bei Patienten mit pJIA betrug die Resorptionshalbwertszeit etwa 2 Tage und die Bioverfügbarkeit der subkutanen Darreichungsform bei Patienten mit pJIA 96 %.</w:t>
      </w:r>
    </w:p>
    <w:p w14:paraId="0FF70B2A" w14:textId="77777777" w:rsidR="00093A5E" w:rsidRPr="006A64EE" w:rsidRDefault="00093A5E" w:rsidP="004255F8">
      <w:pPr>
        <w:pStyle w:val="a3"/>
        <w:widowControl/>
      </w:pPr>
    </w:p>
    <w:p w14:paraId="63474D90" w14:textId="77777777" w:rsidR="00093A5E" w:rsidRPr="006A64EE" w:rsidRDefault="009C2544" w:rsidP="004255F8">
      <w:pPr>
        <w:pStyle w:val="a3"/>
        <w:widowControl/>
      </w:pPr>
      <w:r w:rsidRPr="006A64EE">
        <w:rPr>
          <w:u w:val="single"/>
        </w:rPr>
        <w:t>Verteilung</w:t>
      </w:r>
    </w:p>
    <w:p w14:paraId="1F6C15EF" w14:textId="1EAD39FC" w:rsidR="00093A5E" w:rsidRPr="006A64EE" w:rsidRDefault="00A16FF2" w:rsidP="004255F8">
      <w:pPr>
        <w:pStyle w:val="a3"/>
        <w:widowControl/>
      </w:pPr>
      <w:r>
        <w:rPr>
          <w:noProof/>
          <w:lang w:val="en-US" w:eastAsia="ko-KR"/>
        </w:rPr>
        <mc:AlternateContent>
          <mc:Choice Requires="wps">
            <w:drawing>
              <wp:anchor distT="0" distB="0" distL="0" distR="0" simplePos="0" relativeHeight="251658263" behindDoc="0" locked="0" layoutInCell="1" allowOverlap="1" wp14:anchorId="2116B4F4" wp14:editId="37359BF8">
                <wp:simplePos x="0" y="0"/>
                <wp:positionH relativeFrom="page">
                  <wp:posOffset>2956560</wp:posOffset>
                </wp:positionH>
                <wp:positionV relativeFrom="paragraph">
                  <wp:posOffset>146685</wp:posOffset>
                </wp:positionV>
                <wp:extent cx="35560" cy="6350"/>
                <wp:effectExtent l="3810" t="0" r="0" b="3175"/>
                <wp:wrapNone/>
                <wp:docPr id="1875998430"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 cy="6350"/>
                        </a:xfrm>
                        <a:custGeom>
                          <a:avLst/>
                          <a:gdLst>
                            <a:gd name="T0" fmla="*/ 35039 w 35560"/>
                            <a:gd name="T1" fmla="*/ 0 h 6350"/>
                            <a:gd name="T2" fmla="*/ 0 w 35560"/>
                            <a:gd name="T3" fmla="*/ 0 h 6350"/>
                            <a:gd name="T4" fmla="*/ 0 w 35560"/>
                            <a:gd name="T5" fmla="*/ 6095 h 6350"/>
                            <a:gd name="T6" fmla="*/ 35039 w 35560"/>
                            <a:gd name="T7" fmla="*/ 6095 h 6350"/>
                            <a:gd name="T8" fmla="*/ 35039 w 35560"/>
                            <a:gd name="T9" fmla="*/ 0 h 6350"/>
                          </a:gdLst>
                          <a:ahLst/>
                          <a:cxnLst>
                            <a:cxn ang="0">
                              <a:pos x="T0" y="T1"/>
                            </a:cxn>
                            <a:cxn ang="0">
                              <a:pos x="T2" y="T3"/>
                            </a:cxn>
                            <a:cxn ang="0">
                              <a:pos x="T4" y="T5"/>
                            </a:cxn>
                            <a:cxn ang="0">
                              <a:pos x="T6" y="T7"/>
                            </a:cxn>
                            <a:cxn ang="0">
                              <a:pos x="T8" y="T9"/>
                            </a:cxn>
                          </a:cxnLst>
                          <a:rect l="0" t="0" r="r" b="b"/>
                          <a:pathLst>
                            <a:path w="35560" h="6350">
                              <a:moveTo>
                                <a:pt x="35039" y="0"/>
                              </a:moveTo>
                              <a:lnTo>
                                <a:pt x="0" y="0"/>
                              </a:lnTo>
                              <a:lnTo>
                                <a:pt x="0" y="6095"/>
                              </a:lnTo>
                              <a:lnTo>
                                <a:pt x="35039" y="6095"/>
                              </a:lnTo>
                              <a:lnTo>
                                <a:pt x="3503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F157A31" id="Graphic 3" o:spid="_x0000_s1026" style="position:absolute;margin-left:232.8pt;margin-top:11.55pt;width:2.8pt;height:.5pt;z-index:25165826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" path="m35039,l,,,6095r35039,l35039,xe" fillcolor="black" stroked="f">
                <v:path arrowok="t" o:connecttype="custom" o:connectlocs="35039,0;0,0;0,6095;35039,6095;35039,0" o:connectangles="0,0,0,0,0"/>
                <w10:wrap anchorx="page"/>
              </v:shape>
            </w:pict>
          </mc:Fallback>
        </mc:AlternateContent>
      </w:r>
      <w:r w:rsidR="009C2544" w:rsidRPr="006A64EE">
        <w:t>Bei pädiatrischen Patienten mit pJIA lag das zentrale Verteilungsvolumen bei 1,97 l, das periphere Verteilungsvolumen bei 2,03 l, woraus ein Verteilungsvolumen von 4,0 l im Steady State resultiert.</w:t>
      </w:r>
    </w:p>
    <w:p w14:paraId="1092315E" w14:textId="77777777" w:rsidR="00093A5E" w:rsidRPr="006A64EE" w:rsidRDefault="00093A5E" w:rsidP="004255F8">
      <w:pPr>
        <w:pStyle w:val="a3"/>
        <w:widowControl/>
      </w:pPr>
    </w:p>
    <w:p w14:paraId="6DD947BA" w14:textId="77777777" w:rsidR="00093A5E" w:rsidRPr="006A64EE" w:rsidRDefault="009C2544" w:rsidP="004255F8">
      <w:pPr>
        <w:pStyle w:val="a3"/>
        <w:keepNext/>
        <w:widowControl/>
      </w:pPr>
      <w:r w:rsidRPr="006A64EE">
        <w:lastRenderedPageBreak/>
        <w:t>Elimination</w:t>
      </w:r>
    </w:p>
    <w:p w14:paraId="27EE300C" w14:textId="77777777" w:rsidR="00093A5E" w:rsidRPr="006A64EE" w:rsidRDefault="009C2544" w:rsidP="004255F8">
      <w:pPr>
        <w:pStyle w:val="a3"/>
        <w:widowControl/>
      </w:pPr>
      <w:r w:rsidRPr="006A64EE">
        <w:t>Eine Analyse zur Populationspharmakokinetik bei Patienten mit pJIA zeigte einen Einfluss der Körpergröße auf die lineare Clearance, so dass eine körpergewichtsabhängige Dosierung in Betracht gezogen werden sollte (siehe Tabelle 9).</w:t>
      </w:r>
    </w:p>
    <w:p w14:paraId="77B5FD18" w14:textId="77777777" w:rsidR="00093A5E" w:rsidRPr="006A64EE" w:rsidRDefault="00093A5E" w:rsidP="004255F8">
      <w:pPr>
        <w:widowControl/>
      </w:pPr>
    </w:p>
    <w:p w14:paraId="031810A0" w14:textId="2A4416FA" w:rsidR="00093A5E" w:rsidRPr="006A64EE" w:rsidRDefault="007D680A" w:rsidP="004255F8">
      <w:pPr>
        <w:widowControl/>
      </w:pPr>
      <w:r w:rsidRPr="006A64EE">
        <w:t>Bei Patienten mit pJIA beträgt die tatsächliche t</w:t>
      </w:r>
      <w:r w:rsidRPr="00901DE4">
        <w:rPr>
          <w:vertAlign w:val="subscript"/>
        </w:rPr>
        <w:t>1/2</w:t>
      </w:r>
      <w:r w:rsidRPr="006A64EE">
        <w:t xml:space="preserve"> von </w:t>
      </w:r>
      <w:r w:rsidR="00580109">
        <w:t>Tocilizumab</w:t>
      </w:r>
      <w:r w:rsidRPr="006A64EE">
        <w:t xml:space="preserve"> innerhalb eines Dosierungsintervalls im Steady State nach subkutaner Anwendung bis zu 10 Tage bei Patienten</w:t>
      </w:r>
      <w:r w:rsidR="002164F0" w:rsidRPr="006A64EE">
        <w:t xml:space="preserve"> </w:t>
      </w:r>
      <w:r w:rsidRPr="006A64EE">
        <w:t>&lt;</w:t>
      </w:r>
      <w:r w:rsidR="00846418">
        <w:t> </w:t>
      </w:r>
      <w:r w:rsidRPr="006A64EE">
        <w:t>30</w:t>
      </w:r>
      <w:r w:rsidR="00846418">
        <w:t> </w:t>
      </w:r>
      <w:r w:rsidRPr="006A64EE">
        <w:t>kg (162 mg subkutan q3w) und bis zu 7 Tage bei Patienten ≥ 30 kg (162 mg subkutan q2w). Nach intravenöser Verabreichung wird Tocilizumab biphasisch aus dem Kreislauf eliminiert. Die Gesamt-Clearance von Tocilizumab war abhängig von der Konzentration und entspricht der Summe der linearen und der nicht-linearen Clearance. Die lineare Clearance wurde als Parameter in der Analyse zur Populationspharmakokinetik geschätzt und lag bei 6,25 ml/h. Die konzentrationsabhängige nicht-lineare Clearance spielt eine wichtige Rolle bei niedrigen Konzentrationen von Tocilizumab. Wenn der nicht-lineare Stoffwechselweg gesättigt ist, wird die Clearance bei höheren Konzentrationen von Tocilizumab hauptsächlich von der linearen Clearance bestimmt.</w:t>
      </w:r>
    </w:p>
    <w:p w14:paraId="4D426E8A" w14:textId="77777777" w:rsidR="00093A5E" w:rsidRPr="006A64EE" w:rsidRDefault="00093A5E" w:rsidP="004255F8">
      <w:pPr>
        <w:widowControl/>
      </w:pPr>
    </w:p>
    <w:p w14:paraId="3860CFC5" w14:textId="77777777" w:rsidR="00093A5E" w:rsidRPr="006A64EE" w:rsidRDefault="009C2544" w:rsidP="00B320E1">
      <w:pPr>
        <w:pStyle w:val="a3"/>
        <w:keepNext/>
        <w:widowControl/>
      </w:pPr>
      <w:r w:rsidRPr="006A64EE">
        <w:rPr>
          <w:u w:val="single"/>
        </w:rPr>
        <w:t>RZA</w:t>
      </w:r>
    </w:p>
    <w:p w14:paraId="6E8DB2B0" w14:textId="77777777" w:rsidR="00093A5E" w:rsidRPr="006A64EE" w:rsidRDefault="009C2544" w:rsidP="00B320E1">
      <w:pPr>
        <w:pStyle w:val="a3"/>
        <w:keepNext/>
        <w:widowControl/>
      </w:pPr>
      <w:r w:rsidRPr="006A64EE">
        <w:rPr>
          <w:u w:val="single"/>
        </w:rPr>
        <w:t>Subkutane Anwendung</w:t>
      </w:r>
    </w:p>
    <w:p w14:paraId="05FAB378" w14:textId="3024502D" w:rsidR="00093A5E" w:rsidRPr="006A64EE" w:rsidRDefault="009C2544" w:rsidP="004255F8">
      <w:pPr>
        <w:pStyle w:val="a3"/>
        <w:widowControl/>
      </w:pPr>
      <w:r w:rsidRPr="006A64EE">
        <w:t xml:space="preserve">Die Pharmakokinetik von </w:t>
      </w:r>
      <w:r w:rsidR="00580109">
        <w:t>Tocilizumab</w:t>
      </w:r>
      <w:r w:rsidRPr="006A64EE">
        <w:t xml:space="preserve"> bei Patienten mit RZA wurde anhand eines Modells der Populationspharmakokinetik bestimmt, das aus den Daten eines Analysensets von 149 RZA-Patienten bestand, die 162 mg subkutan wöchentlich oder 162 mg subkutan alle 2 Wochen erhielten. Das Modell hatte die gleiche Struktur wie das bereits vorher entwickelte Modell der Populationspharmakokinetik aus Daten von RA-Patienten (siehe Tabelle 10).</w:t>
      </w:r>
    </w:p>
    <w:p w14:paraId="7DC3C188" w14:textId="77777777" w:rsidR="00093A5E" w:rsidRPr="006A64EE" w:rsidRDefault="00093A5E" w:rsidP="004255F8">
      <w:pPr>
        <w:pStyle w:val="a3"/>
        <w:widowControl/>
      </w:pPr>
    </w:p>
    <w:p w14:paraId="2B6D145B" w14:textId="77777777" w:rsidR="00093A5E" w:rsidRPr="006A64EE" w:rsidRDefault="009C2544" w:rsidP="004255F8">
      <w:pPr>
        <w:pStyle w:val="Tabletittle"/>
      </w:pPr>
      <w:r w:rsidRPr="006A64EE">
        <w:t>Tabelle 10:</w:t>
      </w:r>
      <w:r w:rsidR="002856D0" w:rsidRPr="006A64EE">
        <w:tab/>
      </w:r>
      <w:r w:rsidRPr="006A64EE">
        <w:t>Vorausberechneter Mittelwert ± SD der PK-Parameter bei Steady State nach subkutaner Gabe bei RZA</w:t>
      </w:r>
    </w:p>
    <w:p w14:paraId="6E589187" w14:textId="59E46E6C" w:rsidR="002D5756" w:rsidRPr="006A64EE" w:rsidRDefault="002D5756" w:rsidP="004255F8">
      <w:pPr>
        <w:pStyle w:val="a3"/>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4735"/>
        <w:gridCol w:w="2085"/>
        <w:gridCol w:w="1999"/>
      </w:tblGrid>
      <w:tr w:rsidR="00593482" w:rsidRPr="006A64EE" w14:paraId="70FB9D04" w14:textId="77777777" w:rsidTr="002856D0">
        <w:trPr>
          <w:cantSplit/>
        </w:trPr>
        <w:tc>
          <w:tcPr>
            <w:tcW w:w="4735" w:type="dxa"/>
          </w:tcPr>
          <w:p w14:paraId="56D3E027" w14:textId="77777777" w:rsidR="002D5756" w:rsidRPr="006A64EE" w:rsidRDefault="002D5756" w:rsidP="004255F8">
            <w:pPr>
              <w:pStyle w:val="TableParagraph"/>
              <w:widowControl/>
              <w:suppressAutoHyphens/>
            </w:pPr>
          </w:p>
        </w:tc>
        <w:tc>
          <w:tcPr>
            <w:tcW w:w="4084" w:type="dxa"/>
            <w:gridSpan w:val="2"/>
          </w:tcPr>
          <w:p w14:paraId="194B189A" w14:textId="77777777" w:rsidR="002D5756" w:rsidRPr="006A64EE" w:rsidRDefault="009C2544" w:rsidP="004255F8">
            <w:pPr>
              <w:pStyle w:val="TableParagraph"/>
              <w:widowControl/>
              <w:suppressAutoHyphens/>
              <w:jc w:val="center"/>
              <w:rPr>
                <w:b/>
              </w:rPr>
            </w:pPr>
            <w:r w:rsidRPr="006A64EE">
              <w:rPr>
                <w:b/>
              </w:rPr>
              <w:t>Subkutan</w:t>
            </w:r>
          </w:p>
        </w:tc>
      </w:tr>
      <w:tr w:rsidR="00593482" w:rsidRPr="006A64EE" w14:paraId="56883220" w14:textId="77777777" w:rsidTr="002856D0">
        <w:trPr>
          <w:cantSplit/>
        </w:trPr>
        <w:tc>
          <w:tcPr>
            <w:tcW w:w="4735" w:type="dxa"/>
          </w:tcPr>
          <w:p w14:paraId="7FC390D2" w14:textId="77777777" w:rsidR="002D5756" w:rsidRPr="006A64EE" w:rsidRDefault="009C2544" w:rsidP="004255F8">
            <w:pPr>
              <w:pStyle w:val="TableParagraph"/>
              <w:widowControl/>
              <w:suppressAutoHyphens/>
              <w:rPr>
                <w:b/>
              </w:rPr>
            </w:pPr>
            <w:r w:rsidRPr="006A64EE">
              <w:rPr>
                <w:b/>
              </w:rPr>
              <w:t>Tocilizumab PK-Parameter</w:t>
            </w:r>
          </w:p>
        </w:tc>
        <w:tc>
          <w:tcPr>
            <w:tcW w:w="2085" w:type="dxa"/>
          </w:tcPr>
          <w:p w14:paraId="3369B8C0" w14:textId="4D30C648" w:rsidR="002D5756" w:rsidRPr="006A64EE" w:rsidRDefault="009C2544" w:rsidP="00507ECB">
            <w:pPr>
              <w:pStyle w:val="TableParagraph"/>
              <w:widowControl/>
              <w:suppressAutoHyphens/>
              <w:jc w:val="center"/>
              <w:rPr>
                <w:b/>
              </w:rPr>
            </w:pPr>
            <w:r w:rsidRPr="006A64EE">
              <w:rPr>
                <w:b/>
              </w:rPr>
              <w:t>162 mg</w:t>
            </w:r>
            <w:r w:rsidR="00507ECB" w:rsidRPr="006A64EE">
              <w:rPr>
                <w:b/>
              </w:rPr>
              <w:t xml:space="preserve"> </w:t>
            </w:r>
            <w:r w:rsidRPr="006A64EE">
              <w:rPr>
                <w:b/>
              </w:rPr>
              <w:t>alle 2 Wochen</w:t>
            </w:r>
          </w:p>
        </w:tc>
        <w:tc>
          <w:tcPr>
            <w:tcW w:w="1999" w:type="dxa"/>
          </w:tcPr>
          <w:p w14:paraId="79E16262" w14:textId="77777777" w:rsidR="002D5756" w:rsidRPr="006A64EE" w:rsidRDefault="009C2544" w:rsidP="004255F8">
            <w:pPr>
              <w:pStyle w:val="TableParagraph"/>
              <w:widowControl/>
              <w:suppressAutoHyphens/>
              <w:jc w:val="center"/>
              <w:rPr>
                <w:b/>
              </w:rPr>
            </w:pPr>
            <w:r w:rsidRPr="006A64EE">
              <w:rPr>
                <w:b/>
              </w:rPr>
              <w:t>162 mg wöchentlich</w:t>
            </w:r>
          </w:p>
        </w:tc>
      </w:tr>
      <w:tr w:rsidR="00593482" w:rsidRPr="006A64EE" w14:paraId="60CCE97A" w14:textId="77777777" w:rsidTr="002856D0">
        <w:trPr>
          <w:cantSplit/>
        </w:trPr>
        <w:tc>
          <w:tcPr>
            <w:tcW w:w="4735" w:type="dxa"/>
          </w:tcPr>
          <w:p w14:paraId="41F7DE73" w14:textId="77777777" w:rsidR="002D5756" w:rsidRPr="006A64EE" w:rsidRDefault="009C2544" w:rsidP="004255F8">
            <w:pPr>
              <w:pStyle w:val="TableParagraph"/>
              <w:widowControl/>
              <w:suppressAutoHyphens/>
            </w:pPr>
            <w:r w:rsidRPr="006A64EE">
              <w:t>C</w:t>
            </w:r>
            <w:r w:rsidRPr="006A64EE">
              <w:rPr>
                <w:vertAlign w:val="subscript"/>
              </w:rPr>
              <w:t>max</w:t>
            </w:r>
            <w:r w:rsidRPr="006A64EE">
              <w:t xml:space="preserve"> (µg/ml)</w:t>
            </w:r>
          </w:p>
        </w:tc>
        <w:tc>
          <w:tcPr>
            <w:tcW w:w="2085" w:type="dxa"/>
          </w:tcPr>
          <w:p w14:paraId="5D1DC009" w14:textId="77777777" w:rsidR="002D5756" w:rsidRPr="006A64EE" w:rsidRDefault="009C2544" w:rsidP="004255F8">
            <w:pPr>
              <w:pStyle w:val="TableParagraph"/>
              <w:widowControl/>
              <w:suppressAutoHyphens/>
              <w:jc w:val="center"/>
            </w:pPr>
            <w:r w:rsidRPr="006A64EE">
              <w:t>19,3 ± 12,8</w:t>
            </w:r>
          </w:p>
        </w:tc>
        <w:tc>
          <w:tcPr>
            <w:tcW w:w="1999" w:type="dxa"/>
          </w:tcPr>
          <w:p w14:paraId="595D0670" w14:textId="77777777" w:rsidR="002D5756" w:rsidRPr="006A64EE" w:rsidRDefault="009C2544" w:rsidP="004255F8">
            <w:pPr>
              <w:pStyle w:val="TableParagraph"/>
              <w:widowControl/>
              <w:suppressAutoHyphens/>
              <w:jc w:val="center"/>
            </w:pPr>
            <w:r w:rsidRPr="006A64EE">
              <w:t>73 ± 30,4</w:t>
            </w:r>
          </w:p>
        </w:tc>
      </w:tr>
      <w:tr w:rsidR="00593482" w:rsidRPr="006A64EE" w14:paraId="2B0903CA" w14:textId="77777777" w:rsidTr="002856D0">
        <w:trPr>
          <w:cantSplit/>
        </w:trPr>
        <w:tc>
          <w:tcPr>
            <w:tcW w:w="4735" w:type="dxa"/>
          </w:tcPr>
          <w:p w14:paraId="3025D1A7" w14:textId="77777777" w:rsidR="002D5756" w:rsidRPr="006A64EE" w:rsidRDefault="009C2544" w:rsidP="004255F8">
            <w:pPr>
              <w:pStyle w:val="TableParagraph"/>
              <w:widowControl/>
              <w:suppressAutoHyphens/>
            </w:pPr>
            <w:r w:rsidRPr="006A64EE">
              <w:t>C</w:t>
            </w:r>
            <w:r w:rsidRPr="006A64EE">
              <w:rPr>
                <w:vertAlign w:val="subscript"/>
              </w:rPr>
              <w:t>min</w:t>
            </w:r>
            <w:r w:rsidRPr="006A64EE">
              <w:t xml:space="preserve"> (µg/ml)</w:t>
            </w:r>
          </w:p>
        </w:tc>
        <w:tc>
          <w:tcPr>
            <w:tcW w:w="2085" w:type="dxa"/>
          </w:tcPr>
          <w:p w14:paraId="35E8AF76" w14:textId="77777777" w:rsidR="002D5756" w:rsidRPr="006A64EE" w:rsidRDefault="009C2544" w:rsidP="004255F8">
            <w:pPr>
              <w:pStyle w:val="TableParagraph"/>
              <w:widowControl/>
              <w:suppressAutoHyphens/>
              <w:jc w:val="center"/>
            </w:pPr>
            <w:r w:rsidRPr="006A64EE">
              <w:t>11,1 ± 10,3</w:t>
            </w:r>
          </w:p>
        </w:tc>
        <w:tc>
          <w:tcPr>
            <w:tcW w:w="1999" w:type="dxa"/>
          </w:tcPr>
          <w:p w14:paraId="3AA019C2" w14:textId="77777777" w:rsidR="002D5756" w:rsidRPr="006A64EE" w:rsidRDefault="009C2544" w:rsidP="004255F8">
            <w:pPr>
              <w:pStyle w:val="TableParagraph"/>
              <w:widowControl/>
              <w:suppressAutoHyphens/>
              <w:jc w:val="center"/>
            </w:pPr>
            <w:r w:rsidRPr="006A64EE">
              <w:t>68,1 ± 29,5</w:t>
            </w:r>
          </w:p>
        </w:tc>
      </w:tr>
      <w:tr w:rsidR="00593482" w:rsidRPr="006A64EE" w14:paraId="2791BC01" w14:textId="77777777" w:rsidTr="002856D0">
        <w:trPr>
          <w:cantSplit/>
        </w:trPr>
        <w:tc>
          <w:tcPr>
            <w:tcW w:w="4735" w:type="dxa"/>
          </w:tcPr>
          <w:p w14:paraId="13E32DD5" w14:textId="77777777" w:rsidR="002D5756" w:rsidRPr="006A64EE" w:rsidRDefault="009C2544" w:rsidP="004255F8">
            <w:pPr>
              <w:pStyle w:val="TableParagraph"/>
              <w:widowControl/>
              <w:suppressAutoHyphens/>
            </w:pPr>
            <w:r w:rsidRPr="006A64EE">
              <w:t>C</w:t>
            </w:r>
            <w:r w:rsidRPr="006A64EE">
              <w:rPr>
                <w:vertAlign w:val="subscript"/>
              </w:rPr>
              <w:t>mittel</w:t>
            </w:r>
            <w:r w:rsidRPr="006A64EE">
              <w:t xml:space="preserve"> (µg/ml)</w:t>
            </w:r>
          </w:p>
        </w:tc>
        <w:tc>
          <w:tcPr>
            <w:tcW w:w="2085" w:type="dxa"/>
          </w:tcPr>
          <w:p w14:paraId="0D6208DE" w14:textId="77777777" w:rsidR="002D5756" w:rsidRPr="006A64EE" w:rsidRDefault="009C2544" w:rsidP="004255F8">
            <w:pPr>
              <w:pStyle w:val="TableParagraph"/>
              <w:widowControl/>
              <w:suppressAutoHyphens/>
              <w:jc w:val="center"/>
            </w:pPr>
            <w:r w:rsidRPr="006A64EE">
              <w:t>16,2 ± 11,8</w:t>
            </w:r>
          </w:p>
        </w:tc>
        <w:tc>
          <w:tcPr>
            <w:tcW w:w="1999" w:type="dxa"/>
          </w:tcPr>
          <w:p w14:paraId="04FAE0E1" w14:textId="77777777" w:rsidR="002D5756" w:rsidRPr="006A64EE" w:rsidRDefault="009C2544" w:rsidP="004255F8">
            <w:pPr>
              <w:pStyle w:val="TableParagraph"/>
              <w:widowControl/>
              <w:suppressAutoHyphens/>
              <w:jc w:val="center"/>
            </w:pPr>
            <w:r w:rsidRPr="006A64EE">
              <w:t>71,3 ± 30,1</w:t>
            </w:r>
          </w:p>
        </w:tc>
      </w:tr>
      <w:tr w:rsidR="00593482" w:rsidRPr="006A64EE" w14:paraId="7FF38FB1" w14:textId="77777777" w:rsidTr="002856D0">
        <w:trPr>
          <w:cantSplit/>
        </w:trPr>
        <w:tc>
          <w:tcPr>
            <w:tcW w:w="4735" w:type="dxa"/>
          </w:tcPr>
          <w:p w14:paraId="1CE648E8" w14:textId="77777777" w:rsidR="002D5756" w:rsidRPr="006A64EE" w:rsidRDefault="009C2544" w:rsidP="004255F8">
            <w:pPr>
              <w:pStyle w:val="TableParagraph"/>
              <w:widowControl/>
              <w:suppressAutoHyphens/>
            </w:pPr>
            <w:r w:rsidRPr="006A64EE">
              <w:t>Akkumulation C</w:t>
            </w:r>
            <w:r w:rsidRPr="006A64EE">
              <w:rPr>
                <w:vertAlign w:val="subscript"/>
              </w:rPr>
              <w:t>max</w:t>
            </w:r>
          </w:p>
        </w:tc>
        <w:tc>
          <w:tcPr>
            <w:tcW w:w="2085" w:type="dxa"/>
          </w:tcPr>
          <w:p w14:paraId="4987BE41" w14:textId="77777777" w:rsidR="002D5756" w:rsidRPr="006A64EE" w:rsidRDefault="009C2544" w:rsidP="004255F8">
            <w:pPr>
              <w:pStyle w:val="TableParagraph"/>
              <w:widowControl/>
              <w:suppressAutoHyphens/>
              <w:jc w:val="center"/>
            </w:pPr>
            <w:r w:rsidRPr="006A64EE">
              <w:t>2,18</w:t>
            </w:r>
          </w:p>
        </w:tc>
        <w:tc>
          <w:tcPr>
            <w:tcW w:w="1999" w:type="dxa"/>
          </w:tcPr>
          <w:p w14:paraId="779A9282" w14:textId="77777777" w:rsidR="002D5756" w:rsidRPr="006A64EE" w:rsidRDefault="009C2544" w:rsidP="004255F8">
            <w:pPr>
              <w:pStyle w:val="TableParagraph"/>
              <w:widowControl/>
              <w:suppressAutoHyphens/>
              <w:jc w:val="center"/>
            </w:pPr>
            <w:r w:rsidRPr="006A64EE">
              <w:t>8,88</w:t>
            </w:r>
          </w:p>
        </w:tc>
      </w:tr>
      <w:tr w:rsidR="00593482" w:rsidRPr="006A64EE" w14:paraId="3FED2AF2" w14:textId="77777777" w:rsidTr="002856D0">
        <w:trPr>
          <w:cantSplit/>
        </w:trPr>
        <w:tc>
          <w:tcPr>
            <w:tcW w:w="4735" w:type="dxa"/>
          </w:tcPr>
          <w:p w14:paraId="3DDC6CEA" w14:textId="77777777" w:rsidR="002D5756" w:rsidRPr="006A64EE" w:rsidRDefault="009C2544" w:rsidP="004255F8">
            <w:pPr>
              <w:pStyle w:val="TableParagraph"/>
              <w:widowControl/>
              <w:suppressAutoHyphens/>
            </w:pPr>
            <w:r w:rsidRPr="006A64EE">
              <w:t>Akkumulation C</w:t>
            </w:r>
            <w:r w:rsidRPr="006A64EE">
              <w:rPr>
                <w:vertAlign w:val="subscript"/>
              </w:rPr>
              <w:t>min</w:t>
            </w:r>
          </w:p>
        </w:tc>
        <w:tc>
          <w:tcPr>
            <w:tcW w:w="2085" w:type="dxa"/>
          </w:tcPr>
          <w:p w14:paraId="4C4B3156" w14:textId="77777777" w:rsidR="002D5756" w:rsidRPr="006A64EE" w:rsidRDefault="009C2544" w:rsidP="004255F8">
            <w:pPr>
              <w:pStyle w:val="TableParagraph"/>
              <w:widowControl/>
              <w:suppressAutoHyphens/>
              <w:jc w:val="center"/>
            </w:pPr>
            <w:r w:rsidRPr="006A64EE">
              <w:t>5,61</w:t>
            </w:r>
          </w:p>
        </w:tc>
        <w:tc>
          <w:tcPr>
            <w:tcW w:w="1999" w:type="dxa"/>
          </w:tcPr>
          <w:p w14:paraId="7BB09265" w14:textId="77777777" w:rsidR="002D5756" w:rsidRPr="006A64EE" w:rsidRDefault="009C2544" w:rsidP="004255F8">
            <w:pPr>
              <w:pStyle w:val="TableParagraph"/>
              <w:widowControl/>
              <w:suppressAutoHyphens/>
              <w:jc w:val="center"/>
            </w:pPr>
            <w:r w:rsidRPr="006A64EE">
              <w:t>9,59</w:t>
            </w:r>
          </w:p>
        </w:tc>
      </w:tr>
      <w:tr w:rsidR="00593482" w:rsidRPr="006A64EE" w14:paraId="1C1C8944" w14:textId="77777777" w:rsidTr="002856D0">
        <w:trPr>
          <w:cantSplit/>
        </w:trPr>
        <w:tc>
          <w:tcPr>
            <w:tcW w:w="4735" w:type="dxa"/>
          </w:tcPr>
          <w:p w14:paraId="0895624E" w14:textId="77777777" w:rsidR="002D5756" w:rsidRPr="006A64EE" w:rsidRDefault="009C2544" w:rsidP="004255F8">
            <w:pPr>
              <w:pStyle w:val="TableParagraph"/>
              <w:widowControl/>
              <w:suppressAutoHyphens/>
            </w:pPr>
            <w:r w:rsidRPr="006A64EE">
              <w:t>Akkumulation C</w:t>
            </w:r>
            <w:r w:rsidRPr="006A64EE">
              <w:rPr>
                <w:vertAlign w:val="subscript"/>
              </w:rPr>
              <w:t>mittel</w:t>
            </w:r>
            <w:r w:rsidRPr="006A64EE">
              <w:t xml:space="preserve"> oder AUC</w:t>
            </w:r>
            <w:r w:rsidRPr="006A64EE">
              <w:rPr>
                <w:vertAlign w:val="subscript"/>
              </w:rPr>
              <w:t>τ</w:t>
            </w:r>
            <w:r w:rsidRPr="006A64EE">
              <w:t>*</w:t>
            </w:r>
          </w:p>
        </w:tc>
        <w:tc>
          <w:tcPr>
            <w:tcW w:w="2085" w:type="dxa"/>
          </w:tcPr>
          <w:p w14:paraId="65E8FC63" w14:textId="77777777" w:rsidR="002D5756" w:rsidRPr="006A64EE" w:rsidRDefault="009C2544" w:rsidP="004255F8">
            <w:pPr>
              <w:pStyle w:val="TableParagraph"/>
              <w:widowControl/>
              <w:suppressAutoHyphens/>
              <w:jc w:val="center"/>
            </w:pPr>
            <w:r w:rsidRPr="006A64EE">
              <w:t>2,81</w:t>
            </w:r>
          </w:p>
        </w:tc>
        <w:tc>
          <w:tcPr>
            <w:tcW w:w="1999" w:type="dxa"/>
          </w:tcPr>
          <w:p w14:paraId="362748B1" w14:textId="77777777" w:rsidR="002D5756" w:rsidRPr="006A64EE" w:rsidRDefault="009C2544" w:rsidP="004255F8">
            <w:pPr>
              <w:pStyle w:val="TableParagraph"/>
              <w:widowControl/>
              <w:suppressAutoHyphens/>
              <w:jc w:val="center"/>
            </w:pPr>
            <w:r w:rsidRPr="006A64EE">
              <w:t>10,91</w:t>
            </w:r>
          </w:p>
        </w:tc>
      </w:tr>
    </w:tbl>
    <w:p w14:paraId="7D401F00" w14:textId="77777777" w:rsidR="00093A5E" w:rsidRPr="006A64EE" w:rsidRDefault="009C2544" w:rsidP="004255F8">
      <w:pPr>
        <w:widowControl/>
        <w:rPr>
          <w:sz w:val="18"/>
          <w:szCs w:val="18"/>
        </w:rPr>
      </w:pPr>
      <w:r w:rsidRPr="006A64EE">
        <w:rPr>
          <w:sz w:val="18"/>
          <w:szCs w:val="18"/>
        </w:rPr>
        <w:t>*τ = 2 Wochen oder 1 Woche für die beiden subkutanen Schemata</w:t>
      </w:r>
    </w:p>
    <w:p w14:paraId="1FF24707" w14:textId="77777777" w:rsidR="00093A5E" w:rsidRPr="006A64EE" w:rsidRDefault="00093A5E" w:rsidP="004255F8">
      <w:pPr>
        <w:pStyle w:val="a3"/>
        <w:widowControl/>
      </w:pPr>
    </w:p>
    <w:p w14:paraId="66818CDD" w14:textId="21921670" w:rsidR="00093A5E" w:rsidRPr="006A64EE" w:rsidRDefault="009C2544" w:rsidP="004255F8">
      <w:pPr>
        <w:pStyle w:val="a3"/>
        <w:widowControl/>
      </w:pPr>
      <w:r w:rsidRPr="006A64EE">
        <w:t xml:space="preserve">Das Steady-State-Profil nach der wöchentlichen </w:t>
      </w:r>
      <w:r w:rsidR="00580109">
        <w:t>Tocilizumab</w:t>
      </w:r>
      <w:r w:rsidRPr="006A64EE">
        <w:t xml:space="preserve">-Dosierung war fast flach mit nur sehr geringen Fluktuationen zwischen Minimal- und Maximalwerten, während die </w:t>
      </w:r>
      <w:r w:rsidR="00580109">
        <w:t>Tocilizumab-</w:t>
      </w:r>
      <w:r w:rsidRPr="006A64EE">
        <w:t>Dosierung alle 2 Wochen erheblich mehr Fluktuationen aufwies. Etwa 90 % des Steady State (AUCτ) waren in der Gruppe mit Dosierung alle 2 Wochen in Woche 14 erreicht, während dies in der Gruppe mit wöchentlicher Dosierung bis Woche 17 dauerte.</w:t>
      </w:r>
    </w:p>
    <w:p w14:paraId="1305F9BE" w14:textId="77777777" w:rsidR="00093A5E" w:rsidRPr="006A64EE" w:rsidRDefault="00093A5E" w:rsidP="004255F8">
      <w:pPr>
        <w:pStyle w:val="a3"/>
        <w:widowControl/>
      </w:pPr>
    </w:p>
    <w:p w14:paraId="34F75F1D" w14:textId="7C737943" w:rsidR="00093A5E" w:rsidRPr="006A64EE" w:rsidRDefault="009C2544" w:rsidP="004255F8">
      <w:pPr>
        <w:pStyle w:val="a3"/>
        <w:widowControl/>
      </w:pPr>
      <w:r w:rsidRPr="006A64EE">
        <w:t xml:space="preserve">Basierend auf den bisherigen pharmakokinetischen Eigenschaften sind die </w:t>
      </w:r>
      <w:r w:rsidR="00580109">
        <w:t>Tocilizumab-</w:t>
      </w:r>
      <w:r w:rsidRPr="006A64EE">
        <w:t>Minimalkonzentrationen im Steady State in dieser Population um 50 % höher im Verhältnis zu den durchschnittlichen Konzentrationen in einem großen Datenset aus der RA-Population. Die Ursache für diesen Unterschied ist nicht bekannt. Die Unterschiede in der Pharmakokinetik werden nicht von merklichen Unterschieden in den Pharmakodynamik-Parametern begleitet, sodass die klinische Relevanz unbekannt ist.</w:t>
      </w:r>
    </w:p>
    <w:p w14:paraId="1108A604" w14:textId="77777777" w:rsidR="00093A5E" w:rsidRPr="006A64EE" w:rsidRDefault="00093A5E" w:rsidP="004255F8">
      <w:pPr>
        <w:pStyle w:val="a3"/>
        <w:widowControl/>
      </w:pPr>
    </w:p>
    <w:p w14:paraId="07D009AB" w14:textId="77777777" w:rsidR="00093A5E" w:rsidRPr="006A64EE" w:rsidRDefault="009C2544" w:rsidP="004255F8">
      <w:pPr>
        <w:pStyle w:val="a3"/>
        <w:widowControl/>
      </w:pPr>
      <w:r w:rsidRPr="006A64EE">
        <w:t>Bei RZA-Patienten wurde bei Patienten mit geringerem Körpergewicht eine höhere Exposition beobachtet. Für die Dosierung mit 162 mg wöchentlich war die Steady-State-C</w:t>
      </w:r>
      <w:r w:rsidRPr="00B436C7">
        <w:rPr>
          <w:vertAlign w:val="subscript"/>
        </w:rPr>
        <w:t>avg</w:t>
      </w:r>
      <w:r w:rsidRPr="006A64EE">
        <w:t xml:space="preserve"> 51 % höher bei </w:t>
      </w:r>
      <w:r w:rsidRPr="006A64EE">
        <w:lastRenderedPageBreak/>
        <w:t>Patienten mit einem Körpergewicht von weniger als 60 kg im Vergleich zu Patienten mit einem Gewicht zwischen 60 kg und 100 kg. Für die Dosierung mit 162 mg jede zweite Woche war die stationäre C</w:t>
      </w:r>
      <w:r w:rsidRPr="00B436C7">
        <w:rPr>
          <w:vertAlign w:val="subscript"/>
        </w:rPr>
        <w:t>avg</w:t>
      </w:r>
      <w:r w:rsidRPr="006A64EE">
        <w:t xml:space="preserve"> 129 % höher bei Patienten mit einem Körpergewicht von weniger als 60 kg im Vergleich zu Patienten mit einem Gewicht zwischen 60 kg und 100 kg. Es gibt begrenzte Daten für</w:t>
      </w:r>
      <w:r w:rsidR="002164F0" w:rsidRPr="006A64EE">
        <w:t xml:space="preserve"> </w:t>
      </w:r>
      <w:r w:rsidR="007D680A" w:rsidRPr="006A64EE">
        <w:t>Patienten über 100 kg (n = 7).</w:t>
      </w:r>
    </w:p>
    <w:p w14:paraId="530F8CE8" w14:textId="77777777" w:rsidR="00093A5E" w:rsidRPr="006A64EE" w:rsidRDefault="00093A5E" w:rsidP="004255F8">
      <w:pPr>
        <w:pStyle w:val="a3"/>
        <w:widowControl/>
      </w:pPr>
    </w:p>
    <w:p w14:paraId="34FACB0F" w14:textId="77777777" w:rsidR="00093A5E" w:rsidRPr="006A64EE" w:rsidRDefault="009C2544" w:rsidP="00891FD9">
      <w:pPr>
        <w:pStyle w:val="a3"/>
        <w:keepNext/>
        <w:widowControl/>
      </w:pPr>
      <w:r w:rsidRPr="006A64EE">
        <w:rPr>
          <w:u w:val="single"/>
        </w:rPr>
        <w:t>Resorption</w:t>
      </w:r>
    </w:p>
    <w:p w14:paraId="6412350B" w14:textId="11324B24" w:rsidR="00093A5E" w:rsidRPr="006A64EE" w:rsidRDefault="009C2544" w:rsidP="004255F8">
      <w:pPr>
        <w:pStyle w:val="a3"/>
        <w:widowControl/>
      </w:pPr>
      <w:r w:rsidRPr="006A64EE">
        <w:t>Nach subkutaner Anwendung bei Patienten mit RZA betrug die Resorptionshalbwertszeit etwa 4 Tage. Die Bioverfügbarkeit für die subkutane Darreichungsform lag bei 0,8. Der Median für T</w:t>
      </w:r>
      <w:r w:rsidRPr="00B436C7">
        <w:rPr>
          <w:vertAlign w:val="subscript"/>
        </w:rPr>
        <w:t>max</w:t>
      </w:r>
      <w:r w:rsidRPr="006A64EE">
        <w:t xml:space="preserve"> betrug</w:t>
      </w:r>
      <w:r w:rsidR="002164F0" w:rsidRPr="006A64EE">
        <w:t xml:space="preserve"> </w:t>
      </w:r>
      <w:r w:rsidRPr="006A64EE">
        <w:t>3</w:t>
      </w:r>
      <w:r w:rsidR="00846418">
        <w:t> </w:t>
      </w:r>
      <w:r w:rsidRPr="006A64EE">
        <w:t xml:space="preserve">Tage nach der wöchentlichen Gabe von </w:t>
      </w:r>
      <w:r w:rsidR="00580109">
        <w:t>Tocilizumab</w:t>
      </w:r>
      <w:r w:rsidRPr="006A64EE">
        <w:t xml:space="preserve"> und 4,5 Tage nach der Gabe von </w:t>
      </w:r>
      <w:r w:rsidR="00580109">
        <w:t>Tocilizumab</w:t>
      </w:r>
      <w:r w:rsidRPr="006A64EE">
        <w:t xml:space="preserve"> alle 2 Wochen.</w:t>
      </w:r>
    </w:p>
    <w:p w14:paraId="2989D13F" w14:textId="77777777" w:rsidR="00093A5E" w:rsidRPr="006A64EE" w:rsidRDefault="00093A5E" w:rsidP="004255F8">
      <w:pPr>
        <w:pStyle w:val="a3"/>
        <w:widowControl/>
      </w:pPr>
    </w:p>
    <w:p w14:paraId="0A4188F5" w14:textId="77777777" w:rsidR="00093A5E" w:rsidRPr="006A64EE" w:rsidRDefault="009C2544" w:rsidP="004255F8">
      <w:pPr>
        <w:pStyle w:val="a3"/>
        <w:widowControl/>
      </w:pPr>
      <w:r w:rsidRPr="006A64EE">
        <w:rPr>
          <w:u w:val="single"/>
        </w:rPr>
        <w:t>Verteilung</w:t>
      </w:r>
    </w:p>
    <w:p w14:paraId="37B91538" w14:textId="77777777" w:rsidR="00093A5E" w:rsidRPr="006A64EE" w:rsidRDefault="009C2544" w:rsidP="004255F8">
      <w:pPr>
        <w:pStyle w:val="a3"/>
        <w:widowControl/>
      </w:pPr>
      <w:r w:rsidRPr="006A64EE">
        <w:t>Bei Patienten mit RZA lag das zentrale Verteilungsvolumen bei 4,09 l und das periphere Verteilungsvolumen bei 3,37 l, woraus ein Verteilungsvolumen von 7,46 l im Steady State resultiert.</w:t>
      </w:r>
    </w:p>
    <w:p w14:paraId="526FDFA2" w14:textId="77777777" w:rsidR="00093A5E" w:rsidRPr="006A64EE" w:rsidRDefault="00093A5E" w:rsidP="004255F8">
      <w:pPr>
        <w:pStyle w:val="a3"/>
        <w:widowControl/>
      </w:pPr>
    </w:p>
    <w:p w14:paraId="2C27F71F" w14:textId="77777777" w:rsidR="00093A5E" w:rsidRPr="006A64EE" w:rsidRDefault="009C2544" w:rsidP="00B320E1">
      <w:pPr>
        <w:pStyle w:val="a3"/>
        <w:keepNext/>
        <w:widowControl/>
      </w:pPr>
      <w:r w:rsidRPr="006A64EE">
        <w:rPr>
          <w:u w:val="single"/>
        </w:rPr>
        <w:t>Elimination</w:t>
      </w:r>
    </w:p>
    <w:p w14:paraId="7D9A7948" w14:textId="7CEF6BCD" w:rsidR="00093A5E" w:rsidRPr="006A64EE" w:rsidRDefault="009C2544" w:rsidP="004255F8">
      <w:pPr>
        <w:pStyle w:val="a3"/>
        <w:widowControl/>
      </w:pPr>
      <w:r w:rsidRPr="006A64EE">
        <w:t xml:space="preserve">Die Gesamt-Clearance von </w:t>
      </w:r>
      <w:r w:rsidR="00580109">
        <w:t>Tocilizumab</w:t>
      </w:r>
      <w:r w:rsidRPr="006A64EE">
        <w:t xml:space="preserve"> war konzentrationsabhängig und entspricht der Summe der linearen und der nicht linearen Clearance. Die lineare Clearance wurde als Parameter in der Analyse zur Populationspharmakokinetik geschätzt und lag bei RZA-Patienten bei 6,7 ml/h.</w:t>
      </w:r>
    </w:p>
    <w:p w14:paraId="2A2BA8F5" w14:textId="77777777" w:rsidR="00093A5E" w:rsidRPr="006A64EE" w:rsidRDefault="00093A5E" w:rsidP="004255F8">
      <w:pPr>
        <w:pStyle w:val="a3"/>
        <w:widowControl/>
      </w:pPr>
    </w:p>
    <w:p w14:paraId="03DB0ACE" w14:textId="249ACD75" w:rsidR="00093A5E" w:rsidRPr="006A64EE" w:rsidRDefault="009C2544" w:rsidP="004255F8">
      <w:pPr>
        <w:pStyle w:val="a3"/>
        <w:widowControl/>
      </w:pPr>
      <w:r w:rsidRPr="006A64EE">
        <w:t xml:space="preserve">Bei RZA-Patienten schwankte die effektive t½ von </w:t>
      </w:r>
      <w:r w:rsidR="00580109">
        <w:t>Tocilizumab</w:t>
      </w:r>
      <w:r w:rsidRPr="006A64EE">
        <w:t xml:space="preserve"> im Steady State zwischen 18,3 und 18,9 Tagen bei einer Dosierung von 162 mg wöchentlich sowie zwischen 4,2 und 7,9 Tagen bei einer Dosierung von 162 mg alle 2 Wochen. Bei hohen Serumkonzentrationen wird die Gesamt-Clearance von </w:t>
      </w:r>
      <w:r w:rsidR="00580109">
        <w:t>Tocilizumab</w:t>
      </w:r>
      <w:r w:rsidRPr="006A64EE">
        <w:t xml:space="preserve"> von der linearen Clearance dominiert, und aus den Schätzungen der Populationsparameter wurde eine effektive t½ von etwa 32 Tagen abgeleitet.</w:t>
      </w:r>
    </w:p>
    <w:p w14:paraId="053A2BC6" w14:textId="77777777" w:rsidR="00093A5E" w:rsidRPr="006A64EE" w:rsidRDefault="00093A5E" w:rsidP="004255F8">
      <w:pPr>
        <w:pStyle w:val="a3"/>
        <w:widowControl/>
      </w:pPr>
    </w:p>
    <w:p w14:paraId="657B8826" w14:textId="77777777" w:rsidR="00093A5E" w:rsidRPr="006A64EE" w:rsidRDefault="009C2544" w:rsidP="004255F8">
      <w:pPr>
        <w:pStyle w:val="a3"/>
        <w:widowControl/>
      </w:pPr>
      <w:r w:rsidRPr="006A64EE">
        <w:rPr>
          <w:u w:val="single"/>
        </w:rPr>
        <w:t>Spezielle Populationen</w:t>
      </w:r>
    </w:p>
    <w:p w14:paraId="0E454BF3" w14:textId="705A3EBC" w:rsidR="00093A5E" w:rsidRPr="006A64EE" w:rsidRDefault="009C2544" w:rsidP="004255F8">
      <w:pPr>
        <w:pStyle w:val="a3"/>
        <w:widowControl/>
      </w:pPr>
      <w:r w:rsidRPr="006A64EE">
        <w:rPr>
          <w:i/>
        </w:rPr>
        <w:t xml:space="preserve">Nierenfunktionsstörungen: </w:t>
      </w:r>
      <w:r w:rsidRPr="006A64EE">
        <w:t xml:space="preserve">Es wurden keine Studien zur Auswirkung einer Nierenfunktionsstörung auf die Pharmakokinetik von </w:t>
      </w:r>
      <w:r w:rsidR="00580109">
        <w:t>Tocilizumab</w:t>
      </w:r>
      <w:r w:rsidRPr="006A64EE">
        <w:t xml:space="preserve"> durchgeführt. In der Analyse zur Populationspharmakokinetik hatten die meisten Patienten in den RA- und RZA-Studien eine normale Nierenfunktion oder eine leichte Nierenfunktionsstörung. Eine leichte Nierenfunktionsstörung (geschätzte Kreatinin-Clearance basierend auf der Cockcroft-Gault-Formel) hatte keine Auswirkungen auf die Pharmakokinetik von </w:t>
      </w:r>
      <w:r w:rsidR="00580109">
        <w:t>Tocilizumab</w:t>
      </w:r>
      <w:r w:rsidRPr="006A64EE">
        <w:t>.</w:t>
      </w:r>
    </w:p>
    <w:p w14:paraId="137F57BC" w14:textId="77777777" w:rsidR="00093A5E" w:rsidRPr="006A64EE" w:rsidRDefault="00093A5E" w:rsidP="004255F8">
      <w:pPr>
        <w:pStyle w:val="a3"/>
        <w:widowControl/>
      </w:pPr>
    </w:p>
    <w:p w14:paraId="48E026BC" w14:textId="5125A6E2" w:rsidR="00093A5E" w:rsidRPr="006A64EE" w:rsidRDefault="009C2544" w:rsidP="004255F8">
      <w:pPr>
        <w:pStyle w:val="a3"/>
        <w:widowControl/>
      </w:pPr>
      <w:r w:rsidRPr="006A64EE">
        <w:t xml:space="preserve">Etwa ein Drittel der Patienten in der RZA-Studie hatte zu Studienbeginn eine mäßige Nierenfunktionsstörung (geschätzte Kreatinin-Clearance von 30 ml/min bis 59 ml/min). Bei diesen Patienten wurde kein Einfluss auf die </w:t>
      </w:r>
      <w:r w:rsidR="00580109">
        <w:t>Tocilizumab-</w:t>
      </w:r>
      <w:r w:rsidRPr="006A64EE">
        <w:t>Exposition festgestellt.</w:t>
      </w:r>
    </w:p>
    <w:p w14:paraId="5A3AD5C8" w14:textId="77777777" w:rsidR="00093A5E" w:rsidRPr="006A64EE" w:rsidRDefault="00093A5E" w:rsidP="004255F8">
      <w:pPr>
        <w:pStyle w:val="a3"/>
        <w:widowControl/>
      </w:pPr>
    </w:p>
    <w:p w14:paraId="0BCD0CF4" w14:textId="77777777" w:rsidR="00093A5E" w:rsidRPr="006A64EE" w:rsidRDefault="009C2544" w:rsidP="004255F8">
      <w:pPr>
        <w:pStyle w:val="a3"/>
        <w:widowControl/>
      </w:pPr>
      <w:r w:rsidRPr="006A64EE">
        <w:t>Bei Patienten mit leichter bis mäßiger Nierenfunktionsstörung ist keine Dosisanpassung erforderlich.</w:t>
      </w:r>
    </w:p>
    <w:p w14:paraId="54769CBE" w14:textId="77777777" w:rsidR="00093A5E" w:rsidRPr="006A64EE" w:rsidRDefault="00093A5E" w:rsidP="004255F8">
      <w:pPr>
        <w:pStyle w:val="a3"/>
        <w:widowControl/>
      </w:pPr>
    </w:p>
    <w:p w14:paraId="652FCD59" w14:textId="2C801E38" w:rsidR="00093A5E" w:rsidRPr="006A64EE" w:rsidRDefault="009C2544" w:rsidP="004255F8">
      <w:pPr>
        <w:pStyle w:val="a3"/>
        <w:widowControl/>
      </w:pPr>
      <w:r w:rsidRPr="006A64EE">
        <w:rPr>
          <w:i/>
        </w:rPr>
        <w:t xml:space="preserve">Leberfunktionsstörungen: </w:t>
      </w:r>
      <w:r w:rsidRPr="006A64EE">
        <w:t xml:space="preserve">Es wurden keine Studien zur Auswirkung einer Leberfunktionsstörung auf die Pharmakokinetik von </w:t>
      </w:r>
      <w:r w:rsidR="00580109">
        <w:t>Tocilizumab</w:t>
      </w:r>
      <w:r w:rsidRPr="006A64EE">
        <w:t xml:space="preserve"> durchgeführt.</w:t>
      </w:r>
    </w:p>
    <w:p w14:paraId="75E5B30F" w14:textId="77777777" w:rsidR="00093A5E" w:rsidRPr="006A64EE" w:rsidRDefault="00093A5E" w:rsidP="004255F8">
      <w:pPr>
        <w:pStyle w:val="a3"/>
        <w:widowControl/>
      </w:pPr>
    </w:p>
    <w:p w14:paraId="652E7623" w14:textId="4A141652" w:rsidR="00093A5E" w:rsidRPr="006A64EE" w:rsidRDefault="009C2544" w:rsidP="004255F8">
      <w:pPr>
        <w:pStyle w:val="a3"/>
        <w:widowControl/>
      </w:pPr>
      <w:r w:rsidRPr="006A64EE">
        <w:rPr>
          <w:i/>
        </w:rPr>
        <w:t xml:space="preserve">Alter, Geschlecht und ethnische Abstammung: </w:t>
      </w:r>
      <w:r w:rsidRPr="006A64EE">
        <w:t xml:space="preserve">Analysen zur Populationspharmakokinetik bei Patienten mit RA und RZA zeigten, dass Alter, Geschlecht und ethnische Abstammung die Pharmakokinetik von </w:t>
      </w:r>
      <w:r w:rsidR="00580109">
        <w:t>Tocilizumab</w:t>
      </w:r>
      <w:r w:rsidRPr="006A64EE">
        <w:t xml:space="preserve"> nicht beeinflussen.</w:t>
      </w:r>
    </w:p>
    <w:p w14:paraId="427703F7" w14:textId="77777777" w:rsidR="00093A5E" w:rsidRPr="006A64EE" w:rsidRDefault="00093A5E" w:rsidP="004255F8">
      <w:pPr>
        <w:pStyle w:val="a3"/>
        <w:widowControl/>
      </w:pPr>
    </w:p>
    <w:p w14:paraId="2E7102CC" w14:textId="7FA928AB" w:rsidR="00093A5E" w:rsidRPr="006A64EE" w:rsidRDefault="009C2544" w:rsidP="004255F8">
      <w:pPr>
        <w:pStyle w:val="a3"/>
        <w:widowControl/>
      </w:pPr>
      <w:r w:rsidRPr="006A64EE">
        <w:t xml:space="preserve">Ergebnisse der populationspharmakokinetischen Analyse bei Patienten mit sJIA und pJIA bestätigten, dass die Körpergröße die einzige Kovariate ist, die eine nennenswerte Wirkung auf die Pharmakokinetik von </w:t>
      </w:r>
      <w:r w:rsidR="00580109">
        <w:t>Tocilizumab</w:t>
      </w:r>
      <w:r w:rsidRPr="006A64EE">
        <w:t xml:space="preserve"> hat, einschließlich der Elimination und Resorption, sodass eine körpergewichtsabhängige Dosierung in Betracht gezogen werden sollte (siehe Tabellen 8 und 9).</w:t>
      </w:r>
    </w:p>
    <w:p w14:paraId="408510AB" w14:textId="77777777" w:rsidR="00093A5E" w:rsidRPr="006A64EE" w:rsidRDefault="00093A5E" w:rsidP="004255F8">
      <w:pPr>
        <w:pStyle w:val="a3"/>
        <w:widowControl/>
      </w:pPr>
    </w:p>
    <w:p w14:paraId="049346B9" w14:textId="77777777" w:rsidR="00093A5E" w:rsidRPr="006A64EE" w:rsidRDefault="0059713A" w:rsidP="001101F8">
      <w:pPr>
        <w:pStyle w:val="2"/>
        <w:ind w:left="0" w:firstLine="0"/>
      </w:pPr>
      <w:r w:rsidRPr="006A64EE">
        <w:t>5.3</w:t>
      </w:r>
      <w:r w:rsidRPr="006A64EE">
        <w:tab/>
        <w:t>Präklinische Daten zur Sicherheit</w:t>
      </w:r>
    </w:p>
    <w:p w14:paraId="210CD7C3" w14:textId="77777777" w:rsidR="00093A5E" w:rsidRPr="006A64EE" w:rsidRDefault="00093A5E" w:rsidP="00121CB7"/>
    <w:p w14:paraId="0D36518B" w14:textId="77777777" w:rsidR="00093A5E" w:rsidRPr="006A64EE" w:rsidRDefault="009C2544" w:rsidP="004255F8">
      <w:pPr>
        <w:pStyle w:val="a3"/>
        <w:widowControl/>
      </w:pPr>
      <w:r w:rsidRPr="006A64EE">
        <w:lastRenderedPageBreak/>
        <w:t>Basierend auf den konventionellen Studien zur Sicherheitspharmakologie, Toxizität bei wiederholter Gabe, Genotoxizität und Reproduktions- und Entwicklungstoxizität lassen die präklinischen Daten keine besonderen Gefahren für den Menschen erkennen.</w:t>
      </w:r>
    </w:p>
    <w:p w14:paraId="77E3011B" w14:textId="77777777" w:rsidR="00093A5E" w:rsidRPr="006A64EE" w:rsidRDefault="00093A5E" w:rsidP="004255F8">
      <w:pPr>
        <w:pStyle w:val="a3"/>
        <w:widowControl/>
      </w:pPr>
    </w:p>
    <w:p w14:paraId="7138BBAA" w14:textId="51796125" w:rsidR="00093A5E" w:rsidRPr="006A64EE" w:rsidRDefault="009C2544" w:rsidP="004255F8">
      <w:pPr>
        <w:pStyle w:val="a3"/>
        <w:widowControl/>
      </w:pPr>
      <w:r w:rsidRPr="006A64EE">
        <w:t>Karzinogenitätsstudien wurden mit Tocilizumab nicht durchgeführt, da mit monoklonalen IgG1-Antikörpern kein intrinsisches karzinogenes Potenzial in Verbindung gebracht wird.</w:t>
      </w:r>
    </w:p>
    <w:p w14:paraId="28844D50" w14:textId="77777777" w:rsidR="00093A5E" w:rsidRPr="006A64EE" w:rsidRDefault="00093A5E" w:rsidP="004255F8">
      <w:pPr>
        <w:widowControl/>
      </w:pPr>
    </w:p>
    <w:p w14:paraId="1159B21D" w14:textId="178A2302" w:rsidR="00093A5E" w:rsidRPr="006A64EE" w:rsidRDefault="007D680A" w:rsidP="004255F8">
      <w:pPr>
        <w:widowControl/>
      </w:pPr>
      <w:r w:rsidRPr="006A64EE">
        <w:t xml:space="preserve">Die verfügbaren präklinischen Daten zeigen die Wirkung von IL-6 auf die maligne Progression und die Apoptoseresistenz gegen verschiedene Krebsarten. Diese Daten deuten nicht auf ein relevantes Risiko für die Krebsentstehung und Progression unter einer Therapie mit </w:t>
      </w:r>
      <w:r w:rsidR="00580109">
        <w:t>Tocilizumab</w:t>
      </w:r>
      <w:r w:rsidRPr="006A64EE">
        <w:t xml:space="preserve"> hin. Außerdem wurden in einer Studie zur Langzeittoxizität über 6 Monate bei Cynomolgus-Affen oder bei Mäusen mit IL-6-Mangel keine proliferativen Läsionen beobachtet.</w:t>
      </w:r>
    </w:p>
    <w:p w14:paraId="3912B184" w14:textId="77777777" w:rsidR="00093A5E" w:rsidRPr="006A64EE" w:rsidRDefault="00093A5E" w:rsidP="004255F8">
      <w:pPr>
        <w:widowControl/>
      </w:pPr>
    </w:p>
    <w:p w14:paraId="78A1DAC9" w14:textId="70791ECD" w:rsidR="00093A5E" w:rsidRPr="006A64EE" w:rsidRDefault="009C2544" w:rsidP="004255F8">
      <w:pPr>
        <w:pStyle w:val="a3"/>
        <w:widowControl/>
      </w:pPr>
      <w:r w:rsidRPr="006A64EE">
        <w:t xml:space="preserve">Verfügbare präklinische Daten weisen nicht auf eine Auswirkung einer Behandlung mit </w:t>
      </w:r>
      <w:r w:rsidR="00580109">
        <w:t>Tocilizumab</w:t>
      </w:r>
      <w:r w:rsidRPr="006A64EE">
        <w:t xml:space="preserve"> auf die Fruchtbarkeit hin. In einer Langzeit-Toxizitätsstudie bei Cynomolgus-Affen wurde keine Auswirkung auf die endokrine Aktivität und die Organe des Reproduktionssystems beobachtet, und die Reproduktionsaktivität IL-6-defizienter Mäuse war nicht beeinträchtigt. Wenn Cynomolgus-Affen </w:t>
      </w:r>
      <w:r w:rsidR="00580109">
        <w:t>Tocilizumab</w:t>
      </w:r>
      <w:r w:rsidRPr="006A64EE">
        <w:t xml:space="preserve"> während der frühen Trächtigkeit verabreicht wurde, wurde keine direkte oder indirekte schädigende Auswirkung auf die Trächtigkeit oder die embryonale/fetale Entwicklung beobachtet.</w:t>
      </w:r>
    </w:p>
    <w:p w14:paraId="3C03A202" w14:textId="3890A3B4" w:rsidR="00093A5E" w:rsidRPr="006A64EE" w:rsidRDefault="009C2544" w:rsidP="004255F8">
      <w:pPr>
        <w:pStyle w:val="a3"/>
        <w:widowControl/>
      </w:pPr>
      <w:r w:rsidRPr="006A64EE">
        <w:t>Unter hoher systemischer Exposition (&gt; 100 x Dosierung beim Menschen) wurde in der</w:t>
      </w:r>
      <w:r w:rsidR="00CD4851" w:rsidRPr="006A64EE">
        <w:t xml:space="preserve"> </w:t>
      </w:r>
      <w:r w:rsidRPr="006A64EE">
        <w:t xml:space="preserve">50-mg/kg/Tag-Hochdosisgruppe, verglichen mit Placebo oder anderen Niedrigdosisgruppen, jedoch eine leichte Erhöhung der Fehlgeburten/embryofetalen Todesfälle beobachtet. Auch wenn IL-6 kein entscheidendes Zytokin für das fetale Wachstum oder die immunologische Kontrolle der maternal-fetalen Schnittstelle zu sein scheint, kann ein Zusammenhang dieser Ergebnisse mit </w:t>
      </w:r>
      <w:r w:rsidR="00580109">
        <w:t>Tocilizumab</w:t>
      </w:r>
      <w:r w:rsidRPr="006A64EE">
        <w:t xml:space="preserve"> nicht ausgeschlossen werden.</w:t>
      </w:r>
    </w:p>
    <w:p w14:paraId="726AFB78" w14:textId="77777777" w:rsidR="00093A5E" w:rsidRPr="006A64EE" w:rsidRDefault="00093A5E" w:rsidP="004255F8">
      <w:pPr>
        <w:pStyle w:val="a3"/>
        <w:widowControl/>
      </w:pPr>
    </w:p>
    <w:p w14:paraId="21BDEB4F" w14:textId="77777777" w:rsidR="00093A5E" w:rsidRPr="006A64EE" w:rsidRDefault="009C2544" w:rsidP="004255F8">
      <w:pPr>
        <w:pStyle w:val="a3"/>
        <w:widowControl/>
      </w:pPr>
      <w:r w:rsidRPr="006A64EE">
        <w:t>Die Behandlung mit einem murinen Analogon löste bei juvenilen Mäusen keine Toxizität aus. Insbesondere ergab sich keine Beeinträchtigung des Knochenwachstums, der Immunfunktion und der Geschlechtsreife.</w:t>
      </w:r>
    </w:p>
    <w:p w14:paraId="0DF8F864" w14:textId="77777777" w:rsidR="00093A5E" w:rsidRPr="006A64EE" w:rsidRDefault="00093A5E" w:rsidP="004255F8">
      <w:pPr>
        <w:pStyle w:val="a3"/>
        <w:widowControl/>
      </w:pPr>
    </w:p>
    <w:p w14:paraId="5DD2D202" w14:textId="139CE457" w:rsidR="00093A5E" w:rsidRPr="006A64EE" w:rsidRDefault="009C2544" w:rsidP="004255F8">
      <w:pPr>
        <w:pStyle w:val="a3"/>
        <w:widowControl/>
      </w:pPr>
      <w:r w:rsidRPr="006A64EE">
        <w:t xml:space="preserve">Bei Cynomolgus-Affen deutet das nicht-klinische Sicherheitsprofil von </w:t>
      </w:r>
      <w:r w:rsidR="00580109">
        <w:t>Tocilizumab</w:t>
      </w:r>
      <w:r w:rsidRPr="006A64EE">
        <w:t xml:space="preserve"> nicht auf einen Unterschied zwischen der intravenösen und der subkutanen Art der Anwendung hin.</w:t>
      </w:r>
    </w:p>
    <w:p w14:paraId="7BCF8AA3" w14:textId="77777777" w:rsidR="00093A5E" w:rsidRPr="006A64EE" w:rsidRDefault="00093A5E" w:rsidP="004255F8">
      <w:pPr>
        <w:pStyle w:val="a3"/>
        <w:widowControl/>
      </w:pPr>
    </w:p>
    <w:p w14:paraId="64068F57" w14:textId="77777777" w:rsidR="00093A5E" w:rsidRPr="006A64EE" w:rsidRDefault="00093A5E" w:rsidP="004255F8">
      <w:pPr>
        <w:pStyle w:val="a3"/>
        <w:widowControl/>
      </w:pPr>
    </w:p>
    <w:p w14:paraId="60717CBC" w14:textId="77777777" w:rsidR="00093A5E" w:rsidRPr="006A64EE" w:rsidRDefault="0059713A" w:rsidP="004255F8">
      <w:pPr>
        <w:pStyle w:val="1"/>
      </w:pPr>
      <w:r w:rsidRPr="006A64EE">
        <w:t>6.</w:t>
      </w:r>
      <w:r w:rsidRPr="006A64EE">
        <w:tab/>
        <w:t>PHARMAZEUTISCHE ANGABEN</w:t>
      </w:r>
    </w:p>
    <w:p w14:paraId="7CCB2444" w14:textId="77777777" w:rsidR="00093A5E" w:rsidRPr="006A64EE" w:rsidRDefault="00093A5E" w:rsidP="004255F8">
      <w:pPr>
        <w:pStyle w:val="a3"/>
        <w:widowControl/>
        <w:rPr>
          <w:b/>
        </w:rPr>
      </w:pPr>
    </w:p>
    <w:p w14:paraId="3356BAE5" w14:textId="77777777" w:rsidR="00093A5E" w:rsidRPr="006A64EE" w:rsidRDefault="0059713A" w:rsidP="004255F8">
      <w:pPr>
        <w:pStyle w:val="2"/>
      </w:pPr>
      <w:r w:rsidRPr="006A64EE">
        <w:t>6.1</w:t>
      </w:r>
      <w:r w:rsidRPr="006A64EE">
        <w:tab/>
        <w:t>Liste der sonstigen Bestandteile</w:t>
      </w:r>
    </w:p>
    <w:p w14:paraId="214CBF5B" w14:textId="77777777" w:rsidR="00093A5E" w:rsidRPr="006A64EE" w:rsidRDefault="00093A5E" w:rsidP="004255F8">
      <w:pPr>
        <w:pStyle w:val="a3"/>
        <w:widowControl/>
      </w:pPr>
    </w:p>
    <w:p w14:paraId="2E22B2C4" w14:textId="77777777" w:rsidR="00093A5E" w:rsidRDefault="009C2544" w:rsidP="004255F8">
      <w:pPr>
        <w:pStyle w:val="a3"/>
        <w:widowControl/>
        <w:rPr>
          <w:rFonts w:eastAsia="맑은 고딕"/>
          <w:lang w:val="en-US" w:eastAsia="ko-KR"/>
        </w:rPr>
      </w:pPr>
      <w:r w:rsidRPr="003452D3">
        <w:rPr>
          <w:lang w:val="en-US"/>
        </w:rPr>
        <w:t>L-</w:t>
      </w:r>
      <w:proofErr w:type="spellStart"/>
      <w:r w:rsidRPr="003452D3">
        <w:rPr>
          <w:lang w:val="en-US"/>
        </w:rPr>
        <w:t>Histidin</w:t>
      </w:r>
      <w:proofErr w:type="spellEnd"/>
    </w:p>
    <w:p w14:paraId="38F93912" w14:textId="2AA3BF7E" w:rsidR="003670BB" w:rsidRPr="00B436C7" w:rsidRDefault="003670BB" w:rsidP="004255F8">
      <w:pPr>
        <w:pStyle w:val="a3"/>
        <w:widowControl/>
        <w:rPr>
          <w:rFonts w:eastAsia="맑은 고딕"/>
          <w:lang w:val="en-US" w:eastAsia="ko-KR"/>
        </w:rPr>
      </w:pPr>
      <w:r>
        <w:rPr>
          <w:rFonts w:eastAsia="맑은 고딕" w:hint="eastAsia"/>
          <w:lang w:eastAsia="ko-KR"/>
        </w:rPr>
        <w:t>L-</w:t>
      </w:r>
      <w:r w:rsidRPr="003670BB">
        <w:rPr>
          <w:rFonts w:eastAsia="맑은 고딕" w:hint="eastAsia"/>
          <w:lang w:eastAsia="ko-KR"/>
        </w:rPr>
        <w:t>Histidinmonohydrochlorid-Monohydrat</w:t>
      </w:r>
    </w:p>
    <w:p w14:paraId="10CAD809" w14:textId="499F1692" w:rsidR="00580109" w:rsidRPr="003452D3" w:rsidRDefault="00580109" w:rsidP="004255F8">
      <w:pPr>
        <w:pStyle w:val="a3"/>
        <w:widowControl/>
        <w:rPr>
          <w:lang w:val="en-US"/>
        </w:rPr>
      </w:pPr>
      <w:r w:rsidRPr="003452D3">
        <w:rPr>
          <w:lang w:val="en-US"/>
        </w:rPr>
        <w:t>L-</w:t>
      </w:r>
      <w:proofErr w:type="spellStart"/>
      <w:r w:rsidRPr="003452D3">
        <w:rPr>
          <w:lang w:val="en-US"/>
        </w:rPr>
        <w:t>Threonin</w:t>
      </w:r>
      <w:proofErr w:type="spellEnd"/>
    </w:p>
    <w:p w14:paraId="41D43A30" w14:textId="77777777" w:rsidR="00093A5E" w:rsidRPr="003452D3" w:rsidRDefault="009C2544" w:rsidP="004255F8">
      <w:pPr>
        <w:pStyle w:val="a3"/>
        <w:widowControl/>
        <w:rPr>
          <w:lang w:val="en-US"/>
        </w:rPr>
      </w:pPr>
      <w:r w:rsidRPr="003452D3">
        <w:rPr>
          <w:lang w:val="en-US"/>
        </w:rPr>
        <w:t>L-</w:t>
      </w:r>
      <w:proofErr w:type="spellStart"/>
      <w:r w:rsidRPr="003452D3">
        <w:rPr>
          <w:lang w:val="en-US"/>
        </w:rPr>
        <w:t>Methionin</w:t>
      </w:r>
      <w:proofErr w:type="spellEnd"/>
      <w:r w:rsidRPr="003452D3">
        <w:rPr>
          <w:lang w:val="en-US"/>
        </w:rPr>
        <w:t xml:space="preserve"> </w:t>
      </w:r>
    </w:p>
    <w:p w14:paraId="10833250" w14:textId="77777777" w:rsidR="00093A5E" w:rsidRPr="00B436C7" w:rsidRDefault="009C2544" w:rsidP="004255F8">
      <w:pPr>
        <w:pStyle w:val="a3"/>
        <w:widowControl/>
        <w:rPr>
          <w:lang w:val="en-US"/>
        </w:rPr>
      </w:pPr>
      <w:proofErr w:type="spellStart"/>
      <w:r w:rsidRPr="00B436C7">
        <w:rPr>
          <w:lang w:val="en-US"/>
        </w:rPr>
        <w:t>Polysorbat</w:t>
      </w:r>
      <w:proofErr w:type="spellEnd"/>
      <w:r w:rsidRPr="00B436C7">
        <w:rPr>
          <w:lang w:val="en-US"/>
        </w:rPr>
        <w:t xml:space="preserve"> 80</w:t>
      </w:r>
    </w:p>
    <w:p w14:paraId="3D84B90C" w14:textId="77777777" w:rsidR="00093A5E" w:rsidRPr="006A64EE" w:rsidRDefault="009C2544" w:rsidP="004255F8">
      <w:pPr>
        <w:pStyle w:val="a3"/>
        <w:widowControl/>
      </w:pPr>
      <w:r w:rsidRPr="006A64EE">
        <w:t>Wasser für Injektionszwecke</w:t>
      </w:r>
    </w:p>
    <w:p w14:paraId="27BBDB5A" w14:textId="77777777" w:rsidR="00093A5E" w:rsidRPr="006A64EE" w:rsidRDefault="00093A5E" w:rsidP="004255F8">
      <w:pPr>
        <w:pStyle w:val="a3"/>
        <w:widowControl/>
      </w:pPr>
    </w:p>
    <w:p w14:paraId="1FC222B3" w14:textId="77777777" w:rsidR="00093A5E" w:rsidRPr="006A64EE" w:rsidRDefault="0059713A" w:rsidP="004255F8">
      <w:pPr>
        <w:pStyle w:val="2"/>
      </w:pPr>
      <w:r w:rsidRPr="006A64EE">
        <w:t>6.2</w:t>
      </w:r>
      <w:r w:rsidRPr="006A64EE">
        <w:tab/>
        <w:t>Inkompatibilitäten</w:t>
      </w:r>
    </w:p>
    <w:p w14:paraId="75B9FC13" w14:textId="77777777" w:rsidR="00093A5E" w:rsidRPr="006A64EE" w:rsidRDefault="00093A5E" w:rsidP="004255F8">
      <w:pPr>
        <w:pStyle w:val="a3"/>
        <w:widowControl/>
      </w:pPr>
    </w:p>
    <w:p w14:paraId="09FC4714" w14:textId="77777777" w:rsidR="00093A5E" w:rsidRPr="006A64EE" w:rsidRDefault="009C2544" w:rsidP="004255F8">
      <w:pPr>
        <w:pStyle w:val="a3"/>
        <w:widowControl/>
      </w:pPr>
      <w:r w:rsidRPr="006A64EE">
        <w:t>Da keine Kompatibilitätsstudien durchgeführt wurden, darf dieses Arzneimittel nicht mit anderen Arzneimitteln gemischt werden.</w:t>
      </w:r>
    </w:p>
    <w:p w14:paraId="2E3F708E" w14:textId="77777777" w:rsidR="00093A5E" w:rsidRPr="006A64EE" w:rsidRDefault="00093A5E" w:rsidP="004255F8">
      <w:pPr>
        <w:pStyle w:val="a3"/>
        <w:widowControl/>
      </w:pPr>
    </w:p>
    <w:p w14:paraId="3BDCC04C" w14:textId="77777777" w:rsidR="00093A5E" w:rsidRPr="006A64EE" w:rsidRDefault="0059713A" w:rsidP="004255F8">
      <w:pPr>
        <w:pStyle w:val="2"/>
      </w:pPr>
      <w:r w:rsidRPr="006A64EE">
        <w:t>6.3</w:t>
      </w:r>
      <w:r w:rsidRPr="006A64EE">
        <w:tab/>
        <w:t>Dauer der Haltbarkeit</w:t>
      </w:r>
    </w:p>
    <w:p w14:paraId="1EC9FCA0" w14:textId="77777777" w:rsidR="00093A5E" w:rsidRPr="006A64EE" w:rsidRDefault="00093A5E" w:rsidP="004255F8">
      <w:pPr>
        <w:pStyle w:val="a3"/>
        <w:widowControl/>
      </w:pPr>
    </w:p>
    <w:p w14:paraId="3D50E65F" w14:textId="66F608E2" w:rsidR="00093A5E" w:rsidRPr="006A64EE" w:rsidRDefault="00AA60C5" w:rsidP="004255F8">
      <w:pPr>
        <w:pStyle w:val="a3"/>
        <w:widowControl/>
      </w:pPr>
      <w:r>
        <w:rPr>
          <w:rFonts w:eastAsia="맑은 고딕" w:hint="eastAsia"/>
          <w:lang w:eastAsia="ko-KR"/>
        </w:rPr>
        <w:t>42</w:t>
      </w:r>
      <w:r w:rsidRPr="006A64EE">
        <w:t xml:space="preserve"> </w:t>
      </w:r>
      <w:r w:rsidR="009C2544" w:rsidRPr="006A64EE">
        <w:t>Monate.</w:t>
      </w:r>
    </w:p>
    <w:p w14:paraId="63A2949D" w14:textId="77777777" w:rsidR="00093A5E" w:rsidRPr="006A64EE" w:rsidRDefault="00093A5E" w:rsidP="004255F8">
      <w:pPr>
        <w:pStyle w:val="a3"/>
        <w:widowControl/>
      </w:pPr>
    </w:p>
    <w:p w14:paraId="0F412C80" w14:textId="77777777" w:rsidR="00093A5E" w:rsidRPr="006A64EE" w:rsidRDefault="0059713A" w:rsidP="004255F8">
      <w:pPr>
        <w:pStyle w:val="2"/>
      </w:pPr>
      <w:r w:rsidRPr="006A64EE">
        <w:t>6.4</w:t>
      </w:r>
      <w:r w:rsidRPr="006A64EE">
        <w:tab/>
        <w:t>Besondere Vorsichtsmaßnahmen für die Aufbewahrung</w:t>
      </w:r>
    </w:p>
    <w:p w14:paraId="5254F6DA" w14:textId="77777777" w:rsidR="00093A5E" w:rsidRPr="006A64EE" w:rsidRDefault="00093A5E" w:rsidP="004255F8">
      <w:pPr>
        <w:pStyle w:val="a3"/>
        <w:widowControl/>
      </w:pPr>
    </w:p>
    <w:p w14:paraId="252FBBDD" w14:textId="27F8948D" w:rsidR="00093A5E" w:rsidRPr="006A64EE" w:rsidRDefault="009C2544" w:rsidP="004255F8">
      <w:pPr>
        <w:pStyle w:val="a3"/>
        <w:widowControl/>
      </w:pPr>
      <w:r w:rsidRPr="006A64EE">
        <w:lastRenderedPageBreak/>
        <w:t xml:space="preserve">Im Kühlschrank lagern (2 °C – 8 °C). Nicht einfrieren. Nach Entnahme aus dem Kühlschrank kann die Fertigspritze bis zu </w:t>
      </w:r>
      <w:r w:rsidR="00FE5324">
        <w:t>3 </w:t>
      </w:r>
      <w:r w:rsidRPr="006A64EE">
        <w:t>Wochen bei maximal 30 °C aufbewahrt werden.</w:t>
      </w:r>
    </w:p>
    <w:p w14:paraId="3346E4CD" w14:textId="77777777" w:rsidR="00093A5E" w:rsidRPr="006A64EE" w:rsidRDefault="00093A5E" w:rsidP="004255F8">
      <w:pPr>
        <w:pStyle w:val="a3"/>
        <w:widowControl/>
      </w:pPr>
    </w:p>
    <w:p w14:paraId="277BD264" w14:textId="77777777" w:rsidR="00093A5E" w:rsidRPr="006A64EE" w:rsidRDefault="009C2544" w:rsidP="004255F8">
      <w:pPr>
        <w:pStyle w:val="a3"/>
        <w:widowControl/>
      </w:pPr>
      <w:r w:rsidRPr="006A64EE">
        <w:t>Die Fertigspritze im Umkarton aufbewahren, um den Inhalt vor Licht und Feuchtigkeit zu schützen.</w:t>
      </w:r>
    </w:p>
    <w:p w14:paraId="544308F0" w14:textId="77777777" w:rsidR="00093A5E" w:rsidRPr="006A64EE" w:rsidRDefault="00093A5E" w:rsidP="004255F8">
      <w:pPr>
        <w:widowControl/>
      </w:pPr>
    </w:p>
    <w:p w14:paraId="5B195387" w14:textId="77777777" w:rsidR="00093A5E" w:rsidRPr="006A64EE" w:rsidRDefault="0059713A" w:rsidP="00891FD9">
      <w:pPr>
        <w:pStyle w:val="2"/>
      </w:pPr>
      <w:r w:rsidRPr="006A64EE">
        <w:t>6.5</w:t>
      </w:r>
      <w:r w:rsidRPr="006A64EE">
        <w:tab/>
      </w:r>
      <w:r w:rsidR="007D680A" w:rsidRPr="006A64EE">
        <w:t>Art und Inhalt des Behältnisses</w:t>
      </w:r>
    </w:p>
    <w:p w14:paraId="75A65594" w14:textId="77777777" w:rsidR="00093A5E" w:rsidRPr="006A64EE" w:rsidRDefault="00093A5E" w:rsidP="00B320E1">
      <w:pPr>
        <w:pStyle w:val="a3"/>
        <w:keepNext/>
        <w:widowControl/>
      </w:pPr>
    </w:p>
    <w:p w14:paraId="47854BE4" w14:textId="07BFA437" w:rsidR="00093A5E" w:rsidRPr="006A64EE" w:rsidRDefault="009C2544" w:rsidP="004255F8">
      <w:pPr>
        <w:pStyle w:val="a3"/>
        <w:widowControl/>
      </w:pPr>
      <w:r w:rsidRPr="006A64EE">
        <w:t>0,9 ml Lösung in einer Fertigspritze (Glasart I) mit fester Nadel. Die Spritze wird mit einem festen Nadelschutz (</w:t>
      </w:r>
      <w:r w:rsidR="000D4CFE" w:rsidRPr="00890245">
        <w:t xml:space="preserve">Polyisopren-Kautschuk und Polypropylen) und einem sterilen, mit FluroTec-beschichteten Kolbenstopper aus Elastomer (mit Silikon) </w:t>
      </w:r>
      <w:r w:rsidRPr="006A64EE">
        <w:t>verschlossen.</w:t>
      </w:r>
    </w:p>
    <w:p w14:paraId="0E79A4F0" w14:textId="77777777" w:rsidR="000D4CFE" w:rsidRDefault="000D4CFE" w:rsidP="000D4CFE"/>
    <w:p w14:paraId="63020CE2" w14:textId="26A827AC" w:rsidR="000D4CFE" w:rsidRPr="00890245" w:rsidRDefault="000D4CFE" w:rsidP="000D4CFE">
      <w:r w:rsidRPr="00890245">
        <w:t>Die Avtozma</w:t>
      </w:r>
      <w:r w:rsidR="00242BF4">
        <w:t>-</w:t>
      </w:r>
      <w:r w:rsidRPr="00890245">
        <w:t>Fertigspritze für die Verwendung durch den Patienten ist erhältlich in Packungen mit:</w:t>
      </w:r>
    </w:p>
    <w:p w14:paraId="60B52686" w14:textId="77777777" w:rsidR="000D4CFE" w:rsidRPr="00890245" w:rsidRDefault="000D4CFE" w:rsidP="000D4CFE">
      <w:pPr>
        <w:pStyle w:val="a4"/>
        <w:widowControl/>
        <w:numPr>
          <w:ilvl w:val="0"/>
          <w:numId w:val="4"/>
        </w:numPr>
        <w:autoSpaceDE/>
        <w:autoSpaceDN/>
        <w:ind w:left="567" w:hanging="567"/>
        <w:contextualSpacing/>
      </w:pPr>
      <w:r w:rsidRPr="00890245">
        <w:t>1 Fertigspritze</w:t>
      </w:r>
    </w:p>
    <w:p w14:paraId="1C67F344" w14:textId="3F397F2C" w:rsidR="00387ABD" w:rsidRPr="00387ABD" w:rsidRDefault="00387ABD" w:rsidP="000D4CFE">
      <w:pPr>
        <w:pStyle w:val="a4"/>
        <w:widowControl/>
        <w:numPr>
          <w:ilvl w:val="0"/>
          <w:numId w:val="4"/>
        </w:numPr>
        <w:autoSpaceDE/>
        <w:autoSpaceDN/>
        <w:ind w:left="567" w:hanging="567"/>
        <w:contextualSpacing/>
        <w:rPr>
          <w:ins w:id="10" w:author="만든 이"/>
          <w:rPrChange w:id="11" w:author="만든 이">
            <w:rPr>
              <w:ins w:id="12" w:author="만든 이"/>
              <w:rFonts w:eastAsia="맑은 고딕"/>
              <w:lang w:eastAsia="ko-KR"/>
            </w:rPr>
          </w:rPrChange>
        </w:rPr>
      </w:pPr>
      <w:ins w:id="13" w:author="만든 이">
        <w:r>
          <w:rPr>
            <w:rFonts w:eastAsia="맑은 고딕" w:hint="eastAsia"/>
            <w:lang w:eastAsia="ko-KR"/>
          </w:rPr>
          <w:t>2</w:t>
        </w:r>
        <w:r w:rsidRPr="00890245">
          <w:t xml:space="preserve"> Fertigspritzen </w:t>
        </w:r>
      </w:ins>
    </w:p>
    <w:p w14:paraId="2093CD28" w14:textId="1D3BDBB2" w:rsidR="000D4CFE" w:rsidRPr="00890245" w:rsidRDefault="000D4CFE" w:rsidP="000D4CFE">
      <w:pPr>
        <w:pStyle w:val="a4"/>
        <w:widowControl/>
        <w:numPr>
          <w:ilvl w:val="0"/>
          <w:numId w:val="4"/>
        </w:numPr>
        <w:autoSpaceDE/>
        <w:autoSpaceDN/>
        <w:ind w:left="567" w:hanging="567"/>
        <w:contextualSpacing/>
      </w:pPr>
      <w:r w:rsidRPr="00890245">
        <w:t>4 Fertigspritzen</w:t>
      </w:r>
    </w:p>
    <w:p w14:paraId="61322F47" w14:textId="77777777" w:rsidR="000D4CFE" w:rsidRPr="00890245" w:rsidRDefault="000D4CFE" w:rsidP="000D4CFE">
      <w:pPr>
        <w:pStyle w:val="a4"/>
        <w:widowControl/>
        <w:numPr>
          <w:ilvl w:val="0"/>
          <w:numId w:val="4"/>
        </w:numPr>
        <w:autoSpaceDE/>
        <w:autoSpaceDN/>
        <w:ind w:left="567" w:hanging="567"/>
        <w:contextualSpacing/>
      </w:pPr>
      <w:r w:rsidRPr="00890245">
        <w:t>12 (3 Packungen mit 4) Fertigspritzen (Bündelpackungen)</w:t>
      </w:r>
    </w:p>
    <w:p w14:paraId="5FBD4C6F" w14:textId="77777777" w:rsidR="00093A5E" w:rsidRPr="006A64EE" w:rsidRDefault="00093A5E" w:rsidP="004255F8">
      <w:pPr>
        <w:pStyle w:val="a3"/>
        <w:widowControl/>
      </w:pPr>
    </w:p>
    <w:p w14:paraId="76275257" w14:textId="01DF93AF" w:rsidR="00093A5E" w:rsidRPr="006A64EE" w:rsidRDefault="009C2544" w:rsidP="004255F8">
      <w:pPr>
        <w:pStyle w:val="a3"/>
        <w:widowControl/>
      </w:pPr>
      <w:r w:rsidRPr="00B320E1">
        <w:rPr>
          <w:b/>
          <w:bCs/>
        </w:rPr>
        <w:t>Es werden möglicherweise nicht alle Packungsgrößen in den Verkehr gebracht.</w:t>
      </w:r>
    </w:p>
    <w:p w14:paraId="5D8ECDD0" w14:textId="77777777" w:rsidR="00093A5E" w:rsidRPr="006A64EE" w:rsidRDefault="00093A5E" w:rsidP="004255F8">
      <w:pPr>
        <w:pStyle w:val="a3"/>
        <w:widowControl/>
      </w:pPr>
    </w:p>
    <w:p w14:paraId="59CB7604" w14:textId="77777777" w:rsidR="00093A5E" w:rsidRPr="006A64EE" w:rsidRDefault="0059713A" w:rsidP="004255F8">
      <w:pPr>
        <w:pStyle w:val="2"/>
      </w:pPr>
      <w:r w:rsidRPr="006A64EE">
        <w:t>6.6</w:t>
      </w:r>
      <w:r w:rsidRPr="006A64EE">
        <w:tab/>
        <w:t>Besondere Vorsichtsmaßnahmen für die Beseitigung und sonstige Hinweise zur Handhabung</w:t>
      </w:r>
    </w:p>
    <w:p w14:paraId="6D7B704F" w14:textId="77777777" w:rsidR="00093A5E" w:rsidRPr="006A64EE" w:rsidRDefault="00093A5E" w:rsidP="004255F8">
      <w:pPr>
        <w:pStyle w:val="a3"/>
        <w:widowControl/>
      </w:pPr>
    </w:p>
    <w:p w14:paraId="4A7FFE7F" w14:textId="72FF8372" w:rsidR="00093A5E" w:rsidRPr="006A64EE" w:rsidRDefault="00242BF4" w:rsidP="004255F8">
      <w:pPr>
        <w:pStyle w:val="a3"/>
        <w:widowControl/>
      </w:pPr>
      <w:r>
        <w:t>Avtozma</w:t>
      </w:r>
      <w:r w:rsidRPr="006A64EE">
        <w:t xml:space="preserve"> </w:t>
      </w:r>
      <w:r w:rsidR="009C2544" w:rsidRPr="006A64EE">
        <w:t>wird in einer Fertigspritze mit Nadelsicherheitsvorrichtung zur einmaligen Anwendung abgegeben. Nachdem die Fertigspritze aus dem Kühlschrank entnommen wurde, soll sie mindestens 30 Minuten zur Erwärmung bei Raumtemperatur (</w:t>
      </w:r>
      <w:r w:rsidR="00575C67">
        <w:rPr>
          <w:rFonts w:eastAsia="맑은 고딕" w:hint="eastAsia"/>
          <w:lang w:eastAsia="ko-KR"/>
        </w:rPr>
        <w:t>18</w:t>
      </w:r>
      <w:r w:rsidR="00575C67">
        <w:t> </w:t>
      </w:r>
      <w:r>
        <w:t xml:space="preserve">°C bis </w:t>
      </w:r>
      <w:r w:rsidR="00575C67">
        <w:t>2</w:t>
      </w:r>
      <w:r w:rsidR="00575C67">
        <w:rPr>
          <w:rFonts w:eastAsia="맑은 고딕" w:hint="eastAsia"/>
          <w:lang w:eastAsia="ko-KR"/>
        </w:rPr>
        <w:t>8</w:t>
      </w:r>
      <w:r w:rsidR="00575C67">
        <w:t> </w:t>
      </w:r>
      <w:r>
        <w:t>°C</w:t>
      </w:r>
      <w:r w:rsidR="009C2544" w:rsidRPr="006A64EE">
        <w:t xml:space="preserve">) liegen, bevor </w:t>
      </w:r>
      <w:r>
        <w:t>Avtozma</w:t>
      </w:r>
      <w:r w:rsidR="009C2544" w:rsidRPr="006A64EE">
        <w:t xml:space="preserve"> injiziert wird. Die Fertigspritze darf nicht geschüttelt werden. Nachdem die Schutzkappe entfernt wurde, muss die Injektion innerhalb von 5 Minuten erfolgen, um zu verhindern, dass das Arzneimittel austrocknet und die Nadel verstopft. Wenn die Fertigspritze nicht innerhalb von 5 Minuten nach Entfernen der Kappe verwendet wird, müssen Sie sie in einem durchstichsicheren Behälter entsorgen und eine neue Fertigspritze verwenden.</w:t>
      </w:r>
    </w:p>
    <w:p w14:paraId="2B531E03" w14:textId="77777777" w:rsidR="00093A5E" w:rsidRPr="006A64EE" w:rsidRDefault="00093A5E" w:rsidP="004255F8">
      <w:pPr>
        <w:pStyle w:val="a3"/>
        <w:widowControl/>
      </w:pPr>
    </w:p>
    <w:p w14:paraId="29937EB5" w14:textId="77777777" w:rsidR="00093A5E" w:rsidRPr="006A64EE" w:rsidRDefault="009C2544" w:rsidP="004255F8">
      <w:pPr>
        <w:pStyle w:val="a3"/>
        <w:widowControl/>
      </w:pPr>
      <w:r w:rsidRPr="006A64EE">
        <w:t>Wenn Sie nach dem Einstechen der Nadel den Kolben nicht herunterdrücken können, müssen Sie die Fertigspritze in einem durchstichsicheren Behälter entsorgen und eine neue Fertigspritze verwenden.</w:t>
      </w:r>
    </w:p>
    <w:p w14:paraId="1A70A885" w14:textId="77777777" w:rsidR="00093A5E" w:rsidRPr="006A64EE" w:rsidRDefault="00093A5E" w:rsidP="004255F8">
      <w:pPr>
        <w:pStyle w:val="a3"/>
        <w:widowControl/>
      </w:pPr>
    </w:p>
    <w:p w14:paraId="137ECCE5" w14:textId="2015C38F" w:rsidR="00093A5E" w:rsidRPr="006A64EE" w:rsidRDefault="009C2544" w:rsidP="004255F8">
      <w:pPr>
        <w:pStyle w:val="a3"/>
        <w:widowControl/>
      </w:pPr>
      <w:r w:rsidRPr="006A64EE">
        <w:t>Nicht verwenden, wenn das Arzneimittel trüb ist oder Partikel enthält, eine andere Farbe als farblos oder gelb hat oder ein Teil der Fertigspritze beschädigt aussieht.</w:t>
      </w:r>
    </w:p>
    <w:p w14:paraId="02873B32" w14:textId="77777777" w:rsidR="00093A5E" w:rsidRPr="006A64EE" w:rsidRDefault="00093A5E" w:rsidP="004255F8">
      <w:pPr>
        <w:pStyle w:val="a3"/>
        <w:widowControl/>
      </w:pPr>
    </w:p>
    <w:p w14:paraId="48FEDF6F" w14:textId="7DFC0935" w:rsidR="00093A5E" w:rsidRPr="006A64EE" w:rsidRDefault="009C2544" w:rsidP="004255F8">
      <w:pPr>
        <w:pStyle w:val="a3"/>
        <w:widowControl/>
      </w:pPr>
      <w:r w:rsidRPr="006A64EE">
        <w:t xml:space="preserve">Eine vollständige Anleitung zur Anwendung von </w:t>
      </w:r>
      <w:r w:rsidR="00242BF4">
        <w:t>Avtozma</w:t>
      </w:r>
      <w:r w:rsidRPr="006A64EE">
        <w:t xml:space="preserve"> in einer Fertigspritze ist in der Packungsbeilage enthalten.</w:t>
      </w:r>
    </w:p>
    <w:p w14:paraId="74CE75B8" w14:textId="77777777" w:rsidR="00093A5E" w:rsidRPr="006A64EE" w:rsidRDefault="00093A5E" w:rsidP="004255F8">
      <w:pPr>
        <w:pStyle w:val="a3"/>
        <w:widowControl/>
      </w:pPr>
    </w:p>
    <w:p w14:paraId="6B8648A0" w14:textId="77777777" w:rsidR="00093A5E" w:rsidRPr="006A64EE" w:rsidRDefault="009C2544" w:rsidP="004255F8">
      <w:pPr>
        <w:pStyle w:val="a3"/>
        <w:widowControl/>
      </w:pPr>
      <w:r w:rsidRPr="006A64EE">
        <w:t>Nicht verwendetes Arzneimittel oder Abfallmaterial ist entsprechend den nationalen Anforderungen zu beseitigen.</w:t>
      </w:r>
    </w:p>
    <w:p w14:paraId="199D0DE0" w14:textId="77777777" w:rsidR="00093A5E" w:rsidRPr="006A64EE" w:rsidRDefault="00093A5E" w:rsidP="004255F8">
      <w:pPr>
        <w:pStyle w:val="a3"/>
        <w:widowControl/>
      </w:pPr>
    </w:p>
    <w:p w14:paraId="392A05A5" w14:textId="77777777" w:rsidR="00093A5E" w:rsidRPr="006A64EE" w:rsidRDefault="00093A5E" w:rsidP="004255F8">
      <w:pPr>
        <w:pStyle w:val="a3"/>
        <w:widowControl/>
      </w:pPr>
    </w:p>
    <w:p w14:paraId="2C77D3AB" w14:textId="77777777" w:rsidR="00093A5E" w:rsidRPr="006A64EE" w:rsidRDefault="0059713A" w:rsidP="004255F8">
      <w:pPr>
        <w:pStyle w:val="1"/>
      </w:pPr>
      <w:r w:rsidRPr="006A64EE">
        <w:t>7.</w:t>
      </w:r>
      <w:r w:rsidRPr="006A64EE">
        <w:tab/>
        <w:t>INHABER DER ZULASSUNG</w:t>
      </w:r>
    </w:p>
    <w:p w14:paraId="0C0015F3" w14:textId="77777777" w:rsidR="00093A5E" w:rsidRPr="006A64EE" w:rsidRDefault="00093A5E" w:rsidP="004255F8">
      <w:pPr>
        <w:pStyle w:val="a3"/>
        <w:widowControl/>
      </w:pPr>
    </w:p>
    <w:p w14:paraId="034AF23E" w14:textId="77777777" w:rsidR="0086777A" w:rsidRPr="001879E9" w:rsidRDefault="0086777A" w:rsidP="0086777A">
      <w:pPr>
        <w:pStyle w:val="a3"/>
        <w:keepNext/>
      </w:pPr>
      <w:r w:rsidRPr="001879E9">
        <w:t xml:space="preserve">Celltrion Healthcare Hungary Kft. </w:t>
      </w:r>
    </w:p>
    <w:p w14:paraId="6D3BE9A5" w14:textId="77777777" w:rsidR="0086777A" w:rsidRPr="00B320E1" w:rsidRDefault="0086777A" w:rsidP="0086777A">
      <w:pPr>
        <w:pStyle w:val="a3"/>
        <w:keepNext/>
        <w:rPr>
          <w:lang w:val="en-US"/>
        </w:rPr>
      </w:pPr>
      <w:r w:rsidRPr="00B320E1">
        <w:rPr>
          <w:lang w:val="en-US"/>
        </w:rPr>
        <w:t>1062 Budapest</w:t>
      </w:r>
    </w:p>
    <w:p w14:paraId="2E7F56D5" w14:textId="77777777" w:rsidR="0086777A" w:rsidRPr="00B320E1" w:rsidRDefault="0086777A" w:rsidP="0086777A">
      <w:pPr>
        <w:pStyle w:val="a3"/>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72D6C83C" w14:textId="5B49118C" w:rsidR="00093A5E" w:rsidRPr="006A64EE" w:rsidRDefault="0086777A" w:rsidP="004255F8">
      <w:pPr>
        <w:pStyle w:val="a3"/>
        <w:widowControl/>
      </w:pPr>
      <w:r>
        <w:t>Ungarn</w:t>
      </w:r>
    </w:p>
    <w:p w14:paraId="34CCAD7E" w14:textId="77777777" w:rsidR="00093A5E" w:rsidRPr="006A64EE" w:rsidRDefault="00093A5E" w:rsidP="004255F8">
      <w:pPr>
        <w:pStyle w:val="a3"/>
        <w:widowControl/>
      </w:pPr>
    </w:p>
    <w:p w14:paraId="2B2892D1" w14:textId="77777777" w:rsidR="00093A5E" w:rsidRPr="006A64EE" w:rsidRDefault="00093A5E" w:rsidP="004255F8">
      <w:pPr>
        <w:pStyle w:val="a3"/>
        <w:widowControl/>
      </w:pPr>
    </w:p>
    <w:p w14:paraId="49F237C4" w14:textId="77777777" w:rsidR="00093A5E" w:rsidRPr="006A64EE" w:rsidRDefault="0059713A" w:rsidP="004255F8">
      <w:pPr>
        <w:pStyle w:val="1"/>
      </w:pPr>
      <w:r w:rsidRPr="006A64EE">
        <w:t>8.</w:t>
      </w:r>
      <w:r w:rsidRPr="006A64EE">
        <w:tab/>
        <w:t>ZULASSUNGSNUMMER(N)</w:t>
      </w:r>
    </w:p>
    <w:p w14:paraId="6C5245CC" w14:textId="77777777" w:rsidR="00093A5E" w:rsidRPr="006A64EE" w:rsidRDefault="00093A5E" w:rsidP="004255F8">
      <w:pPr>
        <w:pStyle w:val="a3"/>
        <w:widowControl/>
      </w:pPr>
    </w:p>
    <w:p w14:paraId="408760B4" w14:textId="69285ED5" w:rsidR="003E4392" w:rsidRPr="00C61A9B" w:rsidRDefault="003E4392" w:rsidP="003E4392">
      <w:r w:rsidRPr="00C61A9B">
        <w:t>EU/</w:t>
      </w:r>
      <w:r>
        <w:rPr>
          <w:rFonts w:cs="Verdana"/>
          <w:color w:val="000000"/>
          <w:kern w:val="2"/>
        </w:rPr>
        <w:t>1/24/1896/007</w:t>
      </w:r>
    </w:p>
    <w:p w14:paraId="2495B88D" w14:textId="4CCAF34F" w:rsidR="003E4392" w:rsidRPr="00C61A9B" w:rsidRDefault="003E4392" w:rsidP="003E4392">
      <w:r w:rsidRPr="00C61A9B">
        <w:t>EU/</w:t>
      </w:r>
      <w:r>
        <w:rPr>
          <w:rFonts w:cs="Verdana"/>
          <w:color w:val="000000"/>
          <w:kern w:val="2"/>
        </w:rPr>
        <w:t>1/24/1896/00</w:t>
      </w:r>
      <w:r>
        <w:rPr>
          <w:rFonts w:eastAsia="맑은 고딕" w:cs="Verdana" w:hint="eastAsia"/>
          <w:color w:val="000000"/>
          <w:kern w:val="2"/>
          <w:lang w:eastAsia="ko-KR"/>
        </w:rPr>
        <w:t>8</w:t>
      </w:r>
    </w:p>
    <w:p w14:paraId="1ED5C6ED" w14:textId="20E5070D" w:rsidR="003E4392" w:rsidRPr="00C61A9B" w:rsidRDefault="003E4392" w:rsidP="003E4392">
      <w:r w:rsidRPr="00C61A9B">
        <w:lastRenderedPageBreak/>
        <w:t>EU/</w:t>
      </w:r>
      <w:r>
        <w:rPr>
          <w:rFonts w:cs="Verdana"/>
          <w:color w:val="000000"/>
          <w:kern w:val="2"/>
        </w:rPr>
        <w:t>1/24/1896/00</w:t>
      </w:r>
      <w:r>
        <w:rPr>
          <w:rFonts w:eastAsia="맑은 고딕" w:cs="Verdana" w:hint="eastAsia"/>
          <w:color w:val="000000"/>
          <w:kern w:val="2"/>
          <w:lang w:eastAsia="ko-KR"/>
        </w:rPr>
        <w:t>9</w:t>
      </w:r>
    </w:p>
    <w:p w14:paraId="38207838" w14:textId="32607763" w:rsidR="00093A5E" w:rsidRDefault="00387ABD" w:rsidP="004255F8">
      <w:pPr>
        <w:pStyle w:val="a3"/>
        <w:widowControl/>
        <w:rPr>
          <w:ins w:id="14" w:author="만든 이"/>
          <w:rFonts w:eastAsia="맑은 고딕"/>
          <w:lang w:val="fr-FR" w:eastAsia="ko-KR"/>
        </w:rPr>
      </w:pPr>
      <w:ins w:id="15" w:author="만든 이">
        <w:r>
          <w:rPr>
            <w:rFonts w:eastAsia="맑은 고딕" w:hint="eastAsia"/>
            <w:lang w:val="fr-FR" w:eastAsia="ko-KR"/>
          </w:rPr>
          <w:t>EU/1/24/1896/</w:t>
        </w:r>
        <w:r w:rsidR="002D1677">
          <w:rPr>
            <w:rFonts w:eastAsia="맑은 고딕" w:hint="eastAsia"/>
            <w:lang w:val="fr-FR" w:eastAsia="ko-KR"/>
          </w:rPr>
          <w:t>013</w:t>
        </w:r>
      </w:ins>
    </w:p>
    <w:p w14:paraId="5CD98E00" w14:textId="77777777" w:rsidR="00387ABD" w:rsidRPr="00387ABD" w:rsidRDefault="00387ABD" w:rsidP="004255F8">
      <w:pPr>
        <w:pStyle w:val="a3"/>
        <w:widowControl/>
        <w:rPr>
          <w:rFonts w:eastAsia="맑은 고딕"/>
          <w:lang w:val="fr-FR" w:eastAsia="ko-KR"/>
          <w:rPrChange w:id="16" w:author="만든 이">
            <w:rPr>
              <w:lang w:val="fr-FR"/>
            </w:rPr>
          </w:rPrChange>
        </w:rPr>
      </w:pPr>
    </w:p>
    <w:p w14:paraId="50B0C94B" w14:textId="77777777" w:rsidR="00093A5E" w:rsidRPr="003452D3" w:rsidRDefault="00093A5E" w:rsidP="004255F8">
      <w:pPr>
        <w:pStyle w:val="a3"/>
        <w:widowControl/>
        <w:rPr>
          <w:lang w:val="fr-FR"/>
        </w:rPr>
      </w:pPr>
    </w:p>
    <w:p w14:paraId="5F8F4595" w14:textId="77777777" w:rsidR="00093A5E" w:rsidRPr="006A64EE" w:rsidRDefault="0059713A" w:rsidP="004255F8">
      <w:pPr>
        <w:pStyle w:val="1"/>
      </w:pPr>
      <w:r w:rsidRPr="006A64EE">
        <w:t>9.</w:t>
      </w:r>
      <w:r w:rsidRPr="006A64EE">
        <w:tab/>
        <w:t>DATUM DER ERTEILUNG DER ZULASSUNG/VERLÄNGERUNG DER ZULASSUNG</w:t>
      </w:r>
    </w:p>
    <w:p w14:paraId="166D3FA5" w14:textId="77777777" w:rsidR="00093A5E" w:rsidRPr="006A64EE" w:rsidRDefault="00093A5E" w:rsidP="004255F8">
      <w:pPr>
        <w:pStyle w:val="a3"/>
        <w:keepNext/>
        <w:widowControl/>
      </w:pPr>
    </w:p>
    <w:p w14:paraId="4C99CE9C" w14:textId="7CA641CE" w:rsidR="00093A5E" w:rsidRPr="006A64EE" w:rsidRDefault="009C2544" w:rsidP="004255F8">
      <w:pPr>
        <w:pStyle w:val="a3"/>
        <w:keepNext/>
        <w:widowControl/>
      </w:pPr>
      <w:r w:rsidRPr="006A64EE">
        <w:t xml:space="preserve">Datum der Erteilung der Zulassung: </w:t>
      </w:r>
      <w:r w:rsidR="00115ACE">
        <w:rPr>
          <w:rFonts w:eastAsia="맑은 고딕" w:hint="eastAsia"/>
          <w:lang w:eastAsia="ko-KR"/>
        </w:rPr>
        <w:t>14</w:t>
      </w:r>
      <w:r w:rsidR="00984917">
        <w:rPr>
          <w:rFonts w:eastAsia="맑은 고딕"/>
          <w:lang w:eastAsia="ko-KR"/>
        </w:rPr>
        <w:t>.</w:t>
      </w:r>
      <w:r w:rsidR="00115ACE">
        <w:rPr>
          <w:rFonts w:eastAsia="맑은 고딕" w:hint="eastAsia"/>
          <w:lang w:eastAsia="ko-KR"/>
        </w:rPr>
        <w:t xml:space="preserve"> </w:t>
      </w:r>
      <w:r w:rsidR="009A42E9" w:rsidRPr="004C41FF">
        <w:t>Februar</w:t>
      </w:r>
      <w:r w:rsidR="009A42E9">
        <w:rPr>
          <w:rFonts w:eastAsia="맑은 고딕" w:hint="eastAsia"/>
          <w:lang w:eastAsia="ko-KR"/>
        </w:rPr>
        <w:t xml:space="preserve"> 2025</w:t>
      </w:r>
    </w:p>
    <w:p w14:paraId="07728E8B" w14:textId="77777777" w:rsidR="00093A5E" w:rsidRPr="006A64EE" w:rsidRDefault="00093A5E" w:rsidP="00121CB7"/>
    <w:p w14:paraId="50D31042" w14:textId="77777777" w:rsidR="00093A5E" w:rsidRPr="006A64EE" w:rsidRDefault="00093A5E" w:rsidP="00121CB7"/>
    <w:p w14:paraId="0E293864" w14:textId="77777777" w:rsidR="00093A5E" w:rsidRPr="006A64EE" w:rsidRDefault="0059713A" w:rsidP="004255F8">
      <w:pPr>
        <w:pStyle w:val="1"/>
      </w:pPr>
      <w:r w:rsidRPr="006A64EE">
        <w:t>10.</w:t>
      </w:r>
      <w:r w:rsidRPr="006A64EE">
        <w:tab/>
      </w:r>
      <w:r w:rsidR="007D680A" w:rsidRPr="006A64EE">
        <w:t>STAND DER INFORMATION</w:t>
      </w:r>
    </w:p>
    <w:p w14:paraId="5E65045B" w14:textId="77777777" w:rsidR="00093A5E" w:rsidRPr="006A64EE" w:rsidRDefault="00093A5E" w:rsidP="004255F8">
      <w:pPr>
        <w:pStyle w:val="a3"/>
        <w:keepNext/>
        <w:widowControl/>
      </w:pPr>
    </w:p>
    <w:p w14:paraId="11F5BCA6" w14:textId="1CDF7D41" w:rsidR="00093A5E" w:rsidRPr="006A64EE" w:rsidRDefault="009C2544" w:rsidP="004255F8">
      <w:pPr>
        <w:pStyle w:val="a3"/>
        <w:widowControl/>
      </w:pPr>
      <w:r w:rsidRPr="006A64EE">
        <w:t xml:space="preserve">Ausführliche Informationen zu diesem Arzneimittel sind auf den Internetseiten der Europäischen Arzneimittel-Agentur </w:t>
      </w:r>
      <w:r w:rsidR="005A173B">
        <w:fldChar w:fldCharType="begin"/>
      </w:r>
      <w:r w:rsidR="005A173B">
        <w:instrText>HYPERLINK "https://www.ema.europa.eu/"</w:instrText>
      </w:r>
      <w:r w:rsidR="005A173B">
        <w:fldChar w:fldCharType="separate"/>
      </w:r>
      <w:r w:rsidR="005A173B" w:rsidRPr="005A173B">
        <w:rPr>
          <w:rStyle w:val="a8"/>
        </w:rPr>
        <w:t>http</w:t>
      </w:r>
      <w:r w:rsidR="005A173B" w:rsidRPr="005A173B">
        <w:rPr>
          <w:rStyle w:val="a8"/>
          <w:rFonts w:eastAsia="맑은 고딕" w:hint="eastAsia"/>
          <w:lang w:eastAsia="ko-KR"/>
        </w:rPr>
        <w:t>s</w:t>
      </w:r>
      <w:r w:rsidR="005A173B" w:rsidRPr="005A173B">
        <w:rPr>
          <w:rStyle w:val="a8"/>
        </w:rPr>
        <w:t>://www.ema.europa.eu/</w:t>
      </w:r>
      <w:r w:rsidR="005A173B">
        <w:fldChar w:fldCharType="end"/>
      </w:r>
      <w:r w:rsidRPr="006A64EE">
        <w:t xml:space="preserve"> verfügbar.</w:t>
      </w:r>
    </w:p>
    <w:p w14:paraId="407B99AF" w14:textId="658B5A56" w:rsidR="001842E5" w:rsidRDefault="00F53348" w:rsidP="001842E5">
      <w:pPr>
        <w:widowControl/>
      </w:pPr>
      <w:r w:rsidRPr="006A64EE">
        <w:br w:type="page"/>
      </w:r>
      <w:r w:rsidR="00A16FF2">
        <w:rPr>
          <w:noProof/>
          <w:lang w:val="en-US" w:eastAsia="ko-KR"/>
        </w:rPr>
        <w:lastRenderedPageBreak/>
        <w:drawing>
          <wp:inline distT="0" distB="0" distL="0" distR="0" wp14:anchorId="09BC6371" wp14:editId="04344D6F">
            <wp:extent cx="201930" cy="170180"/>
            <wp:effectExtent l="0" t="0" r="0" b="0"/>
            <wp:docPr id="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1842E5" w:rsidRPr="00C119D8">
        <w:t>Dieses Arzneimittel unterliegt einer zusätzlichen Überwachung. Dies ermöglicht eine schnelle Identifizierung neuer Erkenntnisse über die Sicherheit. Angehörige von Gesundheitsberufen sind aufgefordert, jeden Verdachtsfall einer Nebenwirkung zu melden. Hinweise zur Meldung von Nebenwirkungen, siehe Abschnitt 4.8</w:t>
      </w:r>
      <w:r w:rsidR="001842E5">
        <w:t>.</w:t>
      </w:r>
    </w:p>
    <w:p w14:paraId="60C3AA23" w14:textId="77777777" w:rsidR="001842E5" w:rsidRDefault="001842E5" w:rsidP="001842E5">
      <w:pPr>
        <w:widowControl/>
      </w:pPr>
    </w:p>
    <w:p w14:paraId="56CCDCE7" w14:textId="4D62D934" w:rsidR="00093A5E" w:rsidRPr="006A64EE" w:rsidRDefault="00093A5E" w:rsidP="004255F8">
      <w:pPr>
        <w:widowControl/>
        <w:rPr>
          <w:b/>
          <w:bCs/>
        </w:rPr>
      </w:pPr>
    </w:p>
    <w:p w14:paraId="1253A443" w14:textId="77777777" w:rsidR="00093A5E" w:rsidRPr="006A64EE" w:rsidRDefault="00F53348" w:rsidP="004255F8">
      <w:pPr>
        <w:pStyle w:val="1"/>
      </w:pPr>
      <w:r w:rsidRPr="006A64EE">
        <w:t>1.</w:t>
      </w:r>
      <w:r w:rsidRPr="006A64EE">
        <w:tab/>
      </w:r>
      <w:r w:rsidR="007D680A" w:rsidRPr="006A64EE">
        <w:t>BEZEICHNUNG DES ARZNEIMITTELS</w:t>
      </w:r>
    </w:p>
    <w:p w14:paraId="2DD150D8" w14:textId="77777777" w:rsidR="00093A5E" w:rsidRPr="006A64EE" w:rsidRDefault="00093A5E" w:rsidP="00121CB7"/>
    <w:p w14:paraId="5EF0B664" w14:textId="63867E0E" w:rsidR="00093A5E" w:rsidRPr="006A64EE" w:rsidRDefault="00517E3F" w:rsidP="004255F8">
      <w:pPr>
        <w:pStyle w:val="a3"/>
        <w:widowControl/>
      </w:pPr>
      <w:r>
        <w:t>Avtozma</w:t>
      </w:r>
      <w:r w:rsidRPr="006A64EE">
        <w:t xml:space="preserve"> </w:t>
      </w:r>
      <w:r w:rsidR="009C2544" w:rsidRPr="006A64EE">
        <w:t>162 mg Injektionslösung in einem Fertigpen</w:t>
      </w:r>
    </w:p>
    <w:p w14:paraId="53920A0C" w14:textId="77777777" w:rsidR="00093A5E" w:rsidRPr="006A64EE" w:rsidRDefault="00093A5E" w:rsidP="004255F8">
      <w:pPr>
        <w:pStyle w:val="a3"/>
        <w:widowControl/>
      </w:pPr>
    </w:p>
    <w:p w14:paraId="24984188" w14:textId="77777777" w:rsidR="00093A5E" w:rsidRPr="006A64EE" w:rsidRDefault="00093A5E" w:rsidP="004255F8">
      <w:pPr>
        <w:pStyle w:val="a3"/>
        <w:widowControl/>
      </w:pPr>
    </w:p>
    <w:p w14:paraId="054513A7" w14:textId="77777777" w:rsidR="00093A5E" w:rsidRPr="006A64EE" w:rsidRDefault="0059713A" w:rsidP="004255F8">
      <w:pPr>
        <w:pStyle w:val="1"/>
      </w:pPr>
      <w:r w:rsidRPr="006A64EE">
        <w:t>2.</w:t>
      </w:r>
      <w:r w:rsidRPr="006A64EE">
        <w:tab/>
        <w:t>QUALITATIVE UND QUANTITATIVE ZUSAMMENSETZUNG</w:t>
      </w:r>
    </w:p>
    <w:p w14:paraId="460F9A8D" w14:textId="77777777" w:rsidR="00093A5E" w:rsidRPr="006A64EE" w:rsidRDefault="00093A5E" w:rsidP="004255F8">
      <w:pPr>
        <w:pStyle w:val="a3"/>
        <w:widowControl/>
      </w:pPr>
    </w:p>
    <w:p w14:paraId="6F84DDF5" w14:textId="1BA47131" w:rsidR="00093A5E" w:rsidRPr="006A64EE" w:rsidRDefault="009C2544" w:rsidP="004255F8">
      <w:pPr>
        <w:pStyle w:val="a3"/>
        <w:widowControl/>
      </w:pPr>
      <w:r w:rsidRPr="006A64EE">
        <w:t>Jeder Fertigpen enthält 162 mg Tocilizumab in 0,9 ml.</w:t>
      </w:r>
    </w:p>
    <w:p w14:paraId="5743E215" w14:textId="77777777" w:rsidR="00093A5E" w:rsidRPr="006A64EE" w:rsidRDefault="00093A5E" w:rsidP="004255F8">
      <w:pPr>
        <w:pStyle w:val="a3"/>
        <w:widowControl/>
      </w:pPr>
    </w:p>
    <w:p w14:paraId="145B6F50" w14:textId="5E0B8AD9" w:rsidR="00093A5E" w:rsidRPr="006A64EE" w:rsidRDefault="00517E3F" w:rsidP="004255F8">
      <w:pPr>
        <w:pStyle w:val="a3"/>
        <w:widowControl/>
      </w:pPr>
      <w:r>
        <w:t>Tocilizumab</w:t>
      </w:r>
      <w:r w:rsidRPr="006A64EE">
        <w:t xml:space="preserve"> </w:t>
      </w:r>
      <w:r w:rsidR="009C2544" w:rsidRPr="006A64EE">
        <w:t>ist ein rekombinanter, humanisierter, anti-humaner monoklonaler Antikörper der Immunglobulin-Subklasse G1 (IgG1), der gegen lösliche und membrangebundene Interleukin-6-Rezeptoren gerichtet ist.</w:t>
      </w:r>
    </w:p>
    <w:p w14:paraId="12CA1D04" w14:textId="77777777" w:rsidR="00093A5E" w:rsidRDefault="00093A5E" w:rsidP="004255F8">
      <w:pPr>
        <w:pStyle w:val="a3"/>
        <w:widowControl/>
      </w:pPr>
    </w:p>
    <w:p w14:paraId="533B32D3" w14:textId="77777777" w:rsidR="00F74890" w:rsidRPr="00890245" w:rsidRDefault="00F74890" w:rsidP="00F74890">
      <w:pPr>
        <w:keepNext/>
        <w:rPr>
          <w:u w:val="single"/>
        </w:rPr>
      </w:pPr>
      <w:r w:rsidRPr="00890245">
        <w:rPr>
          <w:u w:val="single"/>
        </w:rPr>
        <w:t>Sonstige Bestandteile mit bekannter Wirkung</w:t>
      </w:r>
    </w:p>
    <w:p w14:paraId="2119A591" w14:textId="77777777" w:rsidR="00F74890" w:rsidRPr="00890245" w:rsidRDefault="00F74890" w:rsidP="00F74890">
      <w:pPr>
        <w:keepNext/>
        <w:rPr>
          <w:i/>
          <w:iCs/>
        </w:rPr>
      </w:pPr>
      <w:r w:rsidRPr="00890245">
        <w:rPr>
          <w:i/>
        </w:rPr>
        <w:t>Polysorbat</w:t>
      </w:r>
    </w:p>
    <w:p w14:paraId="5D2A0897" w14:textId="7BDAA1DC" w:rsidR="00F74890" w:rsidRDefault="00F74890" w:rsidP="003452D3">
      <w:r w:rsidRPr="00890245">
        <w:t>Jeder Fertigpen mit 162 mg enthält 0,2 mg Polysorbat</w:t>
      </w:r>
      <w:r w:rsidR="00667211">
        <w:t> 80</w:t>
      </w:r>
      <w:r w:rsidRPr="00890245">
        <w:t>.</w:t>
      </w:r>
    </w:p>
    <w:p w14:paraId="6B0F8971" w14:textId="77777777" w:rsidR="00F74890" w:rsidRPr="006A64EE" w:rsidRDefault="00F74890" w:rsidP="004255F8">
      <w:pPr>
        <w:pStyle w:val="a3"/>
        <w:widowControl/>
      </w:pPr>
    </w:p>
    <w:p w14:paraId="0688D90E" w14:textId="0D807EDE" w:rsidR="00093A5E" w:rsidRPr="006A64EE" w:rsidRDefault="009C2544" w:rsidP="004255F8">
      <w:pPr>
        <w:pStyle w:val="a3"/>
        <w:widowControl/>
      </w:pPr>
      <w:r w:rsidRPr="006A64EE">
        <w:t>Vollständige Auflistung der sonstigen Bestandteile, siehe Abschnitt</w:t>
      </w:r>
      <w:r w:rsidR="00667211">
        <w:t> </w:t>
      </w:r>
      <w:r w:rsidRPr="006A64EE">
        <w:t>6.1.</w:t>
      </w:r>
    </w:p>
    <w:p w14:paraId="4AFBA250" w14:textId="77777777" w:rsidR="00093A5E" w:rsidRPr="006A64EE" w:rsidRDefault="00093A5E" w:rsidP="004255F8">
      <w:pPr>
        <w:pStyle w:val="a3"/>
        <w:widowControl/>
      </w:pPr>
    </w:p>
    <w:p w14:paraId="328EA1B1" w14:textId="77777777" w:rsidR="00093A5E" w:rsidRPr="006A64EE" w:rsidRDefault="00093A5E" w:rsidP="004255F8">
      <w:pPr>
        <w:pStyle w:val="a3"/>
        <w:widowControl/>
      </w:pPr>
    </w:p>
    <w:p w14:paraId="6DFB0570" w14:textId="77777777" w:rsidR="00093A5E" w:rsidRPr="006A64EE" w:rsidRDefault="0059713A" w:rsidP="004255F8">
      <w:pPr>
        <w:pStyle w:val="1"/>
      </w:pPr>
      <w:r w:rsidRPr="006A64EE">
        <w:t>3.</w:t>
      </w:r>
      <w:r w:rsidRPr="006A64EE">
        <w:tab/>
        <w:t>DARREICHUNGSFORM</w:t>
      </w:r>
    </w:p>
    <w:p w14:paraId="520C8EF3" w14:textId="77777777" w:rsidR="00093A5E" w:rsidRPr="006A64EE" w:rsidRDefault="00093A5E" w:rsidP="004255F8">
      <w:pPr>
        <w:pStyle w:val="a3"/>
        <w:widowControl/>
      </w:pPr>
    </w:p>
    <w:p w14:paraId="28F0BC56" w14:textId="1C9739DD" w:rsidR="00517E3F" w:rsidRDefault="00517E3F" w:rsidP="004255F8">
      <w:pPr>
        <w:pStyle w:val="a3"/>
        <w:widowControl/>
      </w:pPr>
      <w:r>
        <w:t>Injektionslösung in einem Fertigpen. Klare bis leicht opaleszente, farblose bis gelbe Lösung mit einem pH-Wert von 5,7 – 6,3 und einer Osmolalität von 280 – 340 mmol/kg.</w:t>
      </w:r>
    </w:p>
    <w:p w14:paraId="5C530957" w14:textId="77777777" w:rsidR="00093A5E" w:rsidRPr="006A64EE" w:rsidRDefault="00093A5E" w:rsidP="004255F8">
      <w:pPr>
        <w:pStyle w:val="a3"/>
        <w:widowControl/>
      </w:pPr>
    </w:p>
    <w:p w14:paraId="789A2A3D" w14:textId="77777777" w:rsidR="00093A5E" w:rsidRPr="006A64EE" w:rsidRDefault="00093A5E" w:rsidP="004255F8">
      <w:pPr>
        <w:pStyle w:val="a3"/>
        <w:widowControl/>
      </w:pPr>
    </w:p>
    <w:p w14:paraId="146265E9" w14:textId="77777777" w:rsidR="00093A5E" w:rsidRPr="006A64EE" w:rsidRDefault="0059713A" w:rsidP="004255F8">
      <w:pPr>
        <w:pStyle w:val="1"/>
      </w:pPr>
      <w:r w:rsidRPr="006A64EE">
        <w:t>4.</w:t>
      </w:r>
      <w:r w:rsidRPr="006A64EE">
        <w:tab/>
        <w:t>KLINISCHE ANGABEN</w:t>
      </w:r>
    </w:p>
    <w:p w14:paraId="1DEC5A70" w14:textId="77777777" w:rsidR="00093A5E" w:rsidRPr="006A64EE" w:rsidRDefault="00093A5E" w:rsidP="004255F8">
      <w:pPr>
        <w:pStyle w:val="a3"/>
        <w:widowControl/>
        <w:rPr>
          <w:b/>
        </w:rPr>
      </w:pPr>
    </w:p>
    <w:p w14:paraId="797204B3" w14:textId="77777777" w:rsidR="00093A5E" w:rsidRPr="006A64EE" w:rsidRDefault="0059713A" w:rsidP="004255F8">
      <w:pPr>
        <w:pStyle w:val="2"/>
        <w:ind w:left="0" w:firstLine="0"/>
      </w:pPr>
      <w:r w:rsidRPr="006A64EE">
        <w:t>4.1</w:t>
      </w:r>
      <w:r w:rsidRPr="006A64EE">
        <w:tab/>
        <w:t>Anwendungsgebiete</w:t>
      </w:r>
    </w:p>
    <w:p w14:paraId="262B4DD3" w14:textId="77777777" w:rsidR="00093A5E" w:rsidRPr="006A64EE" w:rsidRDefault="00093A5E" w:rsidP="00121CB7"/>
    <w:p w14:paraId="43AAD28A" w14:textId="056F91ED" w:rsidR="00C6210F" w:rsidRPr="00B436C7" w:rsidRDefault="00C6210F" w:rsidP="004255F8">
      <w:pPr>
        <w:pStyle w:val="a3"/>
        <w:widowControl/>
        <w:rPr>
          <w:rFonts w:eastAsia="맑은 고딕"/>
          <w:u w:val="single"/>
          <w:lang w:eastAsia="ko-KR"/>
        </w:rPr>
      </w:pPr>
      <w:r w:rsidRPr="00B436C7">
        <w:rPr>
          <w:rFonts w:eastAsia="맑은 고딕"/>
          <w:u w:val="single"/>
          <w:lang w:eastAsia="ko-KR"/>
        </w:rPr>
        <w:t>Rheumatoide Arthritis (RA)</w:t>
      </w:r>
    </w:p>
    <w:p w14:paraId="75A24F72" w14:textId="07542F64" w:rsidR="00093A5E" w:rsidRPr="006A64EE" w:rsidRDefault="006C1C04" w:rsidP="004255F8">
      <w:pPr>
        <w:pStyle w:val="a3"/>
        <w:widowControl/>
      </w:pPr>
      <w:r>
        <w:t>Avtozma</w:t>
      </w:r>
      <w:r w:rsidR="009C2544" w:rsidRPr="006A64EE">
        <w:t xml:space="preserve"> ist, in Kombination mit Methotrexat (MTX), indiziert für:</w:t>
      </w:r>
    </w:p>
    <w:p w14:paraId="0AC88B9E"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die Behandlung der schweren, aktiven und progressiven rheumatoiden Arthritis (RA) bei Erwachsenen, die zuvor nicht mit Methotrexat behandelt worden sind.</w:t>
      </w:r>
    </w:p>
    <w:p w14:paraId="1B658745"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die Behandlung erwachsener Patienten mit mäßiger bis schwerer aktiver RA, die unzureichend auf eine vorangegangene Behandlung mit einem oder mehreren krankheitsmodifizierenden Antirheumatika (DMARDs) oder Tumornekrosefaktor(TNF)-Inhibitoren angesprochen oder diese nicht vertragen haben.</w:t>
      </w:r>
    </w:p>
    <w:p w14:paraId="210325BB" w14:textId="77777777" w:rsidR="00093A5E" w:rsidRPr="006A64EE" w:rsidRDefault="00093A5E" w:rsidP="00B436C7">
      <w:pPr>
        <w:pStyle w:val="StyleArialNarrow8pts"/>
      </w:pPr>
    </w:p>
    <w:p w14:paraId="5D466E64" w14:textId="158FCD90" w:rsidR="00093A5E" w:rsidRPr="006A64EE" w:rsidRDefault="006C1C04" w:rsidP="004255F8">
      <w:pPr>
        <w:pStyle w:val="a3"/>
        <w:widowControl/>
      </w:pPr>
      <w:r>
        <w:t>Avtozma</w:t>
      </w:r>
      <w:r w:rsidR="009C2544" w:rsidRPr="006A64EE">
        <w:t xml:space="preserve"> kann bei diesen Patienten als Monotherapie verabreicht werden, falls eine Methotrexat-Unverträglichkeit vorliegt oder eine Fortsetzung der Therapie mit Methotrexat unangemessen erscheint.</w:t>
      </w:r>
    </w:p>
    <w:p w14:paraId="7205EB1C" w14:textId="77777777" w:rsidR="00093A5E" w:rsidRPr="006A64EE" w:rsidRDefault="00093A5E" w:rsidP="004255F8">
      <w:pPr>
        <w:pStyle w:val="a3"/>
        <w:widowControl/>
      </w:pPr>
    </w:p>
    <w:p w14:paraId="36CB6E8E" w14:textId="729E8986" w:rsidR="00093A5E" w:rsidRPr="006A64EE" w:rsidRDefault="006C1C04" w:rsidP="004255F8">
      <w:pPr>
        <w:pStyle w:val="a3"/>
        <w:widowControl/>
      </w:pPr>
      <w:r>
        <w:t>Avtozma</w:t>
      </w:r>
      <w:r w:rsidR="009C2544" w:rsidRPr="006A64EE">
        <w:t xml:space="preserve"> vermindert in Kombination mit Methotrexat das Fortschreiten der radiologisch nachweisbaren strukturellen Gelenkschädigungen und verbessert die körperliche Funktionsfähigkeit.</w:t>
      </w:r>
    </w:p>
    <w:p w14:paraId="355D140E" w14:textId="77777777" w:rsidR="00093A5E" w:rsidRPr="006A64EE" w:rsidRDefault="00093A5E" w:rsidP="004255F8">
      <w:pPr>
        <w:pStyle w:val="a3"/>
        <w:widowControl/>
      </w:pPr>
    </w:p>
    <w:p w14:paraId="0A8FF2F9" w14:textId="49E772A4" w:rsidR="00C6210F" w:rsidRPr="00B436C7" w:rsidRDefault="00C6210F" w:rsidP="004255F8">
      <w:pPr>
        <w:pStyle w:val="a3"/>
        <w:widowControl/>
        <w:rPr>
          <w:rFonts w:eastAsia="맑은 고딕"/>
          <w:u w:val="single"/>
          <w:lang w:eastAsia="ko-KR"/>
        </w:rPr>
      </w:pPr>
      <w:r w:rsidRPr="00B436C7">
        <w:rPr>
          <w:rFonts w:eastAsia="맑은 고딕"/>
          <w:u w:val="single"/>
          <w:lang w:eastAsia="ko-KR"/>
        </w:rPr>
        <w:t>Systemische juvenile idiopathische Arthritis (sJIA)</w:t>
      </w:r>
    </w:p>
    <w:p w14:paraId="2F29CD61" w14:textId="5535C33E" w:rsidR="00093A5E" w:rsidRPr="006A64EE" w:rsidRDefault="006C1C04" w:rsidP="004255F8">
      <w:pPr>
        <w:pStyle w:val="a3"/>
        <w:widowControl/>
      </w:pPr>
      <w:r>
        <w:t>Avtozma</w:t>
      </w:r>
      <w:r w:rsidR="009C2544" w:rsidRPr="006A64EE">
        <w:t xml:space="preserve"> ist zur Behandlung von Patienten im Alter von 12 Jahren und älter mit aktiver systemischer juveniler idiopathischer Arthritis (sJIA) angezeigt, die nur unzureichend auf eine vorangegangene </w:t>
      </w:r>
      <w:r w:rsidR="009C2544" w:rsidRPr="006A64EE">
        <w:lastRenderedPageBreak/>
        <w:t>Behandlung mit nicht steroidalen Antiphlogistika (NSAs) und systemischen Corticosteroiden angesprochen haben (siehe Abschnitt 4.2).</w:t>
      </w:r>
    </w:p>
    <w:p w14:paraId="00DAEE47" w14:textId="1C7C6ADF" w:rsidR="00093A5E" w:rsidRPr="006A64EE" w:rsidRDefault="006C1C04" w:rsidP="004255F8">
      <w:pPr>
        <w:pStyle w:val="a3"/>
        <w:widowControl/>
      </w:pPr>
      <w:r>
        <w:t>Avtozma</w:t>
      </w:r>
      <w:r w:rsidR="009C2544" w:rsidRPr="006A64EE">
        <w:t xml:space="preserve"> kann als Monotherapie (falls eine Methotrexat-Unverträglichkeit vorliegt oder eine Therapie mit Methotrexat unangemessen erscheint) oder in Kombination mit Methotrexat verabreicht werden.</w:t>
      </w:r>
    </w:p>
    <w:p w14:paraId="69F3DAAE" w14:textId="77777777" w:rsidR="00093A5E" w:rsidRPr="006A64EE" w:rsidRDefault="00093A5E" w:rsidP="004255F8">
      <w:pPr>
        <w:pStyle w:val="a3"/>
        <w:widowControl/>
      </w:pPr>
    </w:p>
    <w:p w14:paraId="5F5DFD1E" w14:textId="35AA1807" w:rsidR="00C6210F" w:rsidRPr="00B436C7" w:rsidRDefault="00C6210F" w:rsidP="004255F8">
      <w:pPr>
        <w:pStyle w:val="a3"/>
        <w:widowControl/>
        <w:rPr>
          <w:rFonts w:eastAsia="맑은 고딕"/>
          <w:u w:val="single"/>
          <w:lang w:eastAsia="ko-KR"/>
        </w:rPr>
      </w:pPr>
      <w:r w:rsidRPr="00B436C7">
        <w:rPr>
          <w:rFonts w:eastAsia="맑은 고딕"/>
          <w:u w:val="single"/>
          <w:lang w:eastAsia="ko-KR"/>
        </w:rPr>
        <w:t>Polyartikuläre juvenile idiopathische Arthritis (pJIA)</w:t>
      </w:r>
    </w:p>
    <w:p w14:paraId="1F83BEF2" w14:textId="48CDC8A8" w:rsidR="00093A5E" w:rsidRPr="006A64EE" w:rsidRDefault="006C1C04" w:rsidP="004255F8">
      <w:pPr>
        <w:pStyle w:val="a3"/>
        <w:widowControl/>
      </w:pPr>
      <w:r>
        <w:t>Avtozma</w:t>
      </w:r>
      <w:r w:rsidR="009C2544" w:rsidRPr="006A64EE">
        <w:t xml:space="preserve"> ist in Kombination mit Methotrexat (MTX) zur Behandlung von Patienten im Alter von 12</w:t>
      </w:r>
      <w:r w:rsidR="00846418">
        <w:t> </w:t>
      </w:r>
      <w:r w:rsidR="009C2544" w:rsidRPr="006A64EE">
        <w:t>Jahren und älter mit polyartikulärer juveniler idiopathischer Arthritis (pJIA; Rheumafaktor-positiv oder -negativ und erweiterte Oligoarthritis) angezeigt, die nur unzureichend auf eine vorangegangene Behandlung mit MTX angesprochen haben (siehe Abschnitt 4.2).</w:t>
      </w:r>
    </w:p>
    <w:p w14:paraId="1C410675" w14:textId="77777777" w:rsidR="00093A5E" w:rsidRPr="006A64EE" w:rsidRDefault="00093A5E" w:rsidP="004255F8">
      <w:pPr>
        <w:widowControl/>
      </w:pPr>
    </w:p>
    <w:p w14:paraId="20D26129" w14:textId="25985B4B" w:rsidR="00093A5E" w:rsidRPr="006A64EE" w:rsidRDefault="006C1C04" w:rsidP="004255F8">
      <w:pPr>
        <w:widowControl/>
      </w:pPr>
      <w:r>
        <w:t>Avtozma</w:t>
      </w:r>
      <w:r w:rsidR="007D680A" w:rsidRPr="006A64EE">
        <w:t xml:space="preserve"> kann als Monotherapie verabreicht werden, falls eine Methotrexat-Unverträglichkeit vorliegt oder eine Fortsetzung der Therapie mit Methotrexat unangemessen erscheint.</w:t>
      </w:r>
    </w:p>
    <w:p w14:paraId="41E63717" w14:textId="77777777" w:rsidR="00093A5E" w:rsidRPr="006A64EE" w:rsidRDefault="00093A5E" w:rsidP="004255F8">
      <w:pPr>
        <w:pStyle w:val="a3"/>
        <w:widowControl/>
      </w:pPr>
    </w:p>
    <w:p w14:paraId="339DFB7E" w14:textId="11A3CD5C" w:rsidR="00C6210F" w:rsidRPr="00B436C7" w:rsidRDefault="00C6210F" w:rsidP="004255F8">
      <w:pPr>
        <w:pStyle w:val="a3"/>
        <w:widowControl/>
        <w:rPr>
          <w:rFonts w:eastAsia="맑은 고딕"/>
          <w:u w:val="single"/>
          <w:lang w:eastAsia="ko-KR"/>
        </w:rPr>
      </w:pPr>
      <w:r w:rsidRPr="00B436C7">
        <w:rPr>
          <w:rFonts w:eastAsia="맑은 고딕"/>
          <w:u w:val="single"/>
          <w:lang w:eastAsia="ko-KR"/>
        </w:rPr>
        <w:t>Riesenzellarteriitis (RZA)</w:t>
      </w:r>
    </w:p>
    <w:p w14:paraId="15E99A44" w14:textId="7C250782" w:rsidR="00093A5E" w:rsidRPr="006A64EE" w:rsidRDefault="006C1C04" w:rsidP="004255F8">
      <w:pPr>
        <w:pStyle w:val="a3"/>
        <w:widowControl/>
      </w:pPr>
      <w:r>
        <w:t>Avtozma</w:t>
      </w:r>
      <w:r w:rsidR="009C2544" w:rsidRPr="006A64EE">
        <w:t xml:space="preserve"> ist indiziert für die Behandlung der Riesenzellarteriitis (RZA) bei Erwachsenen.</w:t>
      </w:r>
    </w:p>
    <w:p w14:paraId="3DCFD9B3" w14:textId="77777777" w:rsidR="00093A5E" w:rsidRPr="006A64EE" w:rsidRDefault="00093A5E" w:rsidP="004255F8">
      <w:pPr>
        <w:pStyle w:val="a3"/>
        <w:widowControl/>
      </w:pPr>
    </w:p>
    <w:p w14:paraId="40631DDA" w14:textId="77777777" w:rsidR="00093A5E" w:rsidRPr="006A64EE" w:rsidRDefault="0059713A" w:rsidP="004255F8">
      <w:pPr>
        <w:pStyle w:val="2"/>
        <w:ind w:left="0" w:firstLine="0"/>
      </w:pPr>
      <w:r w:rsidRPr="006A64EE">
        <w:t>4.2</w:t>
      </w:r>
      <w:r w:rsidRPr="006A64EE">
        <w:tab/>
        <w:t>Dosierung und Art der Anwendung</w:t>
      </w:r>
    </w:p>
    <w:p w14:paraId="357D1408" w14:textId="77777777" w:rsidR="00093A5E" w:rsidRPr="006A64EE" w:rsidRDefault="00093A5E" w:rsidP="004255F8">
      <w:pPr>
        <w:pStyle w:val="a3"/>
        <w:widowControl/>
      </w:pPr>
    </w:p>
    <w:p w14:paraId="44194E32" w14:textId="77777777" w:rsidR="00093A5E" w:rsidRPr="006A64EE" w:rsidRDefault="009C2544" w:rsidP="004255F8">
      <w:pPr>
        <w:pStyle w:val="a3"/>
        <w:widowControl/>
      </w:pPr>
      <w:r w:rsidRPr="006A64EE">
        <w:t>Die subkutane Darreichungsform von Tocilizumab wird mit einem Fertigpen zur einmaligen Anwendung verabreicht. Die Behandlung sollte durch einen in der Diagnose und Behandlung der RA, sJIA, pJIA und/oder RZA erfahrenen Arzt begonnen werden.</w:t>
      </w:r>
    </w:p>
    <w:p w14:paraId="19D99A00" w14:textId="77777777" w:rsidR="00093A5E" w:rsidRPr="006A64EE" w:rsidRDefault="00093A5E" w:rsidP="004255F8">
      <w:pPr>
        <w:pStyle w:val="a3"/>
        <w:widowControl/>
      </w:pPr>
    </w:p>
    <w:p w14:paraId="380F9770" w14:textId="6A4D7BFE" w:rsidR="006C1C04" w:rsidRDefault="009C2544" w:rsidP="004255F8">
      <w:pPr>
        <w:pStyle w:val="a3"/>
        <w:widowControl/>
      </w:pPr>
      <w:r w:rsidRPr="006A64EE">
        <w:t>Der Fertigpen sollte nicht bei Kindern und Jugendlichen &lt; 12 Jahre angewendet werden, da aufgrund des dünneren Unterhautgewebes das potenzielle Risiko einer intramuskulären Injektion besteht.</w:t>
      </w:r>
    </w:p>
    <w:p w14:paraId="1B7FEBBE" w14:textId="77777777" w:rsidR="006C1C04" w:rsidRDefault="006C1C04" w:rsidP="004255F8">
      <w:pPr>
        <w:pStyle w:val="a3"/>
        <w:widowControl/>
      </w:pPr>
    </w:p>
    <w:p w14:paraId="2B8377DA" w14:textId="68EC83FA" w:rsidR="00093A5E" w:rsidRPr="006A64EE" w:rsidRDefault="009C2544" w:rsidP="004255F8">
      <w:pPr>
        <w:pStyle w:val="a3"/>
        <w:widowControl/>
      </w:pPr>
      <w:r w:rsidRPr="006A64EE">
        <w:t xml:space="preserve">Die erste Injektion sollte unter Aufsicht von qualifiziertem medizinischen Fachpersonal durchgeführt werden. Erst nach angemessener Unterweisung bezüglich der Injektionstechnik können Patienten oder Eltern/Erziehungsberechtigte die Injektion von </w:t>
      </w:r>
      <w:r w:rsidR="006C1C04">
        <w:t>Avtozma</w:t>
      </w:r>
      <w:r w:rsidRPr="006A64EE">
        <w:t xml:space="preserve"> selber vornehmen, und sofern ihr Arzt entscheidet, dass dies angemessen ist und der Patient oder die Eltern/Erziehungsberechtigten einer medizinischen Nachbeobachtung, falls notwendig, zustimmen.</w:t>
      </w:r>
    </w:p>
    <w:p w14:paraId="6D99C37B" w14:textId="77777777" w:rsidR="00093A5E" w:rsidRPr="006A64EE" w:rsidRDefault="00093A5E" w:rsidP="004255F8">
      <w:pPr>
        <w:pStyle w:val="a3"/>
        <w:widowControl/>
      </w:pPr>
    </w:p>
    <w:p w14:paraId="2AB0FFEA" w14:textId="77777777" w:rsidR="00093A5E" w:rsidRPr="006A64EE" w:rsidRDefault="009C2544" w:rsidP="004255F8">
      <w:pPr>
        <w:pStyle w:val="a3"/>
        <w:widowControl/>
      </w:pPr>
      <w:r w:rsidRPr="006A64EE">
        <w:t>Patienten, die von der intravenösen auf die subkutane Darreichungsform von Tocilizumab wechseln, sollten die erste subkutane Dosis zum Zeitpunkt der nächsten geplanten intravenösen Dosis unter Aufsicht von qualifiziertem medizinischen Fachpersonal anwenden.</w:t>
      </w:r>
    </w:p>
    <w:p w14:paraId="63566D1A" w14:textId="77777777" w:rsidR="00093A5E" w:rsidRPr="006A64EE" w:rsidRDefault="00093A5E" w:rsidP="004255F8">
      <w:pPr>
        <w:pStyle w:val="a3"/>
        <w:widowControl/>
      </w:pPr>
    </w:p>
    <w:p w14:paraId="0F375F09" w14:textId="548FEEB4" w:rsidR="00093A5E" w:rsidRPr="006A64EE" w:rsidRDefault="009C2544" w:rsidP="004255F8">
      <w:pPr>
        <w:pStyle w:val="a3"/>
        <w:widowControl/>
      </w:pPr>
      <w:r w:rsidRPr="006A64EE">
        <w:t xml:space="preserve">Alle Patienten, die mit </w:t>
      </w:r>
      <w:r w:rsidR="006C1C04">
        <w:t>Avtozma</w:t>
      </w:r>
      <w:r w:rsidRPr="006A64EE">
        <w:t xml:space="preserve"> behandelt werden, sollten den Patientenpass erhalten.</w:t>
      </w:r>
    </w:p>
    <w:p w14:paraId="5A45A03A" w14:textId="77777777" w:rsidR="00093A5E" w:rsidRPr="006A64EE" w:rsidRDefault="00093A5E" w:rsidP="004255F8">
      <w:pPr>
        <w:pStyle w:val="a3"/>
        <w:widowControl/>
      </w:pPr>
    </w:p>
    <w:p w14:paraId="50966CC9" w14:textId="77777777" w:rsidR="00093A5E" w:rsidRPr="006A64EE" w:rsidRDefault="009C2544" w:rsidP="004255F8">
      <w:pPr>
        <w:pStyle w:val="a3"/>
        <w:widowControl/>
      </w:pPr>
      <w:r w:rsidRPr="006A64EE">
        <w:t>Die Eignung des Patienten oder der Eltern/Erziehungsberechtigten für eine subkutane Anwendung zu Hause sollte überprüft und die Patienten oder Eltern/Erziehungsberechtigten angewiesen werden, wenn bei ihnen Symptome einer allergischen Reaktion auftreten, einen Arzt zu informieren, bevor die nächste Dosis angewendet wird. Die Patienten müssen sofort einen Arzt aufsuchen, wenn sie Symptome einer schwerwiegenden allergischen Reaktion entwickeln (siehe Abschnitt 4.4).</w:t>
      </w:r>
    </w:p>
    <w:p w14:paraId="35D82EF1" w14:textId="77777777" w:rsidR="00093A5E" w:rsidRPr="006A64EE" w:rsidRDefault="00093A5E" w:rsidP="004255F8">
      <w:pPr>
        <w:pStyle w:val="a3"/>
        <w:widowControl/>
      </w:pPr>
    </w:p>
    <w:p w14:paraId="7005CC3E" w14:textId="77777777" w:rsidR="00093A5E" w:rsidRPr="006A64EE" w:rsidRDefault="009C2544" w:rsidP="004255F8">
      <w:pPr>
        <w:pStyle w:val="a3"/>
        <w:widowControl/>
      </w:pPr>
      <w:r w:rsidRPr="006A64EE">
        <w:rPr>
          <w:u w:val="single"/>
        </w:rPr>
        <w:t>Dosierung</w:t>
      </w:r>
    </w:p>
    <w:p w14:paraId="297963E1" w14:textId="77777777" w:rsidR="00093A5E" w:rsidRPr="006A64EE" w:rsidRDefault="00093A5E" w:rsidP="004255F8">
      <w:pPr>
        <w:pStyle w:val="a3"/>
        <w:widowControl/>
      </w:pPr>
    </w:p>
    <w:p w14:paraId="6F52AEF0" w14:textId="77777777" w:rsidR="00093A5E" w:rsidRPr="006A64EE" w:rsidRDefault="009C2544" w:rsidP="004255F8">
      <w:pPr>
        <w:pStyle w:val="a3"/>
        <w:widowControl/>
      </w:pPr>
      <w:r w:rsidRPr="006A64EE">
        <w:rPr>
          <w:u w:val="single"/>
        </w:rPr>
        <w:t>RA</w:t>
      </w:r>
    </w:p>
    <w:p w14:paraId="00725ACF" w14:textId="77777777" w:rsidR="00093A5E" w:rsidRPr="006A64EE" w:rsidRDefault="009C2544" w:rsidP="004255F8">
      <w:pPr>
        <w:pStyle w:val="a3"/>
        <w:widowControl/>
        <w:jc w:val="both"/>
      </w:pPr>
      <w:r w:rsidRPr="006A64EE">
        <w:t>Die empfohlene Dosierung beträgt 162 mg subkutan einmal pro Woche.</w:t>
      </w:r>
    </w:p>
    <w:p w14:paraId="3E126FFF" w14:textId="77777777" w:rsidR="00093A5E" w:rsidRPr="006A64EE" w:rsidRDefault="00093A5E" w:rsidP="004255F8">
      <w:pPr>
        <w:pStyle w:val="a3"/>
        <w:widowControl/>
      </w:pPr>
    </w:p>
    <w:p w14:paraId="38A67168" w14:textId="1ACB174A" w:rsidR="00093A5E" w:rsidRPr="006A64EE" w:rsidRDefault="009C2544" w:rsidP="004255F8">
      <w:pPr>
        <w:pStyle w:val="a3"/>
        <w:widowControl/>
        <w:jc w:val="both"/>
      </w:pPr>
      <w:r w:rsidRPr="006A64EE">
        <w:t xml:space="preserve">Bezüglich einer Umstellung der Patienten von der intravenösen Darreichungsform von </w:t>
      </w:r>
      <w:r w:rsidR="00F964F2">
        <w:t>Avtozma</w:t>
      </w:r>
      <w:r w:rsidRPr="006A64EE">
        <w:t xml:space="preserve"> auf die subkutane Darreichungsform von </w:t>
      </w:r>
      <w:r w:rsidR="00F964F2">
        <w:t>Avtozma</w:t>
      </w:r>
      <w:r w:rsidRPr="006A64EE">
        <w:t xml:space="preserve"> als Fixdosis sind nur begrenzte Daten verfügbar. Das einmal wöchentliche Dosierungsintervall sollte eingehalten werden.</w:t>
      </w:r>
    </w:p>
    <w:p w14:paraId="64598396" w14:textId="77777777" w:rsidR="00093A5E" w:rsidRPr="006A64EE" w:rsidRDefault="00093A5E" w:rsidP="004255F8">
      <w:pPr>
        <w:pStyle w:val="a3"/>
        <w:widowControl/>
      </w:pPr>
    </w:p>
    <w:p w14:paraId="564E408B" w14:textId="77777777" w:rsidR="00093A5E" w:rsidRPr="006A64EE" w:rsidRDefault="009C2544" w:rsidP="004255F8">
      <w:pPr>
        <w:pStyle w:val="a3"/>
        <w:widowControl/>
      </w:pPr>
      <w:r w:rsidRPr="006A64EE">
        <w:t>Patienten, die von der intravenösen auf die subkutane Darreichungsform wechseln, sollten ihre erste subkutane Dosis anstelle der nächsten geplanten intravenösen Dosis unter Aufsicht von qualifiziertem medizinischen Fachpersonal anwenden.</w:t>
      </w:r>
    </w:p>
    <w:p w14:paraId="130F0591" w14:textId="77777777" w:rsidR="00093A5E" w:rsidRPr="006A64EE" w:rsidRDefault="00093A5E" w:rsidP="004255F8">
      <w:pPr>
        <w:pStyle w:val="a3"/>
        <w:widowControl/>
      </w:pPr>
    </w:p>
    <w:p w14:paraId="3DEE494C" w14:textId="399AB4D6" w:rsidR="00093A5E" w:rsidRPr="006A64EE" w:rsidRDefault="009C2544" w:rsidP="00A27366">
      <w:pPr>
        <w:pStyle w:val="a3"/>
        <w:widowControl/>
      </w:pPr>
      <w:r w:rsidRPr="006A64EE">
        <w:rPr>
          <w:u w:val="single"/>
        </w:rPr>
        <w:t>RZA</w:t>
      </w:r>
      <w:r w:rsidR="002931B1">
        <w:br/>
      </w:r>
      <w:r w:rsidRPr="006A64EE">
        <w:t xml:space="preserve">Die empfohlene Dosierung beträgt 162 mg subkutan einmal wöchentlich in Kombination mit einer Ausschleichtherapie der Glucocorticoide. </w:t>
      </w:r>
      <w:r w:rsidR="00F964F2">
        <w:t>Avtozma</w:t>
      </w:r>
      <w:r w:rsidRPr="006A64EE">
        <w:t xml:space="preserve"> kann nach Absetzen der Glucocorticoide als Monotherapie angewendet werden.</w:t>
      </w:r>
    </w:p>
    <w:p w14:paraId="0FBCDE87" w14:textId="482019BE" w:rsidR="00093A5E" w:rsidRPr="006A64EE" w:rsidRDefault="00F964F2" w:rsidP="00A27366">
      <w:pPr>
        <w:pStyle w:val="a3"/>
        <w:widowControl/>
      </w:pPr>
      <w:r>
        <w:t>Avtozma-</w:t>
      </w:r>
      <w:r w:rsidR="009C2544" w:rsidRPr="006A64EE">
        <w:t>Monotherapie sollte nicht zur Behandlung akuter Rezidive angewendet werden (siehe Abschnitt 4.4).</w:t>
      </w:r>
    </w:p>
    <w:p w14:paraId="5BB1AAB2" w14:textId="77777777" w:rsidR="00093A5E" w:rsidRPr="006A64EE" w:rsidRDefault="00093A5E" w:rsidP="004255F8">
      <w:pPr>
        <w:pStyle w:val="a3"/>
        <w:widowControl/>
        <w:jc w:val="both"/>
      </w:pPr>
    </w:p>
    <w:p w14:paraId="588DC9EF" w14:textId="77777777" w:rsidR="00093A5E" w:rsidRPr="006A64EE" w:rsidRDefault="009C2544" w:rsidP="004255F8">
      <w:pPr>
        <w:pStyle w:val="a3"/>
        <w:widowControl/>
      </w:pPr>
      <w:r w:rsidRPr="006A64EE">
        <w:t>Aufgrund der chronischen Natur der RZA sollte eine Behandlung über 52 Wochen hinaus anhand der Krankheitsaktivität, der Erwägung des Arztes und der Entscheidung des Patienten beurteilt werden.</w:t>
      </w:r>
    </w:p>
    <w:p w14:paraId="5288C637" w14:textId="77777777" w:rsidR="00093A5E" w:rsidRPr="006A64EE" w:rsidRDefault="00093A5E" w:rsidP="004255F8">
      <w:pPr>
        <w:widowControl/>
      </w:pPr>
    </w:p>
    <w:p w14:paraId="17777C71" w14:textId="77777777" w:rsidR="00093A5E" w:rsidRPr="006A64EE" w:rsidRDefault="007D680A" w:rsidP="004255F8">
      <w:pPr>
        <w:keepNext/>
        <w:widowControl/>
      </w:pPr>
      <w:r w:rsidRPr="006A64EE">
        <w:rPr>
          <w:u w:val="single"/>
        </w:rPr>
        <w:t>RA und RZA</w:t>
      </w:r>
    </w:p>
    <w:p w14:paraId="05F6588F" w14:textId="77777777" w:rsidR="00093A5E" w:rsidRPr="006A64EE" w:rsidRDefault="009C2544" w:rsidP="004255F8">
      <w:pPr>
        <w:pStyle w:val="a3"/>
        <w:keepNext/>
        <w:widowControl/>
      </w:pPr>
      <w:r w:rsidRPr="006A64EE">
        <w:rPr>
          <w:u w:val="single"/>
        </w:rPr>
        <w:t>Dosisanpassungen aufgrund von Laborwertveränderungen (siehe Abschnitt 4.4).</w:t>
      </w:r>
    </w:p>
    <w:p w14:paraId="56B0183A" w14:textId="77777777" w:rsidR="00093A5E" w:rsidRPr="006A64EE" w:rsidRDefault="00093A5E" w:rsidP="004255F8">
      <w:pPr>
        <w:pStyle w:val="a3"/>
        <w:keepNext/>
        <w:widowControl/>
      </w:pPr>
    </w:p>
    <w:p w14:paraId="1DCA5E35" w14:textId="77777777" w:rsidR="00093A5E" w:rsidRPr="006A64EE" w:rsidRDefault="0059713A" w:rsidP="001101F8">
      <w:pPr>
        <w:pStyle w:val="bullet"/>
        <w:keepNext/>
      </w:pPr>
      <w:r w:rsidRPr="006A64EE">
        <w:rPr>
          <w:rFonts w:ascii="Symbol" w:hAnsi="Symbol"/>
        </w:rPr>
        <w:t></w:t>
      </w:r>
      <w:r w:rsidRPr="006A64EE">
        <w:rPr>
          <w:rFonts w:ascii="Symbol" w:hAnsi="Symbol"/>
        </w:rPr>
        <w:tab/>
      </w:r>
      <w:r w:rsidRPr="006A64EE">
        <w:t>Leberenzymabweichungen</w:t>
      </w:r>
    </w:p>
    <w:p w14:paraId="7EFF9B27" w14:textId="3C9E3E57" w:rsidR="002D5756" w:rsidRPr="006A64EE" w:rsidRDefault="002D5756" w:rsidP="004255F8">
      <w:pPr>
        <w:pStyle w:val="a3"/>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18"/>
        <w:gridCol w:w="7145"/>
      </w:tblGrid>
      <w:tr w:rsidR="00593482" w:rsidRPr="006A64EE" w14:paraId="16CC312F" w14:textId="77777777" w:rsidTr="002856D0">
        <w:trPr>
          <w:tblHeader/>
        </w:trPr>
        <w:tc>
          <w:tcPr>
            <w:tcW w:w="1918" w:type="dxa"/>
          </w:tcPr>
          <w:p w14:paraId="2EF02A38" w14:textId="77777777" w:rsidR="002D5756" w:rsidRPr="00E303AE" w:rsidRDefault="009C2544" w:rsidP="001101F8">
            <w:pPr>
              <w:pStyle w:val="TableParagraph"/>
              <w:widowControl/>
              <w:suppressAutoHyphens/>
              <w:jc w:val="center"/>
              <w:rPr>
                <w:b/>
                <w:bCs/>
              </w:rPr>
            </w:pPr>
            <w:r w:rsidRPr="00E303AE">
              <w:rPr>
                <w:b/>
                <w:bCs/>
              </w:rPr>
              <w:t>Laborwert</w:t>
            </w:r>
          </w:p>
        </w:tc>
        <w:tc>
          <w:tcPr>
            <w:tcW w:w="7145" w:type="dxa"/>
          </w:tcPr>
          <w:p w14:paraId="4E907458" w14:textId="77777777" w:rsidR="002D5756" w:rsidRPr="00E303AE" w:rsidRDefault="009C2544" w:rsidP="001101F8">
            <w:pPr>
              <w:pStyle w:val="TableParagraph"/>
              <w:widowControl/>
              <w:suppressAutoHyphens/>
              <w:jc w:val="center"/>
              <w:rPr>
                <w:b/>
                <w:bCs/>
              </w:rPr>
            </w:pPr>
            <w:r w:rsidRPr="00E303AE">
              <w:rPr>
                <w:b/>
                <w:bCs/>
              </w:rPr>
              <w:t>Vorgehen</w:t>
            </w:r>
          </w:p>
        </w:tc>
      </w:tr>
      <w:tr w:rsidR="00593482" w:rsidRPr="006A64EE" w14:paraId="2E2C786A" w14:textId="77777777" w:rsidTr="002856D0">
        <w:trPr>
          <w:cantSplit/>
        </w:trPr>
        <w:tc>
          <w:tcPr>
            <w:tcW w:w="1918" w:type="dxa"/>
          </w:tcPr>
          <w:p w14:paraId="14C7F47C" w14:textId="6C0C6191" w:rsidR="002D5756" w:rsidRPr="006A64EE" w:rsidRDefault="009C2544" w:rsidP="004255F8">
            <w:pPr>
              <w:pStyle w:val="TableParagraph"/>
              <w:widowControl/>
              <w:suppressAutoHyphens/>
            </w:pPr>
            <w:r w:rsidRPr="006A64EE">
              <w:t>&gt; 1 bis 3 x oberer Normalwert (ULN</w:t>
            </w:r>
            <w:r w:rsidR="002856D0" w:rsidRPr="006A64EE">
              <w:t xml:space="preserve"> </w:t>
            </w:r>
            <w:r w:rsidRPr="006A64EE">
              <w:t>= Upper Limit of Normal)</w:t>
            </w:r>
          </w:p>
        </w:tc>
        <w:tc>
          <w:tcPr>
            <w:tcW w:w="7145" w:type="dxa"/>
          </w:tcPr>
          <w:p w14:paraId="726675C8" w14:textId="77777777" w:rsidR="00093A5E" w:rsidRPr="006A64EE" w:rsidRDefault="009C2544" w:rsidP="004255F8">
            <w:pPr>
              <w:pStyle w:val="TableParagraph"/>
              <w:widowControl/>
              <w:suppressAutoHyphens/>
            </w:pPr>
            <w:r w:rsidRPr="006A64EE">
              <w:t>Dosisanpassung der gleichzeitig verabreichten DMARDs (RA) oder immunmodulatorischen Wirkstoffe (RZA), falls angemessen.</w:t>
            </w:r>
          </w:p>
          <w:p w14:paraId="5FC15C7C" w14:textId="77777777" w:rsidR="00093A5E" w:rsidRPr="006A64EE" w:rsidRDefault="00093A5E" w:rsidP="004255F8">
            <w:pPr>
              <w:pStyle w:val="TableParagraph"/>
              <w:widowControl/>
              <w:suppressAutoHyphens/>
            </w:pPr>
          </w:p>
          <w:p w14:paraId="37096157" w14:textId="7E2BBEE8" w:rsidR="00093A5E" w:rsidRPr="006A64EE" w:rsidRDefault="009C2544" w:rsidP="004255F8">
            <w:pPr>
              <w:pStyle w:val="TableParagraph"/>
              <w:widowControl/>
              <w:suppressAutoHyphens/>
            </w:pPr>
            <w:r w:rsidRPr="006A64EE">
              <w:t xml:space="preserve">Im Falle anhaltender Erhöhungen innerhalb dieser Bandbreite, Häufigkeit der Dosis der </w:t>
            </w:r>
            <w:r w:rsidR="00F964F2">
              <w:t>Avtozma-</w:t>
            </w:r>
            <w:r w:rsidRPr="006A64EE">
              <w:t xml:space="preserve">Injektion auf einmal alle zwei Wochen verringern oder Unterbrechung von </w:t>
            </w:r>
            <w:r w:rsidR="00F964F2">
              <w:t>Avtozma</w:t>
            </w:r>
            <w:r w:rsidRPr="006A64EE">
              <w:t>, bis sich Alaninaminotransferase (ALAT) oder Aspartataminotransferase (ASAT) normalisiert haben.</w:t>
            </w:r>
          </w:p>
          <w:p w14:paraId="7DE8174D" w14:textId="77777777" w:rsidR="00093A5E" w:rsidRPr="006A64EE" w:rsidRDefault="00093A5E" w:rsidP="004255F8">
            <w:pPr>
              <w:pStyle w:val="TableParagraph"/>
              <w:widowControl/>
              <w:suppressAutoHyphens/>
            </w:pPr>
          </w:p>
          <w:p w14:paraId="55B2246E" w14:textId="77777777" w:rsidR="002D5756" w:rsidRPr="006A64EE" w:rsidRDefault="009C2544" w:rsidP="004255F8">
            <w:pPr>
              <w:pStyle w:val="TableParagraph"/>
              <w:widowControl/>
              <w:suppressAutoHyphens/>
            </w:pPr>
            <w:r w:rsidRPr="006A64EE">
              <w:t>Neubeginn mit wöchentlicher Injektion oder einmal alle zwei Wochen, wie klinisch angemessen.</w:t>
            </w:r>
          </w:p>
        </w:tc>
      </w:tr>
      <w:tr w:rsidR="00593482" w:rsidRPr="006A64EE" w14:paraId="15CC3705" w14:textId="77777777" w:rsidTr="002856D0">
        <w:trPr>
          <w:cantSplit/>
        </w:trPr>
        <w:tc>
          <w:tcPr>
            <w:tcW w:w="1918" w:type="dxa"/>
          </w:tcPr>
          <w:p w14:paraId="7B1435EC" w14:textId="77777777" w:rsidR="002D5756" w:rsidRPr="006A64EE" w:rsidRDefault="009C2544" w:rsidP="004255F8">
            <w:pPr>
              <w:pStyle w:val="TableParagraph"/>
              <w:widowControl/>
              <w:suppressAutoHyphens/>
            </w:pPr>
            <w:r w:rsidRPr="006A64EE">
              <w:t>&gt; 3 bis 5 x ULN</w:t>
            </w:r>
          </w:p>
        </w:tc>
        <w:tc>
          <w:tcPr>
            <w:tcW w:w="7145" w:type="dxa"/>
          </w:tcPr>
          <w:p w14:paraId="7289B9B8" w14:textId="6F47B640" w:rsidR="00093A5E" w:rsidRPr="006A64EE" w:rsidRDefault="009C2544" w:rsidP="004255F8">
            <w:pPr>
              <w:pStyle w:val="TableParagraph"/>
              <w:widowControl/>
              <w:suppressAutoHyphens/>
            </w:pPr>
            <w:r w:rsidRPr="006A64EE">
              <w:t xml:space="preserve">Unterbrechung der Anwendung von </w:t>
            </w:r>
            <w:r w:rsidR="00F964F2">
              <w:t>Avtozma</w:t>
            </w:r>
            <w:r w:rsidRPr="006A64EE">
              <w:t xml:space="preserve"> bis &lt; 3 x ULN und Befolgen der obenstehenden Empfehlungen für Werte &gt; 1 bis 3 x ULN.</w:t>
            </w:r>
          </w:p>
          <w:p w14:paraId="28A6B517" w14:textId="77777777" w:rsidR="00093A5E" w:rsidRPr="006A64EE" w:rsidRDefault="00093A5E" w:rsidP="004255F8">
            <w:pPr>
              <w:pStyle w:val="TableParagraph"/>
              <w:widowControl/>
              <w:suppressAutoHyphens/>
            </w:pPr>
          </w:p>
          <w:p w14:paraId="42CB8C25" w14:textId="2D27ABB7" w:rsidR="002D5756" w:rsidRPr="006A64EE" w:rsidRDefault="009C2544" w:rsidP="004255F8">
            <w:pPr>
              <w:pStyle w:val="TableParagraph"/>
              <w:widowControl/>
              <w:suppressAutoHyphens/>
            </w:pPr>
            <w:r w:rsidRPr="006A64EE">
              <w:t xml:space="preserve">Bei anhaltenden Erhöhungen von &gt; 3 x ULN (bestätigt durch wiederholte Untersuchung, siehe Abschnitt 4.4), Absetzen von </w:t>
            </w:r>
            <w:r w:rsidR="00F964F2">
              <w:t>Avtozma</w:t>
            </w:r>
            <w:r w:rsidRPr="006A64EE">
              <w:t>.</w:t>
            </w:r>
          </w:p>
        </w:tc>
      </w:tr>
      <w:tr w:rsidR="00593482" w:rsidRPr="006A64EE" w14:paraId="40ABD63A" w14:textId="77777777" w:rsidTr="002856D0">
        <w:trPr>
          <w:cantSplit/>
        </w:trPr>
        <w:tc>
          <w:tcPr>
            <w:tcW w:w="1918" w:type="dxa"/>
          </w:tcPr>
          <w:p w14:paraId="56676A8B" w14:textId="77777777" w:rsidR="002D5756" w:rsidRPr="006A64EE" w:rsidRDefault="009C2544" w:rsidP="004255F8">
            <w:pPr>
              <w:pStyle w:val="TableParagraph"/>
              <w:widowControl/>
              <w:suppressAutoHyphens/>
            </w:pPr>
            <w:r w:rsidRPr="006A64EE">
              <w:t>&gt; 5 x ULN</w:t>
            </w:r>
          </w:p>
        </w:tc>
        <w:tc>
          <w:tcPr>
            <w:tcW w:w="7145" w:type="dxa"/>
          </w:tcPr>
          <w:p w14:paraId="586F4B62" w14:textId="65F345B3" w:rsidR="002D5756" w:rsidRPr="006A64EE" w:rsidRDefault="009C2544" w:rsidP="004255F8">
            <w:pPr>
              <w:pStyle w:val="TableParagraph"/>
              <w:widowControl/>
              <w:suppressAutoHyphens/>
            </w:pPr>
            <w:r w:rsidRPr="006A64EE">
              <w:t xml:space="preserve">Absetzen von </w:t>
            </w:r>
            <w:r w:rsidR="00F964F2">
              <w:t>Avtozma</w:t>
            </w:r>
          </w:p>
        </w:tc>
      </w:tr>
    </w:tbl>
    <w:p w14:paraId="1E7E06E7" w14:textId="77777777" w:rsidR="00093A5E" w:rsidRPr="006A64EE" w:rsidRDefault="00093A5E" w:rsidP="004255F8">
      <w:pPr>
        <w:pStyle w:val="bullet"/>
      </w:pPr>
    </w:p>
    <w:p w14:paraId="79BE1450"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Niedrige absolute Anzahl neutrophiler Granulozyten (ANC = Absolute Neutrophil Count)</w:t>
      </w:r>
    </w:p>
    <w:p w14:paraId="0C1E3C8C" w14:textId="77777777" w:rsidR="00093A5E" w:rsidRPr="006A64EE" w:rsidRDefault="00093A5E" w:rsidP="004255F8">
      <w:pPr>
        <w:pStyle w:val="a3"/>
        <w:widowControl/>
      </w:pPr>
    </w:p>
    <w:p w14:paraId="122CF028" w14:textId="40C5C309" w:rsidR="00093A5E" w:rsidRPr="006A64EE" w:rsidRDefault="009C2544" w:rsidP="004255F8">
      <w:pPr>
        <w:pStyle w:val="a3"/>
        <w:widowControl/>
      </w:pPr>
      <w:r w:rsidRPr="006A64EE">
        <w:t xml:space="preserve">Bei Patienten, die noch nicht mit </w:t>
      </w:r>
      <w:r w:rsidR="00F964F2">
        <w:t>Tocilizumab</w:t>
      </w:r>
      <w:r w:rsidRPr="006A64EE">
        <w:t xml:space="preserve"> behandelt wurden und eine absolute Neutrophilenzahl (ANC) von weniger als 2 x 10</w:t>
      </w:r>
      <w:r w:rsidRPr="006A64EE">
        <w:rPr>
          <w:vertAlign w:val="superscript"/>
        </w:rPr>
        <w:t>9</w:t>
      </w:r>
      <w:r w:rsidRPr="006A64EE">
        <w:t>/l aufweisen, wird ein Beginn der Behandlung nicht empfohlen.</w:t>
      </w:r>
    </w:p>
    <w:p w14:paraId="2E1D131E" w14:textId="7F058785" w:rsidR="002D5756" w:rsidRPr="006A64EE" w:rsidRDefault="002D5756" w:rsidP="004255F8">
      <w:pPr>
        <w:pStyle w:val="a3"/>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80"/>
        <w:gridCol w:w="7082"/>
      </w:tblGrid>
      <w:tr w:rsidR="00593482" w:rsidRPr="006A64EE" w14:paraId="351487B4" w14:textId="77777777" w:rsidTr="002856D0">
        <w:trPr>
          <w:tblHeader/>
        </w:trPr>
        <w:tc>
          <w:tcPr>
            <w:tcW w:w="1980" w:type="dxa"/>
          </w:tcPr>
          <w:p w14:paraId="5ED3F15C" w14:textId="7F184F5A" w:rsidR="00FB6898" w:rsidRDefault="009C2544" w:rsidP="001101F8">
            <w:pPr>
              <w:pStyle w:val="TableParagraph"/>
              <w:widowControl/>
              <w:suppressAutoHyphens/>
              <w:jc w:val="center"/>
              <w:rPr>
                <w:b/>
                <w:bCs/>
              </w:rPr>
            </w:pPr>
            <w:r w:rsidRPr="00E303AE">
              <w:rPr>
                <w:b/>
                <w:bCs/>
              </w:rPr>
              <w:t>Laborwert</w:t>
            </w:r>
          </w:p>
          <w:p w14:paraId="2C7335D9" w14:textId="62A93930" w:rsidR="002D5756" w:rsidRPr="00E303AE" w:rsidRDefault="009C2544" w:rsidP="001101F8">
            <w:pPr>
              <w:pStyle w:val="TableParagraph"/>
              <w:widowControl/>
              <w:suppressAutoHyphens/>
              <w:jc w:val="center"/>
              <w:rPr>
                <w:b/>
                <w:bCs/>
              </w:rPr>
            </w:pPr>
            <w:r w:rsidRPr="00E303AE">
              <w:rPr>
                <w:b/>
                <w:bCs/>
              </w:rPr>
              <w:t>(Zellen x 10</w:t>
            </w:r>
            <w:r w:rsidRPr="00E303AE">
              <w:rPr>
                <w:b/>
                <w:bCs/>
                <w:vertAlign w:val="superscript"/>
              </w:rPr>
              <w:t>9</w:t>
            </w:r>
            <w:r w:rsidRPr="00E303AE">
              <w:rPr>
                <w:b/>
                <w:bCs/>
              </w:rPr>
              <w:t>/l)</w:t>
            </w:r>
          </w:p>
        </w:tc>
        <w:tc>
          <w:tcPr>
            <w:tcW w:w="7082" w:type="dxa"/>
          </w:tcPr>
          <w:p w14:paraId="5AE59867" w14:textId="77777777" w:rsidR="002D5756" w:rsidRPr="00E303AE" w:rsidRDefault="009C2544" w:rsidP="001101F8">
            <w:pPr>
              <w:pStyle w:val="TableParagraph"/>
              <w:widowControl/>
              <w:suppressAutoHyphens/>
              <w:jc w:val="center"/>
              <w:rPr>
                <w:b/>
                <w:bCs/>
              </w:rPr>
            </w:pPr>
            <w:r w:rsidRPr="00E303AE">
              <w:rPr>
                <w:b/>
                <w:bCs/>
              </w:rPr>
              <w:t>Vorgehen</w:t>
            </w:r>
          </w:p>
        </w:tc>
      </w:tr>
      <w:tr w:rsidR="00593482" w:rsidRPr="006A64EE" w14:paraId="21984367" w14:textId="77777777" w:rsidTr="002856D0">
        <w:trPr>
          <w:cantSplit/>
        </w:trPr>
        <w:tc>
          <w:tcPr>
            <w:tcW w:w="1980" w:type="dxa"/>
          </w:tcPr>
          <w:p w14:paraId="6FA6C786" w14:textId="77777777" w:rsidR="002D5756" w:rsidRPr="006A64EE" w:rsidRDefault="009C2544" w:rsidP="004255F8">
            <w:pPr>
              <w:pStyle w:val="TableParagraph"/>
              <w:widowControl/>
              <w:suppressAutoHyphens/>
            </w:pPr>
            <w:r w:rsidRPr="006A64EE">
              <w:t>ANC &gt; 1</w:t>
            </w:r>
          </w:p>
        </w:tc>
        <w:tc>
          <w:tcPr>
            <w:tcW w:w="7082" w:type="dxa"/>
          </w:tcPr>
          <w:p w14:paraId="6C41564A" w14:textId="77777777" w:rsidR="002D5756" w:rsidRPr="006A64EE" w:rsidRDefault="009C2544" w:rsidP="004255F8">
            <w:pPr>
              <w:pStyle w:val="TableParagraph"/>
              <w:widowControl/>
              <w:suppressAutoHyphens/>
            </w:pPr>
            <w:r w:rsidRPr="006A64EE">
              <w:t>Dosis beibehalten</w:t>
            </w:r>
          </w:p>
        </w:tc>
      </w:tr>
      <w:tr w:rsidR="00593482" w:rsidRPr="006A64EE" w14:paraId="7CB364DA" w14:textId="77777777" w:rsidTr="002856D0">
        <w:trPr>
          <w:cantSplit/>
        </w:trPr>
        <w:tc>
          <w:tcPr>
            <w:tcW w:w="1980" w:type="dxa"/>
          </w:tcPr>
          <w:p w14:paraId="695E9D42" w14:textId="77777777" w:rsidR="002D5756" w:rsidRPr="006A64EE" w:rsidRDefault="009C2544" w:rsidP="004255F8">
            <w:pPr>
              <w:pStyle w:val="TableParagraph"/>
              <w:widowControl/>
              <w:suppressAutoHyphens/>
            </w:pPr>
            <w:r w:rsidRPr="006A64EE">
              <w:t>ANC 0,5 bis 1</w:t>
            </w:r>
          </w:p>
        </w:tc>
        <w:tc>
          <w:tcPr>
            <w:tcW w:w="7082" w:type="dxa"/>
          </w:tcPr>
          <w:p w14:paraId="3A3AB2B5" w14:textId="7DD81665" w:rsidR="00093A5E" w:rsidRPr="006A64EE" w:rsidRDefault="009C2544" w:rsidP="004255F8">
            <w:pPr>
              <w:pStyle w:val="TableParagraph"/>
              <w:widowControl/>
              <w:suppressAutoHyphens/>
            </w:pPr>
            <w:r w:rsidRPr="006A64EE">
              <w:t xml:space="preserve">Unterbrechung der Anwendung von </w:t>
            </w:r>
            <w:r w:rsidR="00F964F2">
              <w:t>Avtozma</w:t>
            </w:r>
          </w:p>
          <w:p w14:paraId="78E6ADA1" w14:textId="77777777" w:rsidR="00093A5E" w:rsidRPr="006A64EE" w:rsidRDefault="00093A5E" w:rsidP="004255F8">
            <w:pPr>
              <w:pStyle w:val="TableParagraph"/>
              <w:widowControl/>
              <w:suppressAutoHyphens/>
            </w:pPr>
          </w:p>
          <w:p w14:paraId="0DAE8F12" w14:textId="65E010A2" w:rsidR="002D5756" w:rsidRPr="006A64EE" w:rsidRDefault="009C2544" w:rsidP="004255F8">
            <w:pPr>
              <w:pStyle w:val="TableParagraph"/>
              <w:widowControl/>
              <w:suppressAutoHyphens/>
            </w:pPr>
            <w:r w:rsidRPr="006A64EE">
              <w:t>Wenn die ANC auf &gt; 1 x 10</w:t>
            </w:r>
            <w:r w:rsidRPr="006A64EE">
              <w:rPr>
                <w:vertAlign w:val="superscript"/>
              </w:rPr>
              <w:t>9</w:t>
            </w:r>
            <w:r w:rsidRPr="006A64EE">
              <w:t xml:space="preserve">/l ansteigt, Wiederaufnahme der Anwendung von </w:t>
            </w:r>
            <w:r w:rsidR="00F964F2">
              <w:t>Avtozma</w:t>
            </w:r>
            <w:r w:rsidRPr="006A64EE">
              <w:t xml:space="preserve"> alle zwei Wochen und Steigerung auf wöchentliche Injektion, wie klinisch angemessen.</w:t>
            </w:r>
          </w:p>
        </w:tc>
      </w:tr>
      <w:tr w:rsidR="00593482" w:rsidRPr="006A64EE" w14:paraId="7A9E98B6" w14:textId="77777777" w:rsidTr="002856D0">
        <w:trPr>
          <w:cantSplit/>
        </w:trPr>
        <w:tc>
          <w:tcPr>
            <w:tcW w:w="1980" w:type="dxa"/>
          </w:tcPr>
          <w:p w14:paraId="0930EBB2" w14:textId="77777777" w:rsidR="002D5756" w:rsidRPr="006A64EE" w:rsidRDefault="009C2544" w:rsidP="004255F8">
            <w:pPr>
              <w:pStyle w:val="TableParagraph"/>
              <w:widowControl/>
              <w:suppressAutoHyphens/>
            </w:pPr>
            <w:r w:rsidRPr="006A64EE">
              <w:t>ANC &lt; 0,5</w:t>
            </w:r>
          </w:p>
        </w:tc>
        <w:tc>
          <w:tcPr>
            <w:tcW w:w="7082" w:type="dxa"/>
          </w:tcPr>
          <w:p w14:paraId="34CEBFBE" w14:textId="5FEAFF13" w:rsidR="002D5756" w:rsidRPr="006A64EE" w:rsidRDefault="009C2544" w:rsidP="004255F8">
            <w:pPr>
              <w:pStyle w:val="TableParagraph"/>
              <w:widowControl/>
              <w:suppressAutoHyphens/>
            </w:pPr>
            <w:r w:rsidRPr="006A64EE">
              <w:t xml:space="preserve">Absetzen von </w:t>
            </w:r>
            <w:r w:rsidR="00F964F2">
              <w:t>Avtozma</w:t>
            </w:r>
          </w:p>
        </w:tc>
      </w:tr>
    </w:tbl>
    <w:p w14:paraId="449FFE90" w14:textId="77777777" w:rsidR="00093A5E" w:rsidRPr="006A64EE" w:rsidRDefault="00093A5E" w:rsidP="004255F8">
      <w:pPr>
        <w:widowControl/>
      </w:pPr>
    </w:p>
    <w:p w14:paraId="12B728BE" w14:textId="77777777" w:rsidR="00093A5E" w:rsidRPr="006A64EE" w:rsidRDefault="007D680A" w:rsidP="00E303AE">
      <w:pPr>
        <w:pStyle w:val="a4"/>
        <w:keepNext/>
        <w:widowControl/>
        <w:numPr>
          <w:ilvl w:val="0"/>
          <w:numId w:val="48"/>
        </w:numPr>
        <w:ind w:left="567" w:hanging="567"/>
      </w:pPr>
      <w:r w:rsidRPr="006A64EE">
        <w:lastRenderedPageBreak/>
        <w:t>Niedrige Thrombozytenanzahl</w:t>
      </w:r>
    </w:p>
    <w:p w14:paraId="778F71E8" w14:textId="48F5A491" w:rsidR="002D5756" w:rsidRPr="006A64EE" w:rsidRDefault="002D5756" w:rsidP="004255F8">
      <w:pPr>
        <w:pStyle w:val="a3"/>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80"/>
        <w:gridCol w:w="7082"/>
      </w:tblGrid>
      <w:tr w:rsidR="00593482" w:rsidRPr="006A64EE" w14:paraId="310315FC" w14:textId="77777777" w:rsidTr="002856D0">
        <w:trPr>
          <w:tblHeader/>
        </w:trPr>
        <w:tc>
          <w:tcPr>
            <w:tcW w:w="1980" w:type="dxa"/>
          </w:tcPr>
          <w:p w14:paraId="6F923B25" w14:textId="1103CC45" w:rsidR="00FB6898" w:rsidRDefault="009C2544" w:rsidP="001101F8">
            <w:pPr>
              <w:pStyle w:val="TableParagraph"/>
              <w:widowControl/>
              <w:suppressAutoHyphens/>
              <w:jc w:val="center"/>
              <w:rPr>
                <w:b/>
                <w:bCs/>
              </w:rPr>
            </w:pPr>
            <w:r w:rsidRPr="00E303AE">
              <w:rPr>
                <w:b/>
                <w:bCs/>
              </w:rPr>
              <w:t>Laborwert</w:t>
            </w:r>
          </w:p>
          <w:p w14:paraId="5511DA79" w14:textId="1CE746C2" w:rsidR="002D5756" w:rsidRPr="00E303AE" w:rsidRDefault="009C2544" w:rsidP="001101F8">
            <w:pPr>
              <w:pStyle w:val="TableParagraph"/>
              <w:widowControl/>
              <w:suppressAutoHyphens/>
              <w:jc w:val="center"/>
              <w:rPr>
                <w:b/>
                <w:bCs/>
              </w:rPr>
            </w:pPr>
            <w:r w:rsidRPr="00E303AE">
              <w:rPr>
                <w:b/>
                <w:bCs/>
              </w:rPr>
              <w:t>(Zellen x 10</w:t>
            </w:r>
            <w:r w:rsidRPr="00E303AE">
              <w:rPr>
                <w:b/>
                <w:bCs/>
                <w:vertAlign w:val="superscript"/>
              </w:rPr>
              <w:t>3</w:t>
            </w:r>
            <w:r w:rsidRPr="00E303AE">
              <w:rPr>
                <w:b/>
                <w:bCs/>
              </w:rPr>
              <w:t>/µl)</w:t>
            </w:r>
          </w:p>
        </w:tc>
        <w:tc>
          <w:tcPr>
            <w:tcW w:w="7082" w:type="dxa"/>
          </w:tcPr>
          <w:p w14:paraId="28F74447" w14:textId="77777777" w:rsidR="002D5756" w:rsidRPr="00E303AE" w:rsidRDefault="009C2544" w:rsidP="001101F8">
            <w:pPr>
              <w:pStyle w:val="TableParagraph"/>
              <w:widowControl/>
              <w:suppressAutoHyphens/>
              <w:jc w:val="center"/>
              <w:rPr>
                <w:b/>
                <w:bCs/>
              </w:rPr>
            </w:pPr>
            <w:r w:rsidRPr="00E303AE">
              <w:rPr>
                <w:b/>
                <w:bCs/>
              </w:rPr>
              <w:t>Vorgehen</w:t>
            </w:r>
          </w:p>
        </w:tc>
      </w:tr>
      <w:tr w:rsidR="00593482" w:rsidRPr="006A64EE" w14:paraId="145192E0" w14:textId="77777777" w:rsidTr="002856D0">
        <w:trPr>
          <w:cantSplit/>
        </w:trPr>
        <w:tc>
          <w:tcPr>
            <w:tcW w:w="1980" w:type="dxa"/>
          </w:tcPr>
          <w:p w14:paraId="5E6F353E" w14:textId="77777777" w:rsidR="002D5756" w:rsidRPr="006A64EE" w:rsidRDefault="009C2544" w:rsidP="004255F8">
            <w:pPr>
              <w:pStyle w:val="TableParagraph"/>
              <w:widowControl/>
              <w:suppressAutoHyphens/>
            </w:pPr>
            <w:r w:rsidRPr="006A64EE">
              <w:t>50 bis 100</w:t>
            </w:r>
          </w:p>
        </w:tc>
        <w:tc>
          <w:tcPr>
            <w:tcW w:w="7082" w:type="dxa"/>
          </w:tcPr>
          <w:p w14:paraId="59DC0E2F" w14:textId="55486F24" w:rsidR="00093A5E" w:rsidRPr="006A64EE" w:rsidRDefault="009C2544" w:rsidP="004255F8">
            <w:pPr>
              <w:pStyle w:val="TableParagraph"/>
              <w:widowControl/>
              <w:suppressAutoHyphens/>
            </w:pPr>
            <w:r w:rsidRPr="006A64EE">
              <w:t xml:space="preserve">Unterbrechung der Anwendung von </w:t>
            </w:r>
            <w:r w:rsidR="00F964F2">
              <w:t>Avtozma</w:t>
            </w:r>
          </w:p>
          <w:p w14:paraId="6A1916C9" w14:textId="77777777" w:rsidR="00093A5E" w:rsidRPr="006A64EE" w:rsidRDefault="00093A5E" w:rsidP="004255F8">
            <w:pPr>
              <w:pStyle w:val="TableParagraph"/>
              <w:widowControl/>
              <w:suppressAutoHyphens/>
            </w:pPr>
          </w:p>
          <w:p w14:paraId="098A28F2" w14:textId="56DC9FDA" w:rsidR="002D5756" w:rsidRPr="006A64EE" w:rsidRDefault="009C2544" w:rsidP="004255F8">
            <w:pPr>
              <w:pStyle w:val="TableParagraph"/>
              <w:widowControl/>
              <w:suppressAutoHyphens/>
            </w:pPr>
            <w:r w:rsidRPr="006A64EE">
              <w:t>Wenn die Thrombozytenanzahl auf &gt; 100 x 10</w:t>
            </w:r>
            <w:r w:rsidRPr="006A64EE">
              <w:rPr>
                <w:vertAlign w:val="superscript"/>
              </w:rPr>
              <w:t>3</w:t>
            </w:r>
            <w:r w:rsidRPr="006A64EE">
              <w:t xml:space="preserve">/µl ansteigt, Wiederaufnahme der Anwendung von </w:t>
            </w:r>
            <w:r w:rsidR="00F964F2">
              <w:t>Avtozma</w:t>
            </w:r>
            <w:r w:rsidRPr="006A64EE">
              <w:t xml:space="preserve"> alle zwei Wochen und Steigerung auf wöchentliche Injektion, wie klinisch angemessen.</w:t>
            </w:r>
          </w:p>
        </w:tc>
      </w:tr>
      <w:tr w:rsidR="00593482" w:rsidRPr="006A64EE" w14:paraId="70384D45" w14:textId="77777777" w:rsidTr="002856D0">
        <w:trPr>
          <w:cantSplit/>
        </w:trPr>
        <w:tc>
          <w:tcPr>
            <w:tcW w:w="1980" w:type="dxa"/>
          </w:tcPr>
          <w:p w14:paraId="187C4F61" w14:textId="77777777" w:rsidR="002D5756" w:rsidRPr="006A64EE" w:rsidRDefault="009C2544" w:rsidP="004255F8">
            <w:pPr>
              <w:pStyle w:val="TableParagraph"/>
              <w:widowControl/>
              <w:suppressAutoHyphens/>
            </w:pPr>
            <w:r w:rsidRPr="006A64EE">
              <w:t>&lt; 50</w:t>
            </w:r>
          </w:p>
        </w:tc>
        <w:tc>
          <w:tcPr>
            <w:tcW w:w="7082" w:type="dxa"/>
          </w:tcPr>
          <w:p w14:paraId="73FDF1F6" w14:textId="68ED5DFC" w:rsidR="002D5756" w:rsidRPr="006A64EE" w:rsidRDefault="009C2544" w:rsidP="004255F8">
            <w:pPr>
              <w:pStyle w:val="TableParagraph"/>
              <w:widowControl/>
              <w:suppressAutoHyphens/>
            </w:pPr>
            <w:r w:rsidRPr="006A64EE">
              <w:t xml:space="preserve">Absetzen von </w:t>
            </w:r>
            <w:r w:rsidR="00F964F2">
              <w:t>Avtozma</w:t>
            </w:r>
          </w:p>
        </w:tc>
      </w:tr>
    </w:tbl>
    <w:p w14:paraId="5F8C0492" w14:textId="77777777" w:rsidR="00093A5E" w:rsidRPr="006A64EE" w:rsidRDefault="00093A5E" w:rsidP="004255F8">
      <w:pPr>
        <w:pStyle w:val="a3"/>
        <w:widowControl/>
        <w:rPr>
          <w:u w:val="single"/>
        </w:rPr>
      </w:pPr>
    </w:p>
    <w:p w14:paraId="7E737D99" w14:textId="77777777" w:rsidR="00093A5E" w:rsidRPr="00E303AE" w:rsidRDefault="009C2544" w:rsidP="004255F8">
      <w:pPr>
        <w:pStyle w:val="a3"/>
        <w:widowControl/>
        <w:rPr>
          <w:u w:val="single"/>
        </w:rPr>
      </w:pPr>
      <w:r w:rsidRPr="00E303AE">
        <w:rPr>
          <w:u w:val="single"/>
        </w:rPr>
        <w:t xml:space="preserve">RA und RZA </w:t>
      </w:r>
    </w:p>
    <w:p w14:paraId="186550E9" w14:textId="77777777" w:rsidR="00093A5E" w:rsidRPr="00E303AE" w:rsidRDefault="009C2544" w:rsidP="004255F8">
      <w:pPr>
        <w:pStyle w:val="a3"/>
        <w:widowControl/>
        <w:rPr>
          <w:u w:val="single"/>
        </w:rPr>
      </w:pPr>
      <w:r w:rsidRPr="00E303AE">
        <w:rPr>
          <w:u w:val="single"/>
        </w:rPr>
        <w:t>Versäumte Dosis</w:t>
      </w:r>
    </w:p>
    <w:p w14:paraId="3378A9E3" w14:textId="089EF2E9" w:rsidR="00093A5E" w:rsidRPr="006A64EE" w:rsidRDefault="009C2544" w:rsidP="004255F8">
      <w:pPr>
        <w:pStyle w:val="a3"/>
        <w:widowControl/>
      </w:pPr>
      <w:r w:rsidRPr="006A64EE">
        <w:t xml:space="preserve">Wenn der Patient eine subkutane wöchentliche Injektion von </w:t>
      </w:r>
      <w:r w:rsidR="00F964F2">
        <w:t>Avtozma</w:t>
      </w:r>
      <w:r w:rsidRPr="006A64EE">
        <w:t xml:space="preserve"> um 7 Tage oder weniger versäumt, sollte er/sie angewiesen werden, die versäumte Dosis am nächsten geplanten Termin anzuwenden. Wenn der Patient eine subkutane einmal alle zwei Wochen angewendete Injektion von </w:t>
      </w:r>
      <w:r w:rsidR="00F964F2">
        <w:t>Avtozma</w:t>
      </w:r>
      <w:r w:rsidRPr="006A64EE">
        <w:t xml:space="preserve"> um 7 Tage oder weniger versäumt, sollte er/sie angewiesen werden, die versäumte Dosis sofort und die nächste Dosis am nächsten geplanten Termin anzuwenden.</w:t>
      </w:r>
    </w:p>
    <w:p w14:paraId="371A3E96" w14:textId="77777777" w:rsidR="00093A5E" w:rsidRPr="006A64EE" w:rsidRDefault="00093A5E" w:rsidP="004255F8">
      <w:pPr>
        <w:pStyle w:val="a3"/>
        <w:widowControl/>
      </w:pPr>
    </w:p>
    <w:p w14:paraId="1A74644E" w14:textId="77777777" w:rsidR="00093A5E" w:rsidRPr="00E303AE" w:rsidRDefault="009C2544" w:rsidP="004255F8">
      <w:pPr>
        <w:pStyle w:val="a3"/>
        <w:widowControl/>
        <w:rPr>
          <w:u w:val="single"/>
        </w:rPr>
      </w:pPr>
      <w:r w:rsidRPr="00E303AE">
        <w:rPr>
          <w:u w:val="single"/>
        </w:rPr>
        <w:t>Spezielle Patientengruppen</w:t>
      </w:r>
    </w:p>
    <w:p w14:paraId="7E38BBC8" w14:textId="77777777" w:rsidR="00093A5E" w:rsidRPr="006A64EE" w:rsidRDefault="00093A5E" w:rsidP="004255F8">
      <w:pPr>
        <w:pStyle w:val="a3"/>
        <w:widowControl/>
      </w:pPr>
    </w:p>
    <w:p w14:paraId="58D55B77" w14:textId="77777777" w:rsidR="00093A5E" w:rsidRPr="006A64EE" w:rsidRDefault="009C2544" w:rsidP="004255F8">
      <w:pPr>
        <w:widowControl/>
        <w:rPr>
          <w:i/>
        </w:rPr>
      </w:pPr>
      <w:r w:rsidRPr="006A64EE">
        <w:rPr>
          <w:i/>
        </w:rPr>
        <w:t>Ältere Patienten:</w:t>
      </w:r>
    </w:p>
    <w:p w14:paraId="2E2A0FF6" w14:textId="77777777" w:rsidR="00093A5E" w:rsidRPr="006A64EE" w:rsidRDefault="009C2544" w:rsidP="004255F8">
      <w:pPr>
        <w:pStyle w:val="a3"/>
        <w:widowControl/>
      </w:pPr>
      <w:r w:rsidRPr="006A64EE">
        <w:t>Bei älteren Patienten &gt; 65 Jahre ist keine Dosisanpassung erforderlich.</w:t>
      </w:r>
    </w:p>
    <w:p w14:paraId="1EB30AD0" w14:textId="77777777" w:rsidR="00093A5E" w:rsidRPr="006A64EE" w:rsidRDefault="00093A5E" w:rsidP="004255F8">
      <w:pPr>
        <w:pStyle w:val="a3"/>
        <w:widowControl/>
      </w:pPr>
    </w:p>
    <w:p w14:paraId="3FF5814D" w14:textId="77777777" w:rsidR="00093A5E" w:rsidRPr="006A64EE" w:rsidRDefault="009C2544" w:rsidP="004255F8">
      <w:pPr>
        <w:widowControl/>
        <w:rPr>
          <w:i/>
        </w:rPr>
      </w:pPr>
      <w:r w:rsidRPr="006A64EE">
        <w:rPr>
          <w:i/>
        </w:rPr>
        <w:t>Patienten mit Nierenfunktionsstörungen:</w:t>
      </w:r>
    </w:p>
    <w:p w14:paraId="4674975C" w14:textId="2C61CD88" w:rsidR="00093A5E" w:rsidRPr="006A64EE" w:rsidRDefault="009C2544" w:rsidP="004255F8">
      <w:pPr>
        <w:pStyle w:val="a3"/>
        <w:widowControl/>
      </w:pPr>
      <w:r w:rsidRPr="006A64EE">
        <w:t xml:space="preserve">Bei Patienten mit leichter oder mäßiger Nierenfunktionsstörung ist keine Dosisanpassung erforderlich. </w:t>
      </w:r>
      <w:r w:rsidR="00F964F2">
        <w:t>Avtozma</w:t>
      </w:r>
      <w:r w:rsidR="00F964F2" w:rsidRPr="006A64EE" w:rsidDel="00F964F2">
        <w:t xml:space="preserve"> </w:t>
      </w:r>
      <w:r w:rsidRPr="006A64EE">
        <w:t>wurde bei Patienten mit schwerer Nierenfunktionsstörung nicht untersucht (siehe Abschnitt</w:t>
      </w:r>
      <w:r w:rsidR="00A9112D">
        <w:t> </w:t>
      </w:r>
      <w:r w:rsidRPr="006A64EE">
        <w:t>5.2). Bei diesen Patienten muss die Nierenfunktion engmaschig überwacht werden.</w:t>
      </w:r>
    </w:p>
    <w:p w14:paraId="01DF7247" w14:textId="77777777" w:rsidR="00093A5E" w:rsidRPr="006A64EE" w:rsidRDefault="00093A5E" w:rsidP="004255F8">
      <w:pPr>
        <w:pStyle w:val="a3"/>
        <w:widowControl/>
      </w:pPr>
    </w:p>
    <w:p w14:paraId="6580F7F9" w14:textId="77777777" w:rsidR="00093A5E" w:rsidRPr="006A64EE" w:rsidRDefault="009C2544" w:rsidP="004255F8">
      <w:pPr>
        <w:widowControl/>
        <w:rPr>
          <w:i/>
        </w:rPr>
      </w:pPr>
      <w:r w:rsidRPr="006A64EE">
        <w:rPr>
          <w:i/>
        </w:rPr>
        <w:t>Patienten mit Leberfunktionsstörungen:</w:t>
      </w:r>
    </w:p>
    <w:p w14:paraId="246335A8" w14:textId="35C3FBE7" w:rsidR="00093A5E" w:rsidRPr="006A64EE" w:rsidRDefault="00F964F2" w:rsidP="004255F8">
      <w:pPr>
        <w:pStyle w:val="a3"/>
        <w:widowControl/>
      </w:pPr>
      <w:r>
        <w:t>Avtozma</w:t>
      </w:r>
      <w:r w:rsidR="009C2544" w:rsidRPr="006A64EE">
        <w:t xml:space="preserve"> wurde bei Patienten mit Leberfunktionsstörungen nicht untersucht. Daher kann keine Dosierungsempfehlung gegeben werden.</w:t>
      </w:r>
    </w:p>
    <w:p w14:paraId="0D0E3870" w14:textId="77777777" w:rsidR="00093A5E" w:rsidRPr="006A64EE" w:rsidRDefault="00093A5E" w:rsidP="004255F8">
      <w:pPr>
        <w:pStyle w:val="a3"/>
        <w:widowControl/>
      </w:pPr>
    </w:p>
    <w:p w14:paraId="5ED2687C" w14:textId="77777777" w:rsidR="00093A5E" w:rsidRPr="006A64EE" w:rsidRDefault="009C2544" w:rsidP="004255F8">
      <w:pPr>
        <w:widowControl/>
        <w:rPr>
          <w:i/>
        </w:rPr>
      </w:pPr>
      <w:r w:rsidRPr="006A64EE">
        <w:rPr>
          <w:i/>
        </w:rPr>
        <w:t>Kinder und Jugendliche:</w:t>
      </w:r>
    </w:p>
    <w:p w14:paraId="05DD469E" w14:textId="3AA3A8B5" w:rsidR="00093A5E" w:rsidRPr="006A64EE" w:rsidRDefault="009C2544" w:rsidP="004255F8">
      <w:pPr>
        <w:pStyle w:val="a3"/>
        <w:widowControl/>
      </w:pPr>
      <w:r w:rsidRPr="006A64EE">
        <w:t xml:space="preserve">Die Sicherheit und Wirksamkeit der subkutanen Darreichungsform von </w:t>
      </w:r>
      <w:r w:rsidR="00F964F2">
        <w:t>Avtozma</w:t>
      </w:r>
      <w:r w:rsidRPr="006A64EE">
        <w:t xml:space="preserve"> sind bei Kindern unter 1 Jahr nicht erwiesen. Es liegen keine Daten vor.</w:t>
      </w:r>
    </w:p>
    <w:p w14:paraId="14EAD59F" w14:textId="77777777" w:rsidR="00093A5E" w:rsidRPr="006A64EE" w:rsidRDefault="00093A5E" w:rsidP="004255F8">
      <w:pPr>
        <w:pStyle w:val="a3"/>
        <w:widowControl/>
      </w:pPr>
    </w:p>
    <w:p w14:paraId="1ACD94E9" w14:textId="338BEEC9" w:rsidR="00093A5E" w:rsidRPr="006A64EE" w:rsidRDefault="009C2544" w:rsidP="004255F8">
      <w:pPr>
        <w:pStyle w:val="a3"/>
        <w:widowControl/>
      </w:pPr>
      <w:r w:rsidRPr="006A64EE">
        <w:t xml:space="preserve">Eine Änderung der Dosierung sollte nur bei einer dauerhaften Veränderung des Gewichts des Patienten erfolgen. </w:t>
      </w:r>
      <w:r w:rsidR="00F964F2">
        <w:t>Avtozma</w:t>
      </w:r>
      <w:r w:rsidRPr="006A64EE">
        <w:t xml:space="preserve"> kann allein oder in Kombination mit MTX verabreicht werden.</w:t>
      </w:r>
    </w:p>
    <w:p w14:paraId="5BD67839" w14:textId="77777777" w:rsidR="00093A5E" w:rsidRPr="006A64EE" w:rsidRDefault="00093A5E" w:rsidP="004255F8">
      <w:pPr>
        <w:pStyle w:val="a3"/>
        <w:widowControl/>
      </w:pPr>
    </w:p>
    <w:p w14:paraId="1ADD7FF6" w14:textId="77777777" w:rsidR="00093A5E" w:rsidRPr="006A64EE" w:rsidRDefault="009C2544" w:rsidP="004255F8">
      <w:pPr>
        <w:widowControl/>
        <w:rPr>
          <w:i/>
        </w:rPr>
      </w:pPr>
      <w:r w:rsidRPr="006A64EE">
        <w:rPr>
          <w:i/>
        </w:rPr>
        <w:t>Patienten mit sJIA</w:t>
      </w:r>
    </w:p>
    <w:p w14:paraId="3A8D10DC" w14:textId="77777777" w:rsidR="00093A5E" w:rsidRPr="006A64EE" w:rsidRDefault="009C2544" w:rsidP="004255F8">
      <w:pPr>
        <w:pStyle w:val="a3"/>
        <w:widowControl/>
      </w:pPr>
      <w:r w:rsidRPr="006A64EE">
        <w:t>Die empfohlene Dosierung bei Patienten im Alter von 12 Jahren und älter mit einem Mindestgewicht von 30 kg beträgt 162 mg subkutan einmal pro Woche und bei Patienten, die weniger als 30 kg wiegen, 162 mg subkutan alle 2 Wochen.</w:t>
      </w:r>
    </w:p>
    <w:p w14:paraId="50CCA91A" w14:textId="77777777" w:rsidR="00093A5E" w:rsidRPr="006A64EE" w:rsidRDefault="00093A5E" w:rsidP="004255F8">
      <w:pPr>
        <w:pStyle w:val="a3"/>
        <w:widowControl/>
      </w:pPr>
    </w:p>
    <w:p w14:paraId="105E0F44" w14:textId="77777777" w:rsidR="00093A5E" w:rsidRPr="006A64EE" w:rsidRDefault="009C2544" w:rsidP="004255F8">
      <w:pPr>
        <w:pStyle w:val="a3"/>
        <w:widowControl/>
      </w:pPr>
      <w:r w:rsidRPr="006A64EE">
        <w:t>Der Fertigpen sollte nicht zur Behandlung von Kindern und Jugendlichen &lt; 12 Jahre angewendet werden.</w:t>
      </w:r>
    </w:p>
    <w:p w14:paraId="037C7049" w14:textId="77777777" w:rsidR="00093A5E" w:rsidRPr="006A64EE" w:rsidRDefault="00093A5E" w:rsidP="004255F8">
      <w:pPr>
        <w:pStyle w:val="a3"/>
        <w:widowControl/>
      </w:pPr>
    </w:p>
    <w:p w14:paraId="1E48875E" w14:textId="1A54765B" w:rsidR="00093A5E" w:rsidRPr="006A64EE" w:rsidRDefault="009C2544" w:rsidP="004255F8">
      <w:pPr>
        <w:pStyle w:val="a3"/>
        <w:widowControl/>
      </w:pPr>
      <w:r w:rsidRPr="006A64EE">
        <w:t xml:space="preserve">Patienten müssen ein Körpergewicht von mindestens 10 kg haben, wenn sie mit </w:t>
      </w:r>
      <w:r w:rsidR="00F964F2">
        <w:t>Avtozma</w:t>
      </w:r>
      <w:r w:rsidRPr="006A64EE">
        <w:t xml:space="preserve"> subkutan behandelt werden.</w:t>
      </w:r>
    </w:p>
    <w:p w14:paraId="5F7DD36C" w14:textId="77777777" w:rsidR="00093A5E" w:rsidRPr="006A64EE" w:rsidRDefault="00093A5E" w:rsidP="004255F8">
      <w:pPr>
        <w:pStyle w:val="a3"/>
        <w:widowControl/>
      </w:pPr>
    </w:p>
    <w:p w14:paraId="14940040" w14:textId="77777777" w:rsidR="00093A5E" w:rsidRPr="006A64EE" w:rsidRDefault="009C2544" w:rsidP="004255F8">
      <w:pPr>
        <w:widowControl/>
        <w:rPr>
          <w:i/>
        </w:rPr>
      </w:pPr>
      <w:r w:rsidRPr="006A64EE">
        <w:rPr>
          <w:i/>
        </w:rPr>
        <w:t>Patienten mit pJIA:</w:t>
      </w:r>
    </w:p>
    <w:p w14:paraId="3090AF4A" w14:textId="77777777" w:rsidR="00093A5E" w:rsidRPr="006A64EE" w:rsidRDefault="009C2544" w:rsidP="004255F8">
      <w:pPr>
        <w:pStyle w:val="a3"/>
        <w:widowControl/>
      </w:pPr>
      <w:r w:rsidRPr="006A64EE">
        <w:t>Die empfohlene Dosierung bei Patienten im Alter von 12 Jahren und älter mit einem Mindestgewicht von 30 kg beträgt 162 mg subkutan einmal alle 2 Wochen und bei Patienten, die weniger als 30 kg</w:t>
      </w:r>
      <w:r w:rsidR="00E60B5C" w:rsidRPr="006A64EE">
        <w:t xml:space="preserve"> </w:t>
      </w:r>
      <w:r w:rsidR="007D680A" w:rsidRPr="006A64EE">
        <w:t>wiegen, 162 mg subkutan alle 3 Wochen.</w:t>
      </w:r>
    </w:p>
    <w:p w14:paraId="39A18885" w14:textId="77777777" w:rsidR="00093A5E" w:rsidRPr="006A64EE" w:rsidRDefault="00093A5E" w:rsidP="004255F8">
      <w:pPr>
        <w:pStyle w:val="a3"/>
        <w:widowControl/>
      </w:pPr>
    </w:p>
    <w:p w14:paraId="49860721" w14:textId="77777777" w:rsidR="00093A5E" w:rsidRPr="006A64EE" w:rsidRDefault="009C2544" w:rsidP="004255F8">
      <w:pPr>
        <w:pStyle w:val="a3"/>
        <w:widowControl/>
      </w:pPr>
      <w:r w:rsidRPr="006A64EE">
        <w:t>Der Fertigpen sollte nicht zur Behandlung von Kindern und Jugendlichen &lt; 12 Jahre angewendet werden.</w:t>
      </w:r>
    </w:p>
    <w:p w14:paraId="35CC6331" w14:textId="77777777" w:rsidR="00093A5E" w:rsidRPr="006A64EE" w:rsidRDefault="00093A5E" w:rsidP="004255F8">
      <w:pPr>
        <w:pStyle w:val="a3"/>
        <w:widowControl/>
      </w:pPr>
    </w:p>
    <w:p w14:paraId="6EED7D49" w14:textId="77777777" w:rsidR="00093A5E" w:rsidRPr="006A64EE" w:rsidRDefault="009C2544" w:rsidP="004255F8">
      <w:pPr>
        <w:pStyle w:val="a3"/>
        <w:widowControl/>
      </w:pPr>
      <w:r w:rsidRPr="006A64EE">
        <w:t>Dosisanpassungen aufgrund von Laborauffälligkeiten (sJIA und pJIA)</w:t>
      </w:r>
    </w:p>
    <w:p w14:paraId="27EC3F59" w14:textId="77777777" w:rsidR="00093A5E" w:rsidRPr="006A64EE" w:rsidRDefault="00093A5E" w:rsidP="004255F8">
      <w:pPr>
        <w:pStyle w:val="a3"/>
        <w:widowControl/>
      </w:pPr>
    </w:p>
    <w:p w14:paraId="19DCDA7D" w14:textId="77777777" w:rsidR="00093A5E" w:rsidRPr="006A64EE" w:rsidRDefault="009C2544" w:rsidP="004255F8">
      <w:pPr>
        <w:pStyle w:val="a3"/>
        <w:widowControl/>
      </w:pPr>
      <w:r w:rsidRPr="006A64EE">
        <w:t>Falls angebracht, sollte die Dosierung von gleichzeitig verabreichtem MTX und/oder anderen Arzneimitteln modifiziert oder die Gabe abgebrochen und die Anwendung von Tocilizumab unterbrochen werden, bis die klinische Situation evaluiert wurde. Da es eine Vielzahl an Begleiterkrankungen gibt, die die Laborwerte bei Patienten mit sJIA oder pJIA beeinflussen können, sollte die Entscheidung, Tocilizumab aufgrund abnormaler Laborwerte abzusetzen, auf der Grundlage einer medizinischen Beurteilung des einzelnen Patienten erfolgen.</w:t>
      </w:r>
    </w:p>
    <w:p w14:paraId="48B6A6BB" w14:textId="77777777" w:rsidR="00093A5E" w:rsidRPr="006A64EE" w:rsidRDefault="00093A5E" w:rsidP="004255F8">
      <w:pPr>
        <w:pStyle w:val="a3"/>
        <w:widowControl/>
      </w:pPr>
    </w:p>
    <w:p w14:paraId="53D1B993" w14:textId="77777777" w:rsidR="00093A5E" w:rsidRPr="006A64EE" w:rsidRDefault="0059713A" w:rsidP="001101F8">
      <w:pPr>
        <w:pStyle w:val="bullet"/>
        <w:keepNext/>
      </w:pPr>
      <w:r w:rsidRPr="006A64EE">
        <w:rPr>
          <w:rFonts w:ascii="Symbol" w:hAnsi="Symbol"/>
        </w:rPr>
        <w:t></w:t>
      </w:r>
      <w:r w:rsidRPr="006A64EE">
        <w:rPr>
          <w:rFonts w:ascii="Symbol" w:hAnsi="Symbol"/>
        </w:rPr>
        <w:tab/>
      </w:r>
      <w:r w:rsidRPr="006A64EE">
        <w:t>Leberenzymveränderungen</w:t>
      </w:r>
    </w:p>
    <w:p w14:paraId="10E0145F" w14:textId="22272C0D" w:rsidR="002D5756" w:rsidRPr="006A64EE" w:rsidRDefault="002D5756" w:rsidP="001101F8">
      <w:pPr>
        <w:pStyle w:val="a3"/>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37"/>
        <w:gridCol w:w="7126"/>
      </w:tblGrid>
      <w:tr w:rsidR="00593482" w:rsidRPr="006A64EE" w14:paraId="1905CF3C" w14:textId="77777777" w:rsidTr="002856D0">
        <w:trPr>
          <w:tblHeader/>
        </w:trPr>
        <w:tc>
          <w:tcPr>
            <w:tcW w:w="1937" w:type="dxa"/>
          </w:tcPr>
          <w:p w14:paraId="7F7A3449" w14:textId="77777777" w:rsidR="002D5756" w:rsidRPr="00E303AE" w:rsidRDefault="009C2544" w:rsidP="001101F8">
            <w:pPr>
              <w:pStyle w:val="TableParagraph"/>
              <w:keepNext/>
              <w:widowControl/>
              <w:suppressAutoHyphens/>
              <w:jc w:val="center"/>
              <w:rPr>
                <w:b/>
                <w:bCs/>
              </w:rPr>
            </w:pPr>
            <w:r w:rsidRPr="00E303AE">
              <w:rPr>
                <w:b/>
                <w:bCs/>
              </w:rPr>
              <w:t>Laborwert</w:t>
            </w:r>
          </w:p>
        </w:tc>
        <w:tc>
          <w:tcPr>
            <w:tcW w:w="7126" w:type="dxa"/>
          </w:tcPr>
          <w:p w14:paraId="0E34C211" w14:textId="77777777" w:rsidR="002D5756" w:rsidRPr="00E303AE" w:rsidRDefault="009C2544" w:rsidP="001101F8">
            <w:pPr>
              <w:pStyle w:val="TableParagraph"/>
              <w:keepNext/>
              <w:widowControl/>
              <w:suppressAutoHyphens/>
              <w:jc w:val="center"/>
              <w:rPr>
                <w:b/>
                <w:bCs/>
              </w:rPr>
            </w:pPr>
            <w:r w:rsidRPr="00E303AE">
              <w:rPr>
                <w:b/>
                <w:bCs/>
              </w:rPr>
              <w:t>Vorgehen</w:t>
            </w:r>
          </w:p>
        </w:tc>
      </w:tr>
      <w:tr w:rsidR="00593482" w:rsidRPr="006A64EE" w14:paraId="458CBDAA" w14:textId="77777777" w:rsidTr="002856D0">
        <w:trPr>
          <w:cantSplit/>
        </w:trPr>
        <w:tc>
          <w:tcPr>
            <w:tcW w:w="1937" w:type="dxa"/>
          </w:tcPr>
          <w:p w14:paraId="0EEBE819" w14:textId="77777777" w:rsidR="002D5756" w:rsidRPr="006A64EE" w:rsidRDefault="009C2544" w:rsidP="004255F8">
            <w:pPr>
              <w:pStyle w:val="TableParagraph"/>
              <w:widowControl/>
              <w:suppressAutoHyphens/>
            </w:pPr>
            <w:r w:rsidRPr="006A64EE">
              <w:t>&gt; 1 bis 3 x ULN</w:t>
            </w:r>
          </w:p>
        </w:tc>
        <w:tc>
          <w:tcPr>
            <w:tcW w:w="7126" w:type="dxa"/>
          </w:tcPr>
          <w:p w14:paraId="530A9BCE" w14:textId="77777777" w:rsidR="00093A5E" w:rsidRPr="006A64EE" w:rsidRDefault="009C2544" w:rsidP="004255F8">
            <w:pPr>
              <w:pStyle w:val="TableParagraph"/>
              <w:widowControl/>
              <w:suppressAutoHyphens/>
            </w:pPr>
            <w:r w:rsidRPr="006A64EE">
              <w:t>Dosisanpassung des gleichzeitig verabreichten MTX, falls angemessen</w:t>
            </w:r>
          </w:p>
          <w:p w14:paraId="5907FDDC" w14:textId="77777777" w:rsidR="00093A5E" w:rsidRPr="006A64EE" w:rsidRDefault="00093A5E" w:rsidP="004255F8">
            <w:pPr>
              <w:pStyle w:val="TableParagraph"/>
              <w:widowControl/>
              <w:suppressAutoHyphens/>
            </w:pPr>
          </w:p>
          <w:p w14:paraId="01055B50" w14:textId="354D32A9" w:rsidR="002D5756" w:rsidRPr="006A64EE" w:rsidRDefault="009C2544" w:rsidP="004255F8">
            <w:pPr>
              <w:pStyle w:val="TableParagraph"/>
              <w:widowControl/>
              <w:suppressAutoHyphens/>
            </w:pPr>
            <w:r w:rsidRPr="006A64EE">
              <w:t xml:space="preserve">Im Falle anhaltender Erhöhungen innerhalb dieser Bandbreite: Unterbrechung von </w:t>
            </w:r>
            <w:r w:rsidR="00FE5552">
              <w:t>Avtozma</w:t>
            </w:r>
            <w:r w:rsidRPr="006A64EE">
              <w:t>, bis sich ALAT/ASAT normalisiert haben.</w:t>
            </w:r>
          </w:p>
        </w:tc>
      </w:tr>
      <w:tr w:rsidR="00593482" w:rsidRPr="006A64EE" w14:paraId="3DBE0620" w14:textId="77777777" w:rsidTr="002856D0">
        <w:trPr>
          <w:cantSplit/>
        </w:trPr>
        <w:tc>
          <w:tcPr>
            <w:tcW w:w="1937" w:type="dxa"/>
          </w:tcPr>
          <w:p w14:paraId="4355060A" w14:textId="77777777" w:rsidR="002D5756" w:rsidRPr="006A64EE" w:rsidRDefault="009C2544" w:rsidP="004255F8">
            <w:pPr>
              <w:pStyle w:val="TableParagraph"/>
              <w:widowControl/>
              <w:suppressAutoHyphens/>
            </w:pPr>
            <w:r w:rsidRPr="006A64EE">
              <w:t>&gt; 3 x ULN bis 5 x ULN</w:t>
            </w:r>
          </w:p>
        </w:tc>
        <w:tc>
          <w:tcPr>
            <w:tcW w:w="7126" w:type="dxa"/>
          </w:tcPr>
          <w:p w14:paraId="57D81D07" w14:textId="77777777" w:rsidR="00093A5E" w:rsidRPr="006A64EE" w:rsidRDefault="009C2544" w:rsidP="004255F8">
            <w:pPr>
              <w:pStyle w:val="TableParagraph"/>
              <w:widowControl/>
              <w:suppressAutoHyphens/>
            </w:pPr>
            <w:r w:rsidRPr="006A64EE">
              <w:t>Dosisanpassung des gleichzeitig verabreichten MTX, falls angemessen</w:t>
            </w:r>
          </w:p>
          <w:p w14:paraId="18DE7F6B" w14:textId="77777777" w:rsidR="00093A5E" w:rsidRPr="006A64EE" w:rsidRDefault="00093A5E" w:rsidP="004255F8">
            <w:pPr>
              <w:pStyle w:val="TableParagraph"/>
              <w:widowControl/>
              <w:suppressAutoHyphens/>
            </w:pPr>
          </w:p>
          <w:p w14:paraId="71ED7568" w14:textId="6D9D60AC" w:rsidR="002D5756" w:rsidRPr="006A64EE" w:rsidRDefault="009C2544" w:rsidP="004255F8">
            <w:pPr>
              <w:pStyle w:val="TableParagraph"/>
              <w:widowControl/>
              <w:suppressAutoHyphens/>
            </w:pPr>
            <w:r w:rsidRPr="006A64EE">
              <w:t xml:space="preserve">Unterbrechung der Anwendung von </w:t>
            </w:r>
            <w:r w:rsidR="00FE5552">
              <w:t>Avtozma</w:t>
            </w:r>
            <w:r w:rsidR="00FE5552" w:rsidRPr="006A64EE" w:rsidDel="00FE5552">
              <w:t xml:space="preserve"> </w:t>
            </w:r>
            <w:r w:rsidRPr="006A64EE">
              <w:t>bis &lt; 3 x ULN und Befolgen der oben stehenden Empfehlungen für Werte &gt; 1 bis 3 x ULN</w:t>
            </w:r>
          </w:p>
        </w:tc>
      </w:tr>
      <w:tr w:rsidR="00593482" w:rsidRPr="006A64EE" w14:paraId="25E12D18" w14:textId="77777777" w:rsidTr="002856D0">
        <w:trPr>
          <w:cantSplit/>
        </w:trPr>
        <w:tc>
          <w:tcPr>
            <w:tcW w:w="1937" w:type="dxa"/>
          </w:tcPr>
          <w:p w14:paraId="3DFDD078" w14:textId="77777777" w:rsidR="002D5756" w:rsidRPr="006A64EE" w:rsidRDefault="009C2544" w:rsidP="004255F8">
            <w:pPr>
              <w:pStyle w:val="TableParagraph"/>
              <w:widowControl/>
              <w:suppressAutoHyphens/>
            </w:pPr>
            <w:r w:rsidRPr="006A64EE">
              <w:t>&gt; 5 x ULN</w:t>
            </w:r>
          </w:p>
        </w:tc>
        <w:tc>
          <w:tcPr>
            <w:tcW w:w="7126" w:type="dxa"/>
          </w:tcPr>
          <w:p w14:paraId="47AFDF6C" w14:textId="49929A2C" w:rsidR="00093A5E" w:rsidRPr="006A64EE" w:rsidRDefault="009C2544" w:rsidP="004255F8">
            <w:pPr>
              <w:pStyle w:val="TableParagraph"/>
              <w:widowControl/>
              <w:suppressAutoHyphens/>
            </w:pPr>
            <w:r w:rsidRPr="006A64EE">
              <w:t xml:space="preserve">Absetzen von </w:t>
            </w:r>
            <w:r w:rsidR="00FE5552">
              <w:t>Avtozma</w:t>
            </w:r>
          </w:p>
          <w:p w14:paraId="411B03E8" w14:textId="77777777" w:rsidR="00093A5E" w:rsidRPr="006A64EE" w:rsidRDefault="00093A5E" w:rsidP="004255F8">
            <w:pPr>
              <w:pStyle w:val="TableParagraph"/>
              <w:widowControl/>
              <w:suppressAutoHyphens/>
            </w:pPr>
          </w:p>
          <w:p w14:paraId="347FCCD1" w14:textId="18317536" w:rsidR="002D5756" w:rsidRPr="006A64EE" w:rsidRDefault="009C2544" w:rsidP="004255F8">
            <w:pPr>
              <w:pStyle w:val="TableParagraph"/>
              <w:widowControl/>
              <w:suppressAutoHyphens/>
            </w:pPr>
            <w:r w:rsidRPr="006A64EE">
              <w:t xml:space="preserve">Die Entscheidung, </w:t>
            </w:r>
            <w:r w:rsidR="00FE5552">
              <w:t>Avtozma</w:t>
            </w:r>
            <w:r w:rsidRPr="006A64EE">
              <w:t xml:space="preserve"> bei Patienten mit sJIA oder pJIA aufgrund abnormaler Laborwerte abzusetzen, sollte auf Grundlage einer medizinischen Beurteilung des einzelnen Patienten erfolgen.</w:t>
            </w:r>
          </w:p>
        </w:tc>
      </w:tr>
    </w:tbl>
    <w:p w14:paraId="4471B4AC" w14:textId="77777777" w:rsidR="00093A5E" w:rsidRPr="006A64EE" w:rsidRDefault="00093A5E" w:rsidP="004255F8">
      <w:pPr>
        <w:pStyle w:val="a4"/>
        <w:widowControl/>
        <w:tabs>
          <w:tab w:val="left" w:pos="1044"/>
        </w:tabs>
        <w:ind w:left="0" w:firstLine="0"/>
      </w:pPr>
    </w:p>
    <w:p w14:paraId="2D4E29DF"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Niedrige absolute Anzahl neutrophiler Granulozyten (ANC = Absolute Neutrophil Count)</w:t>
      </w:r>
    </w:p>
    <w:p w14:paraId="6B0258B0" w14:textId="592CF8B5" w:rsidR="002D5756" w:rsidRPr="006A64EE" w:rsidRDefault="002D5756" w:rsidP="004255F8">
      <w:pPr>
        <w:pStyle w:val="a3"/>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44"/>
        <w:gridCol w:w="7118"/>
      </w:tblGrid>
      <w:tr w:rsidR="00593482" w:rsidRPr="006A64EE" w14:paraId="3CA24AC4" w14:textId="77777777" w:rsidTr="002856D0">
        <w:trPr>
          <w:tblHeader/>
        </w:trPr>
        <w:tc>
          <w:tcPr>
            <w:tcW w:w="1944" w:type="dxa"/>
          </w:tcPr>
          <w:p w14:paraId="72C471ED" w14:textId="59C020C5" w:rsidR="00FB6898" w:rsidRDefault="009C2544" w:rsidP="001101F8">
            <w:pPr>
              <w:pStyle w:val="TableParagraph"/>
              <w:widowControl/>
              <w:suppressAutoHyphens/>
              <w:jc w:val="center"/>
              <w:rPr>
                <w:b/>
                <w:bCs/>
              </w:rPr>
            </w:pPr>
            <w:r w:rsidRPr="00E303AE">
              <w:rPr>
                <w:b/>
                <w:bCs/>
              </w:rPr>
              <w:t>Laborwert</w:t>
            </w:r>
          </w:p>
          <w:p w14:paraId="54113A3E" w14:textId="5747A652" w:rsidR="002D5756" w:rsidRPr="00E303AE" w:rsidRDefault="009C2544" w:rsidP="001101F8">
            <w:pPr>
              <w:pStyle w:val="TableParagraph"/>
              <w:widowControl/>
              <w:suppressAutoHyphens/>
              <w:jc w:val="center"/>
              <w:rPr>
                <w:b/>
                <w:bCs/>
              </w:rPr>
            </w:pPr>
            <w:r w:rsidRPr="00E303AE">
              <w:rPr>
                <w:b/>
                <w:bCs/>
              </w:rPr>
              <w:t>(Zellen x 10</w:t>
            </w:r>
            <w:r w:rsidRPr="00E303AE">
              <w:rPr>
                <w:b/>
                <w:bCs/>
                <w:vertAlign w:val="superscript"/>
              </w:rPr>
              <w:t>9</w:t>
            </w:r>
            <w:r w:rsidRPr="00E303AE">
              <w:rPr>
                <w:b/>
                <w:bCs/>
              </w:rPr>
              <w:t>/l)</w:t>
            </w:r>
          </w:p>
        </w:tc>
        <w:tc>
          <w:tcPr>
            <w:tcW w:w="7118" w:type="dxa"/>
          </w:tcPr>
          <w:p w14:paraId="33F4425A" w14:textId="77777777" w:rsidR="002D5756" w:rsidRPr="00E303AE" w:rsidRDefault="009C2544" w:rsidP="001101F8">
            <w:pPr>
              <w:pStyle w:val="TableParagraph"/>
              <w:widowControl/>
              <w:suppressAutoHyphens/>
              <w:jc w:val="center"/>
              <w:rPr>
                <w:b/>
                <w:bCs/>
              </w:rPr>
            </w:pPr>
            <w:r w:rsidRPr="00E303AE">
              <w:rPr>
                <w:b/>
                <w:bCs/>
              </w:rPr>
              <w:t>Vorgehen</w:t>
            </w:r>
          </w:p>
        </w:tc>
      </w:tr>
      <w:tr w:rsidR="00593482" w:rsidRPr="006A64EE" w14:paraId="233AB6AA" w14:textId="77777777" w:rsidTr="002856D0">
        <w:trPr>
          <w:cantSplit/>
        </w:trPr>
        <w:tc>
          <w:tcPr>
            <w:tcW w:w="1944" w:type="dxa"/>
          </w:tcPr>
          <w:p w14:paraId="391B1366" w14:textId="77777777" w:rsidR="002D5756" w:rsidRPr="006A64EE" w:rsidRDefault="009C2544" w:rsidP="004255F8">
            <w:pPr>
              <w:pStyle w:val="TableParagraph"/>
              <w:widowControl/>
              <w:suppressAutoHyphens/>
            </w:pPr>
            <w:r w:rsidRPr="006A64EE">
              <w:t>ANC &gt; 1</w:t>
            </w:r>
          </w:p>
        </w:tc>
        <w:tc>
          <w:tcPr>
            <w:tcW w:w="7118" w:type="dxa"/>
          </w:tcPr>
          <w:p w14:paraId="5EC413DC" w14:textId="77777777" w:rsidR="002D5756" w:rsidRPr="006A64EE" w:rsidRDefault="009C2544" w:rsidP="004255F8">
            <w:pPr>
              <w:pStyle w:val="TableParagraph"/>
              <w:widowControl/>
              <w:suppressAutoHyphens/>
            </w:pPr>
            <w:r w:rsidRPr="006A64EE">
              <w:t>Dosis beibehalten</w:t>
            </w:r>
          </w:p>
        </w:tc>
      </w:tr>
      <w:tr w:rsidR="00593482" w:rsidRPr="006A64EE" w14:paraId="0BE40C92" w14:textId="77777777" w:rsidTr="002856D0">
        <w:trPr>
          <w:cantSplit/>
        </w:trPr>
        <w:tc>
          <w:tcPr>
            <w:tcW w:w="1944" w:type="dxa"/>
          </w:tcPr>
          <w:p w14:paraId="1E7E6623" w14:textId="77777777" w:rsidR="002D5756" w:rsidRPr="006A64EE" w:rsidRDefault="009C2544" w:rsidP="004255F8">
            <w:pPr>
              <w:pStyle w:val="TableParagraph"/>
              <w:widowControl/>
              <w:suppressAutoHyphens/>
            </w:pPr>
            <w:r w:rsidRPr="006A64EE">
              <w:t>ANC 0,5 bis 1</w:t>
            </w:r>
          </w:p>
        </w:tc>
        <w:tc>
          <w:tcPr>
            <w:tcW w:w="7118" w:type="dxa"/>
          </w:tcPr>
          <w:p w14:paraId="034FD545" w14:textId="548BAB2D" w:rsidR="00093A5E" w:rsidRPr="006A64EE" w:rsidRDefault="009C2544" w:rsidP="004255F8">
            <w:pPr>
              <w:pStyle w:val="TableParagraph"/>
              <w:widowControl/>
              <w:suppressAutoHyphens/>
            </w:pPr>
            <w:r w:rsidRPr="006A64EE">
              <w:t xml:space="preserve">Unterbrechung der Anwendung von </w:t>
            </w:r>
            <w:r w:rsidR="00FE5552">
              <w:t>Avtozma</w:t>
            </w:r>
          </w:p>
          <w:p w14:paraId="770B69BA" w14:textId="0D32B5C4" w:rsidR="002D5756" w:rsidRPr="006A64EE" w:rsidRDefault="009C2544" w:rsidP="004255F8">
            <w:pPr>
              <w:pStyle w:val="TableParagraph"/>
              <w:widowControl/>
              <w:suppressAutoHyphens/>
            </w:pPr>
            <w:r w:rsidRPr="006A64EE">
              <w:t>Wenn die ANC auf &gt; 1 x 10</w:t>
            </w:r>
            <w:r w:rsidRPr="006A64EE">
              <w:rPr>
                <w:vertAlign w:val="superscript"/>
              </w:rPr>
              <w:t>9</w:t>
            </w:r>
            <w:r w:rsidRPr="006A64EE">
              <w:t xml:space="preserve">/l ansteigt: Wiederaufnahme der Anwendung von </w:t>
            </w:r>
            <w:r w:rsidR="00FE5552">
              <w:t>Avtozma</w:t>
            </w:r>
          </w:p>
        </w:tc>
      </w:tr>
      <w:tr w:rsidR="00593482" w:rsidRPr="006A64EE" w14:paraId="53CBACEC" w14:textId="77777777" w:rsidTr="002856D0">
        <w:trPr>
          <w:cantSplit/>
        </w:trPr>
        <w:tc>
          <w:tcPr>
            <w:tcW w:w="1944" w:type="dxa"/>
          </w:tcPr>
          <w:p w14:paraId="46C2E43A" w14:textId="77777777" w:rsidR="002D5756" w:rsidRPr="006A64EE" w:rsidRDefault="009C2544" w:rsidP="004255F8">
            <w:pPr>
              <w:pStyle w:val="TableParagraph"/>
              <w:widowControl/>
              <w:suppressAutoHyphens/>
            </w:pPr>
            <w:r w:rsidRPr="006A64EE">
              <w:t>ANC &lt; 0,5</w:t>
            </w:r>
          </w:p>
        </w:tc>
        <w:tc>
          <w:tcPr>
            <w:tcW w:w="7118" w:type="dxa"/>
          </w:tcPr>
          <w:p w14:paraId="524A8C69" w14:textId="6D73E090" w:rsidR="00093A5E" w:rsidRPr="006A64EE" w:rsidRDefault="009C2544" w:rsidP="004255F8">
            <w:pPr>
              <w:pStyle w:val="TableParagraph"/>
              <w:widowControl/>
              <w:suppressAutoHyphens/>
            </w:pPr>
            <w:r w:rsidRPr="006A64EE">
              <w:t xml:space="preserve">Absetzen von </w:t>
            </w:r>
            <w:r w:rsidR="00FE5552">
              <w:t>Avtozma</w:t>
            </w:r>
          </w:p>
          <w:p w14:paraId="10F98924" w14:textId="77777777" w:rsidR="00093A5E" w:rsidRPr="006A64EE" w:rsidRDefault="00093A5E" w:rsidP="004255F8">
            <w:pPr>
              <w:pStyle w:val="TableParagraph"/>
              <w:widowControl/>
              <w:suppressAutoHyphens/>
            </w:pPr>
          </w:p>
          <w:p w14:paraId="31D50272" w14:textId="117AF5A4" w:rsidR="002D5756" w:rsidRPr="006A64EE" w:rsidRDefault="009C2544" w:rsidP="004255F8">
            <w:pPr>
              <w:pStyle w:val="TableParagraph"/>
              <w:widowControl/>
              <w:suppressAutoHyphens/>
            </w:pPr>
            <w:r w:rsidRPr="006A64EE">
              <w:t xml:space="preserve">Die Entscheidung, </w:t>
            </w:r>
            <w:r w:rsidR="00FE5552">
              <w:t>Avtozma</w:t>
            </w:r>
            <w:r w:rsidRPr="006A64EE">
              <w:t xml:space="preserve"> bei Patienten mit sJIA oder pJIA aufgrund abnormaler Laborwerte abzusetzen, sollte auf Grundlage einer medizinischen Beurteilung des einzelnen Patienten erfolgen.</w:t>
            </w:r>
          </w:p>
        </w:tc>
      </w:tr>
    </w:tbl>
    <w:p w14:paraId="6F5AFFAB" w14:textId="77777777" w:rsidR="00A27366" w:rsidRDefault="00A27366" w:rsidP="004255F8">
      <w:pPr>
        <w:pStyle w:val="bullet"/>
        <w:rPr>
          <w:rFonts w:ascii="Symbol" w:hAnsi="Symbol"/>
        </w:rPr>
      </w:pPr>
    </w:p>
    <w:p w14:paraId="64D7E7F2" w14:textId="4BFACB6D" w:rsidR="00093A5E" w:rsidRPr="006A64EE" w:rsidRDefault="0059713A" w:rsidP="004255F8">
      <w:pPr>
        <w:pStyle w:val="bullet"/>
      </w:pPr>
      <w:r w:rsidRPr="006A64EE">
        <w:rPr>
          <w:rFonts w:ascii="Symbol" w:hAnsi="Symbol"/>
        </w:rPr>
        <w:t></w:t>
      </w:r>
      <w:r w:rsidRPr="006A64EE">
        <w:rPr>
          <w:rFonts w:ascii="Symbol" w:hAnsi="Symbol"/>
        </w:rPr>
        <w:tab/>
      </w:r>
      <w:r w:rsidR="007D680A" w:rsidRPr="006A64EE">
        <w:t>Niedrige Thrombozytenanzahl</w:t>
      </w:r>
    </w:p>
    <w:p w14:paraId="4390ABCE" w14:textId="500EDA42" w:rsidR="002D5756" w:rsidRPr="006A64EE" w:rsidRDefault="002D5756" w:rsidP="004255F8">
      <w:pPr>
        <w:pStyle w:val="a3"/>
        <w:keepNext/>
        <w:widowControl/>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951"/>
        <w:gridCol w:w="7229"/>
      </w:tblGrid>
      <w:tr w:rsidR="00593482" w:rsidRPr="006A64EE" w14:paraId="1DF9272A" w14:textId="77777777" w:rsidTr="002856D0">
        <w:trPr>
          <w:tblHeader/>
        </w:trPr>
        <w:tc>
          <w:tcPr>
            <w:tcW w:w="1951" w:type="dxa"/>
          </w:tcPr>
          <w:p w14:paraId="1811CDE8" w14:textId="77AE956D" w:rsidR="00FB6898" w:rsidRDefault="009C2544" w:rsidP="001101F8">
            <w:pPr>
              <w:pStyle w:val="TableParagraph"/>
              <w:widowControl/>
              <w:suppressAutoHyphens/>
              <w:jc w:val="center"/>
              <w:rPr>
                <w:b/>
                <w:bCs/>
              </w:rPr>
            </w:pPr>
            <w:r w:rsidRPr="00E303AE">
              <w:rPr>
                <w:b/>
                <w:bCs/>
              </w:rPr>
              <w:t>Laborwert</w:t>
            </w:r>
          </w:p>
          <w:p w14:paraId="201BDCD9" w14:textId="304D1455" w:rsidR="002D5756" w:rsidRPr="00E303AE" w:rsidRDefault="009C2544" w:rsidP="001101F8">
            <w:pPr>
              <w:pStyle w:val="TableParagraph"/>
              <w:widowControl/>
              <w:suppressAutoHyphens/>
              <w:jc w:val="center"/>
              <w:rPr>
                <w:b/>
                <w:bCs/>
              </w:rPr>
            </w:pPr>
            <w:r w:rsidRPr="00E303AE">
              <w:rPr>
                <w:b/>
                <w:bCs/>
              </w:rPr>
              <w:t>(Zellen x 10</w:t>
            </w:r>
            <w:r w:rsidRPr="00E303AE">
              <w:rPr>
                <w:b/>
                <w:bCs/>
                <w:vertAlign w:val="superscript"/>
              </w:rPr>
              <w:t>3</w:t>
            </w:r>
            <w:r w:rsidRPr="00E303AE">
              <w:rPr>
                <w:b/>
                <w:bCs/>
              </w:rPr>
              <w:t>/µl)</w:t>
            </w:r>
          </w:p>
        </w:tc>
        <w:tc>
          <w:tcPr>
            <w:tcW w:w="7229" w:type="dxa"/>
          </w:tcPr>
          <w:p w14:paraId="67F43098" w14:textId="77777777" w:rsidR="002D5756" w:rsidRPr="00E303AE" w:rsidRDefault="009C2544" w:rsidP="001101F8">
            <w:pPr>
              <w:pStyle w:val="TableParagraph"/>
              <w:widowControl/>
              <w:suppressAutoHyphens/>
              <w:jc w:val="center"/>
              <w:rPr>
                <w:b/>
                <w:bCs/>
              </w:rPr>
            </w:pPr>
            <w:r w:rsidRPr="00E303AE">
              <w:rPr>
                <w:b/>
                <w:bCs/>
              </w:rPr>
              <w:t>Vorgehen</w:t>
            </w:r>
          </w:p>
        </w:tc>
      </w:tr>
      <w:tr w:rsidR="00593482" w:rsidRPr="006A64EE" w14:paraId="034072CD" w14:textId="77777777" w:rsidTr="002856D0">
        <w:trPr>
          <w:cantSplit/>
        </w:trPr>
        <w:tc>
          <w:tcPr>
            <w:tcW w:w="1951" w:type="dxa"/>
          </w:tcPr>
          <w:p w14:paraId="7A6037F7" w14:textId="77777777" w:rsidR="002D5756" w:rsidRPr="006A64EE" w:rsidRDefault="009C2544" w:rsidP="004255F8">
            <w:pPr>
              <w:pStyle w:val="TableParagraph"/>
              <w:widowControl/>
              <w:suppressAutoHyphens/>
            </w:pPr>
            <w:r w:rsidRPr="006A64EE">
              <w:t>50 bis 100</w:t>
            </w:r>
          </w:p>
        </w:tc>
        <w:tc>
          <w:tcPr>
            <w:tcW w:w="7229" w:type="dxa"/>
          </w:tcPr>
          <w:p w14:paraId="367AB674" w14:textId="352E5BD6" w:rsidR="00093A5E" w:rsidRPr="006A64EE" w:rsidRDefault="009C2544" w:rsidP="004255F8">
            <w:pPr>
              <w:pStyle w:val="TableParagraph"/>
              <w:widowControl/>
              <w:suppressAutoHyphens/>
            </w:pPr>
            <w:r w:rsidRPr="006A64EE">
              <w:t xml:space="preserve">Dosisanpassung des gleichzeitig verabreichten MTX, falls angemessen Unterbrechung der Anwendung von </w:t>
            </w:r>
            <w:r w:rsidR="00FE5552">
              <w:t>Avtozma</w:t>
            </w:r>
          </w:p>
          <w:p w14:paraId="1CB64D65" w14:textId="77777777" w:rsidR="00093A5E" w:rsidRPr="006A64EE" w:rsidRDefault="00093A5E" w:rsidP="004255F8">
            <w:pPr>
              <w:pStyle w:val="TableParagraph"/>
              <w:widowControl/>
              <w:suppressAutoHyphens/>
            </w:pPr>
          </w:p>
          <w:p w14:paraId="11ABB4B6" w14:textId="4E85F09D" w:rsidR="002D5756" w:rsidRPr="006A64EE" w:rsidRDefault="009C2544" w:rsidP="004255F8">
            <w:pPr>
              <w:pStyle w:val="TableParagraph"/>
              <w:widowControl/>
              <w:suppressAutoHyphens/>
            </w:pPr>
            <w:r w:rsidRPr="006A64EE">
              <w:t>Wenn die Thrombozytenanzahl auf &gt; 100 x 10</w:t>
            </w:r>
            <w:r w:rsidRPr="006A64EE">
              <w:rPr>
                <w:vertAlign w:val="superscript"/>
              </w:rPr>
              <w:t>3</w:t>
            </w:r>
            <w:r w:rsidRPr="006A64EE">
              <w:t xml:space="preserve">/µl ansteigt: Wiederaufnahme der Anwendung von </w:t>
            </w:r>
            <w:r w:rsidR="00FE5552">
              <w:t>Avtozma</w:t>
            </w:r>
          </w:p>
        </w:tc>
      </w:tr>
      <w:tr w:rsidR="00593482" w:rsidRPr="006A64EE" w14:paraId="43C96D84" w14:textId="77777777" w:rsidTr="002856D0">
        <w:trPr>
          <w:cantSplit/>
        </w:trPr>
        <w:tc>
          <w:tcPr>
            <w:tcW w:w="1951" w:type="dxa"/>
          </w:tcPr>
          <w:p w14:paraId="5A80DD4A" w14:textId="77777777" w:rsidR="002D5756" w:rsidRPr="006A64EE" w:rsidRDefault="009C2544" w:rsidP="004255F8">
            <w:pPr>
              <w:pStyle w:val="TableParagraph"/>
              <w:widowControl/>
              <w:suppressAutoHyphens/>
            </w:pPr>
            <w:r w:rsidRPr="006A64EE">
              <w:lastRenderedPageBreak/>
              <w:t>&lt; 50</w:t>
            </w:r>
          </w:p>
        </w:tc>
        <w:tc>
          <w:tcPr>
            <w:tcW w:w="7229" w:type="dxa"/>
          </w:tcPr>
          <w:p w14:paraId="2C7F0451" w14:textId="036CA901" w:rsidR="00093A5E" w:rsidRPr="006A64EE" w:rsidRDefault="009C2544" w:rsidP="004255F8">
            <w:pPr>
              <w:pStyle w:val="TableParagraph"/>
              <w:widowControl/>
              <w:suppressAutoHyphens/>
            </w:pPr>
            <w:r w:rsidRPr="006A64EE">
              <w:t xml:space="preserve">Absetzen von </w:t>
            </w:r>
            <w:r w:rsidR="00FE5552">
              <w:t>Avtozma</w:t>
            </w:r>
          </w:p>
          <w:p w14:paraId="1FD57371" w14:textId="77777777" w:rsidR="00093A5E" w:rsidRPr="006A64EE" w:rsidRDefault="00093A5E" w:rsidP="004255F8">
            <w:pPr>
              <w:pStyle w:val="TableParagraph"/>
              <w:widowControl/>
              <w:suppressAutoHyphens/>
            </w:pPr>
          </w:p>
          <w:p w14:paraId="19328FF5" w14:textId="7A9C4967" w:rsidR="002D5756" w:rsidRPr="006A64EE" w:rsidRDefault="009C2544" w:rsidP="004255F8">
            <w:pPr>
              <w:pStyle w:val="TableParagraph"/>
              <w:widowControl/>
              <w:suppressAutoHyphens/>
            </w:pPr>
            <w:r w:rsidRPr="006A64EE">
              <w:t xml:space="preserve">Die Entscheidung, </w:t>
            </w:r>
            <w:r w:rsidR="00FE5552">
              <w:t>Avtozma</w:t>
            </w:r>
            <w:r w:rsidRPr="006A64EE">
              <w:t xml:space="preserve"> bei Patienten mit sJIA oder pJIA aufgrund abnormaler Laborwerte abzusetzen, sollte auf Grundlage einer medizinischen Beurteilung des einzelnen Patienten erfolgen.</w:t>
            </w:r>
          </w:p>
        </w:tc>
      </w:tr>
    </w:tbl>
    <w:p w14:paraId="5ABA6BA0" w14:textId="77777777" w:rsidR="00093A5E" w:rsidRPr="006A64EE" w:rsidRDefault="00093A5E" w:rsidP="004255F8">
      <w:pPr>
        <w:pStyle w:val="a3"/>
        <w:widowControl/>
      </w:pPr>
    </w:p>
    <w:p w14:paraId="2086A7D0" w14:textId="77777777" w:rsidR="00093A5E" w:rsidRPr="006A64EE" w:rsidRDefault="009C2544" w:rsidP="004255F8">
      <w:pPr>
        <w:pStyle w:val="a3"/>
        <w:widowControl/>
      </w:pPr>
      <w:r w:rsidRPr="006A64EE">
        <w:t>Eine Reduktion der Dosierungshäufigkeit von Tocilizumab aufgrund abnormaler Laborwerte wurde bei Patienten mit sJIA oder pJIA nicht untersucht.</w:t>
      </w:r>
    </w:p>
    <w:p w14:paraId="68E088EA" w14:textId="77777777" w:rsidR="00093A5E" w:rsidRPr="006A64EE" w:rsidRDefault="00093A5E" w:rsidP="004255F8">
      <w:pPr>
        <w:pStyle w:val="a3"/>
        <w:widowControl/>
      </w:pPr>
    </w:p>
    <w:p w14:paraId="2D601C5E" w14:textId="58B8DD8B" w:rsidR="00093A5E" w:rsidRPr="006A64EE" w:rsidRDefault="009C2544" w:rsidP="004255F8">
      <w:pPr>
        <w:pStyle w:val="a3"/>
        <w:widowControl/>
      </w:pPr>
      <w:r w:rsidRPr="006A64EE">
        <w:t xml:space="preserve">Die Sicherheit und Wirksamkeit der subkutanen Darreichungsform von </w:t>
      </w:r>
      <w:r w:rsidR="00FE5552">
        <w:t>Avtozma</w:t>
      </w:r>
      <w:r w:rsidRPr="006A64EE">
        <w:t xml:space="preserve"> sind bei Kindern mit anderen Erkrankungen als sJIA oder pJIA nicht erwiesen.</w:t>
      </w:r>
    </w:p>
    <w:p w14:paraId="5B2D0AC1" w14:textId="77777777" w:rsidR="00093A5E" w:rsidRPr="006A64EE" w:rsidRDefault="00093A5E" w:rsidP="004255F8">
      <w:pPr>
        <w:pStyle w:val="a3"/>
        <w:widowControl/>
      </w:pPr>
    </w:p>
    <w:p w14:paraId="79692CAA" w14:textId="7FA774B3" w:rsidR="00093A5E" w:rsidRPr="006A64EE" w:rsidRDefault="009C2544" w:rsidP="004255F8">
      <w:pPr>
        <w:pStyle w:val="a3"/>
        <w:widowControl/>
      </w:pPr>
      <w:r w:rsidRPr="006A64EE">
        <w:t>Verfügbare Daten der intravenösen Darreichungsform deuten darauf hin, dass innerhalb von</w:t>
      </w:r>
      <w:r w:rsidR="00E60B5C" w:rsidRPr="006A64EE">
        <w:t xml:space="preserve"> </w:t>
      </w:r>
      <w:r w:rsidRPr="006A64EE">
        <w:t>12</w:t>
      </w:r>
      <w:r w:rsidR="00846418">
        <w:t> </w:t>
      </w:r>
      <w:r w:rsidRPr="006A64EE">
        <w:t xml:space="preserve">Wochen nach Beginn der Therapie mit </w:t>
      </w:r>
      <w:r w:rsidR="00FE5552">
        <w:t>Tocilizumab</w:t>
      </w:r>
      <w:r w:rsidRPr="006A64EE">
        <w:t xml:space="preserve"> eine klinische Verbesserung beobachtet wird. Eine Weiterbehandlung sollte bei Patienten, bei denen es innerhalb dieses Zeitraums nicht zu einer Verbesserung kommt, sorgfältig abgewogen werden.</w:t>
      </w:r>
    </w:p>
    <w:p w14:paraId="52E360E8" w14:textId="77777777" w:rsidR="00093A5E" w:rsidRPr="006A64EE" w:rsidRDefault="00093A5E" w:rsidP="004255F8">
      <w:pPr>
        <w:pStyle w:val="a3"/>
        <w:widowControl/>
      </w:pPr>
    </w:p>
    <w:p w14:paraId="1DC84D7D" w14:textId="77777777" w:rsidR="00093A5E" w:rsidRPr="006A64EE" w:rsidRDefault="009C2544" w:rsidP="004255F8">
      <w:pPr>
        <w:pStyle w:val="a3"/>
        <w:widowControl/>
      </w:pPr>
      <w:r w:rsidRPr="006A64EE">
        <w:rPr>
          <w:u w:val="single"/>
        </w:rPr>
        <w:t>Versäumte Dosis</w:t>
      </w:r>
    </w:p>
    <w:p w14:paraId="5A4F8FFE" w14:textId="1A692626" w:rsidR="00093A5E" w:rsidRPr="006A64EE" w:rsidRDefault="009C2544" w:rsidP="004255F8">
      <w:pPr>
        <w:pStyle w:val="a3"/>
        <w:widowControl/>
      </w:pPr>
      <w:r w:rsidRPr="006A64EE">
        <w:t xml:space="preserve">Wenn ein Patient mit sJIA eine subkutane wöchentliche Injektion von </w:t>
      </w:r>
      <w:r w:rsidR="00FE5552">
        <w:t>Avtozma</w:t>
      </w:r>
      <w:r w:rsidRPr="006A64EE">
        <w:t xml:space="preserve"> um 7 Tage oder weniger versäumt, sollte er/sie angewiesen werden, die versäumte Dosis am nächsten geplanten Termin anzuwenden. Wenn ein Patient eine subkutane einmal alle zwei Wochen angewendete Injektion von </w:t>
      </w:r>
      <w:r w:rsidR="00FE5552">
        <w:t>Avtozma</w:t>
      </w:r>
      <w:r w:rsidRPr="006A64EE">
        <w:t xml:space="preserve"> um 7 Tage oder weniger versäumt, sollte er/sie angewiesen werden, die versäumte Dosis sofort und die nächste Dosis am nächsten geplanten Termin anzuwenden.</w:t>
      </w:r>
    </w:p>
    <w:p w14:paraId="3953E38F" w14:textId="77777777" w:rsidR="00093A5E" w:rsidRPr="006A64EE" w:rsidRDefault="00093A5E" w:rsidP="004255F8">
      <w:pPr>
        <w:pStyle w:val="a3"/>
        <w:widowControl/>
      </w:pPr>
    </w:p>
    <w:p w14:paraId="5836243D" w14:textId="08F49900" w:rsidR="00093A5E" w:rsidRPr="006A64EE" w:rsidRDefault="009C2544" w:rsidP="004255F8">
      <w:pPr>
        <w:pStyle w:val="a3"/>
        <w:widowControl/>
      </w:pPr>
      <w:r w:rsidRPr="006A64EE">
        <w:t xml:space="preserve">Wenn ein Patient mit pJIA eine subkutane Injektion von </w:t>
      </w:r>
      <w:r w:rsidR="00FE5552">
        <w:t>Avtozma</w:t>
      </w:r>
      <w:r w:rsidRPr="006A64EE">
        <w:t xml:space="preserve"> um 7 Tage oder weniger versäumt, sollte er/sie angewiesen werden, die versäumte Dosis sofort und die nächste Dosis am nächsten geplanten Termin anzuwenden. Wenn ein Patient eine subkutane Injektion von </w:t>
      </w:r>
      <w:r w:rsidR="00FE5552">
        <w:t>Avtozma</w:t>
      </w:r>
      <w:r w:rsidRPr="006A64EE">
        <w:t xml:space="preserve"> um mehr als 7 Tage versäumt oder sich nicht sicher ist, wann er </w:t>
      </w:r>
      <w:r w:rsidR="00FE5552">
        <w:t>Avtozma</w:t>
      </w:r>
      <w:r w:rsidRPr="006A64EE">
        <w:t xml:space="preserve"> anwenden soll, sollte er sich mit einem Arzt oder Apotheker in Verbindung setzen.</w:t>
      </w:r>
    </w:p>
    <w:p w14:paraId="3019269B" w14:textId="77777777" w:rsidR="00093A5E" w:rsidRPr="006A64EE" w:rsidRDefault="00093A5E" w:rsidP="004255F8">
      <w:pPr>
        <w:pStyle w:val="a3"/>
        <w:widowControl/>
      </w:pPr>
    </w:p>
    <w:p w14:paraId="7F716ECD" w14:textId="77777777" w:rsidR="00093A5E" w:rsidRPr="006A64EE" w:rsidRDefault="009C2544" w:rsidP="004255F8">
      <w:pPr>
        <w:pStyle w:val="a3"/>
        <w:widowControl/>
      </w:pPr>
      <w:r w:rsidRPr="006A64EE">
        <w:rPr>
          <w:u w:val="single"/>
        </w:rPr>
        <w:t>Art der Anwendung</w:t>
      </w:r>
    </w:p>
    <w:p w14:paraId="3DB4BD5D" w14:textId="77777777" w:rsidR="00093A5E" w:rsidRPr="006A64EE" w:rsidRDefault="00093A5E" w:rsidP="004255F8">
      <w:pPr>
        <w:pStyle w:val="a3"/>
        <w:widowControl/>
      </w:pPr>
    </w:p>
    <w:p w14:paraId="4FA65E25" w14:textId="2A9E537E" w:rsidR="00093A5E" w:rsidRPr="006A64EE" w:rsidRDefault="00FE5552" w:rsidP="004255F8">
      <w:pPr>
        <w:pStyle w:val="a3"/>
        <w:widowControl/>
      </w:pPr>
      <w:r>
        <w:t>Avtozma</w:t>
      </w:r>
      <w:r w:rsidRPr="006A64EE" w:rsidDel="00FE5552">
        <w:t xml:space="preserve"> </w:t>
      </w:r>
      <w:r w:rsidR="009C2544" w:rsidRPr="006A64EE">
        <w:t>ist zur subkutanen Anwendung bestimmt.</w:t>
      </w:r>
    </w:p>
    <w:p w14:paraId="2DAFB977" w14:textId="16F5CEFC" w:rsidR="00093A5E" w:rsidRPr="006A64EE" w:rsidRDefault="009C2544" w:rsidP="004255F8">
      <w:pPr>
        <w:pStyle w:val="a3"/>
        <w:widowControl/>
      </w:pPr>
      <w:r w:rsidRPr="006A64EE">
        <w:t xml:space="preserve">Nach angemessener Unterweisung bezüglich der Injektionstechnik können Patienten die Injektion von </w:t>
      </w:r>
      <w:r w:rsidR="00FE5552">
        <w:t>Avtozma</w:t>
      </w:r>
      <w:r w:rsidR="00FE5552" w:rsidRPr="006A64EE" w:rsidDel="00FE5552">
        <w:t xml:space="preserve"> </w:t>
      </w:r>
      <w:r w:rsidRPr="006A64EE">
        <w:t>selbst vornehmen, sofern ihr Arzt entscheidet, dass dies angemessen ist. Der gesamte Inhalt (0,9 ml) des Fertigpens muss als subkutane Injektion verabreicht werden. Die empfohlenen Injektionsstellen (Bauch, Oberschenkel und Oberarm) sollten abwechselnd genutzt werden und eine Injektion niemals in Leberflecken, Narbengewebe oder Stellen, an denen die Haut empfindlich, geschwollen, gerötet, verhärtet oder verletzt ist, gegeben werden.</w:t>
      </w:r>
    </w:p>
    <w:p w14:paraId="496AC832" w14:textId="77777777" w:rsidR="00093A5E" w:rsidRPr="006A64EE" w:rsidRDefault="00093A5E" w:rsidP="004255F8">
      <w:pPr>
        <w:pStyle w:val="a3"/>
        <w:widowControl/>
      </w:pPr>
    </w:p>
    <w:p w14:paraId="2A3F09AE" w14:textId="77777777" w:rsidR="00093A5E" w:rsidRPr="006A64EE" w:rsidRDefault="009C2544" w:rsidP="004255F8">
      <w:pPr>
        <w:pStyle w:val="a3"/>
        <w:widowControl/>
      </w:pPr>
      <w:r w:rsidRPr="006A64EE">
        <w:t>Der Fertigpen darf nicht geschüttelt werden.</w:t>
      </w:r>
    </w:p>
    <w:p w14:paraId="4F633486" w14:textId="77777777" w:rsidR="00093A5E" w:rsidRPr="006A64EE" w:rsidRDefault="00093A5E" w:rsidP="004255F8">
      <w:pPr>
        <w:pStyle w:val="a3"/>
        <w:widowControl/>
      </w:pPr>
    </w:p>
    <w:p w14:paraId="36711879" w14:textId="6F125496" w:rsidR="00093A5E" w:rsidRPr="006A64EE" w:rsidRDefault="009C2544" w:rsidP="004255F8">
      <w:pPr>
        <w:pStyle w:val="a3"/>
        <w:widowControl/>
      </w:pPr>
      <w:r w:rsidRPr="006A64EE">
        <w:t xml:space="preserve">Umfassende Informationen zur Anwendung des </w:t>
      </w:r>
      <w:r w:rsidR="00FE5552">
        <w:t>Avtozma-</w:t>
      </w:r>
      <w:r w:rsidRPr="006A64EE">
        <w:t>Fertigpens werden in der Packungsbeilage gegeben, siehe Abschnitt 6.6.</w:t>
      </w:r>
    </w:p>
    <w:p w14:paraId="2BC4B48C" w14:textId="77777777" w:rsidR="00093A5E" w:rsidRPr="006A64EE" w:rsidRDefault="00093A5E" w:rsidP="004255F8">
      <w:pPr>
        <w:pStyle w:val="a3"/>
        <w:widowControl/>
      </w:pPr>
    </w:p>
    <w:p w14:paraId="5BF776F3" w14:textId="77777777" w:rsidR="00093A5E" w:rsidRPr="006A64EE" w:rsidRDefault="0059713A" w:rsidP="004255F8">
      <w:pPr>
        <w:pStyle w:val="2"/>
        <w:ind w:left="0" w:firstLine="0"/>
      </w:pPr>
      <w:r w:rsidRPr="006A64EE">
        <w:t>4.3</w:t>
      </w:r>
      <w:r w:rsidRPr="006A64EE">
        <w:tab/>
      </w:r>
      <w:r w:rsidR="007D680A" w:rsidRPr="006A64EE">
        <w:t>Gegenanzeigen</w:t>
      </w:r>
    </w:p>
    <w:p w14:paraId="3F9B409D" w14:textId="77777777" w:rsidR="00093A5E" w:rsidRPr="006A64EE" w:rsidRDefault="00093A5E" w:rsidP="004255F8">
      <w:pPr>
        <w:pStyle w:val="a3"/>
        <w:widowControl/>
      </w:pPr>
    </w:p>
    <w:p w14:paraId="2B26D5EE" w14:textId="5634EBD7" w:rsidR="00093A5E" w:rsidRPr="006A64EE" w:rsidRDefault="009C2544" w:rsidP="004255F8">
      <w:pPr>
        <w:pStyle w:val="a3"/>
        <w:widowControl/>
      </w:pPr>
      <w:r w:rsidRPr="006A64EE">
        <w:t>Überempfindlichkeit gegen den Wirkstoff oder einen der in Abschnitt 6.1 genannten sonstigen Bestandteile.</w:t>
      </w:r>
    </w:p>
    <w:p w14:paraId="0BE9D8B7" w14:textId="77777777" w:rsidR="00093A5E" w:rsidRPr="006A64EE" w:rsidRDefault="00093A5E" w:rsidP="004255F8">
      <w:pPr>
        <w:pStyle w:val="a3"/>
        <w:widowControl/>
      </w:pPr>
    </w:p>
    <w:p w14:paraId="1600F1B4" w14:textId="77777777" w:rsidR="00093A5E" w:rsidRPr="006A64EE" w:rsidRDefault="009C2544" w:rsidP="004255F8">
      <w:pPr>
        <w:pStyle w:val="a3"/>
        <w:widowControl/>
      </w:pPr>
      <w:r w:rsidRPr="006A64EE">
        <w:t>Aktive, schwere Infektionen (siehe Abschnitt 4.4).</w:t>
      </w:r>
    </w:p>
    <w:p w14:paraId="3D453C0A" w14:textId="77777777" w:rsidR="00093A5E" w:rsidRPr="006A64EE" w:rsidRDefault="00093A5E" w:rsidP="004255F8">
      <w:pPr>
        <w:pStyle w:val="a3"/>
        <w:widowControl/>
      </w:pPr>
    </w:p>
    <w:p w14:paraId="0D83E103" w14:textId="77777777" w:rsidR="00093A5E" w:rsidRPr="006A64EE" w:rsidRDefault="0059713A" w:rsidP="004255F8">
      <w:pPr>
        <w:pStyle w:val="2"/>
        <w:ind w:left="0" w:firstLine="0"/>
      </w:pPr>
      <w:r w:rsidRPr="006A64EE">
        <w:lastRenderedPageBreak/>
        <w:t>4.4</w:t>
      </w:r>
      <w:r w:rsidRPr="006A64EE">
        <w:tab/>
        <w:t>Besondere Warnhinweise und Vorsichtsmaßnahmen für die Anwendung</w:t>
      </w:r>
    </w:p>
    <w:p w14:paraId="175BE2D2" w14:textId="77777777" w:rsidR="00093A5E" w:rsidRPr="006A64EE" w:rsidRDefault="00093A5E" w:rsidP="004255F8">
      <w:pPr>
        <w:pStyle w:val="a3"/>
        <w:widowControl/>
      </w:pPr>
    </w:p>
    <w:p w14:paraId="536B23D0" w14:textId="2D4403CB" w:rsidR="00093A5E" w:rsidRPr="006A64EE" w:rsidRDefault="009C2544" w:rsidP="004255F8">
      <w:pPr>
        <w:pStyle w:val="a3"/>
        <w:widowControl/>
      </w:pPr>
      <w:r w:rsidRPr="006A64EE">
        <w:t xml:space="preserve">Die subkutane Darreichungsform von </w:t>
      </w:r>
      <w:r w:rsidR="00FE5552">
        <w:t>Avtozma</w:t>
      </w:r>
      <w:r w:rsidRPr="006A64EE">
        <w:t xml:space="preserve"> ist nicht für eine intravenöse Anwendung vorgesehen.</w:t>
      </w:r>
    </w:p>
    <w:p w14:paraId="5049D367" w14:textId="77777777" w:rsidR="00093A5E" w:rsidRPr="006A64EE" w:rsidRDefault="00093A5E" w:rsidP="004255F8">
      <w:pPr>
        <w:widowControl/>
        <w:rPr>
          <w:i/>
        </w:rPr>
      </w:pPr>
    </w:p>
    <w:p w14:paraId="221B812E" w14:textId="77777777" w:rsidR="00093A5E" w:rsidRPr="006A64EE" w:rsidRDefault="009C2544" w:rsidP="004F1875">
      <w:pPr>
        <w:keepNext/>
        <w:widowControl/>
        <w:rPr>
          <w:i/>
        </w:rPr>
      </w:pPr>
      <w:r w:rsidRPr="006A64EE">
        <w:rPr>
          <w:i/>
        </w:rPr>
        <w:t>Rückverfolgbarkeit</w:t>
      </w:r>
    </w:p>
    <w:p w14:paraId="3296D612" w14:textId="77777777" w:rsidR="00093A5E" w:rsidRPr="006A64EE" w:rsidRDefault="009C2544" w:rsidP="004255F8">
      <w:pPr>
        <w:pStyle w:val="a3"/>
        <w:widowControl/>
      </w:pPr>
      <w:r w:rsidRPr="006A64EE">
        <w:t>Um die Rückverfolgbarkeit biologischer Arzneimittel zu verbessern, müssen die Bezeichnung des Arzneimittels und die Chargenbezeichnung des angewendeten Arzneimittels eindeutig dokumentiert werden.</w:t>
      </w:r>
    </w:p>
    <w:p w14:paraId="5F9F40A3" w14:textId="77777777" w:rsidR="00093A5E" w:rsidRPr="006A64EE" w:rsidRDefault="00093A5E" w:rsidP="004255F8">
      <w:pPr>
        <w:widowControl/>
        <w:rPr>
          <w:i/>
        </w:rPr>
      </w:pPr>
    </w:p>
    <w:p w14:paraId="676CCA3F" w14:textId="77777777" w:rsidR="00093A5E" w:rsidRPr="006A64EE" w:rsidRDefault="009C2544" w:rsidP="004F1875">
      <w:pPr>
        <w:keepNext/>
        <w:widowControl/>
        <w:rPr>
          <w:i/>
        </w:rPr>
      </w:pPr>
      <w:r w:rsidRPr="006A64EE">
        <w:rPr>
          <w:i/>
        </w:rPr>
        <w:t>Infektionen</w:t>
      </w:r>
    </w:p>
    <w:p w14:paraId="7F4290C9" w14:textId="15966151" w:rsidR="00093A5E" w:rsidRPr="006A64EE" w:rsidRDefault="009C2544" w:rsidP="004255F8">
      <w:pPr>
        <w:pStyle w:val="a3"/>
        <w:widowControl/>
      </w:pPr>
      <w:r w:rsidRPr="006A64EE">
        <w:t xml:space="preserve">Bei Patienten, die immunsuppressive Wirkstoffe wie </w:t>
      </w:r>
      <w:r w:rsidR="00FE5552">
        <w:t>Tocilizumab</w:t>
      </w:r>
      <w:r w:rsidR="00FE5552" w:rsidRPr="006A64EE">
        <w:t xml:space="preserve"> </w:t>
      </w:r>
      <w:r w:rsidRPr="006A64EE">
        <w:t xml:space="preserve">erhalten, wurden schwerwiegende und manchmal tödliche Infektionen berichtet (siehe Abschnitt 4.8, Nebenwirkungen). Eine Behandlung mit </w:t>
      </w:r>
      <w:r w:rsidR="00B630F4">
        <w:t>Avtozma</w:t>
      </w:r>
      <w:r w:rsidR="00B630F4" w:rsidRPr="006A64EE">
        <w:t xml:space="preserve"> </w:t>
      </w:r>
      <w:r w:rsidRPr="006A64EE">
        <w:t xml:space="preserve">darf bei Patienten mit aktiven Infektionen nicht begonnen werden (siehe Abschnitt 4.3). Falls bei einem Patienten eine schwerwiegende Infektion auftritt, muss die Anwendung von </w:t>
      </w:r>
      <w:r w:rsidR="00B630F4">
        <w:t>Tocilizumab</w:t>
      </w:r>
      <w:r w:rsidRPr="006A64EE">
        <w:t xml:space="preserve"> unterbrochen werden, bis diese Infektion unter Kontrolle gebracht wurde (siehe Abschnitt 4.8). Bei Patienten mit wiederkehrenden oder chronischen Infektionen oder Grunderkrankungen (z. B. Divertikulitis, Diabetes und interstitielle Lungenerkrankung) in der Anamnese, die diese Patienten für Infektionen anfällig machen, sollte der Arzt bei der Erwägung einer Anwendung von </w:t>
      </w:r>
      <w:r w:rsidR="00B630F4">
        <w:t>Avtozma</w:t>
      </w:r>
      <w:r w:rsidR="00B630F4" w:rsidRPr="006A64EE">
        <w:t xml:space="preserve"> </w:t>
      </w:r>
      <w:r w:rsidRPr="006A64EE">
        <w:t>Vorsicht walten lassen.</w:t>
      </w:r>
    </w:p>
    <w:p w14:paraId="37B97CDC" w14:textId="77777777" w:rsidR="00093A5E" w:rsidRPr="006A64EE" w:rsidRDefault="00093A5E" w:rsidP="004255F8">
      <w:pPr>
        <w:pStyle w:val="a3"/>
        <w:widowControl/>
      </w:pPr>
    </w:p>
    <w:p w14:paraId="7C231D99" w14:textId="7ACAD509" w:rsidR="00093A5E" w:rsidRPr="006A64EE" w:rsidRDefault="009C2544" w:rsidP="004255F8">
      <w:pPr>
        <w:pStyle w:val="a3"/>
        <w:widowControl/>
      </w:pPr>
      <w:r w:rsidRPr="006A64EE">
        <w:t xml:space="preserve">Bei Patienten, die eine Therapie mit immunsuppressiven Wirkstoffen, wie </w:t>
      </w:r>
      <w:r w:rsidR="00B630F4">
        <w:t>Avtozma</w:t>
      </w:r>
      <w:r w:rsidRPr="006A64EE">
        <w:t xml:space="preserve">, erhalten, wird besondere Aufmerksamkeit in Bezug auf ein frühzeitiges Erkennen schwerwiegender Infektionen empfohlen, da Anzeichen und Symptome einer akuten Entzündung aufgrund der Unterdrückung der Akut-Phase-Reaktion abgeschwächt sein können. Die Wirkung von </w:t>
      </w:r>
      <w:r w:rsidR="00B630F4">
        <w:t>Avtozma</w:t>
      </w:r>
      <w:r w:rsidRPr="006A64EE">
        <w:t xml:space="preserve"> auf das C-reaktive Protein (CRP), auf neutrophile Granulozyten und auf Anzeichen und Symptome einer Infektion sollte berücksichtigt werden, wenn ein Patient auf eine mögliche Infektion untersucht wird. Patienten und Eltern/Erziehungsberechtigte von Patienten mit sJIA oder pJIA müssen darüber informiert werden, dass sie ihren Arzt umgehend kontaktieren müssen, sobald Symptome auftreten, die mit einer Infektion in Verbindung gebracht werden können, um eine rasche Abklärung und angemessene Behandlung sicherzustellen.</w:t>
      </w:r>
    </w:p>
    <w:p w14:paraId="6A335E81" w14:textId="77777777" w:rsidR="00093A5E" w:rsidRPr="006A64EE" w:rsidRDefault="00093A5E" w:rsidP="004255F8">
      <w:pPr>
        <w:widowControl/>
        <w:rPr>
          <w:i/>
        </w:rPr>
      </w:pPr>
    </w:p>
    <w:p w14:paraId="32CB10FD" w14:textId="77777777" w:rsidR="00093A5E" w:rsidRPr="006A64EE" w:rsidRDefault="009C2544" w:rsidP="004F1875">
      <w:pPr>
        <w:keepNext/>
        <w:widowControl/>
        <w:rPr>
          <w:i/>
        </w:rPr>
      </w:pPr>
      <w:r w:rsidRPr="006A64EE">
        <w:rPr>
          <w:i/>
        </w:rPr>
        <w:t>Tuberkulose</w:t>
      </w:r>
    </w:p>
    <w:p w14:paraId="3E7EE472" w14:textId="2252D99F" w:rsidR="00093A5E" w:rsidRPr="006A64EE" w:rsidRDefault="009C2544" w:rsidP="004255F8">
      <w:pPr>
        <w:pStyle w:val="a3"/>
        <w:widowControl/>
      </w:pPr>
      <w:r w:rsidRPr="006A64EE">
        <w:t xml:space="preserve">Wie auch für andere biologische Therapien empfohlen wird, müssen alle Patienten vor Beginn der Behandlung mit </w:t>
      </w:r>
      <w:r w:rsidR="00B630F4">
        <w:t>Avtozma</w:t>
      </w:r>
      <w:r w:rsidRPr="006A64EE">
        <w:t xml:space="preserve"> auf eine latente Tuberkulose (TB) untersucht werden. Patienten mit latenter TB-Infektion sollten mit einer antimykobakteriellen Standardtherapie behandelt werden, bevor eine Behandlung mit </w:t>
      </w:r>
      <w:r w:rsidR="00B630F4">
        <w:t>Avtozma</w:t>
      </w:r>
      <w:r w:rsidRPr="006A64EE">
        <w:t xml:space="preserve"> eingeleitet wird. Verschreibende Ärzte sollten insbesondere bei schwerkranken und immunsupprimierten Patienten daran denken, dass beim Tuberkulin-Hauttest und dem Tuberkulose-Interferon-gamma-Bluttest das Risiko falsch-negativer Ergebnisse besteht.</w:t>
      </w:r>
    </w:p>
    <w:p w14:paraId="250EB2C5" w14:textId="77777777" w:rsidR="00093A5E" w:rsidRPr="006A64EE" w:rsidRDefault="00093A5E" w:rsidP="004255F8">
      <w:pPr>
        <w:pStyle w:val="a3"/>
        <w:widowControl/>
      </w:pPr>
    </w:p>
    <w:p w14:paraId="028ED7F8" w14:textId="5F737796" w:rsidR="00093A5E" w:rsidRPr="006A64EE" w:rsidRDefault="009C2544" w:rsidP="004255F8">
      <w:pPr>
        <w:pStyle w:val="a3"/>
        <w:widowControl/>
      </w:pPr>
      <w:r w:rsidRPr="006A64EE">
        <w:t xml:space="preserve">Patienten und Eltern/Erziehungsberechtigte von Patienten mit sJIA oder pJIA sollten angewiesen werden medizinischen Rat einzuholen, falls während oder nach einer Behandlung mit </w:t>
      </w:r>
      <w:r w:rsidR="00B630F4">
        <w:t>Avtozma</w:t>
      </w:r>
      <w:r w:rsidRPr="006A64EE">
        <w:t xml:space="preserve"> Anzeichen/Symptome (z. B. anhaltender Husten, Auszehrung/Gewichtsverlust, leichtes Fieber) auftreten, die auf eine Infektion mit Tuberkulose hindeuten.</w:t>
      </w:r>
    </w:p>
    <w:p w14:paraId="3CFFE743" w14:textId="77777777" w:rsidR="00093A5E" w:rsidRPr="006A64EE" w:rsidRDefault="00093A5E" w:rsidP="004255F8">
      <w:pPr>
        <w:pStyle w:val="a3"/>
        <w:widowControl/>
      </w:pPr>
    </w:p>
    <w:p w14:paraId="02B70BC5" w14:textId="77777777" w:rsidR="00093A5E" w:rsidRPr="006A64EE" w:rsidRDefault="009C2544" w:rsidP="004255F8">
      <w:pPr>
        <w:widowControl/>
        <w:rPr>
          <w:i/>
        </w:rPr>
      </w:pPr>
      <w:r w:rsidRPr="006A64EE">
        <w:rPr>
          <w:i/>
        </w:rPr>
        <w:t>Virale Reaktivierung</w:t>
      </w:r>
    </w:p>
    <w:p w14:paraId="38DFA218" w14:textId="6BBF92A0" w:rsidR="00093A5E" w:rsidRPr="006A64EE" w:rsidRDefault="009C2544" w:rsidP="004255F8">
      <w:pPr>
        <w:pStyle w:val="a3"/>
        <w:widowControl/>
      </w:pPr>
      <w:r w:rsidRPr="006A64EE">
        <w:t xml:space="preserve">Unter biologischer Therapie der RA wurde über virale Reaktivierung (z. B. Hepatitis-B-Virus) berichtet. Patienten, die positiv auf Hepatitis getestet wurden, wurden von den klinischen Prüfungen mit </w:t>
      </w:r>
      <w:r w:rsidR="00B630F4">
        <w:t>Tocilizumab</w:t>
      </w:r>
      <w:r w:rsidR="00B630F4" w:rsidRPr="006A64EE">
        <w:t xml:space="preserve"> </w:t>
      </w:r>
      <w:r w:rsidRPr="006A64EE">
        <w:t>ausgeschlossen.</w:t>
      </w:r>
    </w:p>
    <w:p w14:paraId="765A3208" w14:textId="77777777" w:rsidR="00093A5E" w:rsidRPr="006A64EE" w:rsidRDefault="00093A5E" w:rsidP="004255F8">
      <w:pPr>
        <w:widowControl/>
      </w:pPr>
    </w:p>
    <w:p w14:paraId="5992CEDB" w14:textId="77777777" w:rsidR="00093A5E" w:rsidRPr="006A64EE" w:rsidRDefault="007D680A" w:rsidP="004255F8">
      <w:pPr>
        <w:widowControl/>
      </w:pPr>
      <w:r w:rsidRPr="006A64EE">
        <w:rPr>
          <w:i/>
        </w:rPr>
        <w:t>Komplikationen einer Divertikulitis</w:t>
      </w:r>
    </w:p>
    <w:p w14:paraId="2BD367B1" w14:textId="69930AF3" w:rsidR="00093A5E" w:rsidRPr="006A64EE" w:rsidRDefault="009C2544" w:rsidP="004255F8">
      <w:pPr>
        <w:pStyle w:val="a3"/>
        <w:widowControl/>
      </w:pPr>
      <w:r w:rsidRPr="006A64EE">
        <w:t xml:space="preserve">Fälle von Divertikelperforationen als Komplikation einer Divertikulitis wurden gelegentlich bei Patienten unter Therapie mit </w:t>
      </w:r>
      <w:r w:rsidR="00B630F4">
        <w:t>Avtozma</w:t>
      </w:r>
      <w:r w:rsidRPr="006A64EE">
        <w:t xml:space="preserve"> gemeldet (siehe Abschnitt 4.8). Bei Patienten mit intestinalen Ulzerationen oder Divertikulitis in der Anamnese sollte </w:t>
      </w:r>
      <w:r w:rsidR="00B630F4">
        <w:t>Avtozma</w:t>
      </w:r>
      <w:r w:rsidRPr="006A64EE">
        <w:t xml:space="preserve"> mit Vorsicht angewendet werden. Patienten, die sich mit Symptomen vorstellen, die potenziell mit der Komplikation einer Divertikulitis in Verbindung gebracht werden können, wie abdominale Schmerzen, Blutungen und/oder ungeklärte Veränderungen bei der Verdauung, einhergehend mit Fieber, sollten umgehend untersucht werden, um </w:t>
      </w:r>
      <w:r w:rsidRPr="006A64EE">
        <w:lastRenderedPageBreak/>
        <w:t>eine Divertikulitis, die mit einer gastrointestinalen Perforation verbunden sein kann, frühzeitig zu diagnostizieren.</w:t>
      </w:r>
    </w:p>
    <w:p w14:paraId="683DBE8D" w14:textId="77777777" w:rsidR="00093A5E" w:rsidRPr="006A64EE" w:rsidRDefault="00093A5E" w:rsidP="004255F8">
      <w:pPr>
        <w:pStyle w:val="a3"/>
        <w:widowControl/>
      </w:pPr>
    </w:p>
    <w:p w14:paraId="32F92282" w14:textId="77777777" w:rsidR="00093A5E" w:rsidRPr="006A64EE" w:rsidRDefault="009C2544" w:rsidP="004255F8">
      <w:pPr>
        <w:widowControl/>
        <w:rPr>
          <w:i/>
        </w:rPr>
      </w:pPr>
      <w:r w:rsidRPr="006A64EE">
        <w:rPr>
          <w:i/>
        </w:rPr>
        <w:t>Überempfindlichkeitsreaktionen</w:t>
      </w:r>
    </w:p>
    <w:p w14:paraId="14754D1A" w14:textId="3DF8CD15" w:rsidR="00093A5E" w:rsidRPr="006A64EE" w:rsidRDefault="009C2544" w:rsidP="004255F8">
      <w:pPr>
        <w:pStyle w:val="a3"/>
        <w:widowControl/>
      </w:pPr>
      <w:r w:rsidRPr="006A64EE">
        <w:t xml:space="preserve">Schwerwiegende Überempfindlichkeitsreaktionen, einschließlich Anaphylaxie, wurden in Zusammenhang mit </w:t>
      </w:r>
      <w:r w:rsidR="00B630F4">
        <w:t>Tocilizumab</w:t>
      </w:r>
      <w:r w:rsidR="00B630F4" w:rsidRPr="006A64EE">
        <w:t xml:space="preserve"> </w:t>
      </w:r>
      <w:r w:rsidRPr="006A64EE">
        <w:t xml:space="preserve">beobachtet (siehe Abschnitt 4.8). Diese Reaktionen können bei Patienten, die während vorangegangener Behandlung mit </w:t>
      </w:r>
      <w:r w:rsidR="00B630F4">
        <w:t>Avtozma</w:t>
      </w:r>
      <w:r w:rsidRPr="006A64EE">
        <w:t xml:space="preserve"> Überempfindlichkeitsreaktionen hatten, schwerer und potenziell tödlich verlaufen, auch wenn sie eine Prämedikation mit Corticosteroiden und Antihistaminika erhielten. Wenn eine anaphylaktische Reaktion oder eine andere schwerwiegende Überempfindlichkeitsreaktion auftritt, muss die Anwendung von </w:t>
      </w:r>
      <w:r w:rsidR="00B630F4">
        <w:t>Avtozma</w:t>
      </w:r>
      <w:r w:rsidRPr="006A64EE">
        <w:t xml:space="preserve"> sofort abgebrochen, eine geeignete Behandlung eingeleitet und die Behandlung mit </w:t>
      </w:r>
      <w:r w:rsidR="00B630F4">
        <w:t>Avtozma</w:t>
      </w:r>
      <w:r w:rsidRPr="006A64EE">
        <w:t xml:space="preserve"> dauerhaft beendet werden.</w:t>
      </w:r>
    </w:p>
    <w:p w14:paraId="731B8D0C" w14:textId="77777777" w:rsidR="00093A5E" w:rsidRPr="006A64EE" w:rsidRDefault="00093A5E" w:rsidP="004255F8">
      <w:pPr>
        <w:pStyle w:val="a3"/>
        <w:widowControl/>
      </w:pPr>
    </w:p>
    <w:p w14:paraId="0C68785B" w14:textId="77777777" w:rsidR="00093A5E" w:rsidRPr="006A64EE" w:rsidRDefault="009C2544" w:rsidP="004F1875">
      <w:pPr>
        <w:keepNext/>
        <w:widowControl/>
        <w:rPr>
          <w:i/>
        </w:rPr>
      </w:pPr>
      <w:r w:rsidRPr="006A64EE">
        <w:rPr>
          <w:i/>
        </w:rPr>
        <w:t>Aktive Lebererkrankung und Leberfunktionsstörungen</w:t>
      </w:r>
    </w:p>
    <w:p w14:paraId="447C3645" w14:textId="0CE068D0" w:rsidR="00093A5E" w:rsidRPr="006A64EE" w:rsidRDefault="009C2544" w:rsidP="004255F8">
      <w:pPr>
        <w:pStyle w:val="a3"/>
        <w:widowControl/>
      </w:pPr>
      <w:r w:rsidRPr="006A64EE">
        <w:t xml:space="preserve">Die Behandlung mit </w:t>
      </w:r>
      <w:r w:rsidR="00B630F4">
        <w:t>Avtozma</w:t>
      </w:r>
      <w:r w:rsidRPr="006A64EE">
        <w:t>, vor allem in Verbindung mit MTX, kann mit einer Erhöhung der Lebertransaminasen verbunden sein. Daher sollte man bei der Erwägung, einen Patienten mit aktiver Lebererkrankung oder Leberfunktionsstörungen zu behandeln, Vorsicht walten lassen (siehe Abschnitte 4.2 und 4.8).</w:t>
      </w:r>
    </w:p>
    <w:p w14:paraId="6C3ACC18" w14:textId="77777777" w:rsidR="00093A5E" w:rsidRPr="006A64EE" w:rsidRDefault="00093A5E" w:rsidP="004255F8">
      <w:pPr>
        <w:pStyle w:val="a3"/>
        <w:widowControl/>
      </w:pPr>
    </w:p>
    <w:p w14:paraId="7A885657" w14:textId="77777777" w:rsidR="00093A5E" w:rsidRPr="006A64EE" w:rsidRDefault="009C2544" w:rsidP="004255F8">
      <w:pPr>
        <w:widowControl/>
        <w:rPr>
          <w:i/>
        </w:rPr>
      </w:pPr>
      <w:r w:rsidRPr="006A64EE">
        <w:rPr>
          <w:i/>
        </w:rPr>
        <w:t>Hepatotoxizität</w:t>
      </w:r>
    </w:p>
    <w:p w14:paraId="58EDB198" w14:textId="5D0F47F1" w:rsidR="00093A5E" w:rsidRPr="006A64EE" w:rsidRDefault="009C2544" w:rsidP="004255F8">
      <w:pPr>
        <w:pStyle w:val="a3"/>
        <w:widowControl/>
      </w:pPr>
      <w:r w:rsidRPr="006A64EE">
        <w:t xml:space="preserve">Bei der Behandlung mit </w:t>
      </w:r>
      <w:r w:rsidR="00B630F4">
        <w:t>Tocilizumab</w:t>
      </w:r>
      <w:r w:rsidRPr="006A64EE">
        <w:t xml:space="preserve"> wurden häufig vorübergehende oder intermittierende, leichte und mäßige Erhöhungen der Lebertransaminasen beobachtet (siehe Abschnitt 4.8). Wenn </w:t>
      </w:r>
      <w:r w:rsidR="00B630F4">
        <w:t>Tocilizumab</w:t>
      </w:r>
      <w:r w:rsidRPr="006A64EE">
        <w:t xml:space="preserve"> zusammen mit potenziell hepatotoxischen Arzneimitteln (z. B. MTX) verabreicht wurde, wurde ein häufigeres Auftreten dieser Erhöhungen beobachtet. Wenn klinisch indiziert, sollten weitere Leberfunktionstests, einschließlich Bilirubin, erwogen werden.</w:t>
      </w:r>
    </w:p>
    <w:p w14:paraId="31C30942" w14:textId="77777777" w:rsidR="00093A5E" w:rsidRPr="006A64EE" w:rsidRDefault="00093A5E" w:rsidP="004255F8">
      <w:pPr>
        <w:pStyle w:val="a3"/>
        <w:widowControl/>
      </w:pPr>
    </w:p>
    <w:p w14:paraId="17ABAFF7" w14:textId="15BF1C8D" w:rsidR="00093A5E" w:rsidRPr="006A64EE" w:rsidRDefault="009C2544" w:rsidP="004255F8">
      <w:pPr>
        <w:pStyle w:val="a3"/>
        <w:widowControl/>
      </w:pPr>
      <w:r w:rsidRPr="006A64EE">
        <w:t xml:space="preserve">Schwerwiegende arzneimittelinduzierte Leberschäden, einschließlich akutem Leberversagen, Hepatitis und Gelbsucht, wurden mit </w:t>
      </w:r>
      <w:r w:rsidR="00B630F4">
        <w:t>Tocilizumab</w:t>
      </w:r>
      <w:r w:rsidRPr="006A64EE">
        <w:t xml:space="preserve"> beobachtet (siehe Abschnitt 4.8). Schwerwiegende Leberschädigung trat zwischen 2 Wochen und bis zu mehr als 5 Jahre nach Beginn der Therapie mit </w:t>
      </w:r>
      <w:r w:rsidR="00B630F4">
        <w:t>Tocilizumab</w:t>
      </w:r>
      <w:r w:rsidRPr="006A64EE">
        <w:t xml:space="preserve"> auf. Fälle von Leberversagen, die zu einer Lebertransplantation führten, wurden berichtet. Patienten sollen angewiesen werden, sofort einen Arzt aufzusuchen, wenn Anzeichen und Symptome einer Leberschädigung auftreten.</w:t>
      </w:r>
    </w:p>
    <w:p w14:paraId="308A5380" w14:textId="77777777" w:rsidR="00093A5E" w:rsidRPr="006A64EE" w:rsidRDefault="00093A5E" w:rsidP="004255F8">
      <w:pPr>
        <w:pStyle w:val="a3"/>
        <w:widowControl/>
      </w:pPr>
    </w:p>
    <w:p w14:paraId="5BD83BEE" w14:textId="5FB6FCA7" w:rsidR="00093A5E" w:rsidRPr="006A64EE" w:rsidRDefault="009C2544" w:rsidP="004255F8">
      <w:pPr>
        <w:pStyle w:val="a3"/>
        <w:widowControl/>
      </w:pPr>
      <w:r w:rsidRPr="006A64EE">
        <w:t xml:space="preserve">Bei Patienten mit einer Erhöhung der ALAT oder ASAT auf das &gt; 1,5-Fache des oberen Normalwertes (&gt; 1,5 x ULN) muss das Nutzen-Risiko-Verhältnis vor einer Behandlung mit </w:t>
      </w:r>
      <w:r w:rsidR="00B630F4">
        <w:t>Avtozma</w:t>
      </w:r>
      <w:r w:rsidRPr="006A64EE">
        <w:t xml:space="preserve"> sorgfältig abgewogen werden. Bei Patienten mit ALAT oder ASAT &gt; 5 x ULN vor Behandlungsbeginn wird eine Behandlung nicht empfohlen.</w:t>
      </w:r>
    </w:p>
    <w:p w14:paraId="117FEFC8" w14:textId="77777777" w:rsidR="00093A5E" w:rsidRPr="006A64EE" w:rsidRDefault="00093A5E" w:rsidP="004255F8">
      <w:pPr>
        <w:pStyle w:val="a3"/>
        <w:widowControl/>
      </w:pPr>
    </w:p>
    <w:p w14:paraId="526FFC78" w14:textId="59BAEA52" w:rsidR="00093A5E" w:rsidRPr="006A64EE" w:rsidRDefault="009C2544" w:rsidP="004255F8">
      <w:pPr>
        <w:pStyle w:val="a3"/>
        <w:widowControl/>
      </w:pPr>
      <w:r w:rsidRPr="006A64EE">
        <w:t xml:space="preserve">Bei Patienten mit RA, RZA, pJIA und sJIA müssen ALAT/ASAT während der ersten 6 Monate der Behandlung alle 4 bis 8 Wochen und danach alle 12 Wochen kontrolliert werden. Für Empfehlungen zur Anpassung, einschließlich Absetzen von </w:t>
      </w:r>
      <w:r w:rsidR="00B630F4">
        <w:t>Avtozma</w:t>
      </w:r>
      <w:r w:rsidRPr="006A64EE">
        <w:t xml:space="preserve">, auf Basis der Transaminasenwerte siehe Abschnitt 4.2. Bei einer ALAT- oder ASAT-Erhöhung von &gt; 3 – 5 x ULN sollte die Behandlung mit </w:t>
      </w:r>
      <w:r w:rsidR="00B630F4">
        <w:t>Avtozma</w:t>
      </w:r>
      <w:r w:rsidRPr="006A64EE">
        <w:t xml:space="preserve"> unterbrochen werden.</w:t>
      </w:r>
    </w:p>
    <w:p w14:paraId="2D356ABA" w14:textId="77777777" w:rsidR="00093A5E" w:rsidRPr="006A64EE" w:rsidRDefault="00093A5E" w:rsidP="004255F8">
      <w:pPr>
        <w:pStyle w:val="a3"/>
        <w:widowControl/>
      </w:pPr>
    </w:p>
    <w:p w14:paraId="04994A79" w14:textId="77777777" w:rsidR="00093A5E" w:rsidRPr="006A64EE" w:rsidRDefault="009C2544" w:rsidP="004255F8">
      <w:pPr>
        <w:widowControl/>
        <w:rPr>
          <w:i/>
        </w:rPr>
      </w:pPr>
      <w:r w:rsidRPr="006A64EE">
        <w:rPr>
          <w:i/>
        </w:rPr>
        <w:t>Hämatologische Abweichungen</w:t>
      </w:r>
    </w:p>
    <w:p w14:paraId="0667B4F3" w14:textId="72BC2C25" w:rsidR="00093A5E" w:rsidRPr="006A64EE" w:rsidRDefault="009C2544" w:rsidP="004255F8">
      <w:pPr>
        <w:pStyle w:val="a3"/>
        <w:widowControl/>
      </w:pPr>
      <w:r w:rsidRPr="006A64EE">
        <w:t xml:space="preserve">Nach Behandlung mit </w:t>
      </w:r>
      <w:r w:rsidR="00B630F4">
        <w:t>Tocilizumab</w:t>
      </w:r>
      <w:r w:rsidRPr="006A64EE">
        <w:t xml:space="preserve"> 8 mg/kg in Kombination mit MTX kam es zu einem Rückgang der Anzahl neutrophiler Granulozyten und der Thrombozyten (siehe Abschnitt 4.8). Patienten, die zuvor mit einem TNF-Inhibitor behandelt wurden, könnten ein erhöhtes Neutropenierisiko haben.</w:t>
      </w:r>
    </w:p>
    <w:p w14:paraId="53957F0E" w14:textId="77777777" w:rsidR="00093A5E" w:rsidRPr="006A64EE" w:rsidRDefault="00093A5E" w:rsidP="004255F8">
      <w:pPr>
        <w:pStyle w:val="a3"/>
        <w:widowControl/>
      </w:pPr>
    </w:p>
    <w:p w14:paraId="691B0658" w14:textId="422A39B0" w:rsidR="00093A5E" w:rsidRPr="006A64EE" w:rsidRDefault="009C2544" w:rsidP="004255F8">
      <w:pPr>
        <w:pStyle w:val="a3"/>
        <w:widowControl/>
      </w:pPr>
      <w:r w:rsidRPr="006A64EE">
        <w:t xml:space="preserve">Bei Patienten, die noch nicht mit </w:t>
      </w:r>
      <w:r w:rsidR="00B630F4">
        <w:t>Tocilizumab</w:t>
      </w:r>
      <w:r w:rsidRPr="006A64EE">
        <w:t xml:space="preserve"> behandelt wurden und eine ANC von weniger als</w:t>
      </w:r>
      <w:r w:rsidR="00E60B5C" w:rsidRPr="006A64EE">
        <w:t xml:space="preserve"> </w:t>
      </w:r>
      <w:r w:rsidR="007D680A" w:rsidRPr="006A64EE">
        <w:t>2</w:t>
      </w:r>
      <w:r w:rsidR="00846418">
        <w:t> </w:t>
      </w:r>
      <w:r w:rsidR="007D680A" w:rsidRPr="006A64EE">
        <w:t>x</w:t>
      </w:r>
      <w:r w:rsidR="00846418">
        <w:t> </w:t>
      </w:r>
      <w:r w:rsidR="007D680A" w:rsidRPr="006A64EE">
        <w:t>10</w:t>
      </w:r>
      <w:r w:rsidR="007D680A" w:rsidRPr="006A64EE">
        <w:rPr>
          <w:vertAlign w:val="superscript"/>
        </w:rPr>
        <w:t>9</w:t>
      </w:r>
      <w:r w:rsidR="007D680A" w:rsidRPr="006A64EE">
        <w:t>/l haben, wird ein Beginn der Behandlung nicht empfohlen. Bei Patienten mit niedriger Thrombozytenanzahl (z. B. Thrombozytenanzahl von unter 100 x 10</w:t>
      </w:r>
      <w:r w:rsidR="007D680A" w:rsidRPr="006A64EE">
        <w:rPr>
          <w:vertAlign w:val="superscript"/>
        </w:rPr>
        <w:t>3</w:t>
      </w:r>
      <w:r w:rsidR="007D680A" w:rsidRPr="006A64EE">
        <w:t xml:space="preserve">/µl) muss vor Beginn einer Behandlung mit </w:t>
      </w:r>
      <w:r w:rsidR="00B630F4">
        <w:t>Tocilizumab</w:t>
      </w:r>
      <w:r w:rsidR="007D680A" w:rsidRPr="006A64EE">
        <w:t xml:space="preserve"> das Nutzen-Risiko-Verhältnis sorgfältig abgewogen werden. Bei Patienten, die eine ANC von &lt; 0,5 x 10</w:t>
      </w:r>
      <w:r w:rsidR="007D680A" w:rsidRPr="006A64EE">
        <w:rPr>
          <w:vertAlign w:val="superscript"/>
        </w:rPr>
        <w:t>9</w:t>
      </w:r>
      <w:r w:rsidR="007D680A" w:rsidRPr="006A64EE">
        <w:t>/l oder eine Thrombozytenanzahl von &lt; 50 x 10</w:t>
      </w:r>
      <w:r w:rsidR="007D680A" w:rsidRPr="006A64EE">
        <w:rPr>
          <w:vertAlign w:val="superscript"/>
        </w:rPr>
        <w:t>3</w:t>
      </w:r>
      <w:r w:rsidR="007D680A" w:rsidRPr="006A64EE">
        <w:t>/µl entwickeln, wird eine Weiterbehandlung nicht empfohlen.</w:t>
      </w:r>
    </w:p>
    <w:p w14:paraId="4CCF4512" w14:textId="77777777" w:rsidR="00093A5E" w:rsidRPr="006A64EE" w:rsidRDefault="00093A5E" w:rsidP="004255F8">
      <w:pPr>
        <w:pStyle w:val="a3"/>
        <w:widowControl/>
      </w:pPr>
    </w:p>
    <w:p w14:paraId="0DDB680D" w14:textId="3FE4E142" w:rsidR="00093A5E" w:rsidRPr="006A64EE" w:rsidRDefault="009C2544" w:rsidP="004255F8">
      <w:pPr>
        <w:pStyle w:val="a3"/>
        <w:widowControl/>
      </w:pPr>
      <w:r w:rsidRPr="006A64EE">
        <w:lastRenderedPageBreak/>
        <w:t xml:space="preserve">Eine schwere Neutropenie kann mit einem erhöhten Risiko für schwerwiegende Infektionen verbunden sein, auch wenn in klinischen Prüfungen mit </w:t>
      </w:r>
      <w:r w:rsidR="007C13C7">
        <w:t>Tocilizumab</w:t>
      </w:r>
      <w:r w:rsidRPr="006A64EE">
        <w:t xml:space="preserve"> bisher kein eindeutiger Zusammenhang zwischen einem Abfall der neutrophilen Granulozyten und dem Auftreten einer schwerwiegenden Infektion hergestellt werden konnte.</w:t>
      </w:r>
    </w:p>
    <w:p w14:paraId="35337E89" w14:textId="77777777" w:rsidR="00093A5E" w:rsidRPr="006A64EE" w:rsidRDefault="00093A5E" w:rsidP="004255F8">
      <w:pPr>
        <w:pStyle w:val="a3"/>
        <w:widowControl/>
      </w:pPr>
    </w:p>
    <w:p w14:paraId="3294E615" w14:textId="77777777" w:rsidR="00093A5E" w:rsidRPr="006A64EE" w:rsidRDefault="009C2544" w:rsidP="004255F8">
      <w:pPr>
        <w:pStyle w:val="a3"/>
        <w:widowControl/>
      </w:pPr>
      <w:r w:rsidRPr="006A64EE">
        <w:t>Bei Patienten mit RA und RZA müssen neutrophile Granulozyten und Thrombozyten 4 bis 8 Wochen nach Behandlungsbeginn kontrolliert werden und danach regelmäßig entsprechend normaler klinischer Praxis. Für Empfehlungen zur Dosismodifikation auf Basis der ANC und der Thrombozytenanzahl siehe Abschnitt 4.2.</w:t>
      </w:r>
    </w:p>
    <w:p w14:paraId="154B86CD" w14:textId="77777777" w:rsidR="00093A5E" w:rsidRPr="006A64EE" w:rsidRDefault="00093A5E" w:rsidP="004255F8">
      <w:pPr>
        <w:pStyle w:val="a3"/>
        <w:widowControl/>
      </w:pPr>
    </w:p>
    <w:p w14:paraId="63A567D2" w14:textId="77777777" w:rsidR="00093A5E" w:rsidRPr="006A64EE" w:rsidRDefault="009C2544" w:rsidP="004255F8">
      <w:pPr>
        <w:pStyle w:val="a3"/>
        <w:widowControl/>
      </w:pPr>
      <w:r w:rsidRPr="006A64EE">
        <w:t>Bei Patienten mit sJIA und pJIA müssen neutrophile Granulozyten und Thrombozyten zum Zeitpunkt der zweiten Anwendung und danach gemäß guter klinischer Praxis kontrolliert werden (siehe Abschnitt 4.2).</w:t>
      </w:r>
    </w:p>
    <w:p w14:paraId="5B8CDCE5" w14:textId="77777777" w:rsidR="00093A5E" w:rsidRPr="006A64EE" w:rsidRDefault="00093A5E" w:rsidP="004255F8">
      <w:pPr>
        <w:pStyle w:val="a3"/>
        <w:widowControl/>
      </w:pPr>
    </w:p>
    <w:p w14:paraId="0434CA6E" w14:textId="77777777" w:rsidR="00093A5E" w:rsidRPr="006A64EE" w:rsidRDefault="009C2544" w:rsidP="004255F8">
      <w:pPr>
        <w:keepNext/>
        <w:widowControl/>
        <w:rPr>
          <w:i/>
        </w:rPr>
      </w:pPr>
      <w:r w:rsidRPr="006A64EE">
        <w:rPr>
          <w:i/>
        </w:rPr>
        <w:t>Lipidwerte</w:t>
      </w:r>
    </w:p>
    <w:p w14:paraId="4557B218" w14:textId="4AA26922" w:rsidR="00093A5E" w:rsidRPr="006A64EE" w:rsidRDefault="009C2544" w:rsidP="004255F8">
      <w:pPr>
        <w:pStyle w:val="a3"/>
        <w:widowControl/>
      </w:pPr>
      <w:r w:rsidRPr="006A64EE">
        <w:t xml:space="preserve">Erhöhungen der Lipidwerte, wie z. B. Gesamtcholesterin, Low Density Lipoprotein (LDL), High Density Lipoprotein (HDL) und Triglyceride, wurden bei Patienten, die mit </w:t>
      </w:r>
      <w:r w:rsidR="007C13C7">
        <w:t>Tocilizumab</w:t>
      </w:r>
      <w:r w:rsidRPr="006A64EE">
        <w:t xml:space="preserve"> behandelt wurden, beobachtet (siehe Abschnitt 4.8). Bei den meisten Patienten kam es nicht zu einer Erhöhung der atherogenen Indizes und die Erhöhungen des Gesamtcholesterins sprachen auf eine Behandlung mit Lipidsenkern an.</w:t>
      </w:r>
    </w:p>
    <w:p w14:paraId="505818F6" w14:textId="77777777" w:rsidR="00093A5E" w:rsidRPr="006A64EE" w:rsidRDefault="00093A5E" w:rsidP="004255F8">
      <w:pPr>
        <w:pStyle w:val="a3"/>
        <w:widowControl/>
      </w:pPr>
    </w:p>
    <w:p w14:paraId="6495B166" w14:textId="53A8141E" w:rsidR="00093A5E" w:rsidRPr="006A64EE" w:rsidRDefault="009C2544" w:rsidP="004255F8">
      <w:pPr>
        <w:pStyle w:val="a3"/>
        <w:widowControl/>
      </w:pPr>
      <w:r w:rsidRPr="006A64EE">
        <w:t xml:space="preserve">4 bis 8 Wochen nach Beginn der Behandlung mit </w:t>
      </w:r>
      <w:r w:rsidR="007C13C7">
        <w:t>Tocilizumab</w:t>
      </w:r>
      <w:r w:rsidRPr="006A64EE">
        <w:t xml:space="preserve"> muss bei Patienten mit RA und RZA eine Überprüfung der Lipidwerte erfolgen. Die Patienten sollten gemäß lokaler Therapieleitlinien für Hyperlipidämien behandelt werden.</w:t>
      </w:r>
    </w:p>
    <w:p w14:paraId="5DC378A9" w14:textId="77777777" w:rsidR="00093A5E" w:rsidRPr="006A64EE" w:rsidRDefault="00093A5E" w:rsidP="004255F8">
      <w:pPr>
        <w:pStyle w:val="a3"/>
        <w:widowControl/>
      </w:pPr>
    </w:p>
    <w:p w14:paraId="18ECDDE3" w14:textId="77777777" w:rsidR="00093A5E" w:rsidRPr="006A64EE" w:rsidRDefault="009C2544" w:rsidP="004255F8">
      <w:pPr>
        <w:widowControl/>
        <w:rPr>
          <w:i/>
        </w:rPr>
      </w:pPr>
      <w:r w:rsidRPr="006A64EE">
        <w:rPr>
          <w:i/>
        </w:rPr>
        <w:t>Neurologische Störungen</w:t>
      </w:r>
    </w:p>
    <w:p w14:paraId="3D8A39D4" w14:textId="7218A9C6" w:rsidR="00093A5E" w:rsidRPr="006A64EE" w:rsidRDefault="009C2544" w:rsidP="004255F8">
      <w:pPr>
        <w:pStyle w:val="a3"/>
        <w:widowControl/>
      </w:pPr>
      <w:r w:rsidRPr="006A64EE">
        <w:t xml:space="preserve">Ärzte müssen aufmerksam auf Symptome achten, die möglicherweise auf den Beginn einer demyelinisierenden Erkrankung des zentralen Nervensystems hindeuten könnten. Das Risikopotenzial für das Auftreten einer Demyelinisierung des zentralen Nervensystems durch </w:t>
      </w:r>
      <w:r w:rsidR="007C13C7">
        <w:t>Tocilizumab</w:t>
      </w:r>
      <w:r w:rsidRPr="006A64EE">
        <w:t xml:space="preserve"> ist bislang unbekannt.</w:t>
      </w:r>
    </w:p>
    <w:p w14:paraId="7AD94C0F" w14:textId="77777777" w:rsidR="00093A5E" w:rsidRPr="006A64EE" w:rsidRDefault="00093A5E" w:rsidP="004255F8">
      <w:pPr>
        <w:pStyle w:val="a3"/>
        <w:widowControl/>
      </w:pPr>
    </w:p>
    <w:p w14:paraId="482A0E58" w14:textId="77777777" w:rsidR="00093A5E" w:rsidRPr="006A64EE" w:rsidRDefault="009C2544" w:rsidP="004255F8">
      <w:pPr>
        <w:widowControl/>
        <w:rPr>
          <w:i/>
        </w:rPr>
      </w:pPr>
      <w:r w:rsidRPr="006A64EE">
        <w:rPr>
          <w:i/>
        </w:rPr>
        <w:t>Maligne Erkrankungen</w:t>
      </w:r>
    </w:p>
    <w:p w14:paraId="789716C4" w14:textId="77777777" w:rsidR="00093A5E" w:rsidRPr="006A64EE" w:rsidRDefault="009C2544" w:rsidP="004255F8">
      <w:pPr>
        <w:pStyle w:val="a3"/>
        <w:widowControl/>
      </w:pPr>
      <w:r w:rsidRPr="006A64EE">
        <w:t>Patienten mit RA haben ein erhöhtes Risiko für maligne Erkrankungen. Immunmodulierende Arzneimittel können das Risiko für maligne Erkrankungen erhöhen.</w:t>
      </w:r>
    </w:p>
    <w:p w14:paraId="575146C7" w14:textId="77777777" w:rsidR="00093A5E" w:rsidRPr="006A64EE" w:rsidRDefault="00093A5E" w:rsidP="004255F8">
      <w:pPr>
        <w:pStyle w:val="a3"/>
        <w:widowControl/>
      </w:pPr>
    </w:p>
    <w:p w14:paraId="1836A06C" w14:textId="77777777" w:rsidR="00093A5E" w:rsidRPr="006A64EE" w:rsidRDefault="009C2544" w:rsidP="004255F8">
      <w:pPr>
        <w:widowControl/>
        <w:rPr>
          <w:i/>
        </w:rPr>
      </w:pPr>
      <w:r w:rsidRPr="006A64EE">
        <w:rPr>
          <w:i/>
        </w:rPr>
        <w:t>Impfungen</w:t>
      </w:r>
    </w:p>
    <w:p w14:paraId="78E4A75E" w14:textId="5CEEB234" w:rsidR="00093A5E" w:rsidRPr="006A64EE" w:rsidRDefault="009C2544" w:rsidP="004255F8">
      <w:pPr>
        <w:pStyle w:val="a3"/>
        <w:widowControl/>
      </w:pPr>
      <w:r w:rsidRPr="006A64EE">
        <w:t xml:space="preserve">Lebendimpfstoffe und attenuierte Lebendimpfstoffe sollten nicht gleichzeitig mit </w:t>
      </w:r>
      <w:r w:rsidR="007C13C7">
        <w:t>Tocilizumab</w:t>
      </w:r>
      <w:r w:rsidRPr="006A64EE">
        <w:t xml:space="preserve"> verabreicht werden, da die klinische Sicherheit noch nicht nachgewiesen wurde. In einer offenen randomisierten Studie zeigten erwachsene Patienten mit RA, die mit </w:t>
      </w:r>
      <w:r w:rsidR="007C13C7">
        <w:t>Tocilizumab</w:t>
      </w:r>
      <w:r w:rsidRPr="006A64EE">
        <w:t xml:space="preserve"> und MTX behandelt wurden, ein wirksames Ansprechen auf sowohl 23-valente Pneumokokken-Polysaccharid-Impfstoffe als auch Tetanus-Toxoid-Impfstoffe; die Ansprechrate war vergleichbar mit der bei Patienten, die nur MTX erhielten. Es wird empfohlen, dass alle Patienten, insbesondere ältere Patienten, alle gemäß den aktuellen Impfempfehlungen notwendigen Impfungen erhalten, bevor eine Behandlung mit </w:t>
      </w:r>
      <w:r w:rsidR="007C13C7">
        <w:t>Tocilizumab</w:t>
      </w:r>
      <w:r w:rsidRPr="006A64EE">
        <w:t xml:space="preserve"> begonnen wird. Der Zeitraum zwischen der Impfung mit Lebendimpfstoffen und dem Beginn der Behandlung mit </w:t>
      </w:r>
      <w:r w:rsidR="007C13C7">
        <w:t>Tocilizumab</w:t>
      </w:r>
      <w:r w:rsidRPr="006A64EE">
        <w:t xml:space="preserve"> sollte entsprechend den aktuellen Impfempfehlungen in Bezug auf Immunsuppressiva gewählt werden.</w:t>
      </w:r>
    </w:p>
    <w:p w14:paraId="76F5B7E9" w14:textId="77777777" w:rsidR="00093A5E" w:rsidRPr="006A64EE" w:rsidRDefault="00093A5E" w:rsidP="004255F8">
      <w:pPr>
        <w:pStyle w:val="a3"/>
        <w:widowControl/>
      </w:pPr>
    </w:p>
    <w:p w14:paraId="6D7928AF" w14:textId="77777777" w:rsidR="00093A5E" w:rsidRPr="006A64EE" w:rsidRDefault="009C2544" w:rsidP="004255F8">
      <w:pPr>
        <w:keepNext/>
        <w:widowControl/>
        <w:rPr>
          <w:i/>
        </w:rPr>
      </w:pPr>
      <w:r w:rsidRPr="006A64EE">
        <w:rPr>
          <w:i/>
        </w:rPr>
        <w:t>Kardiovaskuläres Risiko</w:t>
      </w:r>
    </w:p>
    <w:p w14:paraId="07A2F6F9" w14:textId="77777777" w:rsidR="00093A5E" w:rsidRPr="006A64EE" w:rsidRDefault="009C2544" w:rsidP="004255F8">
      <w:pPr>
        <w:pStyle w:val="a3"/>
        <w:keepNext/>
        <w:widowControl/>
      </w:pPr>
      <w:r w:rsidRPr="006A64EE">
        <w:t>Patienten mit RA haben ein erhöhtes Risiko für kardiovaskuläre Erkrankungen. Risikofaktoren</w:t>
      </w:r>
      <w:r w:rsidR="00E60B5C" w:rsidRPr="006A64EE">
        <w:t xml:space="preserve"> </w:t>
      </w:r>
      <w:r w:rsidRPr="006A64EE">
        <w:t>(z. B. Hypertonie, Hyperlipidämie) müssen im Rahmen der üblichen Therapiestandards überwacht und behandelt werden.</w:t>
      </w:r>
    </w:p>
    <w:p w14:paraId="11E97558" w14:textId="77777777" w:rsidR="00093A5E" w:rsidRPr="006A64EE" w:rsidRDefault="00093A5E" w:rsidP="004255F8">
      <w:pPr>
        <w:pStyle w:val="a3"/>
        <w:widowControl/>
      </w:pPr>
    </w:p>
    <w:p w14:paraId="00EE0636" w14:textId="77777777" w:rsidR="00093A5E" w:rsidRPr="006A64EE" w:rsidRDefault="007D680A" w:rsidP="004255F8">
      <w:pPr>
        <w:widowControl/>
      </w:pPr>
      <w:r w:rsidRPr="006A64EE">
        <w:rPr>
          <w:i/>
        </w:rPr>
        <w:t>Kombination mit TNF-Inhibitoren</w:t>
      </w:r>
    </w:p>
    <w:p w14:paraId="785E5063" w14:textId="01DF8195" w:rsidR="00093A5E" w:rsidRPr="006A64EE" w:rsidRDefault="007C13C7" w:rsidP="004255F8">
      <w:pPr>
        <w:pStyle w:val="a3"/>
        <w:widowControl/>
      </w:pPr>
      <w:r>
        <w:t>Avtozma</w:t>
      </w:r>
      <w:r w:rsidRPr="006A64EE">
        <w:t xml:space="preserve"> </w:t>
      </w:r>
      <w:r w:rsidR="009C2544" w:rsidRPr="006A64EE">
        <w:t xml:space="preserve">wurde nicht in Kombination mit TNF-Inhibitoren oder anderen biologischen Therapien bei Patienten mit RA untersucht. Die Anwendung von </w:t>
      </w:r>
      <w:r>
        <w:t>Avtozma</w:t>
      </w:r>
      <w:r w:rsidRPr="006A64EE">
        <w:t xml:space="preserve"> </w:t>
      </w:r>
      <w:r w:rsidR="009C2544" w:rsidRPr="006A64EE">
        <w:t>zusammen mit anderen biologischen Wirkstoffen wird nicht empfohlen.</w:t>
      </w:r>
    </w:p>
    <w:p w14:paraId="553EDF7F" w14:textId="77777777" w:rsidR="00093A5E" w:rsidRPr="006A64EE" w:rsidRDefault="00093A5E" w:rsidP="004255F8">
      <w:pPr>
        <w:pStyle w:val="a3"/>
        <w:widowControl/>
      </w:pPr>
    </w:p>
    <w:p w14:paraId="6EC4F31B" w14:textId="77777777" w:rsidR="00093A5E" w:rsidRPr="006A64EE" w:rsidRDefault="009C2544" w:rsidP="004255F8">
      <w:pPr>
        <w:widowControl/>
        <w:rPr>
          <w:i/>
        </w:rPr>
      </w:pPr>
      <w:r w:rsidRPr="006A64EE">
        <w:rPr>
          <w:i/>
        </w:rPr>
        <w:t>RZA</w:t>
      </w:r>
    </w:p>
    <w:p w14:paraId="22D74572" w14:textId="767AE487" w:rsidR="00093A5E" w:rsidRPr="006A64EE" w:rsidRDefault="007C13C7" w:rsidP="004255F8">
      <w:pPr>
        <w:pStyle w:val="a3"/>
        <w:widowControl/>
      </w:pPr>
      <w:r>
        <w:t>Avtozma-</w:t>
      </w:r>
      <w:r w:rsidR="009C2544" w:rsidRPr="006A64EE">
        <w:t>Monotherapie sollte nicht zur Behandlung akuter Rezidive angewendet werden, da die Wirksamkeit in diesem Setting nicht untersucht wurde. Glucocorticoide sollen gemäß medizinischer Beurteilung und Behandlungsleitlinien gegeben werden.</w:t>
      </w:r>
    </w:p>
    <w:p w14:paraId="378FEAC0" w14:textId="77777777" w:rsidR="00093A5E" w:rsidRPr="006A64EE" w:rsidRDefault="00093A5E" w:rsidP="004255F8">
      <w:pPr>
        <w:pStyle w:val="a3"/>
        <w:widowControl/>
      </w:pPr>
    </w:p>
    <w:p w14:paraId="1AA3064B" w14:textId="77777777" w:rsidR="00093A5E" w:rsidRPr="006A64EE" w:rsidRDefault="009C2544" w:rsidP="004255F8">
      <w:pPr>
        <w:widowControl/>
        <w:rPr>
          <w:i/>
        </w:rPr>
      </w:pPr>
      <w:r w:rsidRPr="006A64EE">
        <w:rPr>
          <w:i/>
        </w:rPr>
        <w:t>sJIA</w:t>
      </w:r>
    </w:p>
    <w:p w14:paraId="3F4D37DD" w14:textId="639E001C" w:rsidR="00093A5E" w:rsidRPr="006A64EE" w:rsidRDefault="009C2544" w:rsidP="004255F8">
      <w:pPr>
        <w:pStyle w:val="a3"/>
        <w:widowControl/>
      </w:pPr>
      <w:r w:rsidRPr="006A64EE">
        <w:t xml:space="preserve">Das Makrophagenaktivierungssyndrom (MAS) ist eine schwerwiegende, lebensbedrohliche Erkrankung, die bei Patienten mit sJIA auftreten kann. Die Anwendung von </w:t>
      </w:r>
      <w:r w:rsidR="007C13C7">
        <w:t>Tocilizumab</w:t>
      </w:r>
      <w:r w:rsidRPr="006A64EE">
        <w:t xml:space="preserve"> bei Patienten während einer aktiven MAS-Episode wurde in klinischen Studien nicht untersucht.</w:t>
      </w:r>
    </w:p>
    <w:p w14:paraId="5918EB5C" w14:textId="77777777" w:rsidR="007C13C7" w:rsidRPr="00890245" w:rsidRDefault="007C13C7" w:rsidP="007C13C7"/>
    <w:p w14:paraId="2C0A1E23" w14:textId="77777777" w:rsidR="007C13C7" w:rsidRPr="00890245" w:rsidRDefault="007C13C7" w:rsidP="007C13C7">
      <w:pPr>
        <w:keepNext/>
        <w:rPr>
          <w:u w:val="single"/>
        </w:rPr>
      </w:pPr>
      <w:r w:rsidRPr="00890245">
        <w:rPr>
          <w:u w:val="single"/>
        </w:rPr>
        <w:t>Sonstige Bestandteile mit bekannter Wirkung</w:t>
      </w:r>
    </w:p>
    <w:p w14:paraId="1B32E5E8" w14:textId="77777777" w:rsidR="007C13C7" w:rsidRPr="00890245" w:rsidRDefault="007C13C7" w:rsidP="007C13C7">
      <w:pPr>
        <w:keepNext/>
        <w:rPr>
          <w:i/>
          <w:iCs/>
        </w:rPr>
      </w:pPr>
      <w:r w:rsidRPr="00890245">
        <w:rPr>
          <w:i/>
        </w:rPr>
        <w:t>Polysorbat</w:t>
      </w:r>
    </w:p>
    <w:p w14:paraId="0AAAA9CF" w14:textId="68F3F2D2" w:rsidR="007C13C7" w:rsidRPr="00890245" w:rsidRDefault="007C13C7" w:rsidP="007C13C7">
      <w:r w:rsidRPr="00890245">
        <w:t>Jeder Fertigpen mit 162 mg enthält 0,2 mg Polysorbat</w:t>
      </w:r>
      <w:r w:rsidR="00667211">
        <w:t> 80</w:t>
      </w:r>
      <w:r w:rsidRPr="00890245">
        <w:t>.</w:t>
      </w:r>
    </w:p>
    <w:p w14:paraId="50412A56" w14:textId="77777777" w:rsidR="007C13C7" w:rsidRPr="00890245" w:rsidRDefault="007C13C7" w:rsidP="007C13C7">
      <w:r w:rsidRPr="00890245">
        <w:t>Polysorbate können allergische Reaktionen hervorrufen. Patienten mit einer Allergie gegen Polysorbate sollten dieses Arzneimittel nicht anwenden.</w:t>
      </w:r>
    </w:p>
    <w:p w14:paraId="1064EB09" w14:textId="77777777" w:rsidR="00093A5E" w:rsidRPr="006A64EE" w:rsidRDefault="00093A5E" w:rsidP="004255F8">
      <w:pPr>
        <w:pStyle w:val="a3"/>
        <w:widowControl/>
      </w:pPr>
    </w:p>
    <w:p w14:paraId="3BC164CF" w14:textId="77777777" w:rsidR="00093A5E" w:rsidRPr="006A64EE" w:rsidRDefault="0059713A" w:rsidP="004255F8">
      <w:pPr>
        <w:pStyle w:val="2"/>
        <w:ind w:left="0" w:firstLine="0"/>
      </w:pPr>
      <w:r w:rsidRPr="006A64EE">
        <w:t>4.5</w:t>
      </w:r>
      <w:r w:rsidRPr="006A64EE">
        <w:tab/>
        <w:t>Wechselwirkungen mit anderen Arzneimitteln und sonstige Wechselwirkungen</w:t>
      </w:r>
    </w:p>
    <w:p w14:paraId="05452555" w14:textId="77777777" w:rsidR="00093A5E" w:rsidRPr="006A64EE" w:rsidRDefault="00093A5E" w:rsidP="004F1875">
      <w:pPr>
        <w:pStyle w:val="a3"/>
        <w:keepNext/>
        <w:widowControl/>
      </w:pPr>
    </w:p>
    <w:p w14:paraId="01F84FBD" w14:textId="77777777" w:rsidR="00093A5E" w:rsidRPr="006A64EE" w:rsidRDefault="009C2544" w:rsidP="004255F8">
      <w:pPr>
        <w:pStyle w:val="a3"/>
        <w:widowControl/>
      </w:pPr>
      <w:r w:rsidRPr="006A64EE">
        <w:t>Studien zur Erfassung von Wechselwirkungen wurden nur bei Erwachsenen durchgeführt.</w:t>
      </w:r>
    </w:p>
    <w:p w14:paraId="2E17B5B1" w14:textId="77777777" w:rsidR="00093A5E" w:rsidRPr="006A64EE" w:rsidRDefault="00093A5E" w:rsidP="004255F8">
      <w:pPr>
        <w:pStyle w:val="a3"/>
        <w:widowControl/>
      </w:pPr>
    </w:p>
    <w:p w14:paraId="0999D064" w14:textId="3F7726B0" w:rsidR="00093A5E" w:rsidRPr="006A64EE" w:rsidRDefault="009C2544" w:rsidP="004255F8">
      <w:pPr>
        <w:pStyle w:val="a3"/>
        <w:widowControl/>
      </w:pPr>
      <w:r w:rsidRPr="006A64EE">
        <w:t xml:space="preserve">Die gleichzeitige Anwendung einer Einzeldosis von 10 mg/kg </w:t>
      </w:r>
      <w:r w:rsidR="00265A4B">
        <w:t>Avtozma</w:t>
      </w:r>
      <w:r w:rsidR="00265A4B" w:rsidRPr="006A64EE">
        <w:t xml:space="preserve"> </w:t>
      </w:r>
      <w:r w:rsidRPr="006A64EE">
        <w:t>mit 10 mg – 25 mg MTX einmal wöchentlich hatte keine klinisch signifikante Wirkung auf die MTX-Exposition.</w:t>
      </w:r>
    </w:p>
    <w:p w14:paraId="6CDC4040" w14:textId="77777777" w:rsidR="00093A5E" w:rsidRPr="006A64EE" w:rsidRDefault="00093A5E" w:rsidP="004255F8">
      <w:pPr>
        <w:pStyle w:val="a3"/>
        <w:widowControl/>
      </w:pPr>
    </w:p>
    <w:p w14:paraId="203636F6" w14:textId="6D53734E" w:rsidR="00093A5E" w:rsidRPr="006A64EE" w:rsidRDefault="009C2544" w:rsidP="004255F8">
      <w:pPr>
        <w:pStyle w:val="a3"/>
        <w:widowControl/>
      </w:pPr>
      <w:r w:rsidRPr="006A64EE">
        <w:t xml:space="preserve">In Analysen zur Populationspharmakokinetik fand sich bei RA-Patienten kein Einfluss von MTX, nicht steroidalen Antiphlogistika (NSAs) oder Corticosteroiden auf die Clearance von </w:t>
      </w:r>
      <w:r w:rsidR="00265A4B">
        <w:t>Tocilizumab</w:t>
      </w:r>
      <w:r w:rsidRPr="006A64EE">
        <w:t xml:space="preserve">. Bei RZA-Patienten wurden keine Auswirkungen von kumulativen Corticosteroid-Dosen auf die </w:t>
      </w:r>
      <w:r w:rsidR="00265A4B">
        <w:t>Tocilizumab-</w:t>
      </w:r>
      <w:r w:rsidRPr="006A64EE">
        <w:t>Exposition beobachtet.</w:t>
      </w:r>
    </w:p>
    <w:p w14:paraId="5AE74BD7" w14:textId="77777777" w:rsidR="00093A5E" w:rsidRPr="006A64EE" w:rsidRDefault="00093A5E" w:rsidP="004255F8">
      <w:pPr>
        <w:pStyle w:val="a3"/>
        <w:widowControl/>
      </w:pPr>
    </w:p>
    <w:p w14:paraId="4287E028" w14:textId="357B57D8" w:rsidR="00093A5E" w:rsidRPr="006A64EE" w:rsidRDefault="009C2544" w:rsidP="004255F8">
      <w:pPr>
        <w:pStyle w:val="a3"/>
        <w:widowControl/>
      </w:pPr>
      <w:r w:rsidRPr="006A64EE">
        <w:t xml:space="preserve">Die Bildung der hepatischen CYP450-Enzyme wird durch Zytokine, wie IL-6, das die chronische Entzündung stimuliert, unterdrückt. Daher ist zu erwarten, dass die Bildung von CYP450-Enzymen normalisiert wird, wenn eine wirksame Behandlung zur Zytokinhemmung, wie </w:t>
      </w:r>
      <w:r w:rsidR="00426894">
        <w:t>Avtozma</w:t>
      </w:r>
      <w:r w:rsidRPr="006A64EE">
        <w:t>, eingeleitet wird.</w:t>
      </w:r>
    </w:p>
    <w:p w14:paraId="71AF2449" w14:textId="77777777" w:rsidR="00093A5E" w:rsidRPr="006A64EE" w:rsidRDefault="00093A5E" w:rsidP="004255F8">
      <w:pPr>
        <w:pStyle w:val="a3"/>
        <w:widowControl/>
      </w:pPr>
    </w:p>
    <w:p w14:paraId="6D3017EA" w14:textId="57E5D182" w:rsidR="00093A5E" w:rsidRPr="006A64EE" w:rsidRDefault="009C2544" w:rsidP="004255F8">
      <w:pPr>
        <w:pStyle w:val="a3"/>
        <w:widowControl/>
      </w:pPr>
      <w:r w:rsidRPr="006A64EE">
        <w:rPr>
          <w:i/>
        </w:rPr>
        <w:t>In-vitro-</w:t>
      </w:r>
      <w:r w:rsidRPr="006A64EE">
        <w:t xml:space="preserve">Studien mit kultivierten menschlichen Hepatozyten zeigten, dass IL-6 einen Rückgang der CYP1A2-, CYP2C9-, CYP2C19- und CYP3A4-Enzymexpression bewirkte. </w:t>
      </w:r>
      <w:r w:rsidR="00265A4B">
        <w:t>Tocilizumab</w:t>
      </w:r>
      <w:r w:rsidRPr="006A64EE">
        <w:t xml:space="preserve"> normalisiert die Expression dieser Enzyme.</w:t>
      </w:r>
    </w:p>
    <w:p w14:paraId="691256DA" w14:textId="77777777" w:rsidR="00093A5E" w:rsidRPr="006A64EE" w:rsidRDefault="00093A5E" w:rsidP="004255F8">
      <w:pPr>
        <w:pStyle w:val="a3"/>
        <w:widowControl/>
      </w:pPr>
    </w:p>
    <w:p w14:paraId="751B3E2C" w14:textId="26A3527A" w:rsidR="00093A5E" w:rsidRPr="006A64EE" w:rsidRDefault="009C2544" w:rsidP="004255F8">
      <w:pPr>
        <w:pStyle w:val="a3"/>
        <w:widowControl/>
      </w:pPr>
      <w:r w:rsidRPr="006A64EE">
        <w:t xml:space="preserve">In einer Studie bei Patienten mit RA waren die Simvastatin-Spiegel (CYP3A4) eine Woche nach einer Einzeldosis von </w:t>
      </w:r>
      <w:r w:rsidR="00265A4B">
        <w:t>Tocilizumab</w:t>
      </w:r>
      <w:r w:rsidRPr="006A64EE">
        <w:t xml:space="preserve"> um 57 % erniedrigt. Dies entspricht einem ähnlichen oder leicht höheren Spiegel als bei gesunden Probanden.</w:t>
      </w:r>
    </w:p>
    <w:p w14:paraId="312D12CC" w14:textId="77777777" w:rsidR="00093A5E" w:rsidRPr="006A64EE" w:rsidRDefault="00093A5E" w:rsidP="004255F8">
      <w:pPr>
        <w:pStyle w:val="a3"/>
        <w:widowControl/>
      </w:pPr>
    </w:p>
    <w:p w14:paraId="3D8EB10D" w14:textId="29B58F47" w:rsidR="00093A5E" w:rsidRPr="006A64EE" w:rsidRDefault="009C2544" w:rsidP="004255F8">
      <w:pPr>
        <w:pStyle w:val="a3"/>
        <w:widowControl/>
      </w:pPr>
      <w:r w:rsidRPr="006A64EE">
        <w:t xml:space="preserve">Wenn eine Therapie mit </w:t>
      </w:r>
      <w:r w:rsidR="00265A4B">
        <w:t>Tocilizumab</w:t>
      </w:r>
      <w:r w:rsidRPr="006A64EE">
        <w:t xml:space="preserve"> begonnen oder beendet wird, sollten Patienten, die Arzneimittel einnehmen, für welche die Dosis individuell angepasst wird und die durch CYP450 3A4, 1A2 oder 2C9 metabolisiert werden (z. B. Methylprednisolon, Dexamethason [mit der Möglichkeit des Auftretens eines oralen Glucocorticoid-Entzugssyndroms], Atorvastatin, Calciumkanalblocker, Theophyllin, Warfarin, Phenprocoumon, Phenytoin, Ciclosporin oder Benzodiazepine), überwacht werden, da Dosiserhöhungen erforderlich sein könnten, um die therapeutische Wirkung zu erhalten. Aufgrund seiner langen Eliminationshalbwertszeit (t</w:t>
      </w:r>
      <w:r w:rsidRPr="00901DE4">
        <w:rPr>
          <w:vertAlign w:val="subscript"/>
        </w:rPr>
        <w:t>1/2</w:t>
      </w:r>
      <w:r w:rsidRPr="006A64EE">
        <w:t xml:space="preserve">) kann die Wirkung von </w:t>
      </w:r>
      <w:r w:rsidR="00265A4B">
        <w:t>Tocilizumab</w:t>
      </w:r>
      <w:r w:rsidRPr="006A64EE">
        <w:t xml:space="preserve"> auf die CYP450-Enzymaktivität mehrere Wochen nach dem Ende der Therapie persistieren.</w:t>
      </w:r>
    </w:p>
    <w:p w14:paraId="262B1D9C" w14:textId="77777777" w:rsidR="00093A5E" w:rsidRPr="006A64EE" w:rsidRDefault="00093A5E" w:rsidP="004255F8">
      <w:pPr>
        <w:pStyle w:val="a3"/>
        <w:widowControl/>
      </w:pPr>
    </w:p>
    <w:p w14:paraId="44D54508" w14:textId="77777777" w:rsidR="00093A5E" w:rsidRPr="006A64EE" w:rsidRDefault="0059713A" w:rsidP="004255F8">
      <w:pPr>
        <w:pStyle w:val="2"/>
        <w:ind w:left="0" w:firstLine="0"/>
      </w:pPr>
      <w:r w:rsidRPr="006A64EE">
        <w:t>4.6</w:t>
      </w:r>
      <w:r w:rsidRPr="006A64EE">
        <w:tab/>
        <w:t>Fertilität, Schwangerschaft und Stillzeit</w:t>
      </w:r>
    </w:p>
    <w:p w14:paraId="44C6265D" w14:textId="77777777" w:rsidR="00093A5E" w:rsidRPr="006A64EE" w:rsidRDefault="00093A5E" w:rsidP="00121CB7"/>
    <w:p w14:paraId="0F7A7C45" w14:textId="77777777" w:rsidR="00093A5E" w:rsidRPr="006A64EE" w:rsidRDefault="009C2544" w:rsidP="00F74890">
      <w:pPr>
        <w:pStyle w:val="a3"/>
        <w:keepNext/>
        <w:widowControl/>
      </w:pPr>
      <w:r w:rsidRPr="006A64EE">
        <w:rPr>
          <w:u w:val="single"/>
        </w:rPr>
        <w:lastRenderedPageBreak/>
        <w:t>Frauen im gebärfähigen Alter</w:t>
      </w:r>
    </w:p>
    <w:p w14:paraId="68FE0FA6" w14:textId="77777777" w:rsidR="00093A5E" w:rsidRPr="006A64EE" w:rsidRDefault="00093A5E" w:rsidP="003452D3">
      <w:pPr>
        <w:pStyle w:val="a3"/>
        <w:keepNext/>
        <w:widowControl/>
      </w:pPr>
    </w:p>
    <w:p w14:paraId="45190D2E" w14:textId="77777777" w:rsidR="00093A5E" w:rsidRPr="006A64EE" w:rsidRDefault="009C2544" w:rsidP="003452D3">
      <w:pPr>
        <w:pStyle w:val="a3"/>
        <w:keepNext/>
        <w:widowControl/>
      </w:pPr>
      <w:r w:rsidRPr="006A64EE">
        <w:t>Frauen im gebärfähigen Alter müssen während der Behandlung und während 3 Monaten danach eine wirksame Kontrazeption anwenden.</w:t>
      </w:r>
    </w:p>
    <w:p w14:paraId="6D1B7FF1" w14:textId="77777777" w:rsidR="00093A5E" w:rsidRPr="006A64EE" w:rsidRDefault="00093A5E" w:rsidP="004255F8">
      <w:pPr>
        <w:widowControl/>
      </w:pPr>
    </w:p>
    <w:p w14:paraId="79A9D77B" w14:textId="77777777" w:rsidR="00093A5E" w:rsidRPr="006A64EE" w:rsidRDefault="007D680A" w:rsidP="004255F8">
      <w:pPr>
        <w:widowControl/>
      </w:pPr>
      <w:r w:rsidRPr="006A64EE">
        <w:rPr>
          <w:u w:val="single"/>
        </w:rPr>
        <w:t>Schwangerschaft</w:t>
      </w:r>
    </w:p>
    <w:p w14:paraId="03BC8FCF" w14:textId="77777777" w:rsidR="00093A5E" w:rsidRPr="006A64EE" w:rsidRDefault="00093A5E" w:rsidP="004255F8">
      <w:pPr>
        <w:pStyle w:val="a3"/>
        <w:widowControl/>
      </w:pPr>
    </w:p>
    <w:p w14:paraId="4DC6D435" w14:textId="35466A57" w:rsidR="00093A5E" w:rsidRPr="006A64EE" w:rsidRDefault="009C2544" w:rsidP="004255F8">
      <w:pPr>
        <w:pStyle w:val="a3"/>
        <w:widowControl/>
      </w:pPr>
      <w:r w:rsidRPr="006A64EE">
        <w:t xml:space="preserve">Es liegen keine hinreichenden Daten zur Verwendung von </w:t>
      </w:r>
      <w:r w:rsidR="00265A4B">
        <w:t>Avtozma</w:t>
      </w:r>
      <w:r w:rsidR="00265A4B" w:rsidRPr="006A64EE">
        <w:t xml:space="preserve"> </w:t>
      </w:r>
      <w:r w:rsidRPr="006A64EE">
        <w:t>bei Schwangeren vor. Eine tierexperimentelle Studie hat bei einer hohen Dosierung ein erhöhtes Risiko für Spontanaborte/embryonal–fetalen Tod gezeigt (siehe Abschnitt 5.3). Das potenzielle Risiko für den Menschen ist nicht bekannt.</w:t>
      </w:r>
    </w:p>
    <w:p w14:paraId="5FC7D8FB" w14:textId="77777777" w:rsidR="00093A5E" w:rsidRPr="006A64EE" w:rsidRDefault="00093A5E" w:rsidP="004255F8">
      <w:pPr>
        <w:pStyle w:val="a3"/>
        <w:widowControl/>
      </w:pPr>
    </w:p>
    <w:p w14:paraId="64D17848" w14:textId="696A5362" w:rsidR="00093A5E" w:rsidRPr="006A64EE" w:rsidRDefault="00265A4B" w:rsidP="004255F8">
      <w:pPr>
        <w:pStyle w:val="a3"/>
        <w:widowControl/>
      </w:pPr>
      <w:r>
        <w:t>Avtozma</w:t>
      </w:r>
      <w:r w:rsidRPr="006A64EE">
        <w:t xml:space="preserve"> </w:t>
      </w:r>
      <w:r w:rsidR="009C2544" w:rsidRPr="006A64EE">
        <w:t>sollte nicht während der Schwangerschaft angewendet werden, es sei denn, dies ist eindeutig erforderlich.</w:t>
      </w:r>
    </w:p>
    <w:p w14:paraId="530061D5" w14:textId="77777777" w:rsidR="00093A5E" w:rsidRPr="006A64EE" w:rsidRDefault="00093A5E" w:rsidP="004255F8">
      <w:pPr>
        <w:pStyle w:val="a3"/>
        <w:widowControl/>
      </w:pPr>
    </w:p>
    <w:p w14:paraId="7476CDDF" w14:textId="77777777" w:rsidR="00093A5E" w:rsidRPr="006A64EE" w:rsidRDefault="009C2544" w:rsidP="00B320E1">
      <w:pPr>
        <w:pStyle w:val="a3"/>
        <w:keepNext/>
        <w:widowControl/>
        <w:rPr>
          <w:u w:val="single"/>
        </w:rPr>
      </w:pPr>
      <w:r w:rsidRPr="006A64EE">
        <w:rPr>
          <w:u w:val="single"/>
        </w:rPr>
        <w:t>Stillzeit</w:t>
      </w:r>
    </w:p>
    <w:p w14:paraId="0CC4D5FB" w14:textId="77777777" w:rsidR="00093A5E" w:rsidRPr="006A64EE" w:rsidRDefault="00093A5E" w:rsidP="00B320E1">
      <w:pPr>
        <w:pStyle w:val="a3"/>
        <w:keepNext/>
        <w:widowControl/>
      </w:pPr>
    </w:p>
    <w:p w14:paraId="38B19FB4" w14:textId="58D73ED7" w:rsidR="00093A5E" w:rsidRPr="006A64EE" w:rsidRDefault="009C2544" w:rsidP="004255F8">
      <w:pPr>
        <w:pStyle w:val="a3"/>
        <w:widowControl/>
      </w:pPr>
      <w:r w:rsidRPr="006A64EE">
        <w:t xml:space="preserve">Es ist nicht bekannt, ob </w:t>
      </w:r>
      <w:r w:rsidR="00265A4B">
        <w:t>Avtozma</w:t>
      </w:r>
      <w:r w:rsidR="00265A4B" w:rsidRPr="006A64EE">
        <w:t xml:space="preserve"> </w:t>
      </w:r>
      <w:r w:rsidRPr="006A64EE">
        <w:t xml:space="preserve">beim Menschen in die Muttermilch übergeht. Die Ausscheidung von </w:t>
      </w:r>
      <w:r w:rsidR="00265A4B">
        <w:t>Avtozma</w:t>
      </w:r>
      <w:r w:rsidR="00265A4B" w:rsidRPr="006A64EE">
        <w:t xml:space="preserve"> </w:t>
      </w:r>
      <w:r w:rsidRPr="006A64EE">
        <w:t xml:space="preserve">in die Milch wurde in Tierstudien nicht untersucht. Die Entscheidung weiter zu stillen oder abzustillen oder die Behandlung mit </w:t>
      </w:r>
      <w:r w:rsidR="00265A4B">
        <w:t>Avtozma</w:t>
      </w:r>
      <w:r w:rsidR="00265A4B" w:rsidRPr="006A64EE">
        <w:t xml:space="preserve"> </w:t>
      </w:r>
      <w:r w:rsidRPr="006A64EE">
        <w:t xml:space="preserve">weiterzuführen oder abzubrechen, sollte auf der Basis des Nutzens des Stillens für das Kind und des Nutzens der Therapie mit </w:t>
      </w:r>
      <w:r w:rsidR="00265A4B">
        <w:t>Avtozma</w:t>
      </w:r>
      <w:r w:rsidR="00265A4B" w:rsidRPr="006A64EE">
        <w:t xml:space="preserve"> </w:t>
      </w:r>
      <w:r w:rsidRPr="006A64EE">
        <w:t>für die Frau getroffen werden.</w:t>
      </w:r>
    </w:p>
    <w:p w14:paraId="11488C0B" w14:textId="77777777" w:rsidR="00093A5E" w:rsidRPr="006A64EE" w:rsidRDefault="00093A5E" w:rsidP="004255F8">
      <w:pPr>
        <w:pStyle w:val="a3"/>
        <w:widowControl/>
      </w:pPr>
    </w:p>
    <w:p w14:paraId="2658CF12" w14:textId="77777777" w:rsidR="00093A5E" w:rsidRPr="006A64EE" w:rsidRDefault="009C2544" w:rsidP="004255F8">
      <w:pPr>
        <w:pStyle w:val="a3"/>
        <w:widowControl/>
      </w:pPr>
      <w:r w:rsidRPr="006A64EE">
        <w:rPr>
          <w:u w:val="single"/>
        </w:rPr>
        <w:t>Fertilität</w:t>
      </w:r>
    </w:p>
    <w:p w14:paraId="380CA72D" w14:textId="77777777" w:rsidR="00093A5E" w:rsidRPr="006A64EE" w:rsidRDefault="00093A5E" w:rsidP="004255F8">
      <w:pPr>
        <w:pStyle w:val="a3"/>
        <w:widowControl/>
      </w:pPr>
    </w:p>
    <w:p w14:paraId="4CA8D259" w14:textId="54929B17" w:rsidR="00093A5E" w:rsidRPr="006A64EE" w:rsidRDefault="009C2544" w:rsidP="004255F8">
      <w:pPr>
        <w:pStyle w:val="a3"/>
        <w:widowControl/>
      </w:pPr>
      <w:r w:rsidRPr="006A64EE">
        <w:t xml:space="preserve">Verfügbare nicht klinische Daten zur Behandlung mit </w:t>
      </w:r>
      <w:r w:rsidR="00265A4B">
        <w:t>Avtozma</w:t>
      </w:r>
      <w:r w:rsidR="00265A4B" w:rsidRPr="006A64EE">
        <w:t xml:space="preserve"> </w:t>
      </w:r>
      <w:r w:rsidRPr="006A64EE">
        <w:t>geben keinen Hinweis auf eine Wirkung auf die Fertilität.</w:t>
      </w:r>
    </w:p>
    <w:p w14:paraId="039A8F01" w14:textId="77777777" w:rsidR="00093A5E" w:rsidRPr="006A64EE" w:rsidRDefault="00093A5E" w:rsidP="004255F8">
      <w:pPr>
        <w:pStyle w:val="a3"/>
        <w:widowControl/>
      </w:pPr>
    </w:p>
    <w:p w14:paraId="799BF306" w14:textId="77777777" w:rsidR="00093A5E" w:rsidRPr="006A64EE" w:rsidRDefault="0059713A" w:rsidP="004F1875">
      <w:pPr>
        <w:pStyle w:val="2"/>
      </w:pPr>
      <w:r w:rsidRPr="006A64EE">
        <w:t>4.7</w:t>
      </w:r>
      <w:r w:rsidRPr="006A64EE">
        <w:tab/>
        <w:t>Auswirkungen auf die Verkehrstüchtigkeit und die Fähigkeit zum Bedienen von Maschinen</w:t>
      </w:r>
    </w:p>
    <w:p w14:paraId="6EC716D3" w14:textId="77777777" w:rsidR="00093A5E" w:rsidRPr="006A64EE" w:rsidRDefault="00093A5E" w:rsidP="004255F8">
      <w:pPr>
        <w:pStyle w:val="a3"/>
        <w:widowControl/>
      </w:pPr>
    </w:p>
    <w:p w14:paraId="7A11C78B" w14:textId="1754AB28" w:rsidR="00093A5E" w:rsidRPr="006A64EE" w:rsidRDefault="00265A4B" w:rsidP="004255F8">
      <w:pPr>
        <w:pStyle w:val="a3"/>
        <w:widowControl/>
      </w:pPr>
      <w:r>
        <w:t>Tocilizumab</w:t>
      </w:r>
      <w:r w:rsidR="009C2544" w:rsidRPr="006A64EE">
        <w:t xml:space="preserve"> hat geringen Einfluss auf die Verkehrstüchtigkeit und die Fähigkeit zum Bedienen von Maschinen (siehe Abschnitt 4.8, Schwindel).</w:t>
      </w:r>
    </w:p>
    <w:p w14:paraId="17211523" w14:textId="77777777" w:rsidR="00093A5E" w:rsidRPr="006A64EE" w:rsidRDefault="00093A5E" w:rsidP="004255F8">
      <w:pPr>
        <w:pStyle w:val="a3"/>
        <w:widowControl/>
      </w:pPr>
    </w:p>
    <w:p w14:paraId="5C080493" w14:textId="77777777" w:rsidR="00093A5E" w:rsidRPr="006A64EE" w:rsidRDefault="0059713A" w:rsidP="004255F8">
      <w:pPr>
        <w:pStyle w:val="2"/>
        <w:ind w:left="0" w:firstLine="0"/>
      </w:pPr>
      <w:r w:rsidRPr="006A64EE">
        <w:t>4.8</w:t>
      </w:r>
      <w:r w:rsidRPr="006A64EE">
        <w:tab/>
        <w:t>Nebenwirkungen</w:t>
      </w:r>
    </w:p>
    <w:p w14:paraId="3AA45970" w14:textId="77777777" w:rsidR="00093A5E" w:rsidRPr="006A64EE" w:rsidRDefault="00093A5E" w:rsidP="004255F8">
      <w:pPr>
        <w:pStyle w:val="a3"/>
        <w:widowControl/>
        <w:rPr>
          <w:u w:val="single"/>
        </w:rPr>
      </w:pPr>
    </w:p>
    <w:p w14:paraId="22736A6F" w14:textId="77777777" w:rsidR="00093A5E" w:rsidRPr="006A64EE" w:rsidRDefault="009C2544" w:rsidP="004255F8">
      <w:pPr>
        <w:pStyle w:val="a3"/>
        <w:widowControl/>
      </w:pPr>
      <w:r w:rsidRPr="006A64EE">
        <w:rPr>
          <w:u w:val="single"/>
        </w:rPr>
        <w:t>Zusammenfassung des Sicherheitsprofils</w:t>
      </w:r>
    </w:p>
    <w:p w14:paraId="40C6E12B" w14:textId="77777777" w:rsidR="00093A5E" w:rsidRPr="006A64EE" w:rsidRDefault="00093A5E" w:rsidP="00A27366">
      <w:pPr>
        <w:pStyle w:val="a3"/>
        <w:widowControl/>
      </w:pPr>
    </w:p>
    <w:p w14:paraId="5827212F" w14:textId="30A4AE13" w:rsidR="00093A5E" w:rsidRPr="006A64EE" w:rsidRDefault="009C2544" w:rsidP="00A27366">
      <w:pPr>
        <w:pStyle w:val="a3"/>
        <w:widowControl/>
      </w:pPr>
      <w:r w:rsidRPr="006A64EE">
        <w:t>Das Sicherheitsprofil wurde anhand der Daten von 4</w:t>
      </w:r>
      <w:r w:rsidR="001C75AE">
        <w:t> </w:t>
      </w:r>
      <w:r w:rsidRPr="006A64EE">
        <w:t>510</w:t>
      </w:r>
      <w:r w:rsidR="001C75AE">
        <w:t> </w:t>
      </w:r>
      <w:r w:rsidRPr="006A64EE">
        <w:t xml:space="preserve">Patienten erstellt, die in klinischen Studien </w:t>
      </w:r>
      <w:r w:rsidR="00962E78">
        <w:t>Tocilizumab</w:t>
      </w:r>
      <w:r w:rsidRPr="006A64EE">
        <w:t xml:space="preserve"> erhalten haben. Die meisten dieser Patienten nahmen an RA-Studien teil (n = 4</w:t>
      </w:r>
      <w:r w:rsidR="004E3BD2">
        <w:t> </w:t>
      </w:r>
      <w:r w:rsidRPr="006A64EE">
        <w:t>009), die restlichen Daten stammen aus RZA-Studien (n = 149), pJIA-Studien (n = 240) und sJIA-Studien</w:t>
      </w:r>
      <w:r w:rsidR="00962E78">
        <w:t xml:space="preserve"> </w:t>
      </w:r>
      <w:r w:rsidRPr="006A64EE">
        <w:t>(n</w:t>
      </w:r>
      <w:r w:rsidR="00846418">
        <w:t> </w:t>
      </w:r>
      <w:r w:rsidRPr="006A64EE">
        <w:t>=</w:t>
      </w:r>
      <w:r w:rsidR="00846418">
        <w:t> </w:t>
      </w:r>
      <w:r w:rsidRPr="006A64EE">
        <w:t xml:space="preserve">112). Das Sicherheitsprofil von </w:t>
      </w:r>
      <w:r w:rsidR="00962E78">
        <w:t>Tocilizumab</w:t>
      </w:r>
      <w:r w:rsidRPr="006A64EE">
        <w:t xml:space="preserve"> ist über diese Indikationen hinweg ähnlich und nicht zu unterscheiden.</w:t>
      </w:r>
    </w:p>
    <w:p w14:paraId="7030F518" w14:textId="77777777" w:rsidR="00093A5E" w:rsidRPr="006A64EE" w:rsidRDefault="00093A5E" w:rsidP="004255F8">
      <w:pPr>
        <w:pStyle w:val="a3"/>
        <w:widowControl/>
      </w:pPr>
    </w:p>
    <w:p w14:paraId="68FF93C2" w14:textId="77777777" w:rsidR="00093A5E" w:rsidRPr="006A64EE" w:rsidRDefault="009C2544" w:rsidP="004255F8">
      <w:pPr>
        <w:pStyle w:val="a3"/>
        <w:widowControl/>
      </w:pPr>
      <w:r w:rsidRPr="006A64EE">
        <w:t>Die am häufigsten beobachteten Nebenwirkungen waren Infektionen des oberen Respirationstrakts, Nasopharyngitis, Kopfschmerzen, Hypertonie und erhöhte ALAT.</w:t>
      </w:r>
    </w:p>
    <w:p w14:paraId="2FD468D2" w14:textId="77777777" w:rsidR="00093A5E" w:rsidRPr="006A64EE" w:rsidRDefault="00093A5E" w:rsidP="004255F8">
      <w:pPr>
        <w:pStyle w:val="a3"/>
        <w:widowControl/>
      </w:pPr>
    </w:p>
    <w:p w14:paraId="046C7B19" w14:textId="77777777" w:rsidR="00093A5E" w:rsidRPr="006A64EE" w:rsidRDefault="009C2544" w:rsidP="004255F8">
      <w:pPr>
        <w:pStyle w:val="a3"/>
        <w:widowControl/>
      </w:pPr>
      <w:r w:rsidRPr="006A64EE">
        <w:t>Die schwerwiegendsten Nebenwirkungen waren schwerwiegende Infektionen, Komplikationen einer Divertikulitis und Überempfindlichkeitsreaktionen.</w:t>
      </w:r>
    </w:p>
    <w:p w14:paraId="50BB0E61" w14:textId="77777777" w:rsidR="00093A5E" w:rsidRPr="006A64EE" w:rsidRDefault="00093A5E" w:rsidP="004255F8">
      <w:pPr>
        <w:pStyle w:val="a3"/>
        <w:widowControl/>
      </w:pPr>
    </w:p>
    <w:p w14:paraId="7241B16C" w14:textId="77777777" w:rsidR="00093A5E" w:rsidRPr="006A64EE" w:rsidRDefault="009C2544" w:rsidP="004255F8">
      <w:pPr>
        <w:pStyle w:val="a3"/>
        <w:widowControl/>
      </w:pPr>
      <w:r w:rsidRPr="006A64EE">
        <w:rPr>
          <w:u w:val="single"/>
        </w:rPr>
        <w:t>Tabellarische Auflistung der Nebenwirkungen</w:t>
      </w:r>
    </w:p>
    <w:p w14:paraId="0EE41B93" w14:textId="3BE9371F" w:rsidR="00093A5E" w:rsidRPr="006A64EE" w:rsidRDefault="009C2544" w:rsidP="004255F8">
      <w:pPr>
        <w:pStyle w:val="a3"/>
        <w:widowControl/>
      </w:pPr>
      <w:r w:rsidRPr="006A64EE">
        <w:t xml:space="preserve">Nebenwirkungen aus klinischen Studien und/oder aus Erfahrungen nach der Markteinführung von </w:t>
      </w:r>
      <w:r w:rsidR="00E63FC1">
        <w:t>Tocilizumab</w:t>
      </w:r>
      <w:r w:rsidRPr="006A64EE">
        <w:t>, basierend auf Spontanmeldungen, Literaturfällen und Fällen aus nicht-interventionellen Studienprogrammen, sind in Tabelle</w:t>
      </w:r>
      <w:r w:rsidR="00E1420D">
        <w:t> </w:t>
      </w:r>
      <w:r w:rsidRPr="006A64EE">
        <w:t>1 aufgelistet und werden nach MedDRA-Systemorganklasse aufgeführt. Die entsprechende Häufigkeitskategorie für jede Nebenwirkung basiert auf folgender Konvention: Sehr häufig (≥</w:t>
      </w:r>
      <w:r w:rsidR="00E1420D">
        <w:t> </w:t>
      </w:r>
      <w:r w:rsidRPr="006A64EE">
        <w:t>1/10), häufig (≥</w:t>
      </w:r>
      <w:r w:rsidR="00E1420D">
        <w:t> </w:t>
      </w:r>
      <w:r w:rsidRPr="006A64EE">
        <w:t>1/100 bis &lt;</w:t>
      </w:r>
      <w:r w:rsidR="00E1420D">
        <w:t> </w:t>
      </w:r>
      <w:r w:rsidRPr="006A64EE">
        <w:t>1/10), gelegentlich (≥</w:t>
      </w:r>
      <w:r w:rsidR="00E1420D">
        <w:t> </w:t>
      </w:r>
      <w:r w:rsidRPr="006A64EE">
        <w:t>1/1</w:t>
      </w:r>
      <w:r w:rsidR="00E1420D">
        <w:t> </w:t>
      </w:r>
      <w:r w:rsidRPr="006A64EE">
        <w:t>000 bis &lt;</w:t>
      </w:r>
      <w:r w:rsidR="00E1420D">
        <w:t> </w:t>
      </w:r>
      <w:r w:rsidRPr="006A64EE">
        <w:t xml:space="preserve">1/100), </w:t>
      </w:r>
      <w:r w:rsidRPr="006A64EE">
        <w:lastRenderedPageBreak/>
        <w:t>selten (≥</w:t>
      </w:r>
      <w:r w:rsidR="00E1420D">
        <w:t> </w:t>
      </w:r>
      <w:r w:rsidRPr="006A64EE">
        <w:t>1/10</w:t>
      </w:r>
      <w:r w:rsidR="00E1420D">
        <w:t> </w:t>
      </w:r>
      <w:r w:rsidRPr="006A64EE">
        <w:t>000 bis &lt;</w:t>
      </w:r>
      <w:r w:rsidR="00E1420D">
        <w:t> </w:t>
      </w:r>
      <w:r w:rsidRPr="006A64EE">
        <w:t>1/1</w:t>
      </w:r>
      <w:r w:rsidR="00E1420D">
        <w:t> </w:t>
      </w:r>
      <w:r w:rsidRPr="006A64EE">
        <w:t>000) oder sehr selten (&lt;</w:t>
      </w:r>
      <w:r w:rsidR="00E1420D">
        <w:t> </w:t>
      </w:r>
      <w:r w:rsidRPr="006A64EE">
        <w:t>1/10</w:t>
      </w:r>
      <w:r w:rsidR="00E1420D">
        <w:t> </w:t>
      </w:r>
      <w:r w:rsidRPr="006A64EE">
        <w:t>000). Innerhalb jeder Häufigkeitsgruppe werden die Nebenwirkungen nach abnehmendem Schweregrad angegeben.</w:t>
      </w:r>
    </w:p>
    <w:p w14:paraId="60028F7F" w14:textId="77777777" w:rsidR="00093A5E" w:rsidRPr="006A64EE" w:rsidRDefault="00093A5E" w:rsidP="004255F8">
      <w:pPr>
        <w:widowControl/>
      </w:pPr>
    </w:p>
    <w:p w14:paraId="2A1DF156" w14:textId="7CF4815E" w:rsidR="00093A5E" w:rsidRPr="006A64EE" w:rsidRDefault="007D680A" w:rsidP="004255F8">
      <w:pPr>
        <w:pStyle w:val="Tabletittle"/>
      </w:pPr>
      <w:r w:rsidRPr="006A64EE">
        <w:t>Tabelle</w:t>
      </w:r>
      <w:r w:rsidR="00E1420D">
        <w:t> </w:t>
      </w:r>
      <w:r w:rsidRPr="006A64EE">
        <w:t>1:</w:t>
      </w:r>
      <w:r w:rsidR="002856D0" w:rsidRPr="006A64EE">
        <w:tab/>
      </w:r>
      <w:r w:rsidRPr="006A64EE">
        <w:t xml:space="preserve">Zusammenfassung der Nebenwirkungen, die bei mit </w:t>
      </w:r>
      <w:r w:rsidR="00E63FC1">
        <w:t>Tocilizumab</w:t>
      </w:r>
      <w:r w:rsidRPr="006A64EE">
        <w:t xml:space="preserve"> behandelten Patienten auftraten</w:t>
      </w:r>
    </w:p>
    <w:p w14:paraId="514417FC" w14:textId="5D47E4B6" w:rsidR="002D5756" w:rsidRPr="006A64EE" w:rsidRDefault="002D5756" w:rsidP="004255F8">
      <w:pPr>
        <w:pStyle w:val="a3"/>
        <w:widowControl/>
        <w:rPr>
          <w:i/>
        </w:rPr>
      </w:pPr>
    </w:p>
    <w:tbl>
      <w:tblPr>
        <w:tblW w:w="9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234"/>
        <w:gridCol w:w="1682"/>
        <w:gridCol w:w="1917"/>
        <w:gridCol w:w="1946"/>
        <w:gridCol w:w="1399"/>
      </w:tblGrid>
      <w:tr w:rsidR="00A27366" w:rsidRPr="006A64EE" w14:paraId="7136AD96" w14:textId="77777777" w:rsidTr="002856D0">
        <w:trPr>
          <w:tblHeader/>
        </w:trPr>
        <w:tc>
          <w:tcPr>
            <w:tcW w:w="2234" w:type="dxa"/>
            <w:vMerge w:val="restart"/>
          </w:tcPr>
          <w:p w14:paraId="3EE700FD" w14:textId="0818966E" w:rsidR="00A27366" w:rsidRPr="006A64EE" w:rsidRDefault="00A27366" w:rsidP="004F1875">
            <w:pPr>
              <w:pStyle w:val="TableParagraph"/>
              <w:widowControl/>
              <w:suppressAutoHyphens/>
              <w:jc w:val="center"/>
              <w:rPr>
                <w:b/>
                <w:sz w:val="20"/>
                <w:szCs w:val="20"/>
              </w:rPr>
            </w:pPr>
            <w:r w:rsidRPr="006A64EE">
              <w:rPr>
                <w:b/>
                <w:sz w:val="20"/>
                <w:szCs w:val="20"/>
              </w:rPr>
              <w:t>MedDRA-Systemorganklasse</w:t>
            </w:r>
          </w:p>
        </w:tc>
        <w:tc>
          <w:tcPr>
            <w:tcW w:w="6944" w:type="dxa"/>
            <w:gridSpan w:val="4"/>
          </w:tcPr>
          <w:p w14:paraId="3F1DB1B1" w14:textId="77777777" w:rsidR="00A27366" w:rsidRPr="006A64EE" w:rsidRDefault="00A27366" w:rsidP="004F1875">
            <w:pPr>
              <w:pStyle w:val="TableParagraph"/>
              <w:widowControl/>
              <w:suppressAutoHyphens/>
              <w:jc w:val="center"/>
              <w:rPr>
                <w:b/>
                <w:sz w:val="20"/>
                <w:szCs w:val="20"/>
              </w:rPr>
            </w:pPr>
            <w:r w:rsidRPr="006A64EE">
              <w:rPr>
                <w:b/>
                <w:sz w:val="20"/>
                <w:szCs w:val="20"/>
              </w:rPr>
              <w:t>Häufigkeitskategorien mit bevorzugter Bezeichnung (PT)</w:t>
            </w:r>
          </w:p>
        </w:tc>
      </w:tr>
      <w:tr w:rsidR="00A27366" w:rsidRPr="006A64EE" w14:paraId="2D07B1B0" w14:textId="77777777" w:rsidTr="00A27366">
        <w:trPr>
          <w:tblHeader/>
        </w:trPr>
        <w:tc>
          <w:tcPr>
            <w:tcW w:w="2234" w:type="dxa"/>
            <w:vMerge/>
          </w:tcPr>
          <w:p w14:paraId="59AE4EF9" w14:textId="77777777" w:rsidR="00A27366" w:rsidRPr="006A64EE" w:rsidRDefault="00A27366" w:rsidP="004F1875">
            <w:pPr>
              <w:pStyle w:val="TableParagraph"/>
              <w:widowControl/>
              <w:suppressAutoHyphens/>
              <w:jc w:val="center"/>
              <w:rPr>
                <w:sz w:val="20"/>
                <w:szCs w:val="20"/>
              </w:rPr>
            </w:pPr>
          </w:p>
        </w:tc>
        <w:tc>
          <w:tcPr>
            <w:tcW w:w="1682" w:type="dxa"/>
          </w:tcPr>
          <w:p w14:paraId="0F188D7D" w14:textId="77777777" w:rsidR="00A27366" w:rsidRPr="006A64EE" w:rsidRDefault="00A27366" w:rsidP="004F1875">
            <w:pPr>
              <w:pStyle w:val="TableParagraph"/>
              <w:widowControl/>
              <w:suppressAutoHyphens/>
              <w:jc w:val="center"/>
              <w:rPr>
                <w:b/>
                <w:sz w:val="20"/>
                <w:szCs w:val="20"/>
              </w:rPr>
            </w:pPr>
            <w:r w:rsidRPr="006A64EE">
              <w:rPr>
                <w:b/>
                <w:sz w:val="20"/>
                <w:szCs w:val="20"/>
              </w:rPr>
              <w:t>Sehr häufig</w:t>
            </w:r>
          </w:p>
        </w:tc>
        <w:tc>
          <w:tcPr>
            <w:tcW w:w="1917" w:type="dxa"/>
          </w:tcPr>
          <w:p w14:paraId="3BF89E85" w14:textId="77777777" w:rsidR="00A27366" w:rsidRPr="006A64EE" w:rsidRDefault="00A27366" w:rsidP="004F1875">
            <w:pPr>
              <w:pStyle w:val="TableParagraph"/>
              <w:widowControl/>
              <w:suppressAutoHyphens/>
              <w:jc w:val="center"/>
              <w:rPr>
                <w:b/>
                <w:sz w:val="20"/>
                <w:szCs w:val="20"/>
              </w:rPr>
            </w:pPr>
            <w:r w:rsidRPr="006A64EE">
              <w:rPr>
                <w:b/>
                <w:sz w:val="20"/>
                <w:szCs w:val="20"/>
              </w:rPr>
              <w:t>Häufig</w:t>
            </w:r>
          </w:p>
        </w:tc>
        <w:tc>
          <w:tcPr>
            <w:tcW w:w="1946" w:type="dxa"/>
          </w:tcPr>
          <w:p w14:paraId="4BE6314D" w14:textId="77777777" w:rsidR="00A27366" w:rsidRPr="006A64EE" w:rsidRDefault="00A27366" w:rsidP="004F1875">
            <w:pPr>
              <w:pStyle w:val="TableParagraph"/>
              <w:widowControl/>
              <w:suppressAutoHyphens/>
              <w:jc w:val="center"/>
              <w:rPr>
                <w:b/>
                <w:sz w:val="20"/>
                <w:szCs w:val="20"/>
              </w:rPr>
            </w:pPr>
            <w:r w:rsidRPr="006A64EE">
              <w:rPr>
                <w:b/>
                <w:sz w:val="20"/>
                <w:szCs w:val="20"/>
              </w:rPr>
              <w:t>Gelegentlich</w:t>
            </w:r>
          </w:p>
        </w:tc>
        <w:tc>
          <w:tcPr>
            <w:tcW w:w="1399" w:type="dxa"/>
          </w:tcPr>
          <w:p w14:paraId="58FE40C5" w14:textId="77777777" w:rsidR="00A27366" w:rsidRPr="006A64EE" w:rsidRDefault="00A27366" w:rsidP="004F1875">
            <w:pPr>
              <w:pStyle w:val="TableParagraph"/>
              <w:widowControl/>
              <w:suppressAutoHyphens/>
              <w:jc w:val="center"/>
              <w:rPr>
                <w:b/>
                <w:sz w:val="20"/>
                <w:szCs w:val="20"/>
              </w:rPr>
            </w:pPr>
            <w:r w:rsidRPr="006A64EE">
              <w:rPr>
                <w:b/>
                <w:sz w:val="20"/>
                <w:szCs w:val="20"/>
              </w:rPr>
              <w:t>Selten</w:t>
            </w:r>
          </w:p>
        </w:tc>
      </w:tr>
      <w:tr w:rsidR="00593482" w:rsidRPr="006A64EE" w14:paraId="6A08CB80" w14:textId="77777777" w:rsidTr="00A27366">
        <w:trPr>
          <w:cantSplit/>
        </w:trPr>
        <w:tc>
          <w:tcPr>
            <w:tcW w:w="2234" w:type="dxa"/>
          </w:tcPr>
          <w:p w14:paraId="1B388AE6" w14:textId="77777777" w:rsidR="002D5756" w:rsidRPr="006A64EE" w:rsidRDefault="009C2544" w:rsidP="004255F8">
            <w:pPr>
              <w:pStyle w:val="TableParagraph"/>
              <w:widowControl/>
              <w:suppressAutoHyphens/>
              <w:rPr>
                <w:sz w:val="20"/>
                <w:szCs w:val="20"/>
              </w:rPr>
            </w:pPr>
            <w:r w:rsidRPr="006A64EE">
              <w:rPr>
                <w:sz w:val="20"/>
                <w:szCs w:val="20"/>
              </w:rPr>
              <w:t>Infektionen und parasitäre Erkrankungen</w:t>
            </w:r>
          </w:p>
        </w:tc>
        <w:tc>
          <w:tcPr>
            <w:tcW w:w="1682" w:type="dxa"/>
          </w:tcPr>
          <w:p w14:paraId="13510A1C" w14:textId="700647CC" w:rsidR="002D5756" w:rsidRPr="006A64EE" w:rsidRDefault="009C2544" w:rsidP="004255F8">
            <w:pPr>
              <w:pStyle w:val="TableParagraph"/>
              <w:widowControl/>
              <w:suppressAutoHyphens/>
              <w:rPr>
                <w:sz w:val="20"/>
                <w:szCs w:val="20"/>
              </w:rPr>
            </w:pPr>
            <w:r w:rsidRPr="006A64EE">
              <w:rPr>
                <w:sz w:val="20"/>
                <w:szCs w:val="20"/>
              </w:rPr>
              <w:t>Infektionen des oberen Respirationstrakts</w:t>
            </w:r>
          </w:p>
        </w:tc>
        <w:tc>
          <w:tcPr>
            <w:tcW w:w="1917" w:type="dxa"/>
          </w:tcPr>
          <w:p w14:paraId="68A2AD75" w14:textId="181BCA79" w:rsidR="002D5756" w:rsidRPr="006A64EE" w:rsidRDefault="009C2544" w:rsidP="004255F8">
            <w:pPr>
              <w:pStyle w:val="TableParagraph"/>
              <w:widowControl/>
              <w:suppressAutoHyphens/>
              <w:rPr>
                <w:sz w:val="20"/>
                <w:szCs w:val="20"/>
              </w:rPr>
            </w:pPr>
            <w:r w:rsidRPr="006A64EE">
              <w:rPr>
                <w:sz w:val="20"/>
                <w:szCs w:val="20"/>
              </w:rPr>
              <w:t>Zellulitis, Pneumonie, oraler Herpes simplex,</w:t>
            </w:r>
            <w:r w:rsidR="002856D0" w:rsidRPr="006A64EE">
              <w:rPr>
                <w:sz w:val="20"/>
                <w:szCs w:val="20"/>
              </w:rPr>
              <w:t xml:space="preserve"> </w:t>
            </w:r>
            <w:r w:rsidRPr="006A64EE">
              <w:rPr>
                <w:sz w:val="20"/>
                <w:szCs w:val="20"/>
              </w:rPr>
              <w:t>Herpes zoster</w:t>
            </w:r>
          </w:p>
        </w:tc>
        <w:tc>
          <w:tcPr>
            <w:tcW w:w="1946" w:type="dxa"/>
          </w:tcPr>
          <w:p w14:paraId="43E53F17" w14:textId="77777777" w:rsidR="002D5756" w:rsidRPr="006A64EE" w:rsidRDefault="009C2544" w:rsidP="004255F8">
            <w:pPr>
              <w:pStyle w:val="TableParagraph"/>
              <w:widowControl/>
              <w:suppressAutoHyphens/>
              <w:rPr>
                <w:sz w:val="20"/>
                <w:szCs w:val="20"/>
              </w:rPr>
            </w:pPr>
            <w:r w:rsidRPr="006A64EE">
              <w:rPr>
                <w:sz w:val="20"/>
                <w:szCs w:val="20"/>
              </w:rPr>
              <w:t>Divertikulitis</w:t>
            </w:r>
          </w:p>
        </w:tc>
        <w:tc>
          <w:tcPr>
            <w:tcW w:w="1399" w:type="dxa"/>
          </w:tcPr>
          <w:p w14:paraId="4CB22A2D" w14:textId="77777777" w:rsidR="002D5756" w:rsidRPr="006A64EE" w:rsidRDefault="002D5756" w:rsidP="004255F8">
            <w:pPr>
              <w:pStyle w:val="TableParagraph"/>
              <w:widowControl/>
              <w:suppressAutoHyphens/>
              <w:rPr>
                <w:sz w:val="20"/>
                <w:szCs w:val="20"/>
              </w:rPr>
            </w:pPr>
          </w:p>
        </w:tc>
      </w:tr>
      <w:tr w:rsidR="00593482" w:rsidRPr="006A64EE" w14:paraId="684BA683" w14:textId="77777777" w:rsidTr="00A27366">
        <w:trPr>
          <w:cantSplit/>
        </w:trPr>
        <w:tc>
          <w:tcPr>
            <w:tcW w:w="2234" w:type="dxa"/>
          </w:tcPr>
          <w:p w14:paraId="6BC439FD" w14:textId="31C864A7" w:rsidR="002D5756" w:rsidRPr="006A64EE" w:rsidRDefault="009C2544" w:rsidP="004255F8">
            <w:pPr>
              <w:pStyle w:val="TableParagraph"/>
              <w:widowControl/>
              <w:suppressAutoHyphens/>
              <w:rPr>
                <w:sz w:val="20"/>
                <w:szCs w:val="20"/>
              </w:rPr>
            </w:pPr>
            <w:r w:rsidRPr="006A64EE">
              <w:rPr>
                <w:sz w:val="20"/>
                <w:szCs w:val="20"/>
              </w:rPr>
              <w:t>Erkrankungen des</w:t>
            </w:r>
            <w:r w:rsidR="002856D0" w:rsidRPr="006A64EE">
              <w:rPr>
                <w:sz w:val="20"/>
                <w:szCs w:val="20"/>
              </w:rPr>
              <w:t xml:space="preserve"> </w:t>
            </w:r>
            <w:r w:rsidRPr="006A64EE">
              <w:rPr>
                <w:sz w:val="20"/>
                <w:szCs w:val="20"/>
              </w:rPr>
              <w:t>Blutes und des Lymphsystems</w:t>
            </w:r>
          </w:p>
        </w:tc>
        <w:tc>
          <w:tcPr>
            <w:tcW w:w="1682" w:type="dxa"/>
          </w:tcPr>
          <w:p w14:paraId="61F196DE" w14:textId="77777777" w:rsidR="002D5756" w:rsidRPr="006A64EE" w:rsidRDefault="002D5756" w:rsidP="004255F8">
            <w:pPr>
              <w:pStyle w:val="TableParagraph"/>
              <w:widowControl/>
              <w:suppressAutoHyphens/>
              <w:rPr>
                <w:sz w:val="20"/>
                <w:szCs w:val="20"/>
              </w:rPr>
            </w:pPr>
          </w:p>
        </w:tc>
        <w:tc>
          <w:tcPr>
            <w:tcW w:w="1917" w:type="dxa"/>
          </w:tcPr>
          <w:p w14:paraId="0467438C" w14:textId="5042371D" w:rsidR="002D5756" w:rsidRPr="006A64EE" w:rsidRDefault="009C2544" w:rsidP="004F1875">
            <w:pPr>
              <w:pStyle w:val="TableParagraph"/>
              <w:widowControl/>
              <w:suppressAutoHyphens/>
              <w:rPr>
                <w:sz w:val="20"/>
                <w:szCs w:val="20"/>
              </w:rPr>
            </w:pPr>
            <w:r w:rsidRPr="006A64EE">
              <w:rPr>
                <w:sz w:val="20"/>
                <w:szCs w:val="20"/>
              </w:rPr>
              <w:t>Leukopenie,</w:t>
            </w:r>
            <w:r w:rsidR="004F1875" w:rsidRPr="006A64EE">
              <w:rPr>
                <w:sz w:val="20"/>
                <w:szCs w:val="20"/>
              </w:rPr>
              <w:t xml:space="preserve"> </w:t>
            </w:r>
            <w:r w:rsidRPr="006A64EE">
              <w:rPr>
                <w:sz w:val="20"/>
                <w:szCs w:val="20"/>
              </w:rPr>
              <w:t>Neutropenie, Hypofibrinogenämie</w:t>
            </w:r>
          </w:p>
        </w:tc>
        <w:tc>
          <w:tcPr>
            <w:tcW w:w="1946" w:type="dxa"/>
          </w:tcPr>
          <w:p w14:paraId="0896F2C2" w14:textId="77777777" w:rsidR="002D5756" w:rsidRPr="006A64EE" w:rsidRDefault="002D5756" w:rsidP="004255F8">
            <w:pPr>
              <w:pStyle w:val="TableParagraph"/>
              <w:widowControl/>
              <w:suppressAutoHyphens/>
              <w:rPr>
                <w:sz w:val="20"/>
                <w:szCs w:val="20"/>
              </w:rPr>
            </w:pPr>
          </w:p>
        </w:tc>
        <w:tc>
          <w:tcPr>
            <w:tcW w:w="1399" w:type="dxa"/>
          </w:tcPr>
          <w:p w14:paraId="21EBA5FD" w14:textId="77777777" w:rsidR="002D5756" w:rsidRPr="006A64EE" w:rsidRDefault="002D5756" w:rsidP="004255F8">
            <w:pPr>
              <w:pStyle w:val="TableParagraph"/>
              <w:widowControl/>
              <w:suppressAutoHyphens/>
              <w:rPr>
                <w:sz w:val="20"/>
                <w:szCs w:val="20"/>
              </w:rPr>
            </w:pPr>
          </w:p>
        </w:tc>
      </w:tr>
      <w:tr w:rsidR="00593482" w:rsidRPr="006A64EE" w14:paraId="67F6E3BC" w14:textId="77777777" w:rsidTr="00A27366">
        <w:trPr>
          <w:cantSplit/>
        </w:trPr>
        <w:tc>
          <w:tcPr>
            <w:tcW w:w="2234" w:type="dxa"/>
          </w:tcPr>
          <w:p w14:paraId="60B4A065" w14:textId="37D7D8BB" w:rsidR="002D5756" w:rsidRPr="006A64EE" w:rsidRDefault="009C2544" w:rsidP="004255F8">
            <w:pPr>
              <w:pStyle w:val="TableParagraph"/>
              <w:widowControl/>
              <w:suppressAutoHyphens/>
              <w:rPr>
                <w:sz w:val="20"/>
                <w:szCs w:val="20"/>
              </w:rPr>
            </w:pPr>
            <w:r w:rsidRPr="006A64EE">
              <w:rPr>
                <w:sz w:val="20"/>
                <w:szCs w:val="20"/>
              </w:rPr>
              <w:t>Erkrankungen des</w:t>
            </w:r>
            <w:r w:rsidR="002856D0" w:rsidRPr="006A64EE">
              <w:rPr>
                <w:sz w:val="20"/>
                <w:szCs w:val="20"/>
              </w:rPr>
              <w:t xml:space="preserve"> </w:t>
            </w:r>
            <w:r w:rsidRPr="006A64EE">
              <w:rPr>
                <w:sz w:val="20"/>
                <w:szCs w:val="20"/>
              </w:rPr>
              <w:t>Immunsystems</w:t>
            </w:r>
          </w:p>
        </w:tc>
        <w:tc>
          <w:tcPr>
            <w:tcW w:w="1682" w:type="dxa"/>
          </w:tcPr>
          <w:p w14:paraId="0C7A3CD4" w14:textId="77777777" w:rsidR="002D5756" w:rsidRPr="006A64EE" w:rsidRDefault="002D5756" w:rsidP="004255F8">
            <w:pPr>
              <w:pStyle w:val="TableParagraph"/>
              <w:widowControl/>
              <w:suppressAutoHyphens/>
              <w:rPr>
                <w:sz w:val="20"/>
                <w:szCs w:val="20"/>
              </w:rPr>
            </w:pPr>
          </w:p>
        </w:tc>
        <w:tc>
          <w:tcPr>
            <w:tcW w:w="1917" w:type="dxa"/>
          </w:tcPr>
          <w:p w14:paraId="487C4757" w14:textId="77777777" w:rsidR="002D5756" w:rsidRPr="006A64EE" w:rsidRDefault="002D5756" w:rsidP="004255F8">
            <w:pPr>
              <w:pStyle w:val="TableParagraph"/>
              <w:widowControl/>
              <w:suppressAutoHyphens/>
              <w:rPr>
                <w:sz w:val="20"/>
                <w:szCs w:val="20"/>
              </w:rPr>
            </w:pPr>
          </w:p>
        </w:tc>
        <w:tc>
          <w:tcPr>
            <w:tcW w:w="1946" w:type="dxa"/>
          </w:tcPr>
          <w:p w14:paraId="62C9A287" w14:textId="77777777" w:rsidR="002D5756" w:rsidRPr="006A64EE" w:rsidRDefault="002D5756" w:rsidP="004255F8">
            <w:pPr>
              <w:pStyle w:val="TableParagraph"/>
              <w:widowControl/>
              <w:suppressAutoHyphens/>
              <w:rPr>
                <w:sz w:val="20"/>
                <w:szCs w:val="20"/>
              </w:rPr>
            </w:pPr>
          </w:p>
        </w:tc>
        <w:tc>
          <w:tcPr>
            <w:tcW w:w="1399" w:type="dxa"/>
          </w:tcPr>
          <w:p w14:paraId="4569A5C4" w14:textId="77777777" w:rsidR="00093A5E" w:rsidRPr="006A64EE" w:rsidRDefault="009C2544" w:rsidP="004255F8">
            <w:pPr>
              <w:pStyle w:val="TableParagraph"/>
              <w:widowControl/>
              <w:suppressAutoHyphens/>
              <w:rPr>
                <w:sz w:val="20"/>
                <w:szCs w:val="20"/>
              </w:rPr>
            </w:pPr>
            <w:r w:rsidRPr="006A64EE">
              <w:rPr>
                <w:sz w:val="20"/>
                <w:szCs w:val="20"/>
              </w:rPr>
              <w:t>Anaphylaxie</w:t>
            </w:r>
          </w:p>
          <w:p w14:paraId="2F4AE9C4" w14:textId="79C99518" w:rsidR="002D5756" w:rsidRPr="006A64EE" w:rsidRDefault="009C2544" w:rsidP="004255F8">
            <w:pPr>
              <w:pStyle w:val="TableParagraph"/>
              <w:widowControl/>
              <w:suppressAutoHyphens/>
              <w:rPr>
                <w:sz w:val="20"/>
                <w:szCs w:val="20"/>
              </w:rPr>
            </w:pPr>
            <w:r w:rsidRPr="006A64EE">
              <w:rPr>
                <w:sz w:val="20"/>
                <w:szCs w:val="20"/>
              </w:rPr>
              <w:t>(tödlich)</w:t>
            </w:r>
            <w:r w:rsidRPr="006A64EE">
              <w:rPr>
                <w:sz w:val="20"/>
                <w:szCs w:val="20"/>
                <w:vertAlign w:val="superscript"/>
              </w:rPr>
              <w:t>1,</w:t>
            </w:r>
            <w:r w:rsidRPr="006A64EE">
              <w:rPr>
                <w:sz w:val="20"/>
                <w:szCs w:val="20"/>
              </w:rPr>
              <w:t xml:space="preserve"> </w:t>
            </w:r>
            <w:r w:rsidRPr="006A64EE">
              <w:rPr>
                <w:sz w:val="20"/>
                <w:szCs w:val="20"/>
                <w:vertAlign w:val="superscript"/>
              </w:rPr>
              <w:t>2,</w:t>
            </w:r>
            <w:r w:rsidRPr="006A64EE">
              <w:rPr>
                <w:sz w:val="20"/>
                <w:szCs w:val="20"/>
              </w:rPr>
              <w:t xml:space="preserve"> </w:t>
            </w:r>
            <w:r w:rsidRPr="006A64EE">
              <w:rPr>
                <w:sz w:val="20"/>
                <w:szCs w:val="20"/>
                <w:vertAlign w:val="superscript"/>
              </w:rPr>
              <w:t>3</w:t>
            </w:r>
          </w:p>
        </w:tc>
      </w:tr>
      <w:tr w:rsidR="00593482" w:rsidRPr="006A64EE" w14:paraId="5E0CE9FA" w14:textId="77777777" w:rsidTr="00A27366">
        <w:trPr>
          <w:cantSplit/>
        </w:trPr>
        <w:tc>
          <w:tcPr>
            <w:tcW w:w="2234" w:type="dxa"/>
          </w:tcPr>
          <w:p w14:paraId="56B37233" w14:textId="4B13DC92" w:rsidR="002D5756" w:rsidRPr="006A64EE" w:rsidRDefault="009C2544" w:rsidP="004255F8">
            <w:pPr>
              <w:pStyle w:val="TableParagraph"/>
              <w:widowControl/>
              <w:suppressAutoHyphens/>
              <w:rPr>
                <w:sz w:val="20"/>
                <w:szCs w:val="20"/>
              </w:rPr>
            </w:pPr>
            <w:r w:rsidRPr="006A64EE">
              <w:rPr>
                <w:sz w:val="20"/>
                <w:szCs w:val="20"/>
              </w:rPr>
              <w:t>Endokrine</w:t>
            </w:r>
            <w:r w:rsidR="00D6409F">
              <w:rPr>
                <w:sz w:val="20"/>
                <w:szCs w:val="20"/>
              </w:rPr>
              <w:t xml:space="preserve"> </w:t>
            </w:r>
            <w:r w:rsidRPr="006A64EE">
              <w:rPr>
                <w:sz w:val="20"/>
                <w:szCs w:val="20"/>
              </w:rPr>
              <w:t>Erkrankungen</w:t>
            </w:r>
          </w:p>
        </w:tc>
        <w:tc>
          <w:tcPr>
            <w:tcW w:w="1682" w:type="dxa"/>
          </w:tcPr>
          <w:p w14:paraId="3D30F93A" w14:textId="77777777" w:rsidR="002D5756" w:rsidRPr="006A64EE" w:rsidRDefault="002D5756" w:rsidP="004255F8">
            <w:pPr>
              <w:pStyle w:val="TableParagraph"/>
              <w:widowControl/>
              <w:suppressAutoHyphens/>
              <w:rPr>
                <w:sz w:val="20"/>
                <w:szCs w:val="20"/>
              </w:rPr>
            </w:pPr>
          </w:p>
        </w:tc>
        <w:tc>
          <w:tcPr>
            <w:tcW w:w="1917" w:type="dxa"/>
          </w:tcPr>
          <w:p w14:paraId="1AD5F2B9" w14:textId="77777777" w:rsidR="002D5756" w:rsidRPr="006A64EE" w:rsidRDefault="002D5756" w:rsidP="004255F8">
            <w:pPr>
              <w:pStyle w:val="TableParagraph"/>
              <w:widowControl/>
              <w:suppressAutoHyphens/>
              <w:rPr>
                <w:sz w:val="20"/>
                <w:szCs w:val="20"/>
              </w:rPr>
            </w:pPr>
          </w:p>
        </w:tc>
        <w:tc>
          <w:tcPr>
            <w:tcW w:w="1946" w:type="dxa"/>
          </w:tcPr>
          <w:p w14:paraId="1137B310" w14:textId="6EA25AC4" w:rsidR="002D5756" w:rsidRPr="006A64EE" w:rsidRDefault="009C2544" w:rsidP="004255F8">
            <w:pPr>
              <w:pStyle w:val="TableParagraph"/>
              <w:widowControl/>
              <w:suppressAutoHyphens/>
              <w:rPr>
                <w:sz w:val="20"/>
                <w:szCs w:val="20"/>
              </w:rPr>
            </w:pPr>
            <w:r w:rsidRPr="006A64EE">
              <w:rPr>
                <w:sz w:val="20"/>
                <w:szCs w:val="20"/>
              </w:rPr>
              <w:t>Hypothyroidismus</w:t>
            </w:r>
          </w:p>
        </w:tc>
        <w:tc>
          <w:tcPr>
            <w:tcW w:w="1399" w:type="dxa"/>
          </w:tcPr>
          <w:p w14:paraId="20DD1F77" w14:textId="77777777" w:rsidR="002D5756" w:rsidRPr="006A64EE" w:rsidRDefault="002D5756" w:rsidP="004255F8">
            <w:pPr>
              <w:pStyle w:val="TableParagraph"/>
              <w:widowControl/>
              <w:suppressAutoHyphens/>
              <w:rPr>
                <w:sz w:val="20"/>
                <w:szCs w:val="20"/>
              </w:rPr>
            </w:pPr>
          </w:p>
        </w:tc>
      </w:tr>
      <w:tr w:rsidR="00593482" w:rsidRPr="006A64EE" w14:paraId="21DE2358" w14:textId="77777777" w:rsidTr="00A27366">
        <w:trPr>
          <w:cantSplit/>
        </w:trPr>
        <w:tc>
          <w:tcPr>
            <w:tcW w:w="2234" w:type="dxa"/>
          </w:tcPr>
          <w:p w14:paraId="2C6F3AD1" w14:textId="5401BCC2" w:rsidR="002D5756" w:rsidRPr="006A64EE" w:rsidRDefault="009C2544" w:rsidP="004255F8">
            <w:pPr>
              <w:pStyle w:val="TableParagraph"/>
              <w:widowControl/>
              <w:suppressAutoHyphens/>
              <w:rPr>
                <w:sz w:val="20"/>
                <w:szCs w:val="20"/>
              </w:rPr>
            </w:pPr>
            <w:r w:rsidRPr="006A64EE">
              <w:rPr>
                <w:sz w:val="20"/>
                <w:szCs w:val="20"/>
              </w:rPr>
              <w:t>Stoffwechsel- und</w:t>
            </w:r>
            <w:r w:rsidR="00D6409F">
              <w:rPr>
                <w:sz w:val="20"/>
                <w:szCs w:val="20"/>
              </w:rPr>
              <w:t xml:space="preserve"> </w:t>
            </w:r>
            <w:r w:rsidRPr="006A64EE">
              <w:rPr>
                <w:sz w:val="20"/>
                <w:szCs w:val="20"/>
              </w:rPr>
              <w:t>Ernährungsstörungen</w:t>
            </w:r>
          </w:p>
        </w:tc>
        <w:tc>
          <w:tcPr>
            <w:tcW w:w="1682" w:type="dxa"/>
          </w:tcPr>
          <w:p w14:paraId="4DB0518B" w14:textId="7318765C" w:rsidR="002D5756" w:rsidRPr="006A64EE" w:rsidRDefault="009C2544" w:rsidP="004255F8">
            <w:pPr>
              <w:pStyle w:val="TableParagraph"/>
              <w:widowControl/>
              <w:suppressAutoHyphens/>
              <w:rPr>
                <w:sz w:val="20"/>
                <w:szCs w:val="20"/>
              </w:rPr>
            </w:pPr>
            <w:r w:rsidRPr="006A64EE">
              <w:rPr>
                <w:sz w:val="20"/>
                <w:szCs w:val="20"/>
              </w:rPr>
              <w:t>Hypercholesterin</w:t>
            </w:r>
            <w:r w:rsidR="00685C0A">
              <w:rPr>
                <w:sz w:val="20"/>
                <w:szCs w:val="20"/>
              </w:rPr>
              <w:t>-</w:t>
            </w:r>
            <w:r w:rsidRPr="006A64EE">
              <w:rPr>
                <w:sz w:val="20"/>
                <w:szCs w:val="20"/>
              </w:rPr>
              <w:t>ämie*</w:t>
            </w:r>
          </w:p>
        </w:tc>
        <w:tc>
          <w:tcPr>
            <w:tcW w:w="1917" w:type="dxa"/>
          </w:tcPr>
          <w:p w14:paraId="00350DC7" w14:textId="77777777" w:rsidR="002D5756" w:rsidRPr="006A64EE" w:rsidRDefault="002D5756" w:rsidP="004255F8">
            <w:pPr>
              <w:pStyle w:val="TableParagraph"/>
              <w:widowControl/>
              <w:suppressAutoHyphens/>
              <w:rPr>
                <w:sz w:val="20"/>
                <w:szCs w:val="20"/>
              </w:rPr>
            </w:pPr>
          </w:p>
        </w:tc>
        <w:tc>
          <w:tcPr>
            <w:tcW w:w="1946" w:type="dxa"/>
          </w:tcPr>
          <w:p w14:paraId="5016A330" w14:textId="3C10E3EE" w:rsidR="002D5756" w:rsidRPr="006A64EE" w:rsidRDefault="009C2544" w:rsidP="004255F8">
            <w:pPr>
              <w:pStyle w:val="TableParagraph"/>
              <w:widowControl/>
              <w:suppressAutoHyphens/>
              <w:rPr>
                <w:sz w:val="20"/>
                <w:szCs w:val="20"/>
              </w:rPr>
            </w:pPr>
            <w:r w:rsidRPr="006A64EE">
              <w:rPr>
                <w:sz w:val="20"/>
                <w:szCs w:val="20"/>
              </w:rPr>
              <w:t>Hypertriglyceridämie</w:t>
            </w:r>
          </w:p>
        </w:tc>
        <w:tc>
          <w:tcPr>
            <w:tcW w:w="1399" w:type="dxa"/>
          </w:tcPr>
          <w:p w14:paraId="0F7F4DF3" w14:textId="77777777" w:rsidR="002D5756" w:rsidRPr="006A64EE" w:rsidRDefault="002D5756" w:rsidP="004255F8">
            <w:pPr>
              <w:pStyle w:val="TableParagraph"/>
              <w:widowControl/>
              <w:suppressAutoHyphens/>
              <w:rPr>
                <w:sz w:val="20"/>
                <w:szCs w:val="20"/>
              </w:rPr>
            </w:pPr>
          </w:p>
        </w:tc>
      </w:tr>
      <w:tr w:rsidR="00593482" w:rsidRPr="006A64EE" w14:paraId="622E4944" w14:textId="77777777" w:rsidTr="00A27366">
        <w:trPr>
          <w:cantSplit/>
        </w:trPr>
        <w:tc>
          <w:tcPr>
            <w:tcW w:w="2234" w:type="dxa"/>
          </w:tcPr>
          <w:p w14:paraId="0135650B" w14:textId="2A5DCAD9" w:rsidR="002D5756" w:rsidRPr="006A64EE" w:rsidRDefault="009C2544" w:rsidP="004255F8">
            <w:pPr>
              <w:pStyle w:val="TableParagraph"/>
              <w:widowControl/>
              <w:suppressAutoHyphens/>
              <w:rPr>
                <w:sz w:val="20"/>
                <w:szCs w:val="20"/>
              </w:rPr>
            </w:pPr>
            <w:r w:rsidRPr="006A64EE">
              <w:rPr>
                <w:sz w:val="20"/>
                <w:szCs w:val="20"/>
              </w:rPr>
              <w:t>Erkrankungen des</w:t>
            </w:r>
            <w:r w:rsidR="002856D0" w:rsidRPr="006A64EE">
              <w:rPr>
                <w:sz w:val="20"/>
                <w:szCs w:val="20"/>
              </w:rPr>
              <w:t xml:space="preserve"> </w:t>
            </w:r>
            <w:r w:rsidRPr="006A64EE">
              <w:rPr>
                <w:sz w:val="20"/>
                <w:szCs w:val="20"/>
              </w:rPr>
              <w:t>Nervensystems</w:t>
            </w:r>
          </w:p>
        </w:tc>
        <w:tc>
          <w:tcPr>
            <w:tcW w:w="1682" w:type="dxa"/>
          </w:tcPr>
          <w:p w14:paraId="7872176E" w14:textId="77777777" w:rsidR="002D5756" w:rsidRPr="006A64EE" w:rsidRDefault="002D5756" w:rsidP="004255F8">
            <w:pPr>
              <w:pStyle w:val="TableParagraph"/>
              <w:widowControl/>
              <w:suppressAutoHyphens/>
              <w:rPr>
                <w:sz w:val="20"/>
                <w:szCs w:val="20"/>
              </w:rPr>
            </w:pPr>
          </w:p>
        </w:tc>
        <w:tc>
          <w:tcPr>
            <w:tcW w:w="1917" w:type="dxa"/>
          </w:tcPr>
          <w:p w14:paraId="4BF6B593" w14:textId="6CDA297C" w:rsidR="002D5756" w:rsidRPr="006A64EE" w:rsidRDefault="009C2544" w:rsidP="004255F8">
            <w:pPr>
              <w:pStyle w:val="TableParagraph"/>
              <w:widowControl/>
              <w:suppressAutoHyphens/>
              <w:rPr>
                <w:sz w:val="20"/>
                <w:szCs w:val="20"/>
              </w:rPr>
            </w:pPr>
            <w:r w:rsidRPr="006A64EE">
              <w:rPr>
                <w:sz w:val="20"/>
                <w:szCs w:val="20"/>
              </w:rPr>
              <w:t>Kopfschmerzen,</w:t>
            </w:r>
            <w:r w:rsidR="002856D0" w:rsidRPr="006A64EE">
              <w:rPr>
                <w:sz w:val="20"/>
                <w:szCs w:val="20"/>
              </w:rPr>
              <w:t xml:space="preserve"> </w:t>
            </w:r>
            <w:r w:rsidRPr="006A64EE">
              <w:rPr>
                <w:sz w:val="20"/>
                <w:szCs w:val="20"/>
              </w:rPr>
              <w:t>Schwindel</w:t>
            </w:r>
          </w:p>
        </w:tc>
        <w:tc>
          <w:tcPr>
            <w:tcW w:w="1946" w:type="dxa"/>
          </w:tcPr>
          <w:p w14:paraId="52A0B6FF" w14:textId="77777777" w:rsidR="002D5756" w:rsidRPr="006A64EE" w:rsidRDefault="002D5756" w:rsidP="004255F8">
            <w:pPr>
              <w:pStyle w:val="TableParagraph"/>
              <w:widowControl/>
              <w:suppressAutoHyphens/>
              <w:rPr>
                <w:sz w:val="20"/>
                <w:szCs w:val="20"/>
              </w:rPr>
            </w:pPr>
          </w:p>
        </w:tc>
        <w:tc>
          <w:tcPr>
            <w:tcW w:w="1399" w:type="dxa"/>
          </w:tcPr>
          <w:p w14:paraId="7A99325E" w14:textId="77777777" w:rsidR="002D5756" w:rsidRPr="006A64EE" w:rsidRDefault="002D5756" w:rsidP="004255F8">
            <w:pPr>
              <w:pStyle w:val="TableParagraph"/>
              <w:widowControl/>
              <w:suppressAutoHyphens/>
              <w:rPr>
                <w:sz w:val="20"/>
                <w:szCs w:val="20"/>
              </w:rPr>
            </w:pPr>
          </w:p>
        </w:tc>
      </w:tr>
      <w:tr w:rsidR="00593482" w:rsidRPr="006A64EE" w14:paraId="44D4493A" w14:textId="77777777" w:rsidTr="00A27366">
        <w:trPr>
          <w:cantSplit/>
        </w:trPr>
        <w:tc>
          <w:tcPr>
            <w:tcW w:w="2234" w:type="dxa"/>
          </w:tcPr>
          <w:p w14:paraId="24BD9F21" w14:textId="77777777" w:rsidR="002D5756" w:rsidRPr="006A64EE" w:rsidRDefault="009C2544" w:rsidP="004255F8">
            <w:pPr>
              <w:pStyle w:val="TableParagraph"/>
              <w:widowControl/>
              <w:suppressAutoHyphens/>
              <w:rPr>
                <w:sz w:val="20"/>
                <w:szCs w:val="20"/>
              </w:rPr>
            </w:pPr>
            <w:r w:rsidRPr="006A64EE">
              <w:rPr>
                <w:sz w:val="20"/>
                <w:szCs w:val="20"/>
              </w:rPr>
              <w:t>Augenerkrankungen</w:t>
            </w:r>
          </w:p>
        </w:tc>
        <w:tc>
          <w:tcPr>
            <w:tcW w:w="1682" w:type="dxa"/>
          </w:tcPr>
          <w:p w14:paraId="198E7E45" w14:textId="77777777" w:rsidR="002D5756" w:rsidRPr="006A64EE" w:rsidRDefault="002D5756" w:rsidP="004255F8">
            <w:pPr>
              <w:pStyle w:val="TableParagraph"/>
              <w:widowControl/>
              <w:suppressAutoHyphens/>
              <w:rPr>
                <w:sz w:val="20"/>
                <w:szCs w:val="20"/>
              </w:rPr>
            </w:pPr>
          </w:p>
        </w:tc>
        <w:tc>
          <w:tcPr>
            <w:tcW w:w="1917" w:type="dxa"/>
          </w:tcPr>
          <w:p w14:paraId="0A8EE946" w14:textId="77777777" w:rsidR="002D5756" w:rsidRPr="006A64EE" w:rsidRDefault="009C2544" w:rsidP="004255F8">
            <w:pPr>
              <w:pStyle w:val="TableParagraph"/>
              <w:widowControl/>
              <w:suppressAutoHyphens/>
              <w:rPr>
                <w:sz w:val="20"/>
                <w:szCs w:val="20"/>
              </w:rPr>
            </w:pPr>
            <w:r w:rsidRPr="006A64EE">
              <w:rPr>
                <w:sz w:val="20"/>
                <w:szCs w:val="20"/>
              </w:rPr>
              <w:t>Konjunktivitis</w:t>
            </w:r>
          </w:p>
        </w:tc>
        <w:tc>
          <w:tcPr>
            <w:tcW w:w="1946" w:type="dxa"/>
          </w:tcPr>
          <w:p w14:paraId="2797CB7E" w14:textId="77777777" w:rsidR="002D5756" w:rsidRPr="006A64EE" w:rsidRDefault="002D5756" w:rsidP="004255F8">
            <w:pPr>
              <w:pStyle w:val="TableParagraph"/>
              <w:widowControl/>
              <w:suppressAutoHyphens/>
              <w:rPr>
                <w:sz w:val="20"/>
                <w:szCs w:val="20"/>
              </w:rPr>
            </w:pPr>
          </w:p>
        </w:tc>
        <w:tc>
          <w:tcPr>
            <w:tcW w:w="1399" w:type="dxa"/>
          </w:tcPr>
          <w:p w14:paraId="056668EF" w14:textId="77777777" w:rsidR="002D5756" w:rsidRPr="006A64EE" w:rsidRDefault="002D5756" w:rsidP="004255F8">
            <w:pPr>
              <w:pStyle w:val="TableParagraph"/>
              <w:widowControl/>
              <w:suppressAutoHyphens/>
              <w:rPr>
                <w:sz w:val="20"/>
                <w:szCs w:val="20"/>
              </w:rPr>
            </w:pPr>
          </w:p>
        </w:tc>
      </w:tr>
      <w:tr w:rsidR="00593482" w:rsidRPr="006A64EE" w14:paraId="2C3B5C70" w14:textId="77777777" w:rsidTr="00A27366">
        <w:trPr>
          <w:cantSplit/>
        </w:trPr>
        <w:tc>
          <w:tcPr>
            <w:tcW w:w="2234" w:type="dxa"/>
          </w:tcPr>
          <w:p w14:paraId="1F0A1CF3" w14:textId="77777777" w:rsidR="002D5756" w:rsidRPr="006A64EE" w:rsidRDefault="009C2544" w:rsidP="004255F8">
            <w:pPr>
              <w:pStyle w:val="TableParagraph"/>
              <w:widowControl/>
              <w:suppressAutoHyphens/>
              <w:rPr>
                <w:sz w:val="20"/>
                <w:szCs w:val="20"/>
              </w:rPr>
            </w:pPr>
            <w:r w:rsidRPr="006A64EE">
              <w:rPr>
                <w:sz w:val="20"/>
                <w:szCs w:val="20"/>
              </w:rPr>
              <w:t>Gefäßerkrankungen</w:t>
            </w:r>
          </w:p>
        </w:tc>
        <w:tc>
          <w:tcPr>
            <w:tcW w:w="1682" w:type="dxa"/>
          </w:tcPr>
          <w:p w14:paraId="620558D0" w14:textId="77777777" w:rsidR="002D5756" w:rsidRPr="006A64EE" w:rsidRDefault="002D5756" w:rsidP="004255F8">
            <w:pPr>
              <w:pStyle w:val="TableParagraph"/>
              <w:widowControl/>
              <w:suppressAutoHyphens/>
              <w:rPr>
                <w:sz w:val="20"/>
                <w:szCs w:val="20"/>
              </w:rPr>
            </w:pPr>
          </w:p>
        </w:tc>
        <w:tc>
          <w:tcPr>
            <w:tcW w:w="1917" w:type="dxa"/>
          </w:tcPr>
          <w:p w14:paraId="022D08CB" w14:textId="77777777" w:rsidR="002D5756" w:rsidRPr="006A64EE" w:rsidRDefault="009C2544" w:rsidP="004255F8">
            <w:pPr>
              <w:pStyle w:val="TableParagraph"/>
              <w:widowControl/>
              <w:suppressAutoHyphens/>
              <w:rPr>
                <w:sz w:val="20"/>
                <w:szCs w:val="20"/>
              </w:rPr>
            </w:pPr>
            <w:r w:rsidRPr="006A64EE">
              <w:rPr>
                <w:sz w:val="20"/>
                <w:szCs w:val="20"/>
              </w:rPr>
              <w:t>Hypertonie</w:t>
            </w:r>
          </w:p>
        </w:tc>
        <w:tc>
          <w:tcPr>
            <w:tcW w:w="1946" w:type="dxa"/>
          </w:tcPr>
          <w:p w14:paraId="14B7166F" w14:textId="77777777" w:rsidR="002D5756" w:rsidRPr="006A64EE" w:rsidRDefault="002D5756" w:rsidP="004255F8">
            <w:pPr>
              <w:pStyle w:val="TableParagraph"/>
              <w:widowControl/>
              <w:suppressAutoHyphens/>
              <w:rPr>
                <w:sz w:val="20"/>
                <w:szCs w:val="20"/>
              </w:rPr>
            </w:pPr>
          </w:p>
        </w:tc>
        <w:tc>
          <w:tcPr>
            <w:tcW w:w="1399" w:type="dxa"/>
          </w:tcPr>
          <w:p w14:paraId="4EE46D21" w14:textId="77777777" w:rsidR="002D5756" w:rsidRPr="006A64EE" w:rsidRDefault="002D5756" w:rsidP="004255F8">
            <w:pPr>
              <w:pStyle w:val="TableParagraph"/>
              <w:widowControl/>
              <w:suppressAutoHyphens/>
              <w:rPr>
                <w:sz w:val="20"/>
                <w:szCs w:val="20"/>
              </w:rPr>
            </w:pPr>
          </w:p>
        </w:tc>
      </w:tr>
      <w:tr w:rsidR="00593482" w:rsidRPr="006A64EE" w14:paraId="5CB20EC7" w14:textId="77777777" w:rsidTr="00A27366">
        <w:trPr>
          <w:cantSplit/>
        </w:trPr>
        <w:tc>
          <w:tcPr>
            <w:tcW w:w="2234" w:type="dxa"/>
          </w:tcPr>
          <w:p w14:paraId="0944E794" w14:textId="7100548C" w:rsidR="002D5756" w:rsidRPr="006A64EE" w:rsidRDefault="009C2544" w:rsidP="004255F8">
            <w:pPr>
              <w:pStyle w:val="TableParagraph"/>
              <w:widowControl/>
              <w:suppressAutoHyphens/>
              <w:rPr>
                <w:sz w:val="20"/>
                <w:szCs w:val="20"/>
              </w:rPr>
            </w:pPr>
            <w:r w:rsidRPr="006A64EE">
              <w:rPr>
                <w:sz w:val="20"/>
                <w:szCs w:val="20"/>
              </w:rPr>
              <w:t>Erkrankungen der Atemwege, des Brustraums und</w:t>
            </w:r>
            <w:r w:rsidR="002856D0" w:rsidRPr="006A64EE">
              <w:rPr>
                <w:sz w:val="20"/>
                <w:szCs w:val="20"/>
              </w:rPr>
              <w:t xml:space="preserve"> </w:t>
            </w:r>
            <w:r w:rsidRPr="006A64EE">
              <w:rPr>
                <w:sz w:val="20"/>
                <w:szCs w:val="20"/>
              </w:rPr>
              <w:t>Mediastinums</w:t>
            </w:r>
          </w:p>
        </w:tc>
        <w:tc>
          <w:tcPr>
            <w:tcW w:w="1682" w:type="dxa"/>
          </w:tcPr>
          <w:p w14:paraId="3374BD1B" w14:textId="77777777" w:rsidR="002D5756" w:rsidRPr="006A64EE" w:rsidRDefault="002D5756" w:rsidP="004255F8">
            <w:pPr>
              <w:pStyle w:val="TableParagraph"/>
              <w:widowControl/>
              <w:suppressAutoHyphens/>
              <w:rPr>
                <w:sz w:val="20"/>
                <w:szCs w:val="20"/>
              </w:rPr>
            </w:pPr>
          </w:p>
        </w:tc>
        <w:tc>
          <w:tcPr>
            <w:tcW w:w="1917" w:type="dxa"/>
          </w:tcPr>
          <w:p w14:paraId="20879252" w14:textId="77777777" w:rsidR="002D5756" w:rsidRPr="006A64EE" w:rsidRDefault="009C2544" w:rsidP="004255F8">
            <w:pPr>
              <w:pStyle w:val="TableParagraph"/>
              <w:widowControl/>
              <w:suppressAutoHyphens/>
              <w:rPr>
                <w:sz w:val="20"/>
                <w:szCs w:val="20"/>
              </w:rPr>
            </w:pPr>
            <w:r w:rsidRPr="006A64EE">
              <w:rPr>
                <w:sz w:val="20"/>
                <w:szCs w:val="20"/>
              </w:rPr>
              <w:t>Husten, Dyspnoe</w:t>
            </w:r>
          </w:p>
        </w:tc>
        <w:tc>
          <w:tcPr>
            <w:tcW w:w="1946" w:type="dxa"/>
          </w:tcPr>
          <w:p w14:paraId="0C0521A5" w14:textId="77777777" w:rsidR="002D5756" w:rsidRPr="006A64EE" w:rsidRDefault="002D5756" w:rsidP="004255F8">
            <w:pPr>
              <w:pStyle w:val="TableParagraph"/>
              <w:widowControl/>
              <w:suppressAutoHyphens/>
              <w:rPr>
                <w:sz w:val="20"/>
                <w:szCs w:val="20"/>
              </w:rPr>
            </w:pPr>
          </w:p>
        </w:tc>
        <w:tc>
          <w:tcPr>
            <w:tcW w:w="1399" w:type="dxa"/>
          </w:tcPr>
          <w:p w14:paraId="3BE85FDA" w14:textId="77777777" w:rsidR="002D5756" w:rsidRPr="006A64EE" w:rsidRDefault="002D5756" w:rsidP="004255F8">
            <w:pPr>
              <w:pStyle w:val="TableParagraph"/>
              <w:widowControl/>
              <w:suppressAutoHyphens/>
              <w:rPr>
                <w:sz w:val="20"/>
                <w:szCs w:val="20"/>
              </w:rPr>
            </w:pPr>
          </w:p>
        </w:tc>
      </w:tr>
      <w:tr w:rsidR="00593482" w:rsidRPr="006A64EE" w14:paraId="32E77285" w14:textId="77777777" w:rsidTr="00A27366">
        <w:trPr>
          <w:cantSplit/>
        </w:trPr>
        <w:tc>
          <w:tcPr>
            <w:tcW w:w="2234" w:type="dxa"/>
          </w:tcPr>
          <w:p w14:paraId="35EDC74E" w14:textId="77777777" w:rsidR="002D5756" w:rsidRPr="006A64EE" w:rsidRDefault="009C2544" w:rsidP="004255F8">
            <w:pPr>
              <w:pStyle w:val="TableParagraph"/>
              <w:widowControl/>
              <w:suppressAutoHyphens/>
              <w:rPr>
                <w:sz w:val="20"/>
                <w:szCs w:val="20"/>
              </w:rPr>
            </w:pPr>
            <w:r w:rsidRPr="006A64EE">
              <w:rPr>
                <w:sz w:val="20"/>
                <w:szCs w:val="20"/>
              </w:rPr>
              <w:t>Erkrankungen des Gastrointestinaltrakts</w:t>
            </w:r>
          </w:p>
        </w:tc>
        <w:tc>
          <w:tcPr>
            <w:tcW w:w="1682" w:type="dxa"/>
          </w:tcPr>
          <w:p w14:paraId="7E03BB19" w14:textId="77777777" w:rsidR="002D5756" w:rsidRPr="006A64EE" w:rsidRDefault="002D5756" w:rsidP="004255F8">
            <w:pPr>
              <w:pStyle w:val="TableParagraph"/>
              <w:widowControl/>
              <w:suppressAutoHyphens/>
              <w:rPr>
                <w:sz w:val="20"/>
                <w:szCs w:val="20"/>
              </w:rPr>
            </w:pPr>
          </w:p>
        </w:tc>
        <w:tc>
          <w:tcPr>
            <w:tcW w:w="1917" w:type="dxa"/>
          </w:tcPr>
          <w:p w14:paraId="21143468" w14:textId="40B063DD" w:rsidR="002D5756" w:rsidRPr="006A64EE" w:rsidRDefault="009C2544" w:rsidP="004255F8">
            <w:pPr>
              <w:pStyle w:val="TableParagraph"/>
              <w:widowControl/>
              <w:suppressAutoHyphens/>
              <w:jc w:val="both"/>
              <w:rPr>
                <w:sz w:val="20"/>
                <w:szCs w:val="20"/>
              </w:rPr>
            </w:pPr>
            <w:r w:rsidRPr="006A64EE">
              <w:rPr>
                <w:sz w:val="20"/>
                <w:szCs w:val="20"/>
              </w:rPr>
              <w:t>Abdominale Schmerzen, Mundulzera,</w:t>
            </w:r>
            <w:r w:rsidR="002856D0" w:rsidRPr="006A64EE">
              <w:rPr>
                <w:sz w:val="20"/>
                <w:szCs w:val="20"/>
              </w:rPr>
              <w:t xml:space="preserve"> </w:t>
            </w:r>
            <w:r w:rsidRPr="006A64EE">
              <w:rPr>
                <w:sz w:val="20"/>
                <w:szCs w:val="20"/>
              </w:rPr>
              <w:t>Gastritis</w:t>
            </w:r>
          </w:p>
        </w:tc>
        <w:tc>
          <w:tcPr>
            <w:tcW w:w="1946" w:type="dxa"/>
          </w:tcPr>
          <w:p w14:paraId="1F2B46BC" w14:textId="49F3F38B" w:rsidR="002D5756" w:rsidRPr="006A64EE" w:rsidRDefault="009C2544" w:rsidP="004255F8">
            <w:pPr>
              <w:pStyle w:val="TableParagraph"/>
              <w:widowControl/>
              <w:suppressAutoHyphens/>
              <w:rPr>
                <w:sz w:val="20"/>
                <w:szCs w:val="20"/>
              </w:rPr>
            </w:pPr>
            <w:r w:rsidRPr="006A64EE">
              <w:rPr>
                <w:sz w:val="20"/>
                <w:szCs w:val="20"/>
              </w:rPr>
              <w:t>Stomatitis, Magengeschwür</w:t>
            </w:r>
          </w:p>
        </w:tc>
        <w:tc>
          <w:tcPr>
            <w:tcW w:w="1399" w:type="dxa"/>
          </w:tcPr>
          <w:p w14:paraId="5A4562AD" w14:textId="77777777" w:rsidR="002D5756" w:rsidRPr="006A64EE" w:rsidRDefault="002D5756" w:rsidP="004255F8">
            <w:pPr>
              <w:pStyle w:val="TableParagraph"/>
              <w:widowControl/>
              <w:suppressAutoHyphens/>
              <w:rPr>
                <w:sz w:val="20"/>
                <w:szCs w:val="20"/>
              </w:rPr>
            </w:pPr>
          </w:p>
        </w:tc>
      </w:tr>
      <w:tr w:rsidR="00593482" w:rsidRPr="006A64EE" w14:paraId="44F506E9" w14:textId="77777777" w:rsidTr="00A27366">
        <w:trPr>
          <w:cantSplit/>
        </w:trPr>
        <w:tc>
          <w:tcPr>
            <w:tcW w:w="2234" w:type="dxa"/>
          </w:tcPr>
          <w:p w14:paraId="742132D4" w14:textId="77777777" w:rsidR="002D5756" w:rsidRPr="006A64EE" w:rsidRDefault="009C2544" w:rsidP="004255F8">
            <w:pPr>
              <w:pStyle w:val="TableParagraph"/>
              <w:widowControl/>
              <w:suppressAutoHyphens/>
              <w:rPr>
                <w:sz w:val="20"/>
                <w:szCs w:val="20"/>
              </w:rPr>
            </w:pPr>
            <w:r w:rsidRPr="006A64EE">
              <w:rPr>
                <w:sz w:val="20"/>
                <w:szCs w:val="20"/>
              </w:rPr>
              <w:t>Leber- und Gallenerkrankungen</w:t>
            </w:r>
          </w:p>
        </w:tc>
        <w:tc>
          <w:tcPr>
            <w:tcW w:w="1682" w:type="dxa"/>
          </w:tcPr>
          <w:p w14:paraId="38A7D90A" w14:textId="77777777" w:rsidR="002D5756" w:rsidRPr="006A64EE" w:rsidRDefault="002D5756" w:rsidP="004255F8">
            <w:pPr>
              <w:pStyle w:val="TableParagraph"/>
              <w:widowControl/>
              <w:suppressAutoHyphens/>
              <w:rPr>
                <w:sz w:val="20"/>
                <w:szCs w:val="20"/>
              </w:rPr>
            </w:pPr>
          </w:p>
        </w:tc>
        <w:tc>
          <w:tcPr>
            <w:tcW w:w="1917" w:type="dxa"/>
          </w:tcPr>
          <w:p w14:paraId="1A3E2F60" w14:textId="77777777" w:rsidR="002D5756" w:rsidRPr="006A64EE" w:rsidRDefault="002D5756" w:rsidP="004255F8">
            <w:pPr>
              <w:pStyle w:val="TableParagraph"/>
              <w:widowControl/>
              <w:suppressAutoHyphens/>
              <w:rPr>
                <w:sz w:val="20"/>
                <w:szCs w:val="20"/>
              </w:rPr>
            </w:pPr>
          </w:p>
        </w:tc>
        <w:tc>
          <w:tcPr>
            <w:tcW w:w="1946" w:type="dxa"/>
          </w:tcPr>
          <w:p w14:paraId="5EAC2813" w14:textId="77777777" w:rsidR="002D5756" w:rsidRPr="006A64EE" w:rsidRDefault="002D5756" w:rsidP="004255F8">
            <w:pPr>
              <w:pStyle w:val="TableParagraph"/>
              <w:widowControl/>
              <w:suppressAutoHyphens/>
              <w:rPr>
                <w:sz w:val="20"/>
                <w:szCs w:val="20"/>
              </w:rPr>
            </w:pPr>
          </w:p>
        </w:tc>
        <w:tc>
          <w:tcPr>
            <w:tcW w:w="1399" w:type="dxa"/>
          </w:tcPr>
          <w:p w14:paraId="0F016E66" w14:textId="61B331A5" w:rsidR="002D5756" w:rsidRPr="006A64EE" w:rsidRDefault="009C2544" w:rsidP="004255F8">
            <w:pPr>
              <w:pStyle w:val="TableParagraph"/>
              <w:widowControl/>
              <w:suppressAutoHyphens/>
              <w:rPr>
                <w:sz w:val="20"/>
                <w:szCs w:val="20"/>
              </w:rPr>
            </w:pPr>
            <w:r w:rsidRPr="006A64EE">
              <w:rPr>
                <w:sz w:val="20"/>
                <w:szCs w:val="20"/>
              </w:rPr>
              <w:t>Arzneimittel-induzierte Leberschäden, Hepatitis, Gelbsucht, Sehr selten:</w:t>
            </w:r>
            <w:r w:rsidR="002856D0" w:rsidRPr="006A64EE">
              <w:rPr>
                <w:sz w:val="20"/>
                <w:szCs w:val="20"/>
              </w:rPr>
              <w:t xml:space="preserve"> </w:t>
            </w:r>
            <w:r w:rsidRPr="006A64EE">
              <w:rPr>
                <w:sz w:val="20"/>
                <w:szCs w:val="20"/>
              </w:rPr>
              <w:t>Leberversagen</w:t>
            </w:r>
          </w:p>
        </w:tc>
      </w:tr>
      <w:tr w:rsidR="00593482" w:rsidRPr="006A64EE" w14:paraId="24B634F8" w14:textId="77777777" w:rsidTr="00A27366">
        <w:trPr>
          <w:cantSplit/>
        </w:trPr>
        <w:tc>
          <w:tcPr>
            <w:tcW w:w="2234" w:type="dxa"/>
          </w:tcPr>
          <w:p w14:paraId="177DE3EB" w14:textId="1F13C134" w:rsidR="002D5756" w:rsidRPr="006A64EE" w:rsidRDefault="009C2544" w:rsidP="004255F8">
            <w:pPr>
              <w:pStyle w:val="TableParagraph"/>
              <w:widowControl/>
              <w:suppressAutoHyphens/>
              <w:rPr>
                <w:sz w:val="20"/>
                <w:szCs w:val="20"/>
              </w:rPr>
            </w:pPr>
            <w:r w:rsidRPr="006A64EE">
              <w:rPr>
                <w:sz w:val="20"/>
                <w:szCs w:val="20"/>
              </w:rPr>
              <w:t>Erkrankungen der Haut und des</w:t>
            </w:r>
            <w:r w:rsidR="002A3A61">
              <w:rPr>
                <w:sz w:val="20"/>
                <w:szCs w:val="20"/>
              </w:rPr>
              <w:t xml:space="preserve"> </w:t>
            </w:r>
            <w:r w:rsidRPr="006A64EE">
              <w:rPr>
                <w:sz w:val="20"/>
                <w:szCs w:val="20"/>
              </w:rPr>
              <w:t>Unterhautgewebes</w:t>
            </w:r>
          </w:p>
        </w:tc>
        <w:tc>
          <w:tcPr>
            <w:tcW w:w="1682" w:type="dxa"/>
          </w:tcPr>
          <w:p w14:paraId="539D6F68" w14:textId="77777777" w:rsidR="002D5756" w:rsidRPr="006A64EE" w:rsidRDefault="002D5756" w:rsidP="004255F8">
            <w:pPr>
              <w:pStyle w:val="TableParagraph"/>
              <w:widowControl/>
              <w:suppressAutoHyphens/>
              <w:rPr>
                <w:sz w:val="20"/>
                <w:szCs w:val="20"/>
              </w:rPr>
            </w:pPr>
          </w:p>
        </w:tc>
        <w:tc>
          <w:tcPr>
            <w:tcW w:w="1917" w:type="dxa"/>
          </w:tcPr>
          <w:p w14:paraId="59C7DC18" w14:textId="77777777" w:rsidR="002D5756" w:rsidRPr="006A64EE" w:rsidRDefault="009C2544" w:rsidP="004255F8">
            <w:pPr>
              <w:pStyle w:val="TableParagraph"/>
              <w:widowControl/>
              <w:suppressAutoHyphens/>
              <w:rPr>
                <w:sz w:val="20"/>
                <w:szCs w:val="20"/>
              </w:rPr>
            </w:pPr>
            <w:r w:rsidRPr="006A64EE">
              <w:rPr>
                <w:sz w:val="20"/>
                <w:szCs w:val="20"/>
              </w:rPr>
              <w:t>Exanthem, Pruritus, Urtikaria</w:t>
            </w:r>
          </w:p>
        </w:tc>
        <w:tc>
          <w:tcPr>
            <w:tcW w:w="1946" w:type="dxa"/>
          </w:tcPr>
          <w:p w14:paraId="63537376" w14:textId="77777777" w:rsidR="002D5756" w:rsidRPr="006A64EE" w:rsidRDefault="002D5756" w:rsidP="004255F8">
            <w:pPr>
              <w:pStyle w:val="TableParagraph"/>
              <w:widowControl/>
              <w:suppressAutoHyphens/>
              <w:rPr>
                <w:sz w:val="20"/>
                <w:szCs w:val="20"/>
              </w:rPr>
            </w:pPr>
          </w:p>
        </w:tc>
        <w:tc>
          <w:tcPr>
            <w:tcW w:w="1399" w:type="dxa"/>
          </w:tcPr>
          <w:p w14:paraId="6587C5A5" w14:textId="53E7BB23" w:rsidR="002D5756" w:rsidRPr="006A64EE" w:rsidRDefault="009C2544" w:rsidP="004255F8">
            <w:pPr>
              <w:pStyle w:val="TableParagraph"/>
              <w:widowControl/>
              <w:suppressAutoHyphens/>
              <w:rPr>
                <w:sz w:val="20"/>
                <w:szCs w:val="20"/>
              </w:rPr>
            </w:pPr>
            <w:r w:rsidRPr="006A64EE">
              <w:rPr>
                <w:sz w:val="20"/>
                <w:szCs w:val="20"/>
              </w:rPr>
              <w:t>Stevens-Johnson-Syndrom</w:t>
            </w:r>
            <w:r w:rsidRPr="006A64EE">
              <w:rPr>
                <w:sz w:val="20"/>
                <w:szCs w:val="20"/>
                <w:vertAlign w:val="superscript"/>
              </w:rPr>
              <w:t>3</w:t>
            </w:r>
          </w:p>
        </w:tc>
      </w:tr>
      <w:tr w:rsidR="00593482" w:rsidRPr="006A64EE" w14:paraId="0BF0CD72" w14:textId="77777777" w:rsidTr="00A27366">
        <w:trPr>
          <w:cantSplit/>
        </w:trPr>
        <w:tc>
          <w:tcPr>
            <w:tcW w:w="2234" w:type="dxa"/>
          </w:tcPr>
          <w:p w14:paraId="06A06E4B" w14:textId="20C20AAC" w:rsidR="002D5756" w:rsidRPr="006A64EE" w:rsidRDefault="009C2544" w:rsidP="004255F8">
            <w:pPr>
              <w:pStyle w:val="TableParagraph"/>
              <w:widowControl/>
              <w:suppressAutoHyphens/>
              <w:rPr>
                <w:sz w:val="20"/>
                <w:szCs w:val="20"/>
              </w:rPr>
            </w:pPr>
            <w:r w:rsidRPr="006A64EE">
              <w:rPr>
                <w:sz w:val="20"/>
                <w:szCs w:val="20"/>
              </w:rPr>
              <w:t>Erkrankungen der</w:t>
            </w:r>
            <w:r w:rsidR="002856D0" w:rsidRPr="006A64EE">
              <w:rPr>
                <w:sz w:val="20"/>
                <w:szCs w:val="20"/>
              </w:rPr>
              <w:t xml:space="preserve"> </w:t>
            </w:r>
            <w:r w:rsidRPr="006A64EE">
              <w:rPr>
                <w:sz w:val="20"/>
                <w:szCs w:val="20"/>
              </w:rPr>
              <w:t>Nieren und Harnwege</w:t>
            </w:r>
          </w:p>
        </w:tc>
        <w:tc>
          <w:tcPr>
            <w:tcW w:w="1682" w:type="dxa"/>
          </w:tcPr>
          <w:p w14:paraId="53B3DF61" w14:textId="77777777" w:rsidR="002D5756" w:rsidRPr="006A64EE" w:rsidRDefault="002D5756" w:rsidP="004255F8">
            <w:pPr>
              <w:pStyle w:val="TableParagraph"/>
              <w:widowControl/>
              <w:suppressAutoHyphens/>
              <w:rPr>
                <w:sz w:val="20"/>
                <w:szCs w:val="20"/>
              </w:rPr>
            </w:pPr>
          </w:p>
        </w:tc>
        <w:tc>
          <w:tcPr>
            <w:tcW w:w="1917" w:type="dxa"/>
          </w:tcPr>
          <w:p w14:paraId="368D658E" w14:textId="77777777" w:rsidR="002D5756" w:rsidRPr="006A64EE" w:rsidRDefault="002D5756" w:rsidP="004255F8">
            <w:pPr>
              <w:pStyle w:val="TableParagraph"/>
              <w:widowControl/>
              <w:suppressAutoHyphens/>
              <w:rPr>
                <w:sz w:val="20"/>
                <w:szCs w:val="20"/>
              </w:rPr>
            </w:pPr>
          </w:p>
        </w:tc>
        <w:tc>
          <w:tcPr>
            <w:tcW w:w="1946" w:type="dxa"/>
          </w:tcPr>
          <w:p w14:paraId="18359158" w14:textId="7D656C42" w:rsidR="002D5756" w:rsidRPr="006A64EE" w:rsidRDefault="009C2544" w:rsidP="004255F8">
            <w:pPr>
              <w:pStyle w:val="TableParagraph"/>
              <w:widowControl/>
              <w:suppressAutoHyphens/>
              <w:rPr>
                <w:sz w:val="20"/>
                <w:szCs w:val="20"/>
              </w:rPr>
            </w:pPr>
            <w:r w:rsidRPr="006A64EE">
              <w:rPr>
                <w:sz w:val="20"/>
                <w:szCs w:val="20"/>
              </w:rPr>
              <w:t>Nephrolithiasis</w:t>
            </w:r>
          </w:p>
        </w:tc>
        <w:tc>
          <w:tcPr>
            <w:tcW w:w="1399" w:type="dxa"/>
          </w:tcPr>
          <w:p w14:paraId="5A15A892" w14:textId="77777777" w:rsidR="002D5756" w:rsidRPr="006A64EE" w:rsidRDefault="002D5756" w:rsidP="004255F8">
            <w:pPr>
              <w:pStyle w:val="TableParagraph"/>
              <w:widowControl/>
              <w:suppressAutoHyphens/>
              <w:rPr>
                <w:sz w:val="20"/>
                <w:szCs w:val="20"/>
              </w:rPr>
            </w:pPr>
          </w:p>
        </w:tc>
      </w:tr>
      <w:tr w:rsidR="00593482" w:rsidRPr="006A64EE" w14:paraId="05E794CB" w14:textId="77777777" w:rsidTr="00A27366">
        <w:trPr>
          <w:cantSplit/>
        </w:trPr>
        <w:tc>
          <w:tcPr>
            <w:tcW w:w="2234" w:type="dxa"/>
          </w:tcPr>
          <w:p w14:paraId="7D64FF1D" w14:textId="6AA37A41" w:rsidR="002D5756" w:rsidRPr="006A64EE" w:rsidRDefault="009C2544" w:rsidP="004255F8">
            <w:pPr>
              <w:pStyle w:val="TableParagraph"/>
              <w:widowControl/>
              <w:suppressAutoHyphens/>
              <w:rPr>
                <w:sz w:val="20"/>
                <w:szCs w:val="20"/>
              </w:rPr>
            </w:pPr>
            <w:r w:rsidRPr="006A64EE">
              <w:rPr>
                <w:sz w:val="20"/>
                <w:szCs w:val="20"/>
              </w:rPr>
              <w:t>Allgemeine Erkrankungen und Beschwerden am</w:t>
            </w:r>
            <w:r w:rsidR="002856D0" w:rsidRPr="006A64EE">
              <w:rPr>
                <w:sz w:val="20"/>
                <w:szCs w:val="20"/>
              </w:rPr>
              <w:t xml:space="preserve"> </w:t>
            </w:r>
            <w:r w:rsidRPr="006A64EE">
              <w:rPr>
                <w:sz w:val="20"/>
                <w:szCs w:val="20"/>
              </w:rPr>
              <w:t>Verabreichungsort</w:t>
            </w:r>
          </w:p>
        </w:tc>
        <w:tc>
          <w:tcPr>
            <w:tcW w:w="1682" w:type="dxa"/>
          </w:tcPr>
          <w:p w14:paraId="49828E7E" w14:textId="3BFD3EF7" w:rsidR="002D5756" w:rsidRPr="006A64EE" w:rsidRDefault="009C2544" w:rsidP="004255F8">
            <w:pPr>
              <w:pStyle w:val="TableParagraph"/>
              <w:widowControl/>
              <w:suppressAutoHyphens/>
              <w:rPr>
                <w:sz w:val="20"/>
                <w:szCs w:val="20"/>
              </w:rPr>
            </w:pPr>
            <w:r w:rsidRPr="006A64EE">
              <w:rPr>
                <w:sz w:val="20"/>
                <w:szCs w:val="20"/>
              </w:rPr>
              <w:t>Reaktion an der Injektionsstelle</w:t>
            </w:r>
          </w:p>
        </w:tc>
        <w:tc>
          <w:tcPr>
            <w:tcW w:w="1917" w:type="dxa"/>
          </w:tcPr>
          <w:p w14:paraId="30A154FC" w14:textId="37AF5244" w:rsidR="002D5756" w:rsidRPr="006A64EE" w:rsidRDefault="009C2544" w:rsidP="004255F8">
            <w:pPr>
              <w:pStyle w:val="TableParagraph"/>
              <w:widowControl/>
              <w:suppressAutoHyphens/>
              <w:rPr>
                <w:sz w:val="20"/>
                <w:szCs w:val="20"/>
              </w:rPr>
            </w:pPr>
            <w:r w:rsidRPr="006A64EE">
              <w:rPr>
                <w:sz w:val="20"/>
                <w:szCs w:val="20"/>
              </w:rPr>
              <w:t>Peripheres Ödem, Überempfindlich</w:t>
            </w:r>
            <w:r w:rsidR="00C75FEC">
              <w:rPr>
                <w:sz w:val="20"/>
                <w:szCs w:val="20"/>
              </w:rPr>
              <w:t>-</w:t>
            </w:r>
            <w:r w:rsidRPr="006A64EE">
              <w:rPr>
                <w:sz w:val="20"/>
                <w:szCs w:val="20"/>
              </w:rPr>
              <w:t>keitsreaktion</w:t>
            </w:r>
          </w:p>
        </w:tc>
        <w:tc>
          <w:tcPr>
            <w:tcW w:w="1946" w:type="dxa"/>
          </w:tcPr>
          <w:p w14:paraId="38461FE3" w14:textId="77777777" w:rsidR="002D5756" w:rsidRPr="006A64EE" w:rsidRDefault="002D5756" w:rsidP="004255F8">
            <w:pPr>
              <w:pStyle w:val="TableParagraph"/>
              <w:widowControl/>
              <w:suppressAutoHyphens/>
              <w:rPr>
                <w:sz w:val="20"/>
                <w:szCs w:val="20"/>
              </w:rPr>
            </w:pPr>
          </w:p>
        </w:tc>
        <w:tc>
          <w:tcPr>
            <w:tcW w:w="1399" w:type="dxa"/>
          </w:tcPr>
          <w:p w14:paraId="75422738" w14:textId="77777777" w:rsidR="002D5756" w:rsidRPr="006A64EE" w:rsidRDefault="002D5756" w:rsidP="004255F8">
            <w:pPr>
              <w:pStyle w:val="TableParagraph"/>
              <w:widowControl/>
              <w:suppressAutoHyphens/>
              <w:rPr>
                <w:sz w:val="20"/>
                <w:szCs w:val="20"/>
              </w:rPr>
            </w:pPr>
          </w:p>
        </w:tc>
      </w:tr>
      <w:tr w:rsidR="00593482" w:rsidRPr="006A64EE" w14:paraId="7E9930A9" w14:textId="77777777" w:rsidTr="00A27366">
        <w:trPr>
          <w:cantSplit/>
        </w:trPr>
        <w:tc>
          <w:tcPr>
            <w:tcW w:w="2234" w:type="dxa"/>
          </w:tcPr>
          <w:p w14:paraId="2043F68E" w14:textId="77777777" w:rsidR="002D5756" w:rsidRPr="006A64EE" w:rsidRDefault="009C2544" w:rsidP="004255F8">
            <w:pPr>
              <w:pStyle w:val="TableParagraph"/>
              <w:widowControl/>
              <w:suppressAutoHyphens/>
              <w:rPr>
                <w:sz w:val="20"/>
                <w:szCs w:val="20"/>
              </w:rPr>
            </w:pPr>
            <w:r w:rsidRPr="006A64EE">
              <w:rPr>
                <w:sz w:val="20"/>
                <w:szCs w:val="20"/>
              </w:rPr>
              <w:t>Untersuchungen</w:t>
            </w:r>
          </w:p>
        </w:tc>
        <w:tc>
          <w:tcPr>
            <w:tcW w:w="1682" w:type="dxa"/>
          </w:tcPr>
          <w:p w14:paraId="6A567203" w14:textId="77777777" w:rsidR="002D5756" w:rsidRPr="006A64EE" w:rsidRDefault="002D5756" w:rsidP="004255F8">
            <w:pPr>
              <w:pStyle w:val="TableParagraph"/>
              <w:widowControl/>
              <w:suppressAutoHyphens/>
              <w:rPr>
                <w:sz w:val="20"/>
                <w:szCs w:val="20"/>
              </w:rPr>
            </w:pPr>
          </w:p>
        </w:tc>
        <w:tc>
          <w:tcPr>
            <w:tcW w:w="1917" w:type="dxa"/>
          </w:tcPr>
          <w:p w14:paraId="47E90807" w14:textId="31A6D5B3" w:rsidR="002D5756" w:rsidRPr="006A64EE" w:rsidRDefault="009C2544" w:rsidP="004255F8">
            <w:pPr>
              <w:pStyle w:val="TableParagraph"/>
              <w:widowControl/>
              <w:suppressAutoHyphens/>
              <w:rPr>
                <w:sz w:val="20"/>
                <w:szCs w:val="20"/>
              </w:rPr>
            </w:pPr>
            <w:r w:rsidRPr="006A64EE">
              <w:rPr>
                <w:sz w:val="20"/>
                <w:szCs w:val="20"/>
              </w:rPr>
              <w:t>Erhöhung der Lebertransaminasen, Gewichtszunahme, Erhöhung des</w:t>
            </w:r>
            <w:r w:rsidR="002856D0" w:rsidRPr="006A64EE">
              <w:rPr>
                <w:sz w:val="20"/>
                <w:szCs w:val="20"/>
              </w:rPr>
              <w:t xml:space="preserve"> </w:t>
            </w:r>
            <w:r w:rsidRPr="006A64EE">
              <w:rPr>
                <w:sz w:val="20"/>
                <w:szCs w:val="20"/>
              </w:rPr>
              <w:t>Gesamtbilirubins*</w:t>
            </w:r>
          </w:p>
        </w:tc>
        <w:tc>
          <w:tcPr>
            <w:tcW w:w="1946" w:type="dxa"/>
          </w:tcPr>
          <w:p w14:paraId="51E5CC6F" w14:textId="77777777" w:rsidR="002D5756" w:rsidRPr="006A64EE" w:rsidRDefault="002D5756" w:rsidP="004255F8">
            <w:pPr>
              <w:pStyle w:val="TableParagraph"/>
              <w:widowControl/>
              <w:suppressAutoHyphens/>
              <w:rPr>
                <w:sz w:val="20"/>
                <w:szCs w:val="20"/>
              </w:rPr>
            </w:pPr>
          </w:p>
        </w:tc>
        <w:tc>
          <w:tcPr>
            <w:tcW w:w="1399" w:type="dxa"/>
          </w:tcPr>
          <w:p w14:paraId="77E09AA2" w14:textId="77777777" w:rsidR="002D5756" w:rsidRPr="006A64EE" w:rsidRDefault="002D5756" w:rsidP="004255F8">
            <w:pPr>
              <w:pStyle w:val="TableParagraph"/>
              <w:widowControl/>
              <w:suppressAutoHyphens/>
              <w:rPr>
                <w:sz w:val="20"/>
                <w:szCs w:val="20"/>
              </w:rPr>
            </w:pPr>
          </w:p>
        </w:tc>
      </w:tr>
    </w:tbl>
    <w:p w14:paraId="7762BBBC" w14:textId="77777777" w:rsidR="00093A5E" w:rsidRPr="006A64EE" w:rsidRDefault="009C2544" w:rsidP="004255F8">
      <w:pPr>
        <w:widowControl/>
        <w:rPr>
          <w:sz w:val="18"/>
          <w:szCs w:val="18"/>
        </w:rPr>
      </w:pPr>
      <w:r w:rsidRPr="006A64EE">
        <w:rPr>
          <w:sz w:val="18"/>
          <w:szCs w:val="18"/>
        </w:rPr>
        <w:t>* Beinhaltet Erhöhungen, die als Teil von routinemäßigen Laboruntersuchungen gesammelt wurden (siehe Text unten)</w:t>
      </w:r>
    </w:p>
    <w:p w14:paraId="37317D4A" w14:textId="14E35A8F" w:rsidR="00093A5E" w:rsidRPr="006A64EE" w:rsidRDefault="000E5DD7" w:rsidP="008B4F05">
      <w:pPr>
        <w:widowControl/>
        <w:ind w:left="284" w:hanging="284"/>
        <w:rPr>
          <w:sz w:val="18"/>
          <w:szCs w:val="18"/>
        </w:rPr>
      </w:pPr>
      <w:r w:rsidRPr="006A64EE">
        <w:rPr>
          <w:sz w:val="18"/>
          <w:szCs w:val="18"/>
          <w:vertAlign w:val="superscript"/>
        </w:rPr>
        <w:t>1</w:t>
      </w:r>
      <w:r w:rsidR="008B4F05" w:rsidRPr="006A64EE">
        <w:rPr>
          <w:sz w:val="18"/>
          <w:szCs w:val="18"/>
        </w:rPr>
        <w:tab/>
      </w:r>
      <w:r w:rsidRPr="006A64EE">
        <w:rPr>
          <w:sz w:val="18"/>
          <w:szCs w:val="18"/>
        </w:rPr>
        <w:t>Siehe Abschnitt 4.3</w:t>
      </w:r>
    </w:p>
    <w:p w14:paraId="1F3DA6CF" w14:textId="6DE3E830" w:rsidR="00093A5E" w:rsidRPr="006A64EE" w:rsidRDefault="000E5DD7" w:rsidP="008B4F05">
      <w:pPr>
        <w:widowControl/>
        <w:ind w:left="284" w:hanging="284"/>
        <w:rPr>
          <w:sz w:val="18"/>
          <w:szCs w:val="18"/>
        </w:rPr>
      </w:pPr>
      <w:r w:rsidRPr="006A64EE">
        <w:rPr>
          <w:sz w:val="18"/>
          <w:szCs w:val="18"/>
          <w:vertAlign w:val="superscript"/>
        </w:rPr>
        <w:t>2</w:t>
      </w:r>
      <w:r w:rsidR="008B4F05" w:rsidRPr="006A64EE">
        <w:rPr>
          <w:sz w:val="18"/>
          <w:szCs w:val="18"/>
        </w:rPr>
        <w:tab/>
      </w:r>
      <w:r w:rsidRPr="006A64EE">
        <w:rPr>
          <w:sz w:val="18"/>
          <w:szCs w:val="18"/>
        </w:rPr>
        <w:t>Siehe Abschnitt 4.4</w:t>
      </w:r>
    </w:p>
    <w:p w14:paraId="5E2842AE" w14:textId="7C02FFFC" w:rsidR="00093A5E" w:rsidRPr="006A64EE" w:rsidRDefault="000E5DD7" w:rsidP="008B4F05">
      <w:pPr>
        <w:widowControl/>
        <w:ind w:left="284" w:hanging="284"/>
        <w:rPr>
          <w:sz w:val="18"/>
          <w:szCs w:val="18"/>
        </w:rPr>
      </w:pPr>
      <w:r w:rsidRPr="006A64EE">
        <w:rPr>
          <w:sz w:val="18"/>
          <w:szCs w:val="18"/>
          <w:vertAlign w:val="superscript"/>
        </w:rPr>
        <w:lastRenderedPageBreak/>
        <w:t>3</w:t>
      </w:r>
      <w:r w:rsidR="008B4F05" w:rsidRPr="006A64EE">
        <w:rPr>
          <w:sz w:val="18"/>
          <w:szCs w:val="18"/>
        </w:rPr>
        <w:tab/>
      </w:r>
      <w:r w:rsidRPr="006A64EE">
        <w:rPr>
          <w:sz w:val="18"/>
          <w:szCs w:val="18"/>
        </w:rPr>
        <w:t>Diese Nebenwirkung wurde durch Überwachung nach der Markteinführung festgestellt, in kontrollierten klinischen Studien</w:t>
      </w:r>
      <w:r w:rsidRPr="006A64EE">
        <w:t xml:space="preserve"> </w:t>
      </w:r>
      <w:r w:rsidRPr="006A64EE">
        <w:rPr>
          <w:sz w:val="18"/>
          <w:szCs w:val="18"/>
        </w:rPr>
        <w:t>jedoch nicht beobachtet. Die Häufigkeitskategorie wurde als die obere Grenze des 95</w:t>
      </w:r>
      <w:r w:rsidR="0018020B">
        <w:rPr>
          <w:sz w:val="18"/>
          <w:szCs w:val="18"/>
        </w:rPr>
        <w:t> </w:t>
      </w:r>
      <w:r w:rsidRPr="006A64EE">
        <w:rPr>
          <w:sz w:val="18"/>
          <w:szCs w:val="18"/>
        </w:rPr>
        <w:t xml:space="preserve">%-Konfidenzintervalls geschätzt, das auf Basis der Gesamtzahl an Patienten berechnet wurde, die </w:t>
      </w:r>
      <w:r w:rsidR="00A9112D" w:rsidRPr="00A9112D">
        <w:rPr>
          <w:sz w:val="18"/>
          <w:szCs w:val="18"/>
        </w:rPr>
        <w:t xml:space="preserve">Tocilizumab </w:t>
      </w:r>
      <w:r w:rsidRPr="006A64EE">
        <w:rPr>
          <w:sz w:val="18"/>
          <w:szCs w:val="18"/>
        </w:rPr>
        <w:t>in klinischen Studien erhalten haben.</w:t>
      </w:r>
    </w:p>
    <w:p w14:paraId="4992FFD0" w14:textId="77777777" w:rsidR="00093A5E" w:rsidRPr="006A64EE" w:rsidRDefault="00093A5E" w:rsidP="004255F8">
      <w:pPr>
        <w:pStyle w:val="a3"/>
        <w:widowControl/>
      </w:pPr>
    </w:p>
    <w:p w14:paraId="1059D403" w14:textId="77777777" w:rsidR="00093A5E" w:rsidRPr="006A64EE" w:rsidRDefault="009C2544" w:rsidP="004255F8">
      <w:pPr>
        <w:pStyle w:val="a3"/>
        <w:widowControl/>
      </w:pPr>
      <w:r w:rsidRPr="006A64EE">
        <w:rPr>
          <w:u w:val="single"/>
        </w:rPr>
        <w:t>Subkutane Anwendung</w:t>
      </w:r>
    </w:p>
    <w:p w14:paraId="39590EAA" w14:textId="77777777" w:rsidR="00093A5E" w:rsidRPr="006A64EE" w:rsidRDefault="009C2544" w:rsidP="004255F8">
      <w:pPr>
        <w:widowControl/>
        <w:rPr>
          <w:b/>
        </w:rPr>
      </w:pPr>
      <w:r w:rsidRPr="006A64EE">
        <w:rPr>
          <w:b/>
          <w:u w:val="single"/>
        </w:rPr>
        <w:t>RA</w:t>
      </w:r>
    </w:p>
    <w:p w14:paraId="3FC9E876" w14:textId="4A792D08" w:rsidR="00093A5E" w:rsidRPr="006A64EE" w:rsidRDefault="009C2544" w:rsidP="004255F8">
      <w:pPr>
        <w:pStyle w:val="a3"/>
        <w:widowControl/>
      </w:pPr>
      <w:r w:rsidRPr="006A64EE">
        <w:t xml:space="preserve">Die Sicherheit der subkutanen Anwendung von </w:t>
      </w:r>
      <w:r w:rsidR="00E63FC1">
        <w:t>Tocilizumab</w:t>
      </w:r>
      <w:r w:rsidRPr="006A64EE">
        <w:t xml:space="preserve"> bei Patienten mit RA wurde in der doppelblinden, kontrollierten, multizentrischen Studie SC-I untersucht. Bei der Studie SC-I handelt es sich um eine Nicht-Unterlegenheitsstudie, in der die Wirksamkeit und Sicherheit von </w:t>
      </w:r>
      <w:r w:rsidR="00E63FC1">
        <w:t xml:space="preserve">Tocilizumab </w:t>
      </w:r>
      <w:r w:rsidRPr="006A64EE">
        <w:t>162</w:t>
      </w:r>
      <w:r w:rsidR="00E1420D">
        <w:t> </w:t>
      </w:r>
      <w:r w:rsidRPr="006A64EE">
        <w:t xml:space="preserve">mg subkutan, einmal wöchentlich verabreicht, mit </w:t>
      </w:r>
      <w:r w:rsidR="00E63FC1">
        <w:t>Tocilizumab</w:t>
      </w:r>
      <w:r w:rsidRPr="006A64EE">
        <w:t xml:space="preserve"> 8</w:t>
      </w:r>
      <w:r w:rsidR="00E1420D">
        <w:t> </w:t>
      </w:r>
      <w:r w:rsidRPr="006A64EE">
        <w:t>mg/kg intravenös bei</w:t>
      </w:r>
      <w:r w:rsidR="00E63FC1">
        <w:t xml:space="preserve"> </w:t>
      </w:r>
      <w:r w:rsidRPr="006A64EE">
        <w:t>1</w:t>
      </w:r>
      <w:r w:rsidR="00E1420D">
        <w:t> </w:t>
      </w:r>
      <w:r w:rsidRPr="006A64EE">
        <w:t>262</w:t>
      </w:r>
      <w:r w:rsidR="00E1420D">
        <w:t> </w:t>
      </w:r>
      <w:r w:rsidRPr="006A64EE">
        <w:t xml:space="preserve">Patienten mit RA verglichen wurden. Alle Patienten erhielten eine Basismedikation mit nicht-biologischen DMARDs. Die für subkutan verabreichtes </w:t>
      </w:r>
      <w:r w:rsidR="00E63FC1">
        <w:t>Tocilizumab</w:t>
      </w:r>
      <w:r w:rsidRPr="006A64EE">
        <w:t xml:space="preserve"> beobachtete Sicherheit und Immunogenität stimmten mit dem bekannten Sicherheitsprofil von intravenös verabreichtem </w:t>
      </w:r>
      <w:r w:rsidR="00E26B13">
        <w:t>Tocilizumab</w:t>
      </w:r>
      <w:r w:rsidRPr="006A64EE">
        <w:t xml:space="preserve"> überein, und es wurden keine neuen oder unerwarteten Nebenwirkungen beobachtet (siehe Tabelle</w:t>
      </w:r>
      <w:r w:rsidR="00D06DFF">
        <w:t> </w:t>
      </w:r>
      <w:r w:rsidRPr="006A64EE">
        <w:t>1). In den Armen mit der subkutanen Darreichungsform wurde im Vergleich zu den subkutanen Placebo-Injektionen in den Armen mit der intravenösen Darreichungsform ein häufigeres Auftreten von Reaktionen an der Injektionsstelle beobachtet.</w:t>
      </w:r>
    </w:p>
    <w:p w14:paraId="3FE7CE29" w14:textId="77777777" w:rsidR="00093A5E" w:rsidRPr="006A64EE" w:rsidRDefault="00093A5E" w:rsidP="004255F8">
      <w:pPr>
        <w:pStyle w:val="a3"/>
        <w:widowControl/>
      </w:pPr>
    </w:p>
    <w:p w14:paraId="429DFBB4" w14:textId="77777777" w:rsidR="00093A5E" w:rsidRPr="006A64EE" w:rsidRDefault="009C2544" w:rsidP="004255F8">
      <w:pPr>
        <w:widowControl/>
        <w:rPr>
          <w:i/>
        </w:rPr>
      </w:pPr>
      <w:r w:rsidRPr="006A64EE">
        <w:rPr>
          <w:i/>
        </w:rPr>
        <w:t>Reaktionen an der Injektionsstelle</w:t>
      </w:r>
    </w:p>
    <w:p w14:paraId="1951EAED" w14:textId="7BDF3489" w:rsidR="00093A5E" w:rsidRPr="006A64EE" w:rsidRDefault="009C2544" w:rsidP="004255F8">
      <w:pPr>
        <w:pStyle w:val="a3"/>
        <w:widowControl/>
      </w:pPr>
      <w:r w:rsidRPr="006A64EE">
        <w:t xml:space="preserve">In der Studie SC-I betrug während des 6-monatigen kontrollierten Zeitraums die Häufigkeit von Reaktionen an der Injektionsstelle bei der Anwendung von </w:t>
      </w:r>
      <w:r w:rsidR="00E63FC1">
        <w:t>Tocilizumab</w:t>
      </w:r>
      <w:r w:rsidRPr="006A64EE">
        <w:t xml:space="preserve"> subkutan 10,1 % (64/631) und bei der Anwendung von Placebo subkutan (intravenöse Gruppe) 2,4 % (15/631) bei wöchentlichen Injektionen. Diese Reaktionen an der Injektionsstelle (einschließlich Erythem, Pruritus, Schmerzen und Hämatom) waren von leichtem bis mäßigem Schweregrad. Die Mehrzahl ging ohne Behandlung zurück und keine der Reaktionen erforderte ein Absetzen des Arzneimittels.</w:t>
      </w:r>
    </w:p>
    <w:p w14:paraId="3D3A52BD" w14:textId="77777777" w:rsidR="00093A5E" w:rsidRPr="006A64EE" w:rsidRDefault="00093A5E" w:rsidP="004255F8">
      <w:pPr>
        <w:pStyle w:val="a3"/>
        <w:widowControl/>
      </w:pPr>
    </w:p>
    <w:p w14:paraId="65AF15A2" w14:textId="77777777" w:rsidR="00093A5E" w:rsidRPr="006A64EE" w:rsidRDefault="009C2544" w:rsidP="0057038D">
      <w:pPr>
        <w:keepNext/>
        <w:widowControl/>
        <w:rPr>
          <w:i/>
        </w:rPr>
      </w:pPr>
      <w:r w:rsidRPr="006A64EE">
        <w:rPr>
          <w:i/>
        </w:rPr>
        <w:t>Hämatologische Anomalien:</w:t>
      </w:r>
    </w:p>
    <w:p w14:paraId="4386C4F2" w14:textId="77777777" w:rsidR="00093A5E" w:rsidRPr="006A64EE" w:rsidRDefault="009C2544" w:rsidP="0057038D">
      <w:pPr>
        <w:keepNext/>
        <w:widowControl/>
        <w:rPr>
          <w:i/>
        </w:rPr>
      </w:pPr>
      <w:r w:rsidRPr="006A64EE">
        <w:rPr>
          <w:i/>
        </w:rPr>
        <w:t>Neutrophile Granulozyten</w:t>
      </w:r>
    </w:p>
    <w:p w14:paraId="07ECB29B" w14:textId="07B90C52" w:rsidR="00093A5E" w:rsidRPr="006A64EE" w:rsidRDefault="009C2544" w:rsidP="004255F8">
      <w:pPr>
        <w:pStyle w:val="a3"/>
        <w:widowControl/>
      </w:pPr>
      <w:r w:rsidRPr="006A64EE">
        <w:t xml:space="preserve">In der 6-monatigen kontrollierten klinischen Studie SC-I mit </w:t>
      </w:r>
      <w:r w:rsidR="007D7C66">
        <w:t>Tocilizumab</w:t>
      </w:r>
      <w:r w:rsidRPr="006A64EE">
        <w:t xml:space="preserve"> wurde während routinemäßiger Laboruntersuchungen bei 2,9 % der Patienten mit wöchentlicher subkutaner Dosis eine Verringerung der neutrophilen Granulozyten auf unter 1 x 10</w:t>
      </w:r>
      <w:r w:rsidRPr="006A64EE">
        <w:rPr>
          <w:vertAlign w:val="superscript"/>
        </w:rPr>
        <w:t>9</w:t>
      </w:r>
      <w:r w:rsidRPr="006A64EE">
        <w:t>/l beobachtet.</w:t>
      </w:r>
    </w:p>
    <w:p w14:paraId="1E8C93F7" w14:textId="77777777" w:rsidR="00093A5E" w:rsidRPr="006A64EE" w:rsidRDefault="00093A5E" w:rsidP="004255F8">
      <w:pPr>
        <w:pStyle w:val="a3"/>
        <w:widowControl/>
      </w:pPr>
    </w:p>
    <w:p w14:paraId="52370644" w14:textId="77777777" w:rsidR="00093A5E" w:rsidRPr="006A64EE" w:rsidRDefault="009C2544" w:rsidP="004255F8">
      <w:pPr>
        <w:pStyle w:val="a3"/>
        <w:widowControl/>
      </w:pPr>
      <w:r w:rsidRPr="006A64EE">
        <w:t>Es gab keinen eindeutigen Zusammenhang zwischen einem Abfall der neutrophilen Granulozyten unter 1 x 10</w:t>
      </w:r>
      <w:r w:rsidRPr="006A64EE">
        <w:rPr>
          <w:vertAlign w:val="superscript"/>
        </w:rPr>
        <w:t>9</w:t>
      </w:r>
      <w:r w:rsidRPr="006A64EE">
        <w:t>/l und dem Auftreten schwerwiegender Infektionen.</w:t>
      </w:r>
    </w:p>
    <w:p w14:paraId="23F84030" w14:textId="77777777" w:rsidR="00093A5E" w:rsidRPr="006A64EE" w:rsidRDefault="00093A5E" w:rsidP="004255F8">
      <w:pPr>
        <w:pStyle w:val="a3"/>
        <w:widowControl/>
      </w:pPr>
    </w:p>
    <w:p w14:paraId="2C3AC1DC" w14:textId="77777777" w:rsidR="00093A5E" w:rsidRPr="006A64EE" w:rsidRDefault="009C2544" w:rsidP="004255F8">
      <w:pPr>
        <w:widowControl/>
        <w:rPr>
          <w:i/>
        </w:rPr>
      </w:pPr>
      <w:r w:rsidRPr="006A64EE">
        <w:rPr>
          <w:i/>
        </w:rPr>
        <w:t>Thrombozyten</w:t>
      </w:r>
    </w:p>
    <w:p w14:paraId="5FB034D0" w14:textId="611A4ACD" w:rsidR="00093A5E" w:rsidRPr="006A64EE" w:rsidRDefault="009C2544" w:rsidP="004255F8">
      <w:pPr>
        <w:pStyle w:val="a3"/>
        <w:widowControl/>
      </w:pPr>
      <w:r w:rsidRPr="006A64EE">
        <w:t xml:space="preserve">In der 6-monatigen kontrollierten klinischen Studie SC-I mit </w:t>
      </w:r>
      <w:r w:rsidR="007D7C66">
        <w:t>Tocilizumab</w:t>
      </w:r>
      <w:r w:rsidRPr="006A64EE">
        <w:t xml:space="preserve"> sank während routinemäßiger Laboruntersuchungen bei keinem der Patienten mit wöchentlicher subkutaner Dosis die Thrombozytenzahl auf ≤ 50 x 10</w:t>
      </w:r>
      <w:r w:rsidRPr="006A64EE">
        <w:rPr>
          <w:vertAlign w:val="superscript"/>
        </w:rPr>
        <w:t>3</w:t>
      </w:r>
      <w:r w:rsidRPr="006A64EE">
        <w:t>/µl.</w:t>
      </w:r>
    </w:p>
    <w:p w14:paraId="05E70A26" w14:textId="77777777" w:rsidR="00093A5E" w:rsidRPr="006A64EE" w:rsidRDefault="00093A5E" w:rsidP="004255F8">
      <w:pPr>
        <w:widowControl/>
      </w:pPr>
    </w:p>
    <w:p w14:paraId="577E9BF7" w14:textId="77777777" w:rsidR="00093A5E" w:rsidRPr="006A64EE" w:rsidRDefault="007D680A" w:rsidP="004255F8">
      <w:pPr>
        <w:widowControl/>
      </w:pPr>
      <w:r w:rsidRPr="006A64EE">
        <w:rPr>
          <w:i/>
        </w:rPr>
        <w:t>Erhöhung der Lebertransaminasen</w:t>
      </w:r>
    </w:p>
    <w:p w14:paraId="4DF286CD" w14:textId="07AB3F16" w:rsidR="00093A5E" w:rsidRPr="006A64EE" w:rsidRDefault="009C2544" w:rsidP="004255F8">
      <w:pPr>
        <w:pStyle w:val="a3"/>
        <w:widowControl/>
      </w:pPr>
      <w:r w:rsidRPr="006A64EE">
        <w:t xml:space="preserve">In der 6-monatigen kontrollierten klinischen Studie SC-I mit </w:t>
      </w:r>
      <w:r w:rsidR="007D7C66">
        <w:t>Tocilizumab</w:t>
      </w:r>
      <w:r w:rsidRPr="006A64EE">
        <w:t xml:space="preserve"> traten während routinemäßiger Laboruntersuchungen bei 6,5 % der Patienten mit wöchentlicher subkutaner Dosis Erhöhungen der ALAT auf ≥ 3 x ULN und bei 1,4 % der Patienten Erhöhungen der ASAT auf</w:t>
      </w:r>
      <w:r w:rsidR="009874BF">
        <w:t xml:space="preserve"> </w:t>
      </w:r>
      <w:r w:rsidRPr="006A64EE">
        <w:t>≥</w:t>
      </w:r>
      <w:r w:rsidR="009874BF">
        <w:t> </w:t>
      </w:r>
      <w:r w:rsidRPr="006A64EE">
        <w:t>3 x ULN auf.</w:t>
      </w:r>
    </w:p>
    <w:p w14:paraId="6C2A4B40" w14:textId="77777777" w:rsidR="00093A5E" w:rsidRPr="006A64EE" w:rsidRDefault="00093A5E" w:rsidP="004255F8">
      <w:pPr>
        <w:pStyle w:val="a3"/>
        <w:widowControl/>
      </w:pPr>
    </w:p>
    <w:p w14:paraId="64547FB9" w14:textId="77777777" w:rsidR="00093A5E" w:rsidRPr="006A64EE" w:rsidRDefault="009C2544" w:rsidP="004255F8">
      <w:pPr>
        <w:widowControl/>
        <w:rPr>
          <w:i/>
        </w:rPr>
      </w:pPr>
      <w:r w:rsidRPr="006A64EE">
        <w:rPr>
          <w:i/>
        </w:rPr>
        <w:t>Lipidwerte</w:t>
      </w:r>
    </w:p>
    <w:p w14:paraId="686DD3E2" w14:textId="5212025E" w:rsidR="00093A5E" w:rsidRPr="006A64EE" w:rsidRDefault="009C2544" w:rsidP="004255F8">
      <w:pPr>
        <w:pStyle w:val="a3"/>
        <w:widowControl/>
      </w:pPr>
      <w:r w:rsidRPr="006A64EE">
        <w:t xml:space="preserve">In der 6-monatigen kontrollierten klinischen Studie SC-I mit </w:t>
      </w:r>
      <w:r w:rsidR="007D7C66">
        <w:t>Tocilizumab</w:t>
      </w:r>
      <w:r w:rsidRPr="006A64EE">
        <w:t xml:space="preserve"> trat während routinemäßiger Laboruntersuchungen bei 19 % der Patienten mit wöchentlicher subkutaner Dosis eine anhaltende Erhöhung des Gesamtcholesterins von &gt; 6,2 mmol/l (240 mg/dl) auf. Von diesen Patienten hatten 9 % eine anhaltende Erhöhung des LDL auf ≥ 4,1 mmol/l (160 mg/dl).</w:t>
      </w:r>
    </w:p>
    <w:p w14:paraId="58666768" w14:textId="77777777" w:rsidR="00093A5E" w:rsidRPr="006A64EE" w:rsidRDefault="00093A5E" w:rsidP="004255F8">
      <w:pPr>
        <w:pStyle w:val="a3"/>
        <w:widowControl/>
      </w:pPr>
    </w:p>
    <w:p w14:paraId="0A30C2BF" w14:textId="77777777" w:rsidR="00093A5E" w:rsidRPr="006A64EE" w:rsidRDefault="009C2544" w:rsidP="0057038D">
      <w:pPr>
        <w:pStyle w:val="a3"/>
        <w:keepNext/>
        <w:widowControl/>
      </w:pPr>
      <w:r w:rsidRPr="006A64EE">
        <w:rPr>
          <w:u w:val="single"/>
        </w:rPr>
        <w:t>Subkutane Anwendung</w:t>
      </w:r>
    </w:p>
    <w:p w14:paraId="57BF98E3" w14:textId="77777777" w:rsidR="00093A5E" w:rsidRPr="006A64EE" w:rsidRDefault="009C2544" w:rsidP="0057038D">
      <w:pPr>
        <w:keepNext/>
        <w:widowControl/>
        <w:rPr>
          <w:b/>
        </w:rPr>
      </w:pPr>
      <w:r w:rsidRPr="006A64EE">
        <w:rPr>
          <w:b/>
          <w:u w:val="single"/>
        </w:rPr>
        <w:t>sJIA</w:t>
      </w:r>
    </w:p>
    <w:p w14:paraId="34EC8FA4" w14:textId="17F1A2CC" w:rsidR="00093A5E" w:rsidRPr="006A64EE" w:rsidRDefault="009C2544" w:rsidP="004255F8">
      <w:pPr>
        <w:pStyle w:val="a3"/>
        <w:widowControl/>
      </w:pPr>
      <w:r w:rsidRPr="006A64EE">
        <w:t xml:space="preserve">Das Sicherheitsprofil von </w:t>
      </w:r>
      <w:r w:rsidR="007D7C66">
        <w:t>Tocilizumab</w:t>
      </w:r>
      <w:r w:rsidRPr="006A64EE">
        <w:t xml:space="preserve"> subkutan wurde bei 51 pädiatrischen Patienten (im Alter zwischen 1 und 17 Jahren) mit sJIA untersucht. Im Allgemeinen waren die Nebenwirkungen bei </w:t>
      </w:r>
      <w:r w:rsidRPr="006A64EE">
        <w:lastRenderedPageBreak/>
        <w:t>Patienten mit sJIA ähnlich denen, die bei Patienten mit RA beobachtet wurden (siehe Abschnitt Nebenwirkungen oben).</w:t>
      </w:r>
    </w:p>
    <w:p w14:paraId="724F5939" w14:textId="77777777" w:rsidR="00093A5E" w:rsidRPr="006A64EE" w:rsidRDefault="00093A5E" w:rsidP="004255F8">
      <w:pPr>
        <w:pStyle w:val="a3"/>
        <w:widowControl/>
      </w:pPr>
    </w:p>
    <w:p w14:paraId="5CC38A88" w14:textId="77777777" w:rsidR="00093A5E" w:rsidRPr="006A64EE" w:rsidRDefault="009C2544" w:rsidP="004255F8">
      <w:pPr>
        <w:widowControl/>
        <w:rPr>
          <w:i/>
        </w:rPr>
      </w:pPr>
      <w:r w:rsidRPr="006A64EE">
        <w:rPr>
          <w:i/>
        </w:rPr>
        <w:t>Infektionen</w:t>
      </w:r>
    </w:p>
    <w:p w14:paraId="0E09236A" w14:textId="776E1803" w:rsidR="00093A5E" w:rsidRPr="006A64EE" w:rsidRDefault="009C2544" w:rsidP="004255F8">
      <w:pPr>
        <w:pStyle w:val="a3"/>
        <w:widowControl/>
      </w:pPr>
      <w:r w:rsidRPr="006A64EE">
        <w:t xml:space="preserve">Die Infektionsrate bei Patienten mit sJIA, die mit </w:t>
      </w:r>
      <w:r w:rsidR="007D7C66">
        <w:t>Tocilizumab</w:t>
      </w:r>
      <w:r w:rsidRPr="006A64EE">
        <w:t xml:space="preserve"> subkutan behandelt wurden, war vergleichbar mit der Rate bei sJIA-Patienten, die mit </w:t>
      </w:r>
      <w:r w:rsidR="007D7C66">
        <w:t>Tocilizumab</w:t>
      </w:r>
      <w:r w:rsidRPr="006A64EE">
        <w:t xml:space="preserve"> intravenös behandelt wurden.</w:t>
      </w:r>
    </w:p>
    <w:p w14:paraId="0FA05574" w14:textId="77777777" w:rsidR="00093A5E" w:rsidRPr="006A64EE" w:rsidRDefault="00093A5E" w:rsidP="004255F8">
      <w:pPr>
        <w:pStyle w:val="a3"/>
        <w:widowControl/>
      </w:pPr>
    </w:p>
    <w:p w14:paraId="7C9FC860" w14:textId="77777777" w:rsidR="00093A5E" w:rsidRPr="006A64EE" w:rsidRDefault="009C2544" w:rsidP="00B320E1">
      <w:pPr>
        <w:keepNext/>
        <w:widowControl/>
        <w:rPr>
          <w:i/>
        </w:rPr>
      </w:pPr>
      <w:r w:rsidRPr="006A64EE">
        <w:rPr>
          <w:i/>
        </w:rPr>
        <w:t>Reaktionen an der Injektionsstelle (ISRs)</w:t>
      </w:r>
    </w:p>
    <w:p w14:paraId="0BAB9D35" w14:textId="61D41DD3" w:rsidR="00093A5E" w:rsidRPr="006A64EE" w:rsidRDefault="009C2544" w:rsidP="004255F8">
      <w:pPr>
        <w:pStyle w:val="a3"/>
        <w:widowControl/>
      </w:pPr>
      <w:r w:rsidRPr="006A64EE">
        <w:t xml:space="preserve">In der Studie mit </w:t>
      </w:r>
      <w:r w:rsidR="00E26B13">
        <w:t>Tocilizumab</w:t>
      </w:r>
      <w:r w:rsidRPr="006A64EE">
        <w:t xml:space="preserve"> subkutan (WA28118) zeigten insgesamt 41,2 % (21/51) der Patienten mit sJIA Reaktionen an der Injektionsstelle gegenüber </w:t>
      </w:r>
      <w:r w:rsidR="007D7C66">
        <w:t>Tocilizumab</w:t>
      </w:r>
      <w:r w:rsidRPr="006A64EE">
        <w:t xml:space="preserve"> subkutan. Die häufigsten Reaktionen waren Erythem, Pruritus, Schmerzen und Schwellungen an der Injektionsstelle. Die Mehrzahl der gemeldeten Reaktionen an der Injektionsstelle waren Ereignisse vom Grad 1, und alle gemeldeten Reaktionen waren nicht schwerwiegend, und keine der Reaktionen erforderte einen Abbruch oder eine Unterbrechung der Behandlung.</w:t>
      </w:r>
    </w:p>
    <w:p w14:paraId="14479458" w14:textId="77777777" w:rsidR="00093A5E" w:rsidRPr="006A64EE" w:rsidRDefault="00093A5E" w:rsidP="004255F8">
      <w:pPr>
        <w:pStyle w:val="a3"/>
        <w:widowControl/>
      </w:pPr>
    </w:p>
    <w:p w14:paraId="7DDC38FE" w14:textId="77777777" w:rsidR="00093A5E" w:rsidRPr="006A64EE" w:rsidRDefault="009C2544" w:rsidP="004255F8">
      <w:pPr>
        <w:widowControl/>
        <w:rPr>
          <w:i/>
        </w:rPr>
      </w:pPr>
      <w:r w:rsidRPr="006A64EE">
        <w:rPr>
          <w:i/>
        </w:rPr>
        <w:t>Abnormale Laborwerte</w:t>
      </w:r>
    </w:p>
    <w:p w14:paraId="4126583D" w14:textId="2913CA2B" w:rsidR="00093A5E" w:rsidRPr="006A64EE" w:rsidRDefault="009C2544" w:rsidP="004255F8">
      <w:pPr>
        <w:pStyle w:val="a3"/>
        <w:widowControl/>
      </w:pPr>
      <w:r w:rsidRPr="006A64EE">
        <w:t xml:space="preserve">Während der 52-wöchigen offenen Studie mit </w:t>
      </w:r>
      <w:r w:rsidR="007D7C66">
        <w:t>Tocilizumab</w:t>
      </w:r>
      <w:r w:rsidRPr="006A64EE">
        <w:t xml:space="preserve"> subkutan (WA28118) kam es bei 23,5 % der mit </w:t>
      </w:r>
      <w:r w:rsidR="007D7C66">
        <w:t>Tocilizumab</w:t>
      </w:r>
      <w:r w:rsidRPr="006A64EE">
        <w:t xml:space="preserve"> subkutan behandelten Patienten zu einem Rückgang der Neutrophilenzahl auf unter 1 x 10</w:t>
      </w:r>
      <w:r w:rsidRPr="006A64EE">
        <w:rPr>
          <w:vertAlign w:val="superscript"/>
        </w:rPr>
        <w:t>9</w:t>
      </w:r>
      <w:r w:rsidRPr="006A64EE">
        <w:t xml:space="preserve">/l. Bei 2 % der mit </w:t>
      </w:r>
      <w:r w:rsidR="007D7C66">
        <w:t>Tocilizumab</w:t>
      </w:r>
      <w:r w:rsidRPr="006A64EE">
        <w:t xml:space="preserve"> subkutan behandelten Patienten trat ein Rückgang der Thrombozytenzahl auf &lt; 100 x 10</w:t>
      </w:r>
      <w:r w:rsidRPr="006A64EE">
        <w:rPr>
          <w:vertAlign w:val="superscript"/>
        </w:rPr>
        <w:t>3</w:t>
      </w:r>
      <w:r w:rsidRPr="006A64EE">
        <w:t xml:space="preserve">/µl auf. Eine Erhöhung der ALAT bzw. ASAT auf ≥ 3 x ULN trat bei 9,8 % bzw. 4,0 % der mit </w:t>
      </w:r>
      <w:r w:rsidR="007D7C66">
        <w:t>Tocilizumab</w:t>
      </w:r>
      <w:r w:rsidRPr="006A64EE">
        <w:t xml:space="preserve"> subkutan behandelten Patienten auf.</w:t>
      </w:r>
    </w:p>
    <w:p w14:paraId="7713F639" w14:textId="77777777" w:rsidR="00093A5E" w:rsidRPr="006A64EE" w:rsidRDefault="00093A5E" w:rsidP="004255F8">
      <w:pPr>
        <w:pStyle w:val="a3"/>
        <w:widowControl/>
      </w:pPr>
    </w:p>
    <w:p w14:paraId="65F1F09E" w14:textId="77777777" w:rsidR="00093A5E" w:rsidRPr="006A64EE" w:rsidRDefault="009C2544" w:rsidP="004255F8">
      <w:pPr>
        <w:widowControl/>
        <w:rPr>
          <w:i/>
        </w:rPr>
      </w:pPr>
      <w:r w:rsidRPr="006A64EE">
        <w:rPr>
          <w:i/>
        </w:rPr>
        <w:t>Lipidwerte</w:t>
      </w:r>
    </w:p>
    <w:p w14:paraId="21C314B3" w14:textId="46B9A4FF" w:rsidR="00093A5E" w:rsidRPr="006A64EE" w:rsidRDefault="009C2544" w:rsidP="004255F8">
      <w:pPr>
        <w:pStyle w:val="a3"/>
        <w:widowControl/>
      </w:pPr>
      <w:r w:rsidRPr="006A64EE">
        <w:t xml:space="preserve">Während der 52-wöchigen offenen Studie mit </w:t>
      </w:r>
      <w:r w:rsidR="007D7C66">
        <w:t>Tocilizumab</w:t>
      </w:r>
      <w:r w:rsidRPr="006A64EE">
        <w:t xml:space="preserve"> subkutan (WA28118) kam es bei 23,4 % bzw. 35,4 % der Patienten zu einer Post-Baseline-Erhöhung des LDL-Cholesterinwertes auf</w:t>
      </w:r>
      <w:r w:rsidR="000E5DD7" w:rsidRPr="006A64EE">
        <w:t xml:space="preserve"> </w:t>
      </w:r>
      <w:r w:rsidRPr="006A64EE">
        <w:t>≥</w:t>
      </w:r>
      <w:r w:rsidR="00846418">
        <w:t> </w:t>
      </w:r>
      <w:r w:rsidRPr="006A64EE">
        <w:t>130</w:t>
      </w:r>
      <w:r w:rsidR="00846418">
        <w:t> </w:t>
      </w:r>
      <w:r w:rsidRPr="006A64EE">
        <w:t>mg/dl bzw. des Gesamtcholesterinwertes auf ≥ 200 mg/dl, jeweils zu jedem Zeitpunkt der Studienbehandlung.</w:t>
      </w:r>
    </w:p>
    <w:p w14:paraId="53FDCBED" w14:textId="77777777" w:rsidR="00093A5E" w:rsidRPr="006A64EE" w:rsidRDefault="00093A5E" w:rsidP="004255F8">
      <w:pPr>
        <w:pStyle w:val="a3"/>
        <w:widowControl/>
      </w:pPr>
    </w:p>
    <w:p w14:paraId="7112A514" w14:textId="77777777" w:rsidR="00093A5E" w:rsidRPr="006A64EE" w:rsidRDefault="009C2544" w:rsidP="004255F8">
      <w:pPr>
        <w:pStyle w:val="a3"/>
        <w:widowControl/>
      </w:pPr>
      <w:r w:rsidRPr="006A64EE">
        <w:rPr>
          <w:u w:val="single"/>
        </w:rPr>
        <w:t>Subkutane Anwendung</w:t>
      </w:r>
    </w:p>
    <w:p w14:paraId="75908519" w14:textId="77777777" w:rsidR="00093A5E" w:rsidRPr="006A64EE" w:rsidRDefault="009C2544" w:rsidP="004255F8">
      <w:pPr>
        <w:widowControl/>
        <w:rPr>
          <w:b/>
        </w:rPr>
      </w:pPr>
      <w:r w:rsidRPr="006A64EE">
        <w:rPr>
          <w:b/>
          <w:u w:val="single"/>
        </w:rPr>
        <w:t>pJIA</w:t>
      </w:r>
    </w:p>
    <w:p w14:paraId="25FD2B9E" w14:textId="5AFB921E" w:rsidR="00093A5E" w:rsidRPr="006A64EE" w:rsidRDefault="009C2544" w:rsidP="004255F8">
      <w:pPr>
        <w:pStyle w:val="a3"/>
        <w:widowControl/>
      </w:pPr>
      <w:r w:rsidRPr="006A64EE">
        <w:t xml:space="preserve">Das Sicherheitsprofil von </w:t>
      </w:r>
      <w:r w:rsidR="007D7C66">
        <w:t>Tocilizumab</w:t>
      </w:r>
      <w:r w:rsidRPr="006A64EE">
        <w:t xml:space="preserve"> subkutan wurde ebenfalls bei 52 pädiatrischen Patienten mit pJIA untersucht. Die Patientenexposition mit </w:t>
      </w:r>
      <w:r w:rsidR="007D7C66">
        <w:t>Tocilizumab</w:t>
      </w:r>
      <w:r w:rsidRPr="006A64EE">
        <w:t xml:space="preserve"> in der gesamten behandelten pJIA-Population betrug insgesamt bei Tocilizumab intravenös 184,4 Patientenjahre und bei Tocilizumab subkutan 50,4 Patientenjahre. Insgesamt war das bei Patienten mit pJIA beobachtete Sicherheitsprofil mit dem bekannten Sicherheitsprofil von </w:t>
      </w:r>
      <w:r w:rsidR="007D7C66">
        <w:t>Tocilizumab</w:t>
      </w:r>
      <w:r w:rsidRPr="006A64EE">
        <w:t xml:space="preserve"> vergleichbar, mit Ausnahme von Reaktionen an</w:t>
      </w:r>
      <w:r w:rsidR="00891117" w:rsidRPr="006A64EE">
        <w:t xml:space="preserve"> </w:t>
      </w:r>
      <w:r w:rsidR="007D680A" w:rsidRPr="006A64EE">
        <w:t xml:space="preserve">der Injektionsstelle (siehe Tabelle 1). Nach subkutanen </w:t>
      </w:r>
      <w:r w:rsidR="007D7C66">
        <w:t>Tocilizumab</w:t>
      </w:r>
      <w:r w:rsidR="007D680A" w:rsidRPr="006A64EE">
        <w:t xml:space="preserve"> Injektionen traten Reaktionen an der Injektionsstelle bei einer größeren Anzahl an Patienten mit pJIA verglichen mit erwachsenen Patienten mit RA auf.</w:t>
      </w:r>
    </w:p>
    <w:p w14:paraId="7C7F087D" w14:textId="77777777" w:rsidR="00093A5E" w:rsidRPr="006A64EE" w:rsidRDefault="00093A5E" w:rsidP="004255F8">
      <w:pPr>
        <w:pStyle w:val="a3"/>
        <w:widowControl/>
      </w:pPr>
    </w:p>
    <w:p w14:paraId="2A356540" w14:textId="77777777" w:rsidR="00093A5E" w:rsidRPr="006A64EE" w:rsidRDefault="009C2544" w:rsidP="004255F8">
      <w:pPr>
        <w:widowControl/>
        <w:rPr>
          <w:i/>
        </w:rPr>
      </w:pPr>
      <w:r w:rsidRPr="006A64EE">
        <w:rPr>
          <w:i/>
        </w:rPr>
        <w:t>Infektionen</w:t>
      </w:r>
    </w:p>
    <w:p w14:paraId="317D7DE6" w14:textId="11CD80AF" w:rsidR="00093A5E" w:rsidRPr="006A64EE" w:rsidRDefault="009C2544" w:rsidP="004255F8">
      <w:pPr>
        <w:pStyle w:val="a3"/>
        <w:widowControl/>
      </w:pPr>
      <w:r w:rsidRPr="006A64EE">
        <w:t xml:space="preserve">In der Studie mit der subkutanen Anwendung von </w:t>
      </w:r>
      <w:r w:rsidR="007D7C66">
        <w:t>Tocilizumab</w:t>
      </w:r>
      <w:r w:rsidRPr="006A64EE">
        <w:t xml:space="preserve"> war die Infektionsrate bei Patienten mit pJIA, die mit </w:t>
      </w:r>
      <w:r w:rsidR="007D7C66">
        <w:t>Tocilizumab</w:t>
      </w:r>
      <w:r w:rsidRPr="006A64EE">
        <w:t xml:space="preserve"> subkutan behandelt wurden, vergleichbar mit der Rate bei Patienten mit pJIA, die mit </w:t>
      </w:r>
      <w:r w:rsidR="007D7C66">
        <w:t>Tocilizumab</w:t>
      </w:r>
      <w:r w:rsidRPr="006A64EE">
        <w:t xml:space="preserve"> intravenös behandelt wurden.</w:t>
      </w:r>
    </w:p>
    <w:p w14:paraId="3653B5D3" w14:textId="77777777" w:rsidR="00093A5E" w:rsidRPr="006A64EE" w:rsidRDefault="00093A5E" w:rsidP="004255F8">
      <w:pPr>
        <w:pStyle w:val="a3"/>
        <w:widowControl/>
      </w:pPr>
    </w:p>
    <w:p w14:paraId="11C23BD9" w14:textId="77777777" w:rsidR="00093A5E" w:rsidRPr="006A64EE" w:rsidRDefault="009C2544" w:rsidP="0057038D">
      <w:pPr>
        <w:keepNext/>
        <w:widowControl/>
        <w:rPr>
          <w:i/>
        </w:rPr>
      </w:pPr>
      <w:r w:rsidRPr="006A64EE">
        <w:rPr>
          <w:i/>
        </w:rPr>
        <w:t>Reaktionen an der Injektionsstelle</w:t>
      </w:r>
    </w:p>
    <w:p w14:paraId="0D7ACCA6" w14:textId="13CE61AA" w:rsidR="00093A5E" w:rsidRPr="006A64EE" w:rsidRDefault="009C2544" w:rsidP="004255F8">
      <w:pPr>
        <w:pStyle w:val="a3"/>
        <w:widowControl/>
      </w:pPr>
      <w:r w:rsidRPr="006A64EE">
        <w:t xml:space="preserve">Insgesamt traten bei 28,8 % (15/52) der mit </w:t>
      </w:r>
      <w:r w:rsidR="007D7C66">
        <w:t>Tocilizumab</w:t>
      </w:r>
      <w:r w:rsidRPr="006A64EE">
        <w:t xml:space="preserve"> subkutan behandelten Patienten mit pJIA Reaktionen an der Injektionsstelle auf. Diese Reaktionen traten bei 44 % der Patienten mit einem Körpergewicht von ≥ 30 kg, verglichen mit 14,8 % bei Patienten mit einem Körpergewicht von weniger als 30 kg, auf. Die häufigsten Reaktionen an der Injektionsstelle waren Erythem an der Injektionsstelle, Schwellung, Hämatom, Schmerzen und Pruritus. Alle berichteten Reaktionen an der Injektionsstelle waren nicht schwerwiegende Ereignisse von Grad 1, und keine der Reaktionen an der Injektionsstelle erforderte einen Abbruch oder eine Unterbrechung der Behandlung.</w:t>
      </w:r>
    </w:p>
    <w:p w14:paraId="14EAD1EE" w14:textId="77777777" w:rsidR="00093A5E" w:rsidRPr="006A64EE" w:rsidRDefault="00093A5E" w:rsidP="004255F8">
      <w:pPr>
        <w:pStyle w:val="a3"/>
        <w:widowControl/>
      </w:pPr>
    </w:p>
    <w:p w14:paraId="64C5221F" w14:textId="77777777" w:rsidR="00093A5E" w:rsidRPr="006A64EE" w:rsidRDefault="009C2544" w:rsidP="004255F8">
      <w:pPr>
        <w:widowControl/>
        <w:rPr>
          <w:i/>
        </w:rPr>
      </w:pPr>
      <w:r w:rsidRPr="006A64EE">
        <w:rPr>
          <w:i/>
        </w:rPr>
        <w:t>Abnormale Laborwerte</w:t>
      </w:r>
    </w:p>
    <w:p w14:paraId="1104E22A" w14:textId="0B449D49" w:rsidR="00093A5E" w:rsidRPr="006A64EE" w:rsidRDefault="009C2544" w:rsidP="004255F8">
      <w:pPr>
        <w:pStyle w:val="a3"/>
        <w:widowControl/>
      </w:pPr>
      <w:r w:rsidRPr="006A64EE">
        <w:t xml:space="preserve">Während der Routinelaborüberwachung in der gesamten mit </w:t>
      </w:r>
      <w:r w:rsidR="007D7C66">
        <w:t>Tocilizumab</w:t>
      </w:r>
      <w:r w:rsidRPr="006A64EE">
        <w:t xml:space="preserve"> behandelten Population kam es bei 15,4 % der mit </w:t>
      </w:r>
      <w:r w:rsidR="007D7C66">
        <w:t>Tocilizumab</w:t>
      </w:r>
      <w:r w:rsidRPr="006A64EE">
        <w:t xml:space="preserve"> subkutan behandelten Patienten zu einem Rückgang der </w:t>
      </w:r>
      <w:r w:rsidRPr="006A64EE">
        <w:lastRenderedPageBreak/>
        <w:t>Neutrophilenzahl auf unter 1 x 10</w:t>
      </w:r>
      <w:r w:rsidRPr="006A64EE">
        <w:rPr>
          <w:vertAlign w:val="superscript"/>
        </w:rPr>
        <w:t>9</w:t>
      </w:r>
      <w:r w:rsidRPr="006A64EE">
        <w:t>/l. Eine Erhöhung der ALAT bzw. ASAT auf ≥ 3 x ULN trat bei 9,6</w:t>
      </w:r>
      <w:r w:rsidR="000A50FF">
        <w:t> </w:t>
      </w:r>
      <w:r w:rsidRPr="006A64EE">
        <w:t xml:space="preserve">% bzw. 3,8 % der mit </w:t>
      </w:r>
      <w:r w:rsidR="007D7C66">
        <w:t>Tocilizumab</w:t>
      </w:r>
      <w:r w:rsidRPr="006A64EE">
        <w:t xml:space="preserve"> subkutan behandelten Patienten auf. Bei keinem der mit </w:t>
      </w:r>
      <w:r w:rsidR="007D7C66">
        <w:t>Tocilizumab</w:t>
      </w:r>
      <w:r w:rsidRPr="006A64EE">
        <w:t xml:space="preserve"> subkutan behandelten Patienten trat ein Rückgang der Thrombozytenzahl auf</w:t>
      </w:r>
      <w:r w:rsidR="00891117" w:rsidRPr="006A64EE">
        <w:t xml:space="preserve"> </w:t>
      </w:r>
      <w:r w:rsidRPr="006A64EE">
        <w:t>≤</w:t>
      </w:r>
      <w:r w:rsidR="00846418">
        <w:t> </w:t>
      </w:r>
      <w:r w:rsidRPr="006A64EE">
        <w:t>50</w:t>
      </w:r>
      <w:r w:rsidR="00846418">
        <w:t> </w:t>
      </w:r>
      <w:r w:rsidRPr="006A64EE">
        <w:t>x</w:t>
      </w:r>
      <w:r w:rsidR="00846418">
        <w:t> </w:t>
      </w:r>
      <w:r w:rsidRPr="006A64EE">
        <w:t>10</w:t>
      </w:r>
      <w:r w:rsidRPr="006A64EE">
        <w:rPr>
          <w:vertAlign w:val="superscript"/>
        </w:rPr>
        <w:t>3</w:t>
      </w:r>
      <w:r w:rsidRPr="006A64EE">
        <w:t>/µl auf.</w:t>
      </w:r>
    </w:p>
    <w:p w14:paraId="03650DF3" w14:textId="77777777" w:rsidR="00093A5E" w:rsidRPr="006A64EE" w:rsidRDefault="00093A5E" w:rsidP="004255F8">
      <w:pPr>
        <w:pStyle w:val="a3"/>
        <w:widowControl/>
      </w:pPr>
    </w:p>
    <w:p w14:paraId="3C20343A" w14:textId="77777777" w:rsidR="00093A5E" w:rsidRPr="006A64EE" w:rsidRDefault="009C2544" w:rsidP="00B320E1">
      <w:pPr>
        <w:keepNext/>
        <w:widowControl/>
        <w:rPr>
          <w:i/>
        </w:rPr>
      </w:pPr>
      <w:r w:rsidRPr="006A64EE">
        <w:rPr>
          <w:i/>
        </w:rPr>
        <w:t>Lipidwerte</w:t>
      </w:r>
    </w:p>
    <w:p w14:paraId="6DD7FF0B" w14:textId="195EBD54" w:rsidR="00093A5E" w:rsidRPr="006A64EE" w:rsidRDefault="009C2544" w:rsidP="004255F8">
      <w:pPr>
        <w:pStyle w:val="a3"/>
        <w:widowControl/>
        <w:jc w:val="both"/>
      </w:pPr>
      <w:r w:rsidRPr="006A64EE">
        <w:t xml:space="preserve">In der Studie mit </w:t>
      </w:r>
      <w:r w:rsidR="007D7C66">
        <w:t>Tocilizumab</w:t>
      </w:r>
      <w:r w:rsidRPr="006A64EE">
        <w:t xml:space="preserve"> subkutan kam es bei 14,3 % bzw. 12,8 % der Patienten zu einer </w:t>
      </w:r>
      <w:r w:rsidR="000A50FF">
        <w:t>p</w:t>
      </w:r>
      <w:r w:rsidRPr="006A64EE">
        <w:t>ost-Baseline-Erhöhung des LDL-Cholesterinwertes auf ≥ 130 mg/dl bzw. des Gesamtcholesterinwertes auf ≥ 200 mg/dl, jeweils zu jedem Zeitpunkt der Studienbehandlung.</w:t>
      </w:r>
    </w:p>
    <w:p w14:paraId="12604887" w14:textId="77777777" w:rsidR="00093A5E" w:rsidRPr="006A64EE" w:rsidRDefault="00093A5E" w:rsidP="004255F8">
      <w:pPr>
        <w:pStyle w:val="a3"/>
        <w:widowControl/>
      </w:pPr>
    </w:p>
    <w:p w14:paraId="1511B3A5" w14:textId="77777777" w:rsidR="00093A5E" w:rsidRPr="006A64EE" w:rsidRDefault="009C2544" w:rsidP="006C02CB">
      <w:pPr>
        <w:pStyle w:val="a3"/>
        <w:keepNext/>
        <w:widowControl/>
      </w:pPr>
      <w:r w:rsidRPr="006A64EE">
        <w:rPr>
          <w:u w:val="single"/>
        </w:rPr>
        <w:t>Subkutane Anwendung</w:t>
      </w:r>
    </w:p>
    <w:p w14:paraId="3134A46C" w14:textId="77777777" w:rsidR="00093A5E" w:rsidRPr="006A64EE" w:rsidRDefault="009C2544" w:rsidP="006C02CB">
      <w:pPr>
        <w:keepNext/>
        <w:widowControl/>
        <w:rPr>
          <w:b/>
        </w:rPr>
      </w:pPr>
      <w:r w:rsidRPr="006A64EE">
        <w:rPr>
          <w:b/>
        </w:rPr>
        <w:t>RZA</w:t>
      </w:r>
    </w:p>
    <w:p w14:paraId="14F21B2B" w14:textId="1537BF88" w:rsidR="00093A5E" w:rsidRPr="006A64EE" w:rsidRDefault="009C2544" w:rsidP="004255F8">
      <w:pPr>
        <w:pStyle w:val="a3"/>
        <w:widowControl/>
      </w:pPr>
      <w:r w:rsidRPr="006A64EE">
        <w:t xml:space="preserve">Die Sicherheit von </w:t>
      </w:r>
      <w:r w:rsidR="007D7C66">
        <w:t>Tocilizumab</w:t>
      </w:r>
      <w:r w:rsidRPr="006A64EE">
        <w:t xml:space="preserve"> subkutan wurde in einer Phase-III-Studie (WA28119) mit 251 RZA-Patienten untersucht. In dem 12-monatigen doppelblinden, placebokontrollierten Zeitraum der Studie betrug die Gesamtdauer der Patientenjahre in der Population mit </w:t>
      </w:r>
      <w:r w:rsidR="007D7C66">
        <w:t>Tocilizumab-</w:t>
      </w:r>
      <w:r w:rsidRPr="006A64EE">
        <w:t>Exposition</w:t>
      </w:r>
      <w:r w:rsidR="007D7C66">
        <w:t xml:space="preserve"> </w:t>
      </w:r>
      <w:r w:rsidRPr="006A64EE">
        <w:t>138,5</w:t>
      </w:r>
      <w:r w:rsidR="00F05640">
        <w:t> </w:t>
      </w:r>
      <w:r w:rsidRPr="006A64EE">
        <w:t xml:space="preserve">Patientenjahre. Das generelle Sicherheitsprofil in der </w:t>
      </w:r>
      <w:r w:rsidR="007D7C66">
        <w:t>Tocilizumab-</w:t>
      </w:r>
      <w:r w:rsidRPr="006A64EE">
        <w:t xml:space="preserve">Behandlungsgruppe stimmte mit dem bekannten Sicherheitsprofil von </w:t>
      </w:r>
      <w:r w:rsidR="007D7C66">
        <w:t>Tocilizumab</w:t>
      </w:r>
      <w:r w:rsidRPr="006A64EE">
        <w:t xml:space="preserve"> überein (siehe Tabelle 1).</w:t>
      </w:r>
    </w:p>
    <w:p w14:paraId="2708F5E6" w14:textId="77777777" w:rsidR="00093A5E" w:rsidRPr="006A64EE" w:rsidRDefault="00093A5E" w:rsidP="004255F8">
      <w:pPr>
        <w:pStyle w:val="a3"/>
        <w:widowControl/>
      </w:pPr>
    </w:p>
    <w:p w14:paraId="0A5396E2" w14:textId="77777777" w:rsidR="00093A5E" w:rsidRPr="006A64EE" w:rsidRDefault="009C2544" w:rsidP="004255F8">
      <w:pPr>
        <w:keepNext/>
        <w:widowControl/>
        <w:rPr>
          <w:i/>
        </w:rPr>
      </w:pPr>
      <w:r w:rsidRPr="006A64EE">
        <w:rPr>
          <w:i/>
        </w:rPr>
        <w:t>Infektionen</w:t>
      </w:r>
    </w:p>
    <w:p w14:paraId="1F8DD6F7" w14:textId="6DD7CFC8" w:rsidR="00093A5E" w:rsidRPr="006A64EE" w:rsidRDefault="009C2544" w:rsidP="004255F8">
      <w:pPr>
        <w:pStyle w:val="a3"/>
        <w:keepNext/>
        <w:widowControl/>
      </w:pPr>
      <w:r w:rsidRPr="006A64EE">
        <w:t xml:space="preserve">Die Rate der Infektionen/schwerwiegenden Infektionen war ausgewogen zwischen der Gruppe mit </w:t>
      </w:r>
      <w:r w:rsidR="007D7C66">
        <w:t>Tocilizumab</w:t>
      </w:r>
      <w:r w:rsidRPr="006A64EE">
        <w:t xml:space="preserve"> wöchentlich (200,2/9,7 Ereignisse pro 100 Patientenjahre) und den Gruppen mit Placebo plus 26 Wochen Prednison-Ausschleichtherapie (156,0/4,2 Ereignisse pro 100 Patientenjahre) sowie Placebo plus 52 Wochen Ausschleichtherapie (210,2/12,5 Ereignisse pro 100 Patientenjahre).</w:t>
      </w:r>
    </w:p>
    <w:p w14:paraId="1F7C91E8" w14:textId="77777777" w:rsidR="00093A5E" w:rsidRPr="006A64EE" w:rsidRDefault="00093A5E" w:rsidP="004255F8">
      <w:pPr>
        <w:pStyle w:val="a3"/>
        <w:widowControl/>
      </w:pPr>
    </w:p>
    <w:p w14:paraId="67F8209C" w14:textId="77777777" w:rsidR="00093A5E" w:rsidRPr="006A64EE" w:rsidRDefault="009C2544" w:rsidP="004255F8">
      <w:pPr>
        <w:widowControl/>
        <w:rPr>
          <w:i/>
        </w:rPr>
      </w:pPr>
      <w:r w:rsidRPr="006A64EE">
        <w:rPr>
          <w:i/>
        </w:rPr>
        <w:t>Reaktionen an der Injektionsstelle</w:t>
      </w:r>
    </w:p>
    <w:p w14:paraId="0BDA884C" w14:textId="0B4B1C21" w:rsidR="00093A5E" w:rsidRPr="006A64EE" w:rsidRDefault="009C2544" w:rsidP="004255F8">
      <w:pPr>
        <w:pStyle w:val="a3"/>
        <w:widowControl/>
      </w:pPr>
      <w:r w:rsidRPr="006A64EE">
        <w:t xml:space="preserve">In der Gruppe mit </w:t>
      </w:r>
      <w:r w:rsidR="007D7C66">
        <w:t>Tocilizumab</w:t>
      </w:r>
      <w:r w:rsidRPr="006A64EE">
        <w:t xml:space="preserve"> subkutan wöchentlich berichteten insgesamt 6 % (6/100) der Patienten über eine Nebenwirkung an der subkutanen Injektionsstelle. Keine der Reaktionen an der Injektionsstelle wurde als schwerwiegende Nebenwirkung gemeldet oder führte zu einem</w:t>
      </w:r>
      <w:r w:rsidR="00891117" w:rsidRPr="006A64EE">
        <w:t xml:space="preserve"> </w:t>
      </w:r>
      <w:r w:rsidR="007D680A" w:rsidRPr="006A64EE">
        <w:t>Behandlungsabbruch.</w:t>
      </w:r>
    </w:p>
    <w:p w14:paraId="0A3AD5EE" w14:textId="77777777" w:rsidR="00093A5E" w:rsidRPr="006A64EE" w:rsidRDefault="00093A5E" w:rsidP="004255F8">
      <w:pPr>
        <w:pStyle w:val="a3"/>
        <w:widowControl/>
      </w:pPr>
    </w:p>
    <w:p w14:paraId="0DE5B923" w14:textId="77777777" w:rsidR="00093A5E" w:rsidRPr="006A64EE" w:rsidRDefault="009C2544" w:rsidP="00553BC2">
      <w:pPr>
        <w:keepNext/>
        <w:widowControl/>
        <w:rPr>
          <w:i/>
        </w:rPr>
      </w:pPr>
      <w:r w:rsidRPr="006A64EE">
        <w:rPr>
          <w:i/>
        </w:rPr>
        <w:t>Hämatologische Abweichungen:</w:t>
      </w:r>
    </w:p>
    <w:p w14:paraId="2422185B" w14:textId="77777777" w:rsidR="00093A5E" w:rsidRPr="006A64EE" w:rsidRDefault="009C2544" w:rsidP="00553BC2">
      <w:pPr>
        <w:keepNext/>
        <w:widowControl/>
        <w:rPr>
          <w:i/>
        </w:rPr>
      </w:pPr>
      <w:r w:rsidRPr="006A64EE">
        <w:rPr>
          <w:i/>
        </w:rPr>
        <w:t>Neutrophile Granulozyten</w:t>
      </w:r>
    </w:p>
    <w:p w14:paraId="5029E179" w14:textId="34344606" w:rsidR="00093A5E" w:rsidRPr="006A64EE" w:rsidRDefault="009C2544" w:rsidP="004255F8">
      <w:pPr>
        <w:pStyle w:val="a3"/>
        <w:widowControl/>
      </w:pPr>
      <w:r w:rsidRPr="006A64EE">
        <w:t xml:space="preserve">Während der Routinelaborüberwachung in der 12-monatigen kontrollierten klinischen Studie mit </w:t>
      </w:r>
      <w:r w:rsidR="007D7C66">
        <w:t>Tocilizumab</w:t>
      </w:r>
      <w:r w:rsidRPr="006A64EE">
        <w:t xml:space="preserve"> trat bei 4 % der Patienten in der Gruppe mit </w:t>
      </w:r>
      <w:r w:rsidR="007D7C66">
        <w:t>Tocilizumab</w:t>
      </w:r>
      <w:r w:rsidRPr="006A64EE">
        <w:t xml:space="preserve"> subkutan wöchentlich ein Rückgang der neutrophilen Granulozyten unter 1 × 10</w:t>
      </w:r>
      <w:r w:rsidRPr="006A64EE">
        <w:rPr>
          <w:vertAlign w:val="superscript"/>
        </w:rPr>
        <w:t>9</w:t>
      </w:r>
      <w:r w:rsidRPr="006A64EE">
        <w:t>/l auf. Dies wurde in keiner der Gruppen mit Placebo plus Prednison-Ausschleichtherapie beobachtet.</w:t>
      </w:r>
    </w:p>
    <w:p w14:paraId="71BBC7A1" w14:textId="77777777" w:rsidR="00093A5E" w:rsidRPr="006A64EE" w:rsidRDefault="00093A5E" w:rsidP="004255F8">
      <w:pPr>
        <w:pStyle w:val="a3"/>
        <w:widowControl/>
      </w:pPr>
    </w:p>
    <w:p w14:paraId="60512765" w14:textId="77777777" w:rsidR="00093A5E" w:rsidRPr="006A64EE" w:rsidRDefault="009C2544" w:rsidP="004255F8">
      <w:pPr>
        <w:widowControl/>
        <w:rPr>
          <w:i/>
        </w:rPr>
      </w:pPr>
      <w:r w:rsidRPr="006A64EE">
        <w:rPr>
          <w:i/>
        </w:rPr>
        <w:t>Thrombozyten</w:t>
      </w:r>
    </w:p>
    <w:p w14:paraId="41D6D44E" w14:textId="447F72F1" w:rsidR="00093A5E" w:rsidRPr="006A64EE" w:rsidRDefault="009C2544" w:rsidP="004255F8">
      <w:pPr>
        <w:pStyle w:val="a3"/>
        <w:widowControl/>
      </w:pPr>
      <w:r w:rsidRPr="006A64EE">
        <w:t xml:space="preserve">Während der Routinelaborüberwachung in der 12-monatigen kontrollierten klinischen Studie mit </w:t>
      </w:r>
      <w:r w:rsidR="004E1F78">
        <w:t>Tocilizumab</w:t>
      </w:r>
      <w:r w:rsidRPr="006A64EE">
        <w:t xml:space="preserve"> trat bei einem Patienten (1 %, 1/100) in der Gruppe mit </w:t>
      </w:r>
      <w:r w:rsidR="004E1F78">
        <w:t>Tocilizumab</w:t>
      </w:r>
      <w:r w:rsidRPr="006A64EE">
        <w:t xml:space="preserve"> subkutan wöchentlich ein einmaliger, vorübergehender Rückgang der Thrombozytenzahl auf &lt; 100 × 10</w:t>
      </w:r>
      <w:r w:rsidRPr="006A64EE">
        <w:rPr>
          <w:vertAlign w:val="superscript"/>
        </w:rPr>
        <w:t>3</w:t>
      </w:r>
      <w:r w:rsidRPr="006A64EE">
        <w:t>/µl ohne assoziierte Blutungsereignisse auf. In keiner der Gruppen mit Placebo plus Prednison-Ausschleichtherapie wurde ein Rückgang der Thrombozytenzahl unter 100 × 10</w:t>
      </w:r>
      <w:r w:rsidRPr="006A64EE">
        <w:rPr>
          <w:vertAlign w:val="superscript"/>
        </w:rPr>
        <w:t>3</w:t>
      </w:r>
      <w:r w:rsidRPr="006A64EE">
        <w:t>/µl beobachtet.</w:t>
      </w:r>
    </w:p>
    <w:p w14:paraId="699B9956" w14:textId="77777777" w:rsidR="00093A5E" w:rsidRPr="006A64EE" w:rsidRDefault="00093A5E" w:rsidP="004255F8">
      <w:pPr>
        <w:pStyle w:val="a3"/>
        <w:widowControl/>
      </w:pPr>
    </w:p>
    <w:p w14:paraId="3C7D08EA" w14:textId="77777777" w:rsidR="00093A5E" w:rsidRPr="006A64EE" w:rsidRDefault="009C2544" w:rsidP="004255F8">
      <w:pPr>
        <w:widowControl/>
        <w:rPr>
          <w:i/>
        </w:rPr>
      </w:pPr>
      <w:r w:rsidRPr="006A64EE">
        <w:rPr>
          <w:i/>
        </w:rPr>
        <w:t>Erhöhung der Lebertransaminasen</w:t>
      </w:r>
    </w:p>
    <w:p w14:paraId="5E44D66A" w14:textId="52A237CC" w:rsidR="00093A5E" w:rsidRPr="006A64EE" w:rsidRDefault="009C2544" w:rsidP="004255F8">
      <w:pPr>
        <w:pStyle w:val="a3"/>
        <w:widowControl/>
      </w:pPr>
      <w:r w:rsidRPr="006A64EE">
        <w:t xml:space="preserve">Während der Routinelaborüberwachung in der 12-monatigen kontrollierten klinischen Studie mit </w:t>
      </w:r>
      <w:r w:rsidR="004E1F78">
        <w:t>Tocilizumab</w:t>
      </w:r>
      <w:r w:rsidRPr="006A64EE">
        <w:t xml:space="preserve"> trat bei 3 % der Patienten in der Gruppe mit </w:t>
      </w:r>
      <w:r w:rsidR="004E1F78">
        <w:t>Tocilizumab</w:t>
      </w:r>
      <w:r w:rsidRPr="006A64EE">
        <w:t xml:space="preserve"> subkutan wöchentlich eine Erhöhung der ALAT ≥ 3 x ULN auf. In der Gruppe mit Placebo plus 52 Wochen Prednison-Ausschleichtherapie waren es 2 % der Patienten und in der Gruppe mit Placebo plus 26 Wochen Prednison-Ausschleichtherapie war kein Patient betroffen. Eine Erhöhung der ASAT &gt; 3 x ULN trat bei 1 % der Patienten in der Gruppe mit </w:t>
      </w:r>
      <w:r w:rsidR="004E1F78">
        <w:t>Tocilizumab</w:t>
      </w:r>
      <w:r w:rsidRPr="006A64EE">
        <w:t xml:space="preserve"> subkutan wöchentlich auf. In den Gruppen mit Placebo plus Prednison-Ausschleichtherapie war kein Patient betroffen.</w:t>
      </w:r>
    </w:p>
    <w:p w14:paraId="11E291BA" w14:textId="77777777" w:rsidR="00093A5E" w:rsidRPr="006A64EE" w:rsidRDefault="00093A5E" w:rsidP="004255F8">
      <w:pPr>
        <w:pStyle w:val="a3"/>
        <w:widowControl/>
      </w:pPr>
    </w:p>
    <w:p w14:paraId="00325FA5" w14:textId="77777777" w:rsidR="00093A5E" w:rsidRPr="006A64EE" w:rsidRDefault="009C2544" w:rsidP="004255F8">
      <w:pPr>
        <w:widowControl/>
        <w:rPr>
          <w:i/>
        </w:rPr>
      </w:pPr>
      <w:r w:rsidRPr="006A64EE">
        <w:rPr>
          <w:i/>
        </w:rPr>
        <w:t>Lipidwerte</w:t>
      </w:r>
    </w:p>
    <w:p w14:paraId="3D1A7B7D" w14:textId="34D57E07" w:rsidR="00093A5E" w:rsidRPr="006A64EE" w:rsidRDefault="009C2544" w:rsidP="004255F8">
      <w:pPr>
        <w:pStyle w:val="a3"/>
        <w:widowControl/>
      </w:pPr>
      <w:r w:rsidRPr="006A64EE">
        <w:t xml:space="preserve">Während der Routinelaborüberwachung in der 12-monatigen kontrollierten klinischen Studie mit </w:t>
      </w:r>
      <w:r w:rsidR="004E1F78">
        <w:t>Tocilizumab</w:t>
      </w:r>
      <w:r w:rsidRPr="006A64EE">
        <w:t xml:space="preserve"> wurden bei 34 % der Patienten anhaltende Erhöhungen des Gesamtcholesterins</w:t>
      </w:r>
      <w:r w:rsidR="00891117" w:rsidRPr="006A64EE">
        <w:t xml:space="preserve"> </w:t>
      </w:r>
      <w:r w:rsidRPr="006A64EE">
        <w:lastRenderedPageBreak/>
        <w:t>&gt;</w:t>
      </w:r>
      <w:r w:rsidR="00846418">
        <w:t> </w:t>
      </w:r>
      <w:r w:rsidRPr="006A64EE">
        <w:t>6,2</w:t>
      </w:r>
      <w:r w:rsidR="00846418">
        <w:t> </w:t>
      </w:r>
      <w:r w:rsidRPr="006A64EE">
        <w:t xml:space="preserve">mmol/l (240 mg/dl) beobachtet. Bei 15 % der Patienten in der Gruppe mit </w:t>
      </w:r>
      <w:r w:rsidR="004E1F78">
        <w:t>Tocilizumab</w:t>
      </w:r>
      <w:r w:rsidRPr="006A64EE">
        <w:t xml:space="preserve"> subkutan wöchentlich wurde eine anhaltende Erhöhung des LDL auf ≥ 4,1 mmol/l (160 mg/dl) festgestellt.</w:t>
      </w:r>
    </w:p>
    <w:p w14:paraId="3C002E98" w14:textId="77777777" w:rsidR="00093A5E" w:rsidRPr="006A64EE" w:rsidRDefault="00093A5E" w:rsidP="004255F8">
      <w:pPr>
        <w:pStyle w:val="a3"/>
        <w:widowControl/>
      </w:pPr>
    </w:p>
    <w:p w14:paraId="52AFD8B9" w14:textId="77777777" w:rsidR="00093A5E" w:rsidRPr="006A64EE" w:rsidRDefault="009C2544" w:rsidP="00B320E1">
      <w:pPr>
        <w:pStyle w:val="a3"/>
        <w:keepNext/>
        <w:widowControl/>
      </w:pPr>
      <w:r w:rsidRPr="006A64EE">
        <w:rPr>
          <w:u w:val="single"/>
        </w:rPr>
        <w:t>Intravenöse Anwendung</w:t>
      </w:r>
    </w:p>
    <w:p w14:paraId="646EA54E" w14:textId="77777777" w:rsidR="00093A5E" w:rsidRPr="006A64EE" w:rsidRDefault="009C2544" w:rsidP="00B320E1">
      <w:pPr>
        <w:keepNext/>
        <w:widowControl/>
        <w:rPr>
          <w:b/>
        </w:rPr>
      </w:pPr>
      <w:r w:rsidRPr="006A64EE">
        <w:rPr>
          <w:b/>
        </w:rPr>
        <w:t>RA</w:t>
      </w:r>
    </w:p>
    <w:p w14:paraId="4220C5DC" w14:textId="612F88A7" w:rsidR="00093A5E" w:rsidRPr="006A64EE" w:rsidRDefault="009C2544" w:rsidP="004255F8">
      <w:pPr>
        <w:pStyle w:val="a3"/>
        <w:widowControl/>
      </w:pPr>
      <w:r w:rsidRPr="006A64EE">
        <w:t xml:space="preserve">Die Sicherheit von </w:t>
      </w:r>
      <w:r w:rsidR="004E1F78">
        <w:t>Tocilizumab</w:t>
      </w:r>
      <w:r w:rsidRPr="006A64EE">
        <w:t xml:space="preserve"> wurde in 4 Placebo-kontrollierten Studien (Studien II, III, IV und V) und einer MTX-kontrollierten Studie (Studie I) und deren Verlängerungsphasen untersucht (siehe Abschnitt 5.1).</w:t>
      </w:r>
    </w:p>
    <w:p w14:paraId="7E534FE0" w14:textId="77777777" w:rsidR="00093A5E" w:rsidRPr="006A64EE" w:rsidRDefault="00093A5E" w:rsidP="004255F8">
      <w:pPr>
        <w:pStyle w:val="a3"/>
        <w:widowControl/>
      </w:pPr>
    </w:p>
    <w:p w14:paraId="0663D2B0" w14:textId="28559218" w:rsidR="00093A5E" w:rsidRPr="006A64EE" w:rsidRDefault="009C2544" w:rsidP="004255F8">
      <w:pPr>
        <w:pStyle w:val="a3"/>
        <w:widowControl/>
      </w:pPr>
      <w:r w:rsidRPr="006A64EE">
        <w:t>Die doppelblinde, kontrollierte Phase dauerte bei vier Studien 6</w:t>
      </w:r>
      <w:r w:rsidR="00D06DFF">
        <w:t> </w:t>
      </w:r>
      <w:r w:rsidRPr="006A64EE">
        <w:t>Monate (Studien I, III, IV und V) und in einer Studie bis zu 2</w:t>
      </w:r>
      <w:r w:rsidR="00D06DFF">
        <w:t> </w:t>
      </w:r>
      <w:r w:rsidRPr="006A64EE">
        <w:t>Jahre (Studie II). In den doppelblinden, kontrollierten Studien erhielten</w:t>
      </w:r>
      <w:r w:rsidR="00891117" w:rsidRPr="006A64EE">
        <w:t xml:space="preserve"> </w:t>
      </w:r>
      <w:r w:rsidRPr="006A64EE">
        <w:t>774</w:t>
      </w:r>
      <w:r w:rsidR="00D06DFF">
        <w:t> </w:t>
      </w:r>
      <w:r w:rsidRPr="006A64EE">
        <w:t xml:space="preserve">Patienten </w:t>
      </w:r>
      <w:r w:rsidR="004E1F78">
        <w:t>Tocilizumab</w:t>
      </w:r>
      <w:r w:rsidRPr="006A64EE">
        <w:t xml:space="preserve"> 4</w:t>
      </w:r>
      <w:r w:rsidR="00D06DFF">
        <w:t> </w:t>
      </w:r>
      <w:r w:rsidRPr="006A64EE">
        <w:t>mg/kg in Kombination mit MTX, 1</w:t>
      </w:r>
      <w:r w:rsidR="00D06DFF">
        <w:t> </w:t>
      </w:r>
      <w:r w:rsidRPr="006A64EE">
        <w:t>870</w:t>
      </w:r>
      <w:r w:rsidR="00D06DFF">
        <w:t> </w:t>
      </w:r>
      <w:r w:rsidRPr="006A64EE">
        <w:t xml:space="preserve">Patienten erhielten </w:t>
      </w:r>
      <w:r w:rsidR="004E1F78">
        <w:t>Tocilizumab</w:t>
      </w:r>
      <w:r w:rsidRPr="006A64EE">
        <w:t xml:space="preserve"> 8</w:t>
      </w:r>
      <w:r w:rsidR="00D06DFF">
        <w:t> </w:t>
      </w:r>
      <w:r w:rsidRPr="006A64EE">
        <w:t xml:space="preserve">mg/kg in Kombination mit MTX oder anderen DMARDs und </w:t>
      </w:r>
      <w:r w:rsidR="00370A19">
        <w:rPr>
          <w:rFonts w:eastAsia="맑은 고딕" w:hint="eastAsia"/>
          <w:lang w:eastAsia="ko-KR"/>
        </w:rPr>
        <w:t>288</w:t>
      </w:r>
      <w:r w:rsidR="00D06DFF">
        <w:t> </w:t>
      </w:r>
      <w:r w:rsidRPr="006A64EE">
        <w:t xml:space="preserve">Patienten erhielten </w:t>
      </w:r>
      <w:r w:rsidR="004E1F78">
        <w:t>Tocilizumab</w:t>
      </w:r>
      <w:r w:rsidRPr="006A64EE">
        <w:t xml:space="preserve"> 8</w:t>
      </w:r>
      <w:r w:rsidR="00D06DFF">
        <w:t> </w:t>
      </w:r>
      <w:r w:rsidRPr="006A64EE">
        <w:t>mg/kg als Monotherapie.</w:t>
      </w:r>
    </w:p>
    <w:p w14:paraId="3E964E0E" w14:textId="77777777" w:rsidR="00093A5E" w:rsidRPr="006A64EE" w:rsidRDefault="00093A5E" w:rsidP="004255F8">
      <w:pPr>
        <w:pStyle w:val="a3"/>
        <w:widowControl/>
      </w:pPr>
    </w:p>
    <w:p w14:paraId="728E5B83" w14:textId="068DAF4F" w:rsidR="00093A5E" w:rsidRPr="006A64EE" w:rsidRDefault="009C2544" w:rsidP="004255F8">
      <w:pPr>
        <w:pStyle w:val="a3"/>
        <w:widowControl/>
      </w:pPr>
      <w:r w:rsidRPr="006A64EE">
        <w:t xml:space="preserve">Die Population mit Langzeitexposition setzt sich aus allen Patienten zusammen, die mindestens eine Dosis </w:t>
      </w:r>
      <w:r w:rsidR="004E1F78">
        <w:t>Tocilizumab</w:t>
      </w:r>
      <w:r w:rsidRPr="006A64EE">
        <w:t xml:space="preserve"> entweder in der doppelblinden, kontrollierten Phase oder in der offenen Verlängerungsphase der Studien erhalten haben. Von den 4</w:t>
      </w:r>
      <w:r w:rsidR="00D06DFF">
        <w:t> </w:t>
      </w:r>
      <w:r w:rsidRPr="006A64EE">
        <w:t>009</w:t>
      </w:r>
      <w:r w:rsidR="00D06DFF">
        <w:t> </w:t>
      </w:r>
      <w:r w:rsidRPr="006A64EE">
        <w:t>Patienten dieser Population erhielten</w:t>
      </w:r>
      <w:r w:rsidR="00891117" w:rsidRPr="006A64EE">
        <w:t xml:space="preserve"> </w:t>
      </w:r>
      <w:r w:rsidRPr="006A64EE">
        <w:t>3</w:t>
      </w:r>
      <w:r w:rsidR="00D06DFF">
        <w:t> </w:t>
      </w:r>
      <w:r w:rsidRPr="006A64EE">
        <w:t>577 eine Behandlung für mindestens 6</w:t>
      </w:r>
      <w:r w:rsidR="00D06DFF">
        <w:t> </w:t>
      </w:r>
      <w:r w:rsidRPr="006A64EE">
        <w:t>Monate, 3</w:t>
      </w:r>
      <w:r w:rsidR="00D06DFF">
        <w:t> </w:t>
      </w:r>
      <w:r w:rsidRPr="006A64EE">
        <w:t>296 für mindestens 1</w:t>
      </w:r>
      <w:r w:rsidR="00D06DFF">
        <w:t> </w:t>
      </w:r>
      <w:r w:rsidRPr="006A64EE">
        <w:t>Jahr, 2</w:t>
      </w:r>
      <w:r w:rsidR="00D06DFF">
        <w:t> </w:t>
      </w:r>
      <w:r w:rsidRPr="006A64EE">
        <w:t>806 für mindestens</w:t>
      </w:r>
      <w:r w:rsidR="00891117" w:rsidRPr="006A64EE">
        <w:t xml:space="preserve"> </w:t>
      </w:r>
      <w:r w:rsidRPr="006A64EE">
        <w:t>2</w:t>
      </w:r>
      <w:r w:rsidR="00D06DFF">
        <w:t> </w:t>
      </w:r>
      <w:r w:rsidRPr="006A64EE">
        <w:t>Jahre und 1</w:t>
      </w:r>
      <w:r w:rsidR="00D06DFF">
        <w:t> </w:t>
      </w:r>
      <w:r w:rsidRPr="006A64EE">
        <w:t>222 für 3</w:t>
      </w:r>
      <w:r w:rsidR="00D06DFF">
        <w:t> </w:t>
      </w:r>
      <w:r w:rsidRPr="006A64EE">
        <w:t>Jahre.</w:t>
      </w:r>
    </w:p>
    <w:p w14:paraId="5A59A51A" w14:textId="77777777" w:rsidR="00093A5E" w:rsidRPr="006A64EE" w:rsidRDefault="00093A5E" w:rsidP="004255F8">
      <w:pPr>
        <w:widowControl/>
      </w:pPr>
    </w:p>
    <w:p w14:paraId="29559431" w14:textId="77777777" w:rsidR="00093A5E" w:rsidRPr="006A64EE" w:rsidRDefault="007D680A" w:rsidP="007372F1">
      <w:pPr>
        <w:keepNext/>
        <w:widowControl/>
      </w:pPr>
      <w:r w:rsidRPr="006A64EE">
        <w:rPr>
          <w:u w:val="single"/>
        </w:rPr>
        <w:t>Beschreibung einzelner Nebenwirkungen</w:t>
      </w:r>
    </w:p>
    <w:p w14:paraId="5322D1D3" w14:textId="77777777" w:rsidR="00093A5E" w:rsidRPr="006A64EE" w:rsidRDefault="00093A5E" w:rsidP="007372F1">
      <w:pPr>
        <w:pStyle w:val="a3"/>
        <w:keepNext/>
        <w:widowControl/>
      </w:pPr>
    </w:p>
    <w:p w14:paraId="7D83C6E6" w14:textId="77777777" w:rsidR="00093A5E" w:rsidRPr="006A64EE" w:rsidRDefault="009C2544" w:rsidP="007372F1">
      <w:pPr>
        <w:keepNext/>
        <w:widowControl/>
        <w:rPr>
          <w:i/>
        </w:rPr>
      </w:pPr>
      <w:r w:rsidRPr="006A64EE">
        <w:rPr>
          <w:i/>
        </w:rPr>
        <w:t>Infektionen</w:t>
      </w:r>
    </w:p>
    <w:p w14:paraId="16E49328" w14:textId="048B2EA3" w:rsidR="00093A5E" w:rsidRPr="006A64EE" w:rsidRDefault="009C2544" w:rsidP="004255F8">
      <w:pPr>
        <w:pStyle w:val="a3"/>
        <w:widowControl/>
      </w:pPr>
      <w:r w:rsidRPr="006A64EE">
        <w:t xml:space="preserve">Die Anzahl aller Infektionen, die bei einer Behandlung mit 8 mg/kg </w:t>
      </w:r>
      <w:r w:rsidR="004E1F78">
        <w:t>Tocilizumab</w:t>
      </w:r>
      <w:r w:rsidRPr="006A64EE">
        <w:t xml:space="preserve"> plus DMARD in den 6-monatigen kontrollierten klinischen Prüfungen beobachtet wurde, lag bei 127 Ereignissen pro</w:t>
      </w:r>
      <w:r w:rsidR="00891117" w:rsidRPr="006A64EE">
        <w:t xml:space="preserve"> </w:t>
      </w:r>
      <w:r w:rsidRPr="006A64EE">
        <w:t>100</w:t>
      </w:r>
      <w:r w:rsidR="00846418">
        <w:t> </w:t>
      </w:r>
      <w:r w:rsidRPr="006A64EE">
        <w:t xml:space="preserve">Patientenjahren im Vergleich zu 112 Ereignissen pro 100 Patientenjahren in der Gruppe, die mit Placebo plus DMARD behandelt wurde. In der Population mit Langzeitexposition lag die Gesamtrate an Infektionen unter </w:t>
      </w:r>
      <w:r w:rsidR="004E1F78">
        <w:t>Tocilizumab</w:t>
      </w:r>
      <w:r w:rsidRPr="006A64EE">
        <w:t xml:space="preserve"> bei 108 Ereignissen pro 100 Patientenjahren Exposition.</w:t>
      </w:r>
    </w:p>
    <w:p w14:paraId="59EE2A50" w14:textId="77777777" w:rsidR="00093A5E" w:rsidRPr="006A64EE" w:rsidRDefault="00093A5E" w:rsidP="004255F8">
      <w:pPr>
        <w:pStyle w:val="a3"/>
        <w:widowControl/>
      </w:pPr>
    </w:p>
    <w:p w14:paraId="6E44362F" w14:textId="230AFA3B" w:rsidR="00093A5E" w:rsidRPr="006A64EE" w:rsidRDefault="009C2544" w:rsidP="004255F8">
      <w:pPr>
        <w:pStyle w:val="a3"/>
        <w:widowControl/>
      </w:pPr>
      <w:r w:rsidRPr="006A64EE">
        <w:t xml:space="preserve">In den 6-monatigen kontrollierten klinischen Prüfungen lag die Rate der schwerwiegenden Infektionen mit </w:t>
      </w:r>
      <w:r w:rsidR="004E1F78">
        <w:t>Tocilizumab</w:t>
      </w:r>
      <w:r w:rsidRPr="006A64EE">
        <w:t xml:space="preserve"> 8 mg/kg plus DMARDs bei 5,3 Ereignissen pro 100 Patientenjahren Exposition verglichen mit 3,9 Ereignissen pro 100 Patientenjahren Exposition in der Gruppe, die Placebo plus DMARDs erhielt. In der Monotherapie-Studie lag die Anzahl der schwerwiegenden Infektionen in der Gruppe, die </w:t>
      </w:r>
      <w:r w:rsidR="004E1F78">
        <w:t>Tocilizumab</w:t>
      </w:r>
      <w:r w:rsidRPr="006A64EE">
        <w:t xml:space="preserve"> erhielt, bei 3,6 Ereignissen pro 100 Patientenjahren Exposition und in der Gruppe, die MTX erhielt, bei 1,5 Ereignissen pro 100 Patientenjahren Exposition.</w:t>
      </w:r>
    </w:p>
    <w:p w14:paraId="49DFA77A" w14:textId="77777777" w:rsidR="00093A5E" w:rsidRPr="006A64EE" w:rsidRDefault="00093A5E" w:rsidP="004255F8">
      <w:pPr>
        <w:pStyle w:val="a3"/>
        <w:widowControl/>
      </w:pPr>
    </w:p>
    <w:p w14:paraId="4ECBD31D" w14:textId="77777777" w:rsidR="00093A5E" w:rsidRPr="006A64EE" w:rsidRDefault="009C2544" w:rsidP="004255F8">
      <w:pPr>
        <w:pStyle w:val="a3"/>
        <w:widowControl/>
      </w:pPr>
      <w:r w:rsidRPr="006A64EE">
        <w:t>In der Population mit der Langzeitexposition lag die Gesamtzahl der schwerwiegenden Infektionen (bakteriell, viral und mykotisch) bei 4,7 Ereignissen pro 100 Patientenjahren. Die beobachteten schwerwiegenden Infektionen, einige mit tödlichem Ausgang, beinhalten aktive Tuberkulose, die als intrapulmonale oder extrapulmonale Erkrankung auftreten kann, invasive pulmonale Infektionen, wie Candidiasis, Aspergillose, Kokzidioidomykose und Pneumozystis jirovecii, Pneumonie, Zellulitis, Herpes zoster, Gastroenteritis, Divertikulitis, Sepsis und bakterielle Arthritis. Fälle opportunistischer Infektionen wurden beobachtet.</w:t>
      </w:r>
    </w:p>
    <w:p w14:paraId="7C6EE702" w14:textId="77777777" w:rsidR="00093A5E" w:rsidRPr="006A64EE" w:rsidRDefault="00093A5E" w:rsidP="004255F8">
      <w:pPr>
        <w:pStyle w:val="a3"/>
        <w:widowControl/>
      </w:pPr>
    </w:p>
    <w:p w14:paraId="54086159" w14:textId="77777777" w:rsidR="00093A5E" w:rsidRPr="006A64EE" w:rsidRDefault="009C2544" w:rsidP="004255F8">
      <w:pPr>
        <w:widowControl/>
        <w:rPr>
          <w:i/>
        </w:rPr>
      </w:pPr>
      <w:r w:rsidRPr="006A64EE">
        <w:rPr>
          <w:i/>
        </w:rPr>
        <w:t>Interstitielle Lungenerkrankung</w:t>
      </w:r>
    </w:p>
    <w:p w14:paraId="62A2833A" w14:textId="77777777" w:rsidR="00093A5E" w:rsidRPr="006A64EE" w:rsidRDefault="009C2544" w:rsidP="004255F8">
      <w:pPr>
        <w:pStyle w:val="a3"/>
        <w:widowControl/>
      </w:pPr>
      <w:r w:rsidRPr="006A64EE">
        <w:t>Eine Lungenfunktionsstörung kann das Risiko für das Auftreten von Infektionen erhöhen. Nach der Markteinführung gab es Berichte über interstitielle Lungenerkrankungen (einschließlich Pneumonitis und Lungenfibrose), von denen einige tödlich verliefen.</w:t>
      </w:r>
    </w:p>
    <w:p w14:paraId="0F9143DB" w14:textId="77777777" w:rsidR="00093A5E" w:rsidRPr="006A64EE" w:rsidRDefault="00093A5E" w:rsidP="004255F8">
      <w:pPr>
        <w:pStyle w:val="a3"/>
        <w:widowControl/>
      </w:pPr>
    </w:p>
    <w:p w14:paraId="7EB2D712" w14:textId="64025296" w:rsidR="00093A5E" w:rsidRPr="006A64EE" w:rsidRDefault="009C2544" w:rsidP="00E303AE">
      <w:pPr>
        <w:widowControl/>
      </w:pPr>
      <w:r w:rsidRPr="006A64EE">
        <w:rPr>
          <w:i/>
        </w:rPr>
        <w:t>Gastrointestinale Perforationen</w:t>
      </w:r>
      <w:r w:rsidR="00A9112D">
        <w:rPr>
          <w:i/>
        </w:rPr>
        <w:br/>
      </w:r>
      <w:r w:rsidRPr="006A64EE">
        <w:t xml:space="preserve">Während der 6-monatigen kontrollierten klinischen Studien lag die Gesamtzahl der gastrointestinalen Perforationen unter Therapie mit </w:t>
      </w:r>
      <w:r w:rsidR="004E1F78">
        <w:t>Tocilizumab</w:t>
      </w:r>
      <w:r w:rsidRPr="006A64EE">
        <w:t xml:space="preserve"> bei 0,26 Ereignissen pro 100 Patientenjahren. In der Population mit der Langzeitexposition lag die Gesamtzahl der gastrointestinalen Perforationen bei 0,28 Ereignissen pro 100 Patientenjahren. Die Berichte der gastrointestinalen Perforationen unter Therapie mit </w:t>
      </w:r>
      <w:r w:rsidR="004E1F78">
        <w:t>Tocilizumab</w:t>
      </w:r>
      <w:r w:rsidRPr="006A64EE">
        <w:t xml:space="preserve"> wurden hauptsächlich als Komplikationen einer Divertikulitis, wie </w:t>
      </w:r>
      <w:r w:rsidRPr="006A64EE">
        <w:lastRenderedPageBreak/>
        <w:t>generalisierte purulente Peritonitis, Perforation des unteren Gastrointestinaltrakts, Fisteln und Abszesse, gemeldet.</w:t>
      </w:r>
    </w:p>
    <w:p w14:paraId="2DF1DA55" w14:textId="77777777" w:rsidR="00093A5E" w:rsidRPr="006A64EE" w:rsidRDefault="00093A5E" w:rsidP="004255F8">
      <w:pPr>
        <w:pStyle w:val="a3"/>
        <w:widowControl/>
      </w:pPr>
    </w:p>
    <w:p w14:paraId="028EBA8F" w14:textId="77777777" w:rsidR="00093A5E" w:rsidRPr="006A64EE" w:rsidRDefault="009C2544" w:rsidP="004255F8">
      <w:pPr>
        <w:widowControl/>
        <w:rPr>
          <w:i/>
        </w:rPr>
      </w:pPr>
      <w:r w:rsidRPr="006A64EE">
        <w:rPr>
          <w:i/>
        </w:rPr>
        <w:t>Infusionsbedingte Reaktionen</w:t>
      </w:r>
    </w:p>
    <w:p w14:paraId="301E5F03" w14:textId="2FDE5FB8" w:rsidR="00093A5E" w:rsidRPr="006A64EE" w:rsidRDefault="009C2544" w:rsidP="004255F8">
      <w:pPr>
        <w:pStyle w:val="a3"/>
        <w:widowControl/>
      </w:pPr>
      <w:r w:rsidRPr="006A64EE">
        <w:t xml:space="preserve">In den 6-monatigen kontrollierten Studien wurden unerwünschte Ereignisse, die in Zusammenhang mit der Infusion auftraten (die ausgewählten Ereignisse traten während oder innerhalb von 24 Stunden nach der Infusion auf), bei 6,9 % der Patienten, die mit 8 mg/kg </w:t>
      </w:r>
      <w:r w:rsidR="004E1F78">
        <w:t>Tocilizumab</w:t>
      </w:r>
      <w:r w:rsidRPr="006A64EE">
        <w:t xml:space="preserve"> plus DMARDs behandelt wurden und bei 5,1 % der Patienten, die mit Placebo plus DMARDs behandelt wurden, beobachtet.</w:t>
      </w:r>
    </w:p>
    <w:p w14:paraId="7CC754F3" w14:textId="77777777" w:rsidR="00093A5E" w:rsidRPr="006A64EE" w:rsidRDefault="009C2544" w:rsidP="004255F8">
      <w:pPr>
        <w:pStyle w:val="a3"/>
        <w:widowControl/>
      </w:pPr>
      <w:r w:rsidRPr="006A64EE">
        <w:t>Die beobachteten Ereignisse, die während der Infusion auftraten, waren vor allem Episoden von Hypertonie; die Ereignisse, die innerhalb von 24 Stunden nach dem Ende der Infusion beobachtet wurden, waren Kopfschmerzen und Hautreaktionen (Exanthem, Urtikaria). Diese Ereignisse waren nicht behandlungslimitierend.</w:t>
      </w:r>
    </w:p>
    <w:p w14:paraId="0612E7AA" w14:textId="77777777" w:rsidR="00093A5E" w:rsidRPr="006A64EE" w:rsidRDefault="00093A5E" w:rsidP="004255F8">
      <w:pPr>
        <w:pStyle w:val="a3"/>
        <w:widowControl/>
      </w:pPr>
    </w:p>
    <w:p w14:paraId="367FF666" w14:textId="6E583C9E" w:rsidR="00093A5E" w:rsidRPr="006A64EE" w:rsidRDefault="009C2544" w:rsidP="004255F8">
      <w:pPr>
        <w:pStyle w:val="a3"/>
        <w:widowControl/>
      </w:pPr>
      <w:r w:rsidRPr="006A64EE">
        <w:t>Die Anzahl der anaphylaktischen Reaktionen (die bei insgesamt 8/4</w:t>
      </w:r>
      <w:r w:rsidR="00332513">
        <w:t> </w:t>
      </w:r>
      <w:r w:rsidRPr="006A64EE">
        <w:t>009</w:t>
      </w:r>
      <w:r w:rsidR="00332513">
        <w:t> </w:t>
      </w:r>
      <w:r w:rsidRPr="006A64EE">
        <w:t>Patienten, 0,2</w:t>
      </w:r>
      <w:r w:rsidR="00332513">
        <w:t> </w:t>
      </w:r>
      <w:r w:rsidRPr="006A64EE">
        <w:t xml:space="preserve">% auftraten) lag mit der 4-mg/kg-Dosierung mehrfach höher als mit der 8-mg/kg-Dosierung. Klinisch signifikante Überempfindlichkeitsreaktionen, die mit </w:t>
      </w:r>
      <w:r w:rsidR="004A0C6A">
        <w:t>Tocilizumab</w:t>
      </w:r>
      <w:r w:rsidRPr="006A64EE">
        <w:t xml:space="preserve"> verbunden waren und eine Unterbrechung der Behandlung erforderlich machten, wurden bei insgesamt 56 von 4</w:t>
      </w:r>
      <w:r w:rsidR="00332513">
        <w:t> </w:t>
      </w:r>
      <w:r w:rsidRPr="006A64EE">
        <w:t>009</w:t>
      </w:r>
      <w:r w:rsidR="00332513">
        <w:t> </w:t>
      </w:r>
      <w:r w:rsidRPr="006A64EE">
        <w:t>Patienten (1,4</w:t>
      </w:r>
      <w:r w:rsidR="00332513">
        <w:t> </w:t>
      </w:r>
      <w:r w:rsidRPr="006A64EE">
        <w:t xml:space="preserve">%) beobachtet, die während kontrollierter und offener klinischer Studien mit </w:t>
      </w:r>
      <w:r w:rsidR="004A0C6A">
        <w:t>Tocilizumab</w:t>
      </w:r>
      <w:r w:rsidRPr="006A64EE">
        <w:t xml:space="preserve"> behandelt wurden. Diese Reaktionen wurden normalerweise während der zweiten bis fünften Infusion von </w:t>
      </w:r>
      <w:r w:rsidR="004A0C6A">
        <w:t>Tocilizumab</w:t>
      </w:r>
      <w:r w:rsidRPr="006A64EE">
        <w:t xml:space="preserve"> beobachtet (siehe Abschnitt</w:t>
      </w:r>
      <w:r w:rsidR="00332513">
        <w:t> </w:t>
      </w:r>
      <w:r w:rsidRPr="006A64EE">
        <w:t xml:space="preserve">4.4). Nach der Markteinführung wurde während der Behandlung mit </w:t>
      </w:r>
      <w:r w:rsidR="004A0C6A">
        <w:t>Tocilizumab</w:t>
      </w:r>
      <w:r w:rsidRPr="006A64EE">
        <w:t xml:space="preserve"> i.v. über tödlich verlaufene anaphylaktische Reaktion berichtet (siehe Abschnitt</w:t>
      </w:r>
      <w:r w:rsidR="00332513">
        <w:t> </w:t>
      </w:r>
      <w:r w:rsidRPr="006A64EE">
        <w:t>4.4).</w:t>
      </w:r>
    </w:p>
    <w:p w14:paraId="4C3121F0" w14:textId="77777777" w:rsidR="00093A5E" w:rsidRPr="006A64EE" w:rsidRDefault="00093A5E" w:rsidP="004255F8">
      <w:pPr>
        <w:pStyle w:val="a3"/>
        <w:widowControl/>
      </w:pPr>
    </w:p>
    <w:p w14:paraId="7380200A" w14:textId="77777777" w:rsidR="00093A5E" w:rsidRPr="006A64EE" w:rsidRDefault="009C2544" w:rsidP="007372F1">
      <w:pPr>
        <w:keepNext/>
        <w:widowControl/>
        <w:rPr>
          <w:i/>
        </w:rPr>
      </w:pPr>
      <w:r w:rsidRPr="006A64EE">
        <w:rPr>
          <w:i/>
        </w:rPr>
        <w:t>Hämatologische Anomalien:</w:t>
      </w:r>
    </w:p>
    <w:p w14:paraId="39179972" w14:textId="77777777" w:rsidR="00093A5E" w:rsidRPr="006A64EE" w:rsidRDefault="009C2544" w:rsidP="007372F1">
      <w:pPr>
        <w:keepNext/>
        <w:widowControl/>
        <w:rPr>
          <w:i/>
        </w:rPr>
      </w:pPr>
      <w:r w:rsidRPr="006A64EE">
        <w:rPr>
          <w:i/>
        </w:rPr>
        <w:t>Neutrophile Granulozyten</w:t>
      </w:r>
    </w:p>
    <w:p w14:paraId="4A0404C8" w14:textId="4A1A666B" w:rsidR="00093A5E" w:rsidRPr="006A64EE" w:rsidRDefault="009C2544" w:rsidP="004255F8">
      <w:pPr>
        <w:pStyle w:val="a3"/>
        <w:widowControl/>
      </w:pPr>
      <w:r w:rsidRPr="006A64EE">
        <w:t xml:space="preserve">In den 6-monatigen kontrollierten Studien kam es unter Behandlung mit 8 mg/kg </w:t>
      </w:r>
      <w:r w:rsidR="005613EF">
        <w:t>Tocilizumab</w:t>
      </w:r>
      <w:r w:rsidRPr="006A64EE">
        <w:t xml:space="preserve"> plus DMARDs bei 3,4 % der Patienten zu einem Rückgang der Anzahl der neutrophilen Granulozyten auf unter 1 x 10</w:t>
      </w:r>
      <w:r w:rsidRPr="006A64EE">
        <w:rPr>
          <w:vertAlign w:val="superscript"/>
        </w:rPr>
        <w:t>9</w:t>
      </w:r>
      <w:r w:rsidRPr="006A64EE">
        <w:t>/l verglichen mit &lt; 0,1 % bei Patienten unter Placebo plus DMARDs. Bei circa der Hälfte der Patienten, bei denen sich eine ANC von &lt; 1 x 10</w:t>
      </w:r>
      <w:r w:rsidRPr="006A64EE">
        <w:rPr>
          <w:vertAlign w:val="superscript"/>
        </w:rPr>
        <w:t>9</w:t>
      </w:r>
      <w:r w:rsidRPr="006A64EE">
        <w:t>/l entwickelte, geschah dies während der ersten 8</w:t>
      </w:r>
      <w:r w:rsidR="00846418">
        <w:t> </w:t>
      </w:r>
      <w:r w:rsidRPr="006A64EE">
        <w:t>Wochen nach Beginn der Behandlung. Ein Rückgang unter 0,5 x 10</w:t>
      </w:r>
      <w:r w:rsidRPr="006A64EE">
        <w:rPr>
          <w:vertAlign w:val="superscript"/>
        </w:rPr>
        <w:t>9</w:t>
      </w:r>
      <w:r w:rsidRPr="006A64EE">
        <w:t xml:space="preserve">/l wurde bei 0,3 % der Patienten, die </w:t>
      </w:r>
      <w:r w:rsidR="005613EF">
        <w:t>Tocilizumab</w:t>
      </w:r>
      <w:r w:rsidRPr="006A64EE">
        <w:t xml:space="preserve"> 8 mg/kg plus DMARDs erhielten, beobachtet. Infektionen mit gleichzeitig auftretender Neutropenie sind berichtet worden.</w:t>
      </w:r>
    </w:p>
    <w:p w14:paraId="17383F3B" w14:textId="77777777" w:rsidR="00093A5E" w:rsidRPr="006A64EE" w:rsidRDefault="00093A5E" w:rsidP="004255F8">
      <w:pPr>
        <w:pStyle w:val="a3"/>
        <w:widowControl/>
      </w:pPr>
    </w:p>
    <w:p w14:paraId="68228A31" w14:textId="71D7FBCC" w:rsidR="00093A5E" w:rsidRPr="006A64EE" w:rsidRDefault="009C2544" w:rsidP="004255F8">
      <w:pPr>
        <w:pStyle w:val="a3"/>
        <w:widowControl/>
        <w:jc w:val="both"/>
      </w:pPr>
      <w:r w:rsidRPr="006A64EE">
        <w:t>Während der doppelblinden, kontrollierten Phase und der Langzeitexposition blieben die Art und die Inzidenz der Verminderung neutrophiler Granulozyten vergleichbar mit jener, welche während der 6-monatigen kontrollierten klinischen Prüfungen beobachtet wurde.</w:t>
      </w:r>
    </w:p>
    <w:p w14:paraId="101C706A" w14:textId="77777777" w:rsidR="00093A5E" w:rsidRPr="006A64EE" w:rsidRDefault="00093A5E" w:rsidP="004255F8">
      <w:pPr>
        <w:pStyle w:val="a3"/>
        <w:widowControl/>
      </w:pPr>
    </w:p>
    <w:p w14:paraId="6ACD22A7" w14:textId="77777777" w:rsidR="00093A5E" w:rsidRPr="006A64EE" w:rsidRDefault="009C2544" w:rsidP="004255F8">
      <w:pPr>
        <w:widowControl/>
        <w:rPr>
          <w:i/>
        </w:rPr>
      </w:pPr>
      <w:r w:rsidRPr="006A64EE">
        <w:rPr>
          <w:i/>
        </w:rPr>
        <w:t>Thrombozyten</w:t>
      </w:r>
    </w:p>
    <w:p w14:paraId="44DEA148" w14:textId="05FE275E" w:rsidR="00093A5E" w:rsidRPr="006A64EE" w:rsidRDefault="009C2544" w:rsidP="004255F8">
      <w:pPr>
        <w:pStyle w:val="a3"/>
        <w:widowControl/>
      </w:pPr>
      <w:r w:rsidRPr="006A64EE">
        <w:t xml:space="preserve">In den 6-monatigen kontrollierten Studien kam es bei 1,7 % der Patienten, die </w:t>
      </w:r>
      <w:r w:rsidR="005613EF">
        <w:t>Tocilizumab</w:t>
      </w:r>
      <w:r w:rsidRPr="006A64EE">
        <w:t xml:space="preserve"> 8 mg/kg plus DMARDs erhielten, zu einem Rückgang der Thrombozytenanzahl unter 100 x 10</w:t>
      </w:r>
      <w:r w:rsidRPr="006A64EE">
        <w:rPr>
          <w:vertAlign w:val="superscript"/>
        </w:rPr>
        <w:t>3</w:t>
      </w:r>
      <w:r w:rsidRPr="006A64EE">
        <w:t>/µl verglichen mit &lt; 1 % unter Placebo plus DMARDs. Diese Abnahme trat auf, ohne dass damit Blutungen verbunden waren.</w:t>
      </w:r>
    </w:p>
    <w:p w14:paraId="2BDE2FE8" w14:textId="77777777" w:rsidR="00093A5E" w:rsidRPr="006A64EE" w:rsidRDefault="00093A5E" w:rsidP="004255F8">
      <w:pPr>
        <w:pStyle w:val="a3"/>
        <w:widowControl/>
      </w:pPr>
    </w:p>
    <w:p w14:paraId="7E5B424F" w14:textId="05E3B4A7" w:rsidR="00093A5E" w:rsidRPr="006A64EE" w:rsidRDefault="009C2544" w:rsidP="00D211C7">
      <w:pPr>
        <w:pStyle w:val="a3"/>
        <w:widowControl/>
      </w:pPr>
      <w:r w:rsidRPr="006A64EE">
        <w:t>Während der doppelblinden, kontrollierten Phase und der Langzeitexposition blieben die Art und die Inzidenz der Verminderung der Thrombozytenzahl vergleichbar mit jener, welche während der</w:t>
      </w:r>
      <w:r w:rsidR="00D211C7">
        <w:t xml:space="preserve"> </w:t>
      </w:r>
      <w:r w:rsidRPr="006A64EE">
        <w:t>6-monatigen kontrollierten klinischen Prüfungen beobachtet wurde.</w:t>
      </w:r>
    </w:p>
    <w:p w14:paraId="0E0BC79D" w14:textId="77777777" w:rsidR="00093A5E" w:rsidRPr="006A64EE" w:rsidRDefault="00093A5E" w:rsidP="004255F8">
      <w:pPr>
        <w:pStyle w:val="a3"/>
        <w:widowControl/>
      </w:pPr>
    </w:p>
    <w:p w14:paraId="0B96B2AD" w14:textId="77777777" w:rsidR="00093A5E" w:rsidRPr="006A64EE" w:rsidRDefault="009C2544" w:rsidP="004255F8">
      <w:pPr>
        <w:pStyle w:val="a3"/>
        <w:widowControl/>
        <w:jc w:val="both"/>
      </w:pPr>
      <w:r w:rsidRPr="006A64EE">
        <w:t>Nach der Markteinführung gab es sehr seltene Berichte über Panzytopenie.</w:t>
      </w:r>
    </w:p>
    <w:p w14:paraId="2F515903" w14:textId="77777777" w:rsidR="00093A5E" w:rsidRPr="006A64EE" w:rsidRDefault="00093A5E" w:rsidP="004255F8">
      <w:pPr>
        <w:pStyle w:val="a3"/>
        <w:widowControl/>
      </w:pPr>
    </w:p>
    <w:p w14:paraId="459E45C9" w14:textId="0B9621BE" w:rsidR="00093A5E" w:rsidRPr="006A64EE" w:rsidRDefault="009C2544" w:rsidP="00E303AE">
      <w:pPr>
        <w:widowControl/>
      </w:pPr>
      <w:r w:rsidRPr="006A64EE">
        <w:rPr>
          <w:i/>
        </w:rPr>
        <w:t>Erhöhungen der Lebertransaminasen</w:t>
      </w:r>
      <w:r w:rsidR="00B926F4">
        <w:rPr>
          <w:i/>
        </w:rPr>
        <w:br/>
      </w:r>
      <w:r w:rsidRPr="006A64EE">
        <w:t xml:space="preserve">In den 6-monatigen kontrollierten Studien wurde bei 2,1 % der Patienten, die 8 mg/kg </w:t>
      </w:r>
      <w:r w:rsidR="005613EF">
        <w:t>Tocilizumab</w:t>
      </w:r>
      <w:r w:rsidRPr="006A64EE">
        <w:t xml:space="preserve"> erhielten, eine vorübergehende Erhöhung von ALAT/ASAT auf mehr als das 3-Fache des oberen Normalwertes (&gt; 3 x ULN) beobachtet, verglichen mit 4,9 % der Patienten unter MTX sowie bei 6,5</w:t>
      </w:r>
      <w:r w:rsidR="00846418">
        <w:t> </w:t>
      </w:r>
      <w:r w:rsidRPr="006A64EE">
        <w:t xml:space="preserve">% der Patienten, die 8 mg/kg </w:t>
      </w:r>
      <w:r w:rsidR="005613EF">
        <w:t>Tocilizumab</w:t>
      </w:r>
      <w:r w:rsidRPr="006A64EE">
        <w:t xml:space="preserve"> plus DMARDs erhielten, verglichen mit 1,5 % der Patienten unter Placebo plus DMARDs.</w:t>
      </w:r>
    </w:p>
    <w:p w14:paraId="63E7FD1E" w14:textId="77777777" w:rsidR="00093A5E" w:rsidRPr="006A64EE" w:rsidRDefault="00093A5E" w:rsidP="004255F8">
      <w:pPr>
        <w:pStyle w:val="a3"/>
        <w:widowControl/>
      </w:pPr>
    </w:p>
    <w:p w14:paraId="02AD6533" w14:textId="1B30A877" w:rsidR="00093A5E" w:rsidRPr="006A64EE" w:rsidRDefault="009C2544" w:rsidP="004255F8">
      <w:pPr>
        <w:pStyle w:val="a3"/>
        <w:widowControl/>
      </w:pPr>
      <w:r w:rsidRPr="006A64EE">
        <w:lastRenderedPageBreak/>
        <w:t xml:space="preserve">Das Hinzufügen potenziell hepatotoxischer Arzneimittel (z. B. MTX) zu einer Monotherapie mit </w:t>
      </w:r>
      <w:r w:rsidR="005613EF">
        <w:t>Tocilizumab</w:t>
      </w:r>
      <w:r w:rsidRPr="006A64EE">
        <w:t xml:space="preserve"> führte zu einem häufigeren Auftreten dieser Erhöhungen. Erhöhungen von ALAT/ASAT auf &gt; 5 x ULN wurden bei 0,7 % der Patienten unter Monotherapie mit </w:t>
      </w:r>
      <w:r w:rsidR="005613EF">
        <w:t>Tocilizumab</w:t>
      </w:r>
      <w:r w:rsidRPr="006A64EE">
        <w:t xml:space="preserve"> und 1,4 % der Patienten, die </w:t>
      </w:r>
      <w:r w:rsidR="005613EF">
        <w:t>Tocilizumab</w:t>
      </w:r>
      <w:r w:rsidRPr="006A64EE">
        <w:t xml:space="preserve"> plus DMARDs erhielten, beobachtet, wobei bei der Mehrzahl dieser Patienten die Behandlung mit </w:t>
      </w:r>
      <w:r w:rsidR="005613EF">
        <w:t>Tocilizumab</w:t>
      </w:r>
      <w:r w:rsidRPr="006A64EE">
        <w:t xml:space="preserve"> endgültig abgebrochen wurde. Während der doppelblinden, kontrollierten Phase betrug die Inzidenz von Werten des indirekten Bilirubins, die über dem oberen Normalwert lagen und die als routinemäßige Laborparameter gesammelt wurden, bei Patienten, die mit 8 mg/kg </w:t>
      </w:r>
      <w:r w:rsidR="005613EF">
        <w:t>Tocilizumab</w:t>
      </w:r>
      <w:r w:rsidRPr="006A64EE">
        <w:t xml:space="preserve"> + DMARD behandelt wurden, 6,2 %. Insgesamt kam es bei 5,8 % der Patienten zu einer Erhöhung des indirekten Bilirubins auf &gt; 1 bis 2 x ULN und bei 0,4 % zu einer Erhöhung auf &gt; 2 x ULN.</w:t>
      </w:r>
    </w:p>
    <w:p w14:paraId="51100A6D" w14:textId="77777777" w:rsidR="00093A5E" w:rsidRPr="006A64EE" w:rsidRDefault="00093A5E" w:rsidP="004255F8">
      <w:pPr>
        <w:pStyle w:val="a3"/>
        <w:widowControl/>
      </w:pPr>
    </w:p>
    <w:p w14:paraId="3E0A4E96" w14:textId="77777777" w:rsidR="00093A5E" w:rsidRPr="006A64EE" w:rsidRDefault="009C2544" w:rsidP="004255F8">
      <w:pPr>
        <w:pStyle w:val="a3"/>
        <w:widowControl/>
      </w:pPr>
      <w:r w:rsidRPr="006A64EE">
        <w:t>Während der doppelblinden, kontrollierten Phase und der Langzeitexposition blieben die Art und die Inzidenz der Erhöhung von ALAT/ASAT vergleichbar mit der, die während der 6-monatigen kontrollierten klinischen Prüfungen beobachtet wurde.</w:t>
      </w:r>
    </w:p>
    <w:p w14:paraId="2C759CD8" w14:textId="77777777" w:rsidR="00093A5E" w:rsidRPr="006A64EE" w:rsidRDefault="00093A5E" w:rsidP="004255F8">
      <w:pPr>
        <w:widowControl/>
      </w:pPr>
    </w:p>
    <w:p w14:paraId="51E0964B" w14:textId="77777777" w:rsidR="00093A5E" w:rsidRPr="006A64EE" w:rsidRDefault="007D680A" w:rsidP="004255F8">
      <w:pPr>
        <w:widowControl/>
      </w:pPr>
      <w:r w:rsidRPr="006A64EE">
        <w:rPr>
          <w:i/>
        </w:rPr>
        <w:t>Lipidwerte</w:t>
      </w:r>
    </w:p>
    <w:p w14:paraId="07F522AD" w14:textId="34BB9EDE" w:rsidR="00093A5E" w:rsidRPr="006A64EE" w:rsidRDefault="009C2544" w:rsidP="004255F8">
      <w:pPr>
        <w:pStyle w:val="a3"/>
        <w:widowControl/>
      </w:pPr>
      <w:r w:rsidRPr="006A64EE">
        <w:t xml:space="preserve">Während der kontrollierten sechsmonatigen Studien wurde häufig eine Erhöhung der Lipidwerte, wie Gesamtcholesterin, Triglyceride, LDL-Cholesterin und/oder HDL-Cholesterin, beobachtet. Bei den routinemäßigen Laboruntersuchungen wurden bei circa 24 % der Patienten, die in klinischen Studien </w:t>
      </w:r>
      <w:r w:rsidR="005613EF">
        <w:t>Tocilizumab</w:t>
      </w:r>
      <w:r w:rsidRPr="006A64EE">
        <w:t xml:space="preserve"> erhielten, anhaltende Erhöhungen des Gesamtcholesterins auf ≥ 6,2 mmol/l beobachtet, wobei es bei 15 % zu einer anhaltenden Erhöhung des LDL auf ≥ 4,1 mmol/l kam. Die erhöhten Lipidwerte sprachen auf eine Behandlung mit Lipidsenkern an.</w:t>
      </w:r>
    </w:p>
    <w:p w14:paraId="62400689" w14:textId="77777777" w:rsidR="00093A5E" w:rsidRPr="006A64EE" w:rsidRDefault="00093A5E" w:rsidP="004255F8">
      <w:pPr>
        <w:pStyle w:val="a3"/>
        <w:widowControl/>
      </w:pPr>
    </w:p>
    <w:p w14:paraId="4FA1CB38" w14:textId="77777777" w:rsidR="00093A5E" w:rsidRPr="006A64EE" w:rsidRDefault="009C2544" w:rsidP="004255F8">
      <w:pPr>
        <w:pStyle w:val="a3"/>
        <w:widowControl/>
      </w:pPr>
      <w:r w:rsidRPr="006A64EE">
        <w:t>Während der doppelblinden, kontrollierten Phase und der Langzeitexposition blieben die Art und die Inzidenz der Erhöhung der Lipidwerte vergleichbar mit der, die während der 6-monatigen kontrollierten klinischen Prüfungen beobachtet wurde.</w:t>
      </w:r>
    </w:p>
    <w:p w14:paraId="0CFE0847" w14:textId="77777777" w:rsidR="00093A5E" w:rsidRPr="006A64EE" w:rsidRDefault="00093A5E" w:rsidP="004255F8">
      <w:pPr>
        <w:pStyle w:val="a3"/>
        <w:widowControl/>
      </w:pPr>
    </w:p>
    <w:p w14:paraId="1EF24199" w14:textId="77777777" w:rsidR="00093A5E" w:rsidRPr="006A64EE" w:rsidRDefault="009C2544" w:rsidP="004255F8">
      <w:pPr>
        <w:widowControl/>
        <w:jc w:val="both"/>
        <w:rPr>
          <w:i/>
        </w:rPr>
      </w:pPr>
      <w:r w:rsidRPr="006A64EE">
        <w:rPr>
          <w:i/>
        </w:rPr>
        <w:t>Maligne Erkrankungen</w:t>
      </w:r>
    </w:p>
    <w:p w14:paraId="66EA6DAE" w14:textId="1CCA88FC" w:rsidR="00093A5E" w:rsidRPr="006A64EE" w:rsidRDefault="009C2544" w:rsidP="00A27366">
      <w:pPr>
        <w:pStyle w:val="a3"/>
        <w:widowControl/>
      </w:pPr>
      <w:r w:rsidRPr="006A64EE">
        <w:t xml:space="preserve">Die klinischen Daten sind nicht ausreichend, um die potenzielle Inzidenz von malignen Erkrankungen nach Exposition mit </w:t>
      </w:r>
      <w:r w:rsidR="005613EF">
        <w:t>Tocilizumab</w:t>
      </w:r>
      <w:r w:rsidRPr="006A64EE">
        <w:t xml:space="preserve"> zu beurteilen. Derzeit werden Untersuchungen zur Langzeitsicherheit durchgeführt.</w:t>
      </w:r>
    </w:p>
    <w:p w14:paraId="4A7E8BAB" w14:textId="77777777" w:rsidR="00093A5E" w:rsidRPr="006A64EE" w:rsidRDefault="00093A5E" w:rsidP="004255F8">
      <w:pPr>
        <w:pStyle w:val="a3"/>
        <w:widowControl/>
        <w:jc w:val="both"/>
      </w:pPr>
    </w:p>
    <w:p w14:paraId="4F776BE1" w14:textId="77777777" w:rsidR="00093A5E" w:rsidRPr="006A64EE" w:rsidRDefault="009C2544" w:rsidP="004255F8">
      <w:pPr>
        <w:keepNext/>
        <w:widowControl/>
        <w:rPr>
          <w:i/>
        </w:rPr>
      </w:pPr>
      <w:r w:rsidRPr="006A64EE">
        <w:rPr>
          <w:i/>
        </w:rPr>
        <w:t>Hautreaktionen</w:t>
      </w:r>
    </w:p>
    <w:p w14:paraId="4ACE12FC" w14:textId="77777777" w:rsidR="00093A5E" w:rsidRPr="006A64EE" w:rsidRDefault="009C2544" w:rsidP="004255F8">
      <w:pPr>
        <w:pStyle w:val="a3"/>
        <w:widowControl/>
      </w:pPr>
      <w:r w:rsidRPr="006A64EE">
        <w:t>Nach der Markteinführung gab es seltene Berichte über Stevens-Johnson-Syndrom.</w:t>
      </w:r>
    </w:p>
    <w:p w14:paraId="74E0B539" w14:textId="77777777" w:rsidR="005613EF" w:rsidRPr="00890245" w:rsidRDefault="005613EF" w:rsidP="005613EF"/>
    <w:p w14:paraId="6B9552F3" w14:textId="77777777" w:rsidR="005613EF" w:rsidRPr="00890245" w:rsidRDefault="005613EF" w:rsidP="005613EF">
      <w:pPr>
        <w:keepNext/>
        <w:rPr>
          <w:u w:val="single"/>
        </w:rPr>
      </w:pPr>
      <w:r w:rsidRPr="00890245">
        <w:rPr>
          <w:u w:val="single"/>
        </w:rPr>
        <w:t>Immunogenität</w:t>
      </w:r>
    </w:p>
    <w:p w14:paraId="22DA4195" w14:textId="66E4E314" w:rsidR="00471796" w:rsidRPr="00890245" w:rsidRDefault="005613EF" w:rsidP="00471796">
      <w:r w:rsidRPr="00890245">
        <w:t xml:space="preserve">Während der Behandlung mit Tocilizumab können sich Antikörper gegen Tocilizumab entwickeln. </w:t>
      </w:r>
      <w:r w:rsidR="00471796" w:rsidRPr="00890245">
        <w:t xml:space="preserve">Es </w:t>
      </w:r>
      <w:r w:rsidR="00471796">
        <w:t>kann ein</w:t>
      </w:r>
      <w:r w:rsidR="00471796" w:rsidRPr="00890245">
        <w:t xml:space="preserve"> Zusammenhang zwischen der Entwicklung von Antikörpern und dem klinischen Ansprechen oder unerwünschten Ereignissen beobachtet</w:t>
      </w:r>
      <w:r w:rsidR="00471796">
        <w:t xml:space="preserve"> werden</w:t>
      </w:r>
      <w:r w:rsidR="00471796" w:rsidRPr="00890245">
        <w:t>.</w:t>
      </w:r>
    </w:p>
    <w:p w14:paraId="5EBB3505" w14:textId="2A12AD4C" w:rsidR="00093A5E" w:rsidRPr="006A64EE" w:rsidRDefault="00093A5E" w:rsidP="00471796"/>
    <w:p w14:paraId="1AC6D8B5" w14:textId="77777777" w:rsidR="00093A5E" w:rsidRPr="006A64EE" w:rsidRDefault="009C2544" w:rsidP="004255F8">
      <w:pPr>
        <w:pStyle w:val="a3"/>
        <w:widowControl/>
      </w:pPr>
      <w:r w:rsidRPr="006A64EE">
        <w:rPr>
          <w:u w:val="single"/>
        </w:rPr>
        <w:t>Meldung des Verdachts auf Nebenwirkungen</w:t>
      </w:r>
    </w:p>
    <w:p w14:paraId="603168AD" w14:textId="77777777" w:rsidR="00093A5E" w:rsidRPr="006A64EE" w:rsidRDefault="009C2544" w:rsidP="004255F8">
      <w:pPr>
        <w:pStyle w:val="a3"/>
        <w:widowControl/>
      </w:pPr>
      <w:r w:rsidRPr="006A64EE">
        <w:t>Die Meldung des Verdachts auf Nebenwirkungen nach der Zulassung ist von großer Wichtigkeit. Sie ermöglicht eine kontinuierliche Überwachung des Nutzen-Risiko-Verhältnisses des Arzneimittels.</w:t>
      </w:r>
    </w:p>
    <w:p w14:paraId="5749ED06" w14:textId="7B01CCF4" w:rsidR="00093A5E" w:rsidRDefault="009C2544" w:rsidP="004255F8">
      <w:pPr>
        <w:pStyle w:val="a3"/>
        <w:widowControl/>
      </w:pPr>
      <w:r w:rsidRPr="006A64EE">
        <w:t xml:space="preserve">Angehörige von Gesundheitsberufen sind aufgefordert, jeden Verdachtsfall einer Nebenwirkung über </w:t>
      </w:r>
      <w:r w:rsidRPr="00F0391F">
        <w:rPr>
          <w:shd w:val="pct15" w:color="auto" w:fill="FFFFFF"/>
        </w:rPr>
        <w:t xml:space="preserve">das in </w:t>
      </w:r>
      <w:r w:rsidR="002D5756">
        <w:fldChar w:fldCharType="begin"/>
      </w:r>
      <w:r w:rsidR="002D5756">
        <w:instrText>HYPERLINK "https://www.ema.europa.eu/documents/template-form/appendix-v-adverse-drug-reaction-reporting-details_en.doc"</w:instrText>
      </w:r>
      <w:r w:rsidR="002D5756">
        <w:fldChar w:fldCharType="separate"/>
      </w:r>
      <w:r w:rsidR="002D5756" w:rsidRPr="00F0391F">
        <w:rPr>
          <w:rStyle w:val="a8"/>
          <w:shd w:val="pct15" w:color="auto" w:fill="FFFFFF"/>
        </w:rPr>
        <w:t>Anhang V</w:t>
      </w:r>
      <w:r w:rsidR="002D5756">
        <w:fldChar w:fldCharType="end"/>
      </w:r>
      <w:r w:rsidRPr="00F0391F">
        <w:rPr>
          <w:shd w:val="pct15" w:color="auto" w:fill="FFFFFF"/>
        </w:rPr>
        <w:t xml:space="preserve"> aufgeführte nationale Meldesystem anzuzeigen</w:t>
      </w:r>
      <w:r w:rsidRPr="006A64EE">
        <w:t>.</w:t>
      </w:r>
    </w:p>
    <w:p w14:paraId="0F20B324" w14:textId="74852159" w:rsidR="00B926F4" w:rsidRDefault="00B926F4" w:rsidP="004255F8">
      <w:pPr>
        <w:pStyle w:val="a3"/>
        <w:widowControl/>
      </w:pPr>
    </w:p>
    <w:p w14:paraId="53A7B68A" w14:textId="77777777" w:rsidR="00093A5E" w:rsidRPr="006A64EE" w:rsidRDefault="0059713A" w:rsidP="004255F8">
      <w:pPr>
        <w:pStyle w:val="2"/>
        <w:ind w:left="0" w:firstLine="0"/>
      </w:pPr>
      <w:r w:rsidRPr="006A64EE">
        <w:t>4.9</w:t>
      </w:r>
      <w:r w:rsidRPr="006A64EE">
        <w:tab/>
        <w:t>Überdosierung</w:t>
      </w:r>
    </w:p>
    <w:p w14:paraId="6412B28F" w14:textId="77777777" w:rsidR="00093A5E" w:rsidRPr="006A64EE" w:rsidRDefault="00093A5E" w:rsidP="004255F8">
      <w:pPr>
        <w:pStyle w:val="a3"/>
        <w:widowControl/>
      </w:pPr>
    </w:p>
    <w:p w14:paraId="3CFE3002" w14:textId="20F5F953" w:rsidR="00093A5E" w:rsidRPr="006A64EE" w:rsidRDefault="009C2544" w:rsidP="004255F8">
      <w:pPr>
        <w:pStyle w:val="a3"/>
        <w:widowControl/>
      </w:pPr>
      <w:r w:rsidRPr="006A64EE">
        <w:t xml:space="preserve">Es liegen nur limitierte Daten zu Überdosierungen mit </w:t>
      </w:r>
      <w:r w:rsidR="00BE6557">
        <w:t>Tocilizumab</w:t>
      </w:r>
      <w:r w:rsidR="00BE6557" w:rsidRPr="006A64EE">
        <w:t xml:space="preserve"> </w:t>
      </w:r>
      <w:r w:rsidRPr="006A64EE">
        <w:t>vor. Ein Fall einer versehentlichen Überdosierung wurde bei einer Patientin mit multiplem Myelom beobachtet, die eine einmalige intravenös verabreichte Dosis von 40 mg/kg erhielt. Es wurden keine Nebenwirkungen beobachtet.</w:t>
      </w:r>
    </w:p>
    <w:p w14:paraId="7E84A386" w14:textId="77777777" w:rsidR="00093A5E" w:rsidRPr="006A64EE" w:rsidRDefault="00093A5E" w:rsidP="004255F8">
      <w:pPr>
        <w:pStyle w:val="a3"/>
        <w:widowControl/>
      </w:pPr>
    </w:p>
    <w:p w14:paraId="3FDC60E2" w14:textId="77777777" w:rsidR="00093A5E" w:rsidRPr="006A64EE" w:rsidRDefault="009C2544" w:rsidP="004255F8">
      <w:pPr>
        <w:pStyle w:val="a3"/>
        <w:widowControl/>
      </w:pPr>
      <w:r w:rsidRPr="006A64EE">
        <w:t>Bei gesunden Freiwilligen, die Dosen von bis zu 28 mg/kg erhielten, wurden keine schwerwiegenden Nebenwirkungen beobachtet, wenngleich dosislimitierende Neutropenie beobachtet wurde.</w:t>
      </w:r>
    </w:p>
    <w:p w14:paraId="047D8763" w14:textId="77777777" w:rsidR="00093A5E" w:rsidRPr="006A64EE" w:rsidRDefault="00093A5E" w:rsidP="004255F8">
      <w:pPr>
        <w:pStyle w:val="a3"/>
        <w:widowControl/>
      </w:pPr>
    </w:p>
    <w:p w14:paraId="5EBF86CD" w14:textId="77777777" w:rsidR="00093A5E" w:rsidRPr="006A64EE" w:rsidRDefault="00093A5E" w:rsidP="004255F8">
      <w:pPr>
        <w:pStyle w:val="a3"/>
        <w:widowControl/>
      </w:pPr>
    </w:p>
    <w:p w14:paraId="3A173E7F" w14:textId="77777777" w:rsidR="00093A5E" w:rsidRPr="006A64EE" w:rsidRDefault="0059713A" w:rsidP="00891282">
      <w:pPr>
        <w:pStyle w:val="1"/>
      </w:pPr>
      <w:r w:rsidRPr="006A64EE">
        <w:lastRenderedPageBreak/>
        <w:t>5.</w:t>
      </w:r>
      <w:r w:rsidRPr="006A64EE">
        <w:tab/>
        <w:t>PHARMAKOLOGISCHE EIGENSCHAFTEN</w:t>
      </w:r>
    </w:p>
    <w:p w14:paraId="28C564FB" w14:textId="77777777" w:rsidR="00093A5E" w:rsidRPr="006A64EE" w:rsidRDefault="00093A5E" w:rsidP="00B320E1">
      <w:pPr>
        <w:pStyle w:val="a3"/>
        <w:keepNext/>
        <w:widowControl/>
        <w:rPr>
          <w:b/>
        </w:rPr>
      </w:pPr>
    </w:p>
    <w:p w14:paraId="511C3689" w14:textId="77777777" w:rsidR="00093A5E" w:rsidRPr="006A64EE" w:rsidRDefault="0059713A" w:rsidP="004255F8">
      <w:pPr>
        <w:pStyle w:val="2"/>
        <w:ind w:left="0" w:firstLine="0"/>
      </w:pPr>
      <w:r w:rsidRPr="006A64EE">
        <w:t>5.1</w:t>
      </w:r>
      <w:r w:rsidRPr="006A64EE">
        <w:tab/>
        <w:t>Pharmakodynamische Eigenschaften</w:t>
      </w:r>
    </w:p>
    <w:p w14:paraId="42650B5F" w14:textId="77777777" w:rsidR="00093A5E" w:rsidRPr="006A64EE" w:rsidRDefault="00093A5E" w:rsidP="004255F8">
      <w:pPr>
        <w:pStyle w:val="a3"/>
        <w:widowControl/>
      </w:pPr>
    </w:p>
    <w:p w14:paraId="6A6A5B31" w14:textId="19993CE9" w:rsidR="00093A5E" w:rsidRPr="006A64EE" w:rsidRDefault="009C2544" w:rsidP="004255F8">
      <w:pPr>
        <w:pStyle w:val="a3"/>
        <w:widowControl/>
      </w:pPr>
      <w:r w:rsidRPr="006A64EE">
        <w:t>Pharmakotherapeutische Gruppe: Immunsuppressiva, Interleukin-Inhibitoren; ATC-Code: L04AC07.</w:t>
      </w:r>
    </w:p>
    <w:p w14:paraId="366557EE" w14:textId="77777777" w:rsidR="00BE6557" w:rsidRDefault="00BE6557" w:rsidP="00BE6557"/>
    <w:p w14:paraId="6732E931" w14:textId="09132AD5" w:rsidR="00BE6557" w:rsidRPr="00890245" w:rsidRDefault="00BE6557" w:rsidP="00BE6557">
      <w:r w:rsidRPr="00890245">
        <w:t xml:space="preserve">Avtozma ist ein Biosimilar-Arzneimittel. Ausführliche Informationen sind auf den Internetseiten der Europäischen Arzneimittel-Agentur </w:t>
      </w:r>
      <w:r>
        <w:fldChar w:fldCharType="begin"/>
      </w:r>
      <w:r>
        <w:instrText>HYPERLINK "https://www.ema.europa.eu"</w:instrText>
      </w:r>
      <w:r>
        <w:fldChar w:fldCharType="separate"/>
      </w:r>
      <w:r w:rsidRPr="00890245">
        <w:rPr>
          <w:rStyle w:val="a8"/>
        </w:rPr>
        <w:t>https://www.ema.europa.eu</w:t>
      </w:r>
      <w:r>
        <w:fldChar w:fldCharType="end"/>
      </w:r>
      <w:r w:rsidRPr="00890245">
        <w:t xml:space="preserve"> verfügbar.</w:t>
      </w:r>
    </w:p>
    <w:p w14:paraId="0D39497C" w14:textId="77777777" w:rsidR="00093A5E" w:rsidRPr="006A64EE" w:rsidRDefault="00093A5E" w:rsidP="004255F8">
      <w:pPr>
        <w:pStyle w:val="a3"/>
        <w:widowControl/>
      </w:pPr>
    </w:p>
    <w:p w14:paraId="3F5230BD" w14:textId="77777777" w:rsidR="00093A5E" w:rsidRPr="006A64EE" w:rsidRDefault="009C2544" w:rsidP="004255F8">
      <w:pPr>
        <w:pStyle w:val="a3"/>
        <w:widowControl/>
        <w:rPr>
          <w:u w:val="single"/>
        </w:rPr>
      </w:pPr>
      <w:r w:rsidRPr="006A64EE">
        <w:rPr>
          <w:u w:val="single"/>
        </w:rPr>
        <w:t>Wirkmechanismus</w:t>
      </w:r>
    </w:p>
    <w:p w14:paraId="49B75621" w14:textId="728D4634" w:rsidR="00093A5E" w:rsidRPr="006A64EE" w:rsidRDefault="00354C7F" w:rsidP="004255F8">
      <w:pPr>
        <w:pStyle w:val="a3"/>
        <w:widowControl/>
      </w:pPr>
      <w:r>
        <w:t>Tocilizumab</w:t>
      </w:r>
      <w:r w:rsidRPr="006A64EE">
        <w:t xml:space="preserve"> </w:t>
      </w:r>
      <w:r w:rsidR="009C2544" w:rsidRPr="006A64EE">
        <w:t>bindet spezifisch sowohl an lösliche als auch an membrangebundene IL-6-Rezeptoren</w:t>
      </w:r>
      <w:r w:rsidR="00891117" w:rsidRPr="006A64EE">
        <w:t xml:space="preserve"> </w:t>
      </w:r>
      <w:r w:rsidR="009C2544" w:rsidRPr="006A64EE">
        <w:t xml:space="preserve">(sIL-6R und mIL-6R). Es wurde gezeigt, dass </w:t>
      </w:r>
      <w:r>
        <w:t>Tocilizumab</w:t>
      </w:r>
      <w:r w:rsidR="009C2544" w:rsidRPr="006A64EE">
        <w:t xml:space="preserve"> die sIL-6R- und mIL-6R-vermittelte Signaltransduktion inhibiert. IL-6 ist ein pleiotropes, proinflammatorisches Zytokin, das von einer Vielzahl verschiedener Zelltypen, wie T- und B-Zellen, Monozyten und Fibroblasten, produziert wird. IL-6 ist an verschiedenen physiologischen Prozessen, wie der T-Zell-Aktivierung, Induktion der Sekretion von Immunglobulinen, Induktion der Synthese von hepatischen Akut-Phase-Proteinen und Stimulation der Hämatopoese, beteiligt. IL-6 wird mit der Entstehung von Krankheiten in Verbindung gebracht, einschließlich entzündlicher Erkrankungen, Osteoporose und Neoplasien.</w:t>
      </w:r>
    </w:p>
    <w:p w14:paraId="197013CC" w14:textId="77777777" w:rsidR="00093A5E" w:rsidRPr="006A64EE" w:rsidRDefault="00093A5E" w:rsidP="004255F8">
      <w:pPr>
        <w:pStyle w:val="a3"/>
        <w:widowControl/>
      </w:pPr>
    </w:p>
    <w:p w14:paraId="49CECBC9" w14:textId="77777777" w:rsidR="00093A5E" w:rsidRPr="006A64EE" w:rsidRDefault="009C2544" w:rsidP="004255F8">
      <w:pPr>
        <w:pStyle w:val="a3"/>
        <w:widowControl/>
      </w:pPr>
      <w:r w:rsidRPr="006A64EE">
        <w:rPr>
          <w:u w:val="single"/>
        </w:rPr>
        <w:t>Pharmakodynamische Wirkungen</w:t>
      </w:r>
    </w:p>
    <w:p w14:paraId="6ED64497" w14:textId="7EE28FEF" w:rsidR="00093A5E" w:rsidRPr="006A64EE" w:rsidRDefault="009C2544" w:rsidP="004255F8">
      <w:pPr>
        <w:pStyle w:val="a3"/>
        <w:widowControl/>
      </w:pPr>
      <w:r w:rsidRPr="006A64EE">
        <w:t xml:space="preserve">In klinischen Prüfungen zur RA mit </w:t>
      </w:r>
      <w:r w:rsidR="00354C7F">
        <w:t>Tocilizumab</w:t>
      </w:r>
      <w:r w:rsidRPr="006A64EE">
        <w:t xml:space="preserve"> wurde eine rasche Abnahme des CRP, der Blutsenkungsgeschwindigkeit (BSG), des Serum-Amyloid-Proteins A (SAA) und des Fibrinogens beobachtet. Entsprechend der Wirkung auf die Akut-Phase-Reaktanten wurde eine Reduktion der Thrombozytenanzahl, die innerhalb der normalen Grenzen lag, mit </w:t>
      </w:r>
      <w:r w:rsidR="00354C7F">
        <w:t>Tocilizumab</w:t>
      </w:r>
      <w:r w:rsidRPr="006A64EE">
        <w:t xml:space="preserve"> in Verbindung</w:t>
      </w:r>
      <w:r w:rsidR="00891117" w:rsidRPr="006A64EE">
        <w:t xml:space="preserve"> </w:t>
      </w:r>
      <w:r w:rsidR="007D680A" w:rsidRPr="006A64EE">
        <w:t xml:space="preserve">gebracht. Aufgrund der durch </w:t>
      </w:r>
      <w:r w:rsidR="00354C7F">
        <w:t>Tocilizumab</w:t>
      </w:r>
      <w:r w:rsidR="007D680A" w:rsidRPr="006A64EE">
        <w:t xml:space="preserve"> induzierten verminderten Wirkung von IL-6 auf die Hepcidin-Produktion, die zu einer erhöhten Verfügbarkeit von Eisen führt, wurde ein Anstieg der Hämoglobinwerte beobachtet. Bei den mit </w:t>
      </w:r>
      <w:r w:rsidR="00354C7F">
        <w:t>Tocilizumab</w:t>
      </w:r>
      <w:r w:rsidR="007D680A" w:rsidRPr="006A64EE">
        <w:t xml:space="preserve"> behandelten Patienten zeigte sich bereits nach 2 Wochen ein Rückgang der CRP-Werte auf Werte innerhalb des Normalbereichs, der während der Behandlung andauerte.</w:t>
      </w:r>
    </w:p>
    <w:p w14:paraId="2D12549C" w14:textId="77777777" w:rsidR="00093A5E" w:rsidRPr="006A64EE" w:rsidRDefault="00093A5E" w:rsidP="004255F8">
      <w:pPr>
        <w:pStyle w:val="a3"/>
        <w:widowControl/>
      </w:pPr>
    </w:p>
    <w:p w14:paraId="6D92CD2D" w14:textId="4FFA2A37" w:rsidR="00093A5E" w:rsidRPr="006A64EE" w:rsidRDefault="009C2544" w:rsidP="004255F8">
      <w:pPr>
        <w:pStyle w:val="a3"/>
        <w:widowControl/>
      </w:pPr>
      <w:r w:rsidRPr="006A64EE">
        <w:t xml:space="preserve">In der klinischen Studie WA28119 zur RZA wurden ähnlich rasche Abnahmen des CRP und der ESR bei gleichzeitig leichten Anstiegen der Konzentration des mittleren korpuskulären Hämoglobingehalts (MCH) beobachtet. Bei gesunden Freiwilligen, denen 2 mg/kg bis 28 mg/kg </w:t>
      </w:r>
      <w:r w:rsidR="00354C7F">
        <w:t>Tocilizumab</w:t>
      </w:r>
      <w:r w:rsidRPr="006A64EE">
        <w:t xml:space="preserve"> intravenös und 81 mg bis 162 mg subkutan verabreicht wurden, fiel die absolute Anzahl der neutrophilen Granulozyten 2 bis 5 Tage nach der Verabreichung auf den niedrigsten Wert ab. Danach stieg die Anzahl neutrophiler Granulozyten dosisabhängig wieder auf den Ausgangswert an. Patienten mit RA und RZA zeigen nach Verabreichung von </w:t>
      </w:r>
      <w:r w:rsidR="00354C7F">
        <w:t>Tocilizumab</w:t>
      </w:r>
      <w:r w:rsidRPr="006A64EE">
        <w:t xml:space="preserve"> eine mit gesunden Patienten vergleichbare Verringerung der Anzahl neutrophiler Granulozyten (siehe Abschnitt 4.8).</w:t>
      </w:r>
    </w:p>
    <w:p w14:paraId="33D62591" w14:textId="77777777" w:rsidR="00093A5E" w:rsidRPr="006A64EE" w:rsidRDefault="00093A5E" w:rsidP="004255F8">
      <w:pPr>
        <w:pStyle w:val="a3"/>
        <w:widowControl/>
      </w:pPr>
    </w:p>
    <w:p w14:paraId="013BDDB2" w14:textId="77777777" w:rsidR="00093A5E" w:rsidRPr="006A64EE" w:rsidRDefault="009C2544" w:rsidP="004255F8">
      <w:pPr>
        <w:pStyle w:val="a3"/>
        <w:keepNext/>
        <w:widowControl/>
      </w:pPr>
      <w:r w:rsidRPr="006A64EE">
        <w:rPr>
          <w:u w:val="single"/>
        </w:rPr>
        <w:t>Subkutane Anwendung</w:t>
      </w:r>
    </w:p>
    <w:p w14:paraId="5F33CB74" w14:textId="77777777" w:rsidR="00093A5E" w:rsidRPr="006A64EE" w:rsidRDefault="009C2544" w:rsidP="004255F8">
      <w:pPr>
        <w:keepNext/>
        <w:widowControl/>
        <w:rPr>
          <w:b/>
        </w:rPr>
      </w:pPr>
      <w:r w:rsidRPr="006A64EE">
        <w:rPr>
          <w:b/>
          <w:u w:val="single"/>
        </w:rPr>
        <w:t>RA</w:t>
      </w:r>
    </w:p>
    <w:p w14:paraId="67CECEEF" w14:textId="77777777" w:rsidR="00093A5E" w:rsidRPr="006A64EE" w:rsidRDefault="009C2544" w:rsidP="004255F8">
      <w:pPr>
        <w:pStyle w:val="a3"/>
        <w:keepNext/>
        <w:widowControl/>
      </w:pPr>
      <w:r w:rsidRPr="006A64EE">
        <w:rPr>
          <w:u w:val="single"/>
        </w:rPr>
        <w:t>Klinische Wirksamkeit</w:t>
      </w:r>
    </w:p>
    <w:p w14:paraId="198828C6" w14:textId="26C263AE" w:rsidR="00093A5E" w:rsidRPr="006A64EE" w:rsidRDefault="009C2544" w:rsidP="004255F8">
      <w:pPr>
        <w:pStyle w:val="a3"/>
        <w:widowControl/>
      </w:pPr>
      <w:r w:rsidRPr="006A64EE">
        <w:t xml:space="preserve">Die Wirksamkeit von subkutan verabreichtem </w:t>
      </w:r>
      <w:r w:rsidR="00354C7F">
        <w:t>Tocilizumab</w:t>
      </w:r>
      <w:r w:rsidRPr="006A64EE">
        <w:t xml:space="preserve"> im Hinblick auf die Linderung der Anzeichen und Symptome von RA und dem radiologischen Ansprechen wurde in zwei randomisierten, doppelblinden, kontrollierten, multizentrischen Studien untersucht. In die Studie I (SC-I) wurden nur Patienten &gt; 18 Jahre mit einer anhand der ACR-Kriterien diagnostizierten mittelschweren bis schweren aktiven RA eingeschlossen, die zum Zeitpunkt des Einschlusses mindestens vier druckschmerzempfindliche und vier geschwollene Gelenke aufwiesen. Alle Patienten erhielten als Basismedikation nicht-biologische DMARDs. In die Studie II (SC-II) wurden nur Patienten &gt; 18 Jahre mit mittelschwerer bis schwerer aktiver RA, diagnostiziert auf Basis der ACR-Kriterien, eingeschlossen, die zum Zeitpunkt des Einschlusses mindestens acht druckschmerzempfindliche und sechs geschwollene Gelenke aufwiesen.</w:t>
      </w:r>
    </w:p>
    <w:p w14:paraId="1790EF0D" w14:textId="77777777" w:rsidR="00093A5E" w:rsidRPr="006A64EE" w:rsidRDefault="00093A5E" w:rsidP="004255F8">
      <w:pPr>
        <w:pStyle w:val="a3"/>
        <w:widowControl/>
      </w:pPr>
    </w:p>
    <w:p w14:paraId="70183660" w14:textId="77777777" w:rsidR="00093A5E" w:rsidRPr="006A64EE" w:rsidRDefault="009C2544" w:rsidP="004255F8">
      <w:pPr>
        <w:pStyle w:val="a3"/>
        <w:widowControl/>
      </w:pPr>
      <w:r w:rsidRPr="006A64EE">
        <w:t xml:space="preserve">Eine Umstellung von der intravenösen Gabe mit 8 mg/kg alle vier Wochen zur subkutanen Anwendung mit 162 mg jede Woche verändert die Exposition des Patienten. Das Ausmaß variiert abhängig vom Körpergewicht des Patienten (erhöht bei Patienten mit geringem Körpergewicht und </w:t>
      </w:r>
      <w:r w:rsidRPr="006A64EE">
        <w:lastRenderedPageBreak/>
        <w:t>verringert bei Patienten mit hohem Körpergewicht), aber das klinische Ergebnis entspricht dem intravenös behandelter Patienten.</w:t>
      </w:r>
    </w:p>
    <w:p w14:paraId="6BEAF550" w14:textId="77777777" w:rsidR="00093A5E" w:rsidRPr="006A64EE" w:rsidRDefault="00093A5E" w:rsidP="004255F8">
      <w:pPr>
        <w:pStyle w:val="a3"/>
        <w:widowControl/>
      </w:pPr>
    </w:p>
    <w:p w14:paraId="21E6F890" w14:textId="77777777" w:rsidR="00093A5E" w:rsidRPr="006A64EE" w:rsidRDefault="009C2544" w:rsidP="004255F8">
      <w:pPr>
        <w:pStyle w:val="a3"/>
        <w:widowControl/>
      </w:pPr>
      <w:r w:rsidRPr="006A64EE">
        <w:rPr>
          <w:u w:val="single"/>
        </w:rPr>
        <w:t>Klinisches Ansprechen</w:t>
      </w:r>
    </w:p>
    <w:p w14:paraId="43E788CB" w14:textId="55DE5B90" w:rsidR="00354C7F" w:rsidRDefault="009C2544" w:rsidP="004255F8">
      <w:pPr>
        <w:pStyle w:val="a3"/>
        <w:widowControl/>
      </w:pPr>
      <w:r w:rsidRPr="006A64EE">
        <w:t>In der Studie SC-I wurden Patienten mit mittelschwerer bis schwerer aktiver RA untersucht, die ein unzureichendes klinisches Ansprechen auf ihre bestehende rheumatologische Behandlung, einschließlich einem oder mehreren DMARD(s), hatten. Ungefähr 20</w:t>
      </w:r>
      <w:r w:rsidR="00DF3F57">
        <w:t> </w:t>
      </w:r>
      <w:r w:rsidRPr="006A64EE">
        <w:t>% dieser Patienten hatten in der Anamnese ein unzureichendes Ansprechen auf mindestens einen TNF-Inhibitor. In der Studie SC-I wurden 1</w:t>
      </w:r>
      <w:r w:rsidR="00DF3F57">
        <w:t> </w:t>
      </w:r>
      <w:r w:rsidRPr="006A64EE">
        <w:t>262</w:t>
      </w:r>
      <w:r w:rsidR="00DF3F57">
        <w:t> </w:t>
      </w:r>
      <w:r w:rsidRPr="006A64EE">
        <w:t xml:space="preserve">Patienten randomisiert im Verhältnis 1:1 entweder </w:t>
      </w:r>
      <w:r w:rsidR="00354C7F">
        <w:t>Tocilizumab</w:t>
      </w:r>
      <w:r w:rsidRPr="006A64EE">
        <w:t xml:space="preserve"> subkutan 162</w:t>
      </w:r>
      <w:r w:rsidR="00DF3F57">
        <w:t> </w:t>
      </w:r>
      <w:r w:rsidRPr="006A64EE">
        <w:t xml:space="preserve">mg einmal pro Woche oder </w:t>
      </w:r>
      <w:r w:rsidR="00354C7F">
        <w:t>Tocilizumab</w:t>
      </w:r>
      <w:r w:rsidRPr="006A64EE">
        <w:t xml:space="preserve"> intravenös 8</w:t>
      </w:r>
      <w:r w:rsidR="00DF3F57">
        <w:t> </w:t>
      </w:r>
      <w:r w:rsidRPr="006A64EE">
        <w:t>mg/kg alle vier Wochen, jeweils in Kombination mit nicht-biologischen DMARD(s), zugeteilt. Der primäre Endpunkt der Studie war der Unterschied im Anteil der Patienten, die ein ACR20-Ansprechen in Woche</w:t>
      </w:r>
      <w:r w:rsidR="00DF3F57">
        <w:t> </w:t>
      </w:r>
      <w:r w:rsidRPr="006A64EE">
        <w:t xml:space="preserve">24 erreichten. </w:t>
      </w:r>
    </w:p>
    <w:p w14:paraId="07CD9B56" w14:textId="77777777" w:rsidR="00354C7F" w:rsidRDefault="00354C7F" w:rsidP="004255F8">
      <w:pPr>
        <w:pStyle w:val="a3"/>
        <w:widowControl/>
      </w:pPr>
    </w:p>
    <w:p w14:paraId="395A3164" w14:textId="4E6B774E" w:rsidR="00093A5E" w:rsidRPr="006A64EE" w:rsidRDefault="009C2544" w:rsidP="004255F8">
      <w:pPr>
        <w:pStyle w:val="a3"/>
        <w:widowControl/>
      </w:pPr>
      <w:r w:rsidRPr="006A64EE">
        <w:t>Die Ergebnisse der Studie SC-I sind in Tabelle</w:t>
      </w:r>
      <w:r w:rsidR="00DF3F57">
        <w:t> </w:t>
      </w:r>
      <w:r w:rsidRPr="006A64EE">
        <w:t>2 dargestellt.</w:t>
      </w:r>
    </w:p>
    <w:p w14:paraId="54259B26" w14:textId="77777777" w:rsidR="00093A5E" w:rsidRPr="006A64EE" w:rsidRDefault="00093A5E" w:rsidP="004255F8">
      <w:pPr>
        <w:widowControl/>
      </w:pPr>
    </w:p>
    <w:p w14:paraId="2D7F2656" w14:textId="4D445806" w:rsidR="00093A5E" w:rsidRPr="006A64EE" w:rsidRDefault="007D680A" w:rsidP="004255F8">
      <w:pPr>
        <w:pStyle w:val="Tabletittle"/>
      </w:pPr>
      <w:r w:rsidRPr="006A64EE">
        <w:t>Tabelle</w:t>
      </w:r>
      <w:r w:rsidR="00DF3F57">
        <w:t> </w:t>
      </w:r>
      <w:r w:rsidRPr="006A64EE">
        <w:t>2:</w:t>
      </w:r>
      <w:r w:rsidR="002856D0" w:rsidRPr="006A64EE">
        <w:tab/>
      </w:r>
      <w:r w:rsidRPr="006A64EE">
        <w:t>ACR-Ansprechen in Studie SC-I (% Patienten) in Woche</w:t>
      </w:r>
      <w:r w:rsidR="00DF3F57">
        <w:t> </w:t>
      </w:r>
      <w:r w:rsidRPr="006A64EE">
        <w:t>24</w:t>
      </w:r>
    </w:p>
    <w:p w14:paraId="246D8E0E" w14:textId="41BDE822" w:rsidR="002D5756" w:rsidRPr="006A64EE" w:rsidRDefault="002D5756" w:rsidP="004255F8">
      <w:pPr>
        <w:pStyle w:val="a3"/>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911"/>
        <w:gridCol w:w="2576"/>
        <w:gridCol w:w="2574"/>
      </w:tblGrid>
      <w:tr w:rsidR="00593482" w:rsidRPr="006A64EE" w14:paraId="43F13D98" w14:textId="77777777" w:rsidTr="007372F1">
        <w:trPr>
          <w:cantSplit/>
        </w:trPr>
        <w:tc>
          <w:tcPr>
            <w:tcW w:w="3228" w:type="dxa"/>
          </w:tcPr>
          <w:p w14:paraId="19EF66E9" w14:textId="77777777" w:rsidR="002D5756" w:rsidRPr="006A64EE" w:rsidRDefault="002D5756" w:rsidP="004255F8">
            <w:pPr>
              <w:pStyle w:val="TableParagraph"/>
              <w:widowControl/>
              <w:suppressAutoHyphens/>
              <w:rPr>
                <w:sz w:val="20"/>
                <w:szCs w:val="20"/>
              </w:rPr>
            </w:pPr>
          </w:p>
        </w:tc>
        <w:tc>
          <w:tcPr>
            <w:tcW w:w="4250" w:type="dxa"/>
            <w:gridSpan w:val="2"/>
          </w:tcPr>
          <w:p w14:paraId="104BB87D" w14:textId="77777777" w:rsidR="002D5756" w:rsidRPr="006A64EE" w:rsidRDefault="009C2544" w:rsidP="004255F8">
            <w:pPr>
              <w:pStyle w:val="TableParagraph"/>
              <w:widowControl/>
              <w:suppressAutoHyphens/>
              <w:jc w:val="center"/>
              <w:rPr>
                <w:sz w:val="20"/>
                <w:szCs w:val="20"/>
              </w:rPr>
            </w:pPr>
            <w:r w:rsidRPr="006A64EE">
              <w:rPr>
                <w:sz w:val="20"/>
                <w:szCs w:val="20"/>
              </w:rPr>
              <w:t>SC-I</w:t>
            </w:r>
            <w:r w:rsidRPr="006A64EE">
              <w:rPr>
                <w:sz w:val="20"/>
                <w:szCs w:val="20"/>
                <w:vertAlign w:val="superscript"/>
              </w:rPr>
              <w:t>a</w:t>
            </w:r>
          </w:p>
        </w:tc>
      </w:tr>
      <w:tr w:rsidR="00593482" w:rsidRPr="006A64EE" w14:paraId="7F8EAE90" w14:textId="77777777" w:rsidTr="007372F1">
        <w:trPr>
          <w:cantSplit/>
        </w:trPr>
        <w:tc>
          <w:tcPr>
            <w:tcW w:w="3228" w:type="dxa"/>
          </w:tcPr>
          <w:p w14:paraId="18D4D42D" w14:textId="77777777" w:rsidR="002D5756" w:rsidRPr="006A64EE" w:rsidRDefault="002D5756" w:rsidP="004255F8">
            <w:pPr>
              <w:pStyle w:val="TableParagraph"/>
              <w:widowControl/>
              <w:suppressAutoHyphens/>
              <w:rPr>
                <w:sz w:val="20"/>
                <w:szCs w:val="20"/>
              </w:rPr>
            </w:pPr>
          </w:p>
        </w:tc>
        <w:tc>
          <w:tcPr>
            <w:tcW w:w="2126" w:type="dxa"/>
          </w:tcPr>
          <w:p w14:paraId="355ACD52" w14:textId="77777777" w:rsidR="00093A5E" w:rsidRPr="006A64EE" w:rsidRDefault="009C2544" w:rsidP="004255F8">
            <w:pPr>
              <w:pStyle w:val="TableParagraph"/>
              <w:widowControl/>
              <w:suppressAutoHyphens/>
              <w:jc w:val="center"/>
              <w:rPr>
                <w:sz w:val="20"/>
                <w:szCs w:val="20"/>
              </w:rPr>
            </w:pPr>
            <w:r w:rsidRPr="006A64EE">
              <w:rPr>
                <w:sz w:val="20"/>
                <w:szCs w:val="20"/>
              </w:rPr>
              <w:t xml:space="preserve">TCZ s.c. 162 mg </w:t>
            </w:r>
          </w:p>
          <w:p w14:paraId="0FBDADED" w14:textId="77777777" w:rsidR="00093A5E" w:rsidRPr="006A64EE" w:rsidRDefault="009C2544" w:rsidP="004255F8">
            <w:pPr>
              <w:pStyle w:val="TableParagraph"/>
              <w:widowControl/>
              <w:suppressAutoHyphens/>
              <w:jc w:val="center"/>
              <w:rPr>
                <w:sz w:val="20"/>
                <w:szCs w:val="20"/>
              </w:rPr>
            </w:pPr>
            <w:r w:rsidRPr="006A64EE">
              <w:rPr>
                <w:sz w:val="20"/>
                <w:szCs w:val="20"/>
              </w:rPr>
              <w:t>einmal pro Woche</w:t>
            </w:r>
          </w:p>
          <w:p w14:paraId="19F57A68" w14:textId="77777777" w:rsidR="00093A5E" w:rsidRPr="006A64EE" w:rsidRDefault="009C2544" w:rsidP="004255F8">
            <w:pPr>
              <w:pStyle w:val="TableParagraph"/>
              <w:widowControl/>
              <w:suppressAutoHyphens/>
              <w:jc w:val="center"/>
              <w:rPr>
                <w:sz w:val="20"/>
                <w:szCs w:val="20"/>
              </w:rPr>
            </w:pPr>
            <w:r w:rsidRPr="006A64EE">
              <w:rPr>
                <w:sz w:val="20"/>
                <w:szCs w:val="20"/>
              </w:rPr>
              <w:t>+ DMARD</w:t>
            </w:r>
          </w:p>
          <w:p w14:paraId="0BCC3145" w14:textId="7AC60688" w:rsidR="002D5756" w:rsidRPr="006A64EE" w:rsidRDefault="009C2544" w:rsidP="004255F8">
            <w:pPr>
              <w:pStyle w:val="TableParagraph"/>
              <w:widowControl/>
              <w:suppressAutoHyphens/>
              <w:jc w:val="center"/>
              <w:rPr>
                <w:sz w:val="20"/>
                <w:szCs w:val="20"/>
              </w:rPr>
            </w:pPr>
            <w:r w:rsidRPr="006A64EE">
              <w:rPr>
                <w:sz w:val="20"/>
                <w:szCs w:val="20"/>
              </w:rPr>
              <w:t>n = 558</w:t>
            </w:r>
          </w:p>
        </w:tc>
        <w:tc>
          <w:tcPr>
            <w:tcW w:w="2124" w:type="dxa"/>
          </w:tcPr>
          <w:p w14:paraId="4C356B4D" w14:textId="77777777" w:rsidR="00093A5E" w:rsidRPr="006A64EE" w:rsidRDefault="009C2544" w:rsidP="004255F8">
            <w:pPr>
              <w:pStyle w:val="TableParagraph"/>
              <w:widowControl/>
              <w:suppressAutoHyphens/>
              <w:jc w:val="center"/>
              <w:rPr>
                <w:sz w:val="20"/>
                <w:szCs w:val="20"/>
              </w:rPr>
            </w:pPr>
            <w:r w:rsidRPr="006A64EE">
              <w:rPr>
                <w:sz w:val="20"/>
                <w:szCs w:val="20"/>
              </w:rPr>
              <w:t>TCZ i.v. 8 mg/kg</w:t>
            </w:r>
          </w:p>
          <w:p w14:paraId="2C4DFB60" w14:textId="77777777" w:rsidR="00093A5E" w:rsidRPr="006A64EE" w:rsidRDefault="009C2544" w:rsidP="004255F8">
            <w:pPr>
              <w:pStyle w:val="TableParagraph"/>
              <w:widowControl/>
              <w:suppressAutoHyphens/>
              <w:jc w:val="center"/>
              <w:rPr>
                <w:sz w:val="20"/>
                <w:szCs w:val="20"/>
              </w:rPr>
            </w:pPr>
            <w:r w:rsidRPr="006A64EE">
              <w:rPr>
                <w:sz w:val="20"/>
                <w:szCs w:val="20"/>
              </w:rPr>
              <w:t>+ DMARD</w:t>
            </w:r>
          </w:p>
          <w:p w14:paraId="46B155AF" w14:textId="77777777" w:rsidR="00093A5E" w:rsidRPr="006A64EE" w:rsidRDefault="00093A5E" w:rsidP="004255F8">
            <w:pPr>
              <w:pStyle w:val="TableParagraph"/>
              <w:widowControl/>
              <w:suppressAutoHyphens/>
              <w:rPr>
                <w:i/>
                <w:sz w:val="20"/>
                <w:szCs w:val="20"/>
              </w:rPr>
            </w:pPr>
          </w:p>
          <w:p w14:paraId="11839242" w14:textId="77777777" w:rsidR="002D5756" w:rsidRPr="006A64EE" w:rsidRDefault="009C2544" w:rsidP="004255F8">
            <w:pPr>
              <w:pStyle w:val="TableParagraph"/>
              <w:widowControl/>
              <w:suppressAutoHyphens/>
              <w:jc w:val="center"/>
              <w:rPr>
                <w:sz w:val="20"/>
                <w:szCs w:val="20"/>
              </w:rPr>
            </w:pPr>
            <w:r w:rsidRPr="006A64EE">
              <w:rPr>
                <w:sz w:val="20"/>
                <w:szCs w:val="20"/>
              </w:rPr>
              <w:t>n = 537</w:t>
            </w:r>
          </w:p>
        </w:tc>
      </w:tr>
      <w:tr w:rsidR="00593482" w:rsidRPr="006A64EE" w14:paraId="65756DDD" w14:textId="77777777" w:rsidTr="007372F1">
        <w:trPr>
          <w:cantSplit/>
        </w:trPr>
        <w:tc>
          <w:tcPr>
            <w:tcW w:w="3228" w:type="dxa"/>
          </w:tcPr>
          <w:p w14:paraId="1FCBBA2F" w14:textId="77777777" w:rsidR="002D5756" w:rsidRPr="006A64EE" w:rsidRDefault="009C2544" w:rsidP="004255F8">
            <w:pPr>
              <w:pStyle w:val="TableParagraph"/>
              <w:widowControl/>
              <w:suppressAutoHyphens/>
              <w:jc w:val="right"/>
              <w:rPr>
                <w:sz w:val="20"/>
                <w:szCs w:val="20"/>
              </w:rPr>
            </w:pPr>
            <w:r w:rsidRPr="006A64EE">
              <w:rPr>
                <w:sz w:val="20"/>
                <w:szCs w:val="20"/>
              </w:rPr>
              <w:t>ACR20 Woche 24</w:t>
            </w:r>
          </w:p>
        </w:tc>
        <w:tc>
          <w:tcPr>
            <w:tcW w:w="2126" w:type="dxa"/>
          </w:tcPr>
          <w:p w14:paraId="65B257E4" w14:textId="77777777" w:rsidR="002D5756" w:rsidRPr="006A64EE" w:rsidRDefault="009C2544" w:rsidP="004255F8">
            <w:pPr>
              <w:pStyle w:val="TableParagraph"/>
              <w:widowControl/>
              <w:suppressAutoHyphens/>
              <w:jc w:val="center"/>
              <w:rPr>
                <w:sz w:val="20"/>
                <w:szCs w:val="20"/>
              </w:rPr>
            </w:pPr>
            <w:r w:rsidRPr="006A64EE">
              <w:rPr>
                <w:sz w:val="20"/>
                <w:szCs w:val="20"/>
              </w:rPr>
              <w:t>69,4 %</w:t>
            </w:r>
          </w:p>
        </w:tc>
        <w:tc>
          <w:tcPr>
            <w:tcW w:w="2124" w:type="dxa"/>
          </w:tcPr>
          <w:p w14:paraId="05E2B639" w14:textId="77777777" w:rsidR="002D5756" w:rsidRPr="006A64EE" w:rsidRDefault="009C2544" w:rsidP="004255F8">
            <w:pPr>
              <w:pStyle w:val="TableParagraph"/>
              <w:widowControl/>
              <w:suppressAutoHyphens/>
              <w:jc w:val="center"/>
              <w:rPr>
                <w:sz w:val="20"/>
                <w:szCs w:val="20"/>
              </w:rPr>
            </w:pPr>
            <w:r w:rsidRPr="006A64EE">
              <w:rPr>
                <w:sz w:val="20"/>
                <w:szCs w:val="20"/>
              </w:rPr>
              <w:t>73,4 %</w:t>
            </w:r>
          </w:p>
        </w:tc>
      </w:tr>
      <w:tr w:rsidR="00593482" w:rsidRPr="006A64EE" w14:paraId="3A93B05F" w14:textId="77777777" w:rsidTr="007372F1">
        <w:trPr>
          <w:cantSplit/>
        </w:trPr>
        <w:tc>
          <w:tcPr>
            <w:tcW w:w="3228" w:type="dxa"/>
          </w:tcPr>
          <w:p w14:paraId="6504AA39" w14:textId="77777777" w:rsidR="002D5756" w:rsidRPr="006A64EE" w:rsidRDefault="009C2544" w:rsidP="004255F8">
            <w:pPr>
              <w:pStyle w:val="TableParagraph"/>
              <w:widowControl/>
              <w:suppressAutoHyphens/>
              <w:jc w:val="right"/>
              <w:rPr>
                <w:sz w:val="20"/>
                <w:szCs w:val="20"/>
              </w:rPr>
            </w:pPr>
            <w:r w:rsidRPr="006A64EE">
              <w:rPr>
                <w:sz w:val="20"/>
                <w:szCs w:val="20"/>
              </w:rPr>
              <w:t>Gewichteter Unterschied (95-%-KI)</w:t>
            </w:r>
          </w:p>
        </w:tc>
        <w:tc>
          <w:tcPr>
            <w:tcW w:w="4250" w:type="dxa"/>
            <w:gridSpan w:val="2"/>
          </w:tcPr>
          <w:p w14:paraId="7F033EF8" w14:textId="77777777" w:rsidR="002D5756" w:rsidRPr="006A64EE" w:rsidRDefault="009C2544" w:rsidP="004255F8">
            <w:pPr>
              <w:pStyle w:val="TableParagraph"/>
              <w:widowControl/>
              <w:suppressAutoHyphens/>
              <w:jc w:val="center"/>
              <w:rPr>
                <w:sz w:val="20"/>
                <w:szCs w:val="20"/>
              </w:rPr>
            </w:pPr>
            <w:r w:rsidRPr="006A64EE">
              <w:rPr>
                <w:sz w:val="20"/>
                <w:szCs w:val="20"/>
              </w:rPr>
              <w:t>-4,0 (-9,2; 1,2)</w:t>
            </w:r>
          </w:p>
        </w:tc>
      </w:tr>
      <w:tr w:rsidR="00593482" w:rsidRPr="006A64EE" w14:paraId="34F6A81D" w14:textId="77777777" w:rsidTr="007372F1">
        <w:trPr>
          <w:cantSplit/>
        </w:trPr>
        <w:tc>
          <w:tcPr>
            <w:tcW w:w="3228" w:type="dxa"/>
          </w:tcPr>
          <w:p w14:paraId="4EE20527" w14:textId="77777777" w:rsidR="002D5756" w:rsidRPr="006A64EE" w:rsidRDefault="009C2544" w:rsidP="004255F8">
            <w:pPr>
              <w:pStyle w:val="TableParagraph"/>
              <w:widowControl/>
              <w:suppressAutoHyphens/>
              <w:jc w:val="right"/>
              <w:rPr>
                <w:sz w:val="20"/>
                <w:szCs w:val="20"/>
              </w:rPr>
            </w:pPr>
            <w:r w:rsidRPr="006A64EE">
              <w:rPr>
                <w:sz w:val="20"/>
                <w:szCs w:val="20"/>
              </w:rPr>
              <w:t>ACR50 Woche 24</w:t>
            </w:r>
          </w:p>
        </w:tc>
        <w:tc>
          <w:tcPr>
            <w:tcW w:w="2126" w:type="dxa"/>
          </w:tcPr>
          <w:p w14:paraId="4FEC7E70" w14:textId="77777777" w:rsidR="002D5756" w:rsidRPr="006A64EE" w:rsidRDefault="009C2544" w:rsidP="004255F8">
            <w:pPr>
              <w:pStyle w:val="TableParagraph"/>
              <w:widowControl/>
              <w:suppressAutoHyphens/>
              <w:jc w:val="center"/>
              <w:rPr>
                <w:sz w:val="20"/>
                <w:szCs w:val="20"/>
              </w:rPr>
            </w:pPr>
            <w:r w:rsidRPr="006A64EE">
              <w:rPr>
                <w:sz w:val="20"/>
                <w:szCs w:val="20"/>
              </w:rPr>
              <w:t>47,0 %</w:t>
            </w:r>
          </w:p>
        </w:tc>
        <w:tc>
          <w:tcPr>
            <w:tcW w:w="2124" w:type="dxa"/>
          </w:tcPr>
          <w:p w14:paraId="3EBB5D4A" w14:textId="77777777" w:rsidR="002D5756" w:rsidRPr="006A64EE" w:rsidRDefault="009C2544" w:rsidP="004255F8">
            <w:pPr>
              <w:pStyle w:val="TableParagraph"/>
              <w:widowControl/>
              <w:suppressAutoHyphens/>
              <w:jc w:val="center"/>
              <w:rPr>
                <w:sz w:val="20"/>
                <w:szCs w:val="20"/>
              </w:rPr>
            </w:pPr>
            <w:r w:rsidRPr="006A64EE">
              <w:rPr>
                <w:sz w:val="20"/>
                <w:szCs w:val="20"/>
              </w:rPr>
              <w:t>48,6 %</w:t>
            </w:r>
          </w:p>
        </w:tc>
      </w:tr>
      <w:tr w:rsidR="00593482" w:rsidRPr="006A64EE" w14:paraId="5884C4B6" w14:textId="77777777" w:rsidTr="007372F1">
        <w:trPr>
          <w:cantSplit/>
        </w:trPr>
        <w:tc>
          <w:tcPr>
            <w:tcW w:w="3228" w:type="dxa"/>
          </w:tcPr>
          <w:p w14:paraId="759C3E44" w14:textId="77777777" w:rsidR="002D5756" w:rsidRPr="006A64EE" w:rsidRDefault="009C2544" w:rsidP="004255F8">
            <w:pPr>
              <w:pStyle w:val="TableParagraph"/>
              <w:widowControl/>
              <w:suppressAutoHyphens/>
              <w:jc w:val="right"/>
              <w:rPr>
                <w:sz w:val="20"/>
                <w:szCs w:val="20"/>
              </w:rPr>
            </w:pPr>
            <w:r w:rsidRPr="006A64EE">
              <w:rPr>
                <w:sz w:val="20"/>
                <w:szCs w:val="20"/>
              </w:rPr>
              <w:t>Gewichteter Unterschied (95-%-KI)</w:t>
            </w:r>
          </w:p>
        </w:tc>
        <w:tc>
          <w:tcPr>
            <w:tcW w:w="4250" w:type="dxa"/>
            <w:gridSpan w:val="2"/>
          </w:tcPr>
          <w:p w14:paraId="060DBFD3" w14:textId="77777777" w:rsidR="002D5756" w:rsidRPr="006A64EE" w:rsidRDefault="009C2544" w:rsidP="004255F8">
            <w:pPr>
              <w:pStyle w:val="TableParagraph"/>
              <w:widowControl/>
              <w:suppressAutoHyphens/>
              <w:jc w:val="center"/>
              <w:rPr>
                <w:sz w:val="20"/>
                <w:szCs w:val="20"/>
              </w:rPr>
            </w:pPr>
            <w:r w:rsidRPr="006A64EE">
              <w:rPr>
                <w:sz w:val="20"/>
                <w:szCs w:val="20"/>
              </w:rPr>
              <w:t>-1,8 (-7,5; 4,0)</w:t>
            </w:r>
          </w:p>
        </w:tc>
      </w:tr>
      <w:tr w:rsidR="00593482" w:rsidRPr="006A64EE" w14:paraId="78DE5242" w14:textId="77777777" w:rsidTr="007372F1">
        <w:trPr>
          <w:cantSplit/>
        </w:trPr>
        <w:tc>
          <w:tcPr>
            <w:tcW w:w="3228" w:type="dxa"/>
          </w:tcPr>
          <w:p w14:paraId="787B69C2" w14:textId="77777777" w:rsidR="002D5756" w:rsidRPr="006A64EE" w:rsidRDefault="009C2544" w:rsidP="004255F8">
            <w:pPr>
              <w:pStyle w:val="TableParagraph"/>
              <w:widowControl/>
              <w:suppressAutoHyphens/>
              <w:jc w:val="right"/>
              <w:rPr>
                <w:sz w:val="20"/>
                <w:szCs w:val="20"/>
              </w:rPr>
            </w:pPr>
            <w:r w:rsidRPr="006A64EE">
              <w:rPr>
                <w:sz w:val="20"/>
                <w:szCs w:val="20"/>
              </w:rPr>
              <w:t>ACR70 Woche 24</w:t>
            </w:r>
          </w:p>
        </w:tc>
        <w:tc>
          <w:tcPr>
            <w:tcW w:w="2126" w:type="dxa"/>
          </w:tcPr>
          <w:p w14:paraId="31952A0B" w14:textId="77777777" w:rsidR="002D5756" w:rsidRPr="006A64EE" w:rsidRDefault="009C2544" w:rsidP="004255F8">
            <w:pPr>
              <w:pStyle w:val="TableParagraph"/>
              <w:widowControl/>
              <w:suppressAutoHyphens/>
              <w:jc w:val="center"/>
              <w:rPr>
                <w:sz w:val="20"/>
                <w:szCs w:val="20"/>
              </w:rPr>
            </w:pPr>
            <w:r w:rsidRPr="006A64EE">
              <w:rPr>
                <w:sz w:val="20"/>
                <w:szCs w:val="20"/>
              </w:rPr>
              <w:t>24,0 %</w:t>
            </w:r>
          </w:p>
        </w:tc>
        <w:tc>
          <w:tcPr>
            <w:tcW w:w="2124" w:type="dxa"/>
          </w:tcPr>
          <w:p w14:paraId="427AB77F" w14:textId="77777777" w:rsidR="002D5756" w:rsidRPr="006A64EE" w:rsidRDefault="009C2544" w:rsidP="004255F8">
            <w:pPr>
              <w:pStyle w:val="TableParagraph"/>
              <w:widowControl/>
              <w:suppressAutoHyphens/>
              <w:jc w:val="center"/>
              <w:rPr>
                <w:sz w:val="20"/>
                <w:szCs w:val="20"/>
              </w:rPr>
            </w:pPr>
            <w:r w:rsidRPr="006A64EE">
              <w:rPr>
                <w:sz w:val="20"/>
                <w:szCs w:val="20"/>
              </w:rPr>
              <w:t>27,9 %</w:t>
            </w:r>
          </w:p>
        </w:tc>
      </w:tr>
      <w:tr w:rsidR="00593482" w:rsidRPr="006A64EE" w14:paraId="6D986F5B" w14:textId="77777777" w:rsidTr="007372F1">
        <w:trPr>
          <w:cantSplit/>
        </w:trPr>
        <w:tc>
          <w:tcPr>
            <w:tcW w:w="3228" w:type="dxa"/>
          </w:tcPr>
          <w:p w14:paraId="0406A6FD" w14:textId="77777777" w:rsidR="002D5756" w:rsidRPr="006A64EE" w:rsidRDefault="009C2544" w:rsidP="004255F8">
            <w:pPr>
              <w:pStyle w:val="TableParagraph"/>
              <w:widowControl/>
              <w:suppressAutoHyphens/>
              <w:jc w:val="right"/>
              <w:rPr>
                <w:sz w:val="20"/>
                <w:szCs w:val="20"/>
              </w:rPr>
            </w:pPr>
            <w:r w:rsidRPr="006A64EE">
              <w:rPr>
                <w:sz w:val="20"/>
                <w:szCs w:val="20"/>
              </w:rPr>
              <w:t>Gewichteter Unterschied (95-%-KI)</w:t>
            </w:r>
          </w:p>
        </w:tc>
        <w:tc>
          <w:tcPr>
            <w:tcW w:w="4250" w:type="dxa"/>
            <w:gridSpan w:val="2"/>
          </w:tcPr>
          <w:p w14:paraId="0E40F8E0" w14:textId="77777777" w:rsidR="002D5756" w:rsidRPr="006A64EE" w:rsidRDefault="009C2544" w:rsidP="004255F8">
            <w:pPr>
              <w:pStyle w:val="TableParagraph"/>
              <w:widowControl/>
              <w:suppressAutoHyphens/>
              <w:jc w:val="center"/>
              <w:rPr>
                <w:sz w:val="20"/>
                <w:szCs w:val="20"/>
              </w:rPr>
            </w:pPr>
            <w:r w:rsidRPr="006A64EE">
              <w:rPr>
                <w:sz w:val="20"/>
                <w:szCs w:val="20"/>
              </w:rPr>
              <w:t>-3,8 (-9,0; 1,3)</w:t>
            </w:r>
          </w:p>
        </w:tc>
      </w:tr>
    </w:tbl>
    <w:p w14:paraId="1F539EB4" w14:textId="77777777" w:rsidR="00093A5E" w:rsidRPr="006A64EE" w:rsidRDefault="009C2544" w:rsidP="004255F8">
      <w:pPr>
        <w:widowControl/>
        <w:rPr>
          <w:sz w:val="18"/>
          <w:szCs w:val="18"/>
        </w:rPr>
      </w:pPr>
      <w:r w:rsidRPr="006A64EE">
        <w:rPr>
          <w:sz w:val="18"/>
          <w:szCs w:val="18"/>
        </w:rPr>
        <w:t>TCZ = Tocilizumab</w:t>
      </w:r>
    </w:p>
    <w:p w14:paraId="172C899E" w14:textId="77777777" w:rsidR="00093A5E" w:rsidRPr="006A64EE" w:rsidRDefault="00125B1C" w:rsidP="004255F8">
      <w:pPr>
        <w:widowControl/>
        <w:rPr>
          <w:sz w:val="18"/>
          <w:szCs w:val="18"/>
        </w:rPr>
      </w:pPr>
      <w:r w:rsidRPr="006A64EE">
        <w:rPr>
          <w:sz w:val="18"/>
          <w:szCs w:val="18"/>
          <w:vertAlign w:val="superscript"/>
        </w:rPr>
        <w:t>a</w:t>
      </w:r>
      <w:r w:rsidR="004B285C" w:rsidRPr="006A64EE">
        <w:rPr>
          <w:sz w:val="18"/>
          <w:szCs w:val="18"/>
          <w:vertAlign w:val="superscript"/>
        </w:rPr>
        <w:t xml:space="preserve"> </w:t>
      </w:r>
      <w:r w:rsidRPr="006A64EE">
        <w:rPr>
          <w:sz w:val="18"/>
          <w:szCs w:val="18"/>
        </w:rPr>
        <w:t>Per-Protokoll-Population</w:t>
      </w:r>
    </w:p>
    <w:p w14:paraId="22A83AEE" w14:textId="77777777" w:rsidR="00093A5E" w:rsidRPr="006A64EE" w:rsidRDefault="00093A5E" w:rsidP="004255F8">
      <w:pPr>
        <w:pStyle w:val="a3"/>
        <w:widowControl/>
      </w:pPr>
    </w:p>
    <w:p w14:paraId="5D3AE506" w14:textId="77777777" w:rsidR="00093A5E" w:rsidRPr="006A64EE" w:rsidRDefault="009C2544" w:rsidP="004255F8">
      <w:pPr>
        <w:pStyle w:val="a3"/>
        <w:widowControl/>
      </w:pPr>
      <w:r w:rsidRPr="006A64EE">
        <w:t>Die Patienten in Studie SC-I hatten bei Studieneinschluss einen mittleren Disease Activity Score (DAS28) von 6,6 im subkutanen und 6,7 im intravenösen Arm. In Woche 24 wurde eine signifikante Verringerung des DAS28 vom Ausgangswert (mittlere Verbesserung) um 3,5 in beiden Behandlungsarmen beobachtet, und ein vergleichbarer Anteil der Patienten erreichte eine klinische Remission des DAS28 (DAS28 &lt; 2,6), nämlich 38,4 % im subkutanen Arm und 36,9 % im intravenösen Arm.</w:t>
      </w:r>
    </w:p>
    <w:p w14:paraId="377101F4" w14:textId="77777777" w:rsidR="00093A5E" w:rsidRPr="006A64EE" w:rsidRDefault="00093A5E" w:rsidP="004255F8">
      <w:pPr>
        <w:pStyle w:val="a3"/>
        <w:widowControl/>
      </w:pPr>
    </w:p>
    <w:p w14:paraId="0556F618" w14:textId="77777777" w:rsidR="00093A5E" w:rsidRPr="006A64EE" w:rsidRDefault="009C2544" w:rsidP="004255F8">
      <w:pPr>
        <w:keepNext/>
        <w:widowControl/>
        <w:rPr>
          <w:i/>
        </w:rPr>
      </w:pPr>
      <w:r w:rsidRPr="006A64EE">
        <w:rPr>
          <w:i/>
        </w:rPr>
        <w:t>Radiologisches Ansprechen</w:t>
      </w:r>
    </w:p>
    <w:p w14:paraId="49A0382C" w14:textId="57AEAC8C" w:rsidR="00093A5E" w:rsidRPr="006A64EE" w:rsidRDefault="009C2544" w:rsidP="004255F8">
      <w:pPr>
        <w:pStyle w:val="a3"/>
        <w:widowControl/>
      </w:pPr>
      <w:r w:rsidRPr="006A64EE">
        <w:t xml:space="preserve">Das radiologische Ansprechen auf subkutan verabreichtes </w:t>
      </w:r>
      <w:r w:rsidR="00354C7F">
        <w:t>Tocilizumab</w:t>
      </w:r>
      <w:r w:rsidRPr="006A64EE">
        <w:t xml:space="preserve"> wurde in einer doppelblinden, kontrollierten, multizentrischen Studie bei Patienten mit aktiver RA bewertet (SC-II). In der</w:t>
      </w:r>
      <w:r w:rsidR="00125B1C" w:rsidRPr="006A64EE">
        <w:t xml:space="preserve"> </w:t>
      </w:r>
      <w:r w:rsidRPr="006A64EE">
        <w:t xml:space="preserve">Studie SC-II wurden Patienten mit mittelschwerer bis schwerer aktiver RA mit unzureichendem klinischen Ansprechen auf ihre bestehende rheumatologische Behandlung, einschließlich einem oder mehreren DMARD(s), untersucht. Von diesen Patienten hatten ungefähr 20 % in der Anamnese ein unzureichendes Ansprechen auf mindestens einen TNF-Inhibitor. Die Patienten mussten &gt; 18 Jahre sein und eine anhand der ACR-Kriterien diagnostizierte aktive RA mit mindestens acht druckschmerzempfindlichen und sechs geschwollenen Gelenken zum Zeitpunkt des Einschlusses aufweisen. In der Studie SC-II wurden 656 Patienten im Verhältnis 2:1 randomisiert entweder </w:t>
      </w:r>
      <w:r w:rsidR="00354C7F">
        <w:t>Tocilizumab</w:t>
      </w:r>
      <w:r w:rsidRPr="006A64EE">
        <w:t xml:space="preserve"> 162 mg subkutan alle zwei Wochen oder Placebo zugeteilt, jeweils in Kombination mit nicht-biologischen DMARDs.</w:t>
      </w:r>
    </w:p>
    <w:p w14:paraId="2297D391" w14:textId="77777777" w:rsidR="00093A5E" w:rsidRPr="006A64EE" w:rsidRDefault="00093A5E" w:rsidP="004255F8">
      <w:pPr>
        <w:pStyle w:val="a3"/>
        <w:widowControl/>
      </w:pPr>
    </w:p>
    <w:p w14:paraId="3A0156EE" w14:textId="40CE8DC2" w:rsidR="00093A5E" w:rsidRPr="006A64EE" w:rsidRDefault="009C2544" w:rsidP="004255F8">
      <w:pPr>
        <w:pStyle w:val="a3"/>
        <w:widowControl/>
      </w:pPr>
      <w:r w:rsidRPr="006A64EE">
        <w:t xml:space="preserve">In Studie SC-II wurde die Verhinderung von Gelenkschädigungen radiologisch bewertet und anhand der Veränderung des nach van der Heijde modifizierten mittleren Sharp-Gesamtscores (mTSS) verglichen mit den Ausgangswerten dargestellt. In Woche 24 wurde eine Verhinderung von Gelenkschädigungen gezeigt, wobei Patienten mit </w:t>
      </w:r>
      <w:r w:rsidR="00354C7F">
        <w:t>Tocilizumab</w:t>
      </w:r>
      <w:r w:rsidRPr="006A64EE">
        <w:t xml:space="preserve"> subkutan im Vergleich zu Placebo eine </w:t>
      </w:r>
      <w:r w:rsidRPr="006A64EE">
        <w:lastRenderedPageBreak/>
        <w:t xml:space="preserve">signifikant verringerte radiologische Progression aufwiesen (mittlere mTSS von 0,62 </w:t>
      </w:r>
      <w:r w:rsidRPr="006A64EE">
        <w:rPr>
          <w:i/>
        </w:rPr>
        <w:t>vs</w:t>
      </w:r>
      <w:r w:rsidRPr="006A64EE">
        <w:t>. 1,23;</w:t>
      </w:r>
      <w:r w:rsidR="00354C7F">
        <w:t xml:space="preserve"> </w:t>
      </w:r>
      <w:r w:rsidRPr="006A64EE">
        <w:t>p</w:t>
      </w:r>
      <w:r w:rsidR="00210878">
        <w:t> </w:t>
      </w:r>
      <w:r w:rsidRPr="006A64EE">
        <w:t>=</w:t>
      </w:r>
      <w:r w:rsidR="00210878">
        <w:t> </w:t>
      </w:r>
      <w:r w:rsidRPr="006A64EE">
        <w:t xml:space="preserve">0,0149 [van Elteren]). Diese Ergebnisse stimmen mit den Ergebnissen überein, die bei mit </w:t>
      </w:r>
      <w:r w:rsidR="00354C7F">
        <w:t>Tocilizumab</w:t>
      </w:r>
      <w:r w:rsidRPr="006A64EE">
        <w:t xml:space="preserve"> intravenös behandelten Patienten beobachtet wurden.</w:t>
      </w:r>
    </w:p>
    <w:p w14:paraId="6070BB2F" w14:textId="77777777" w:rsidR="00093A5E" w:rsidRPr="006A64EE" w:rsidRDefault="00093A5E" w:rsidP="004255F8">
      <w:pPr>
        <w:pStyle w:val="a3"/>
        <w:widowControl/>
      </w:pPr>
    </w:p>
    <w:p w14:paraId="5D942103" w14:textId="57A1AE6A" w:rsidR="00093A5E" w:rsidRPr="006A64EE" w:rsidRDefault="009C2544" w:rsidP="004255F8">
      <w:pPr>
        <w:pStyle w:val="a3"/>
        <w:widowControl/>
      </w:pPr>
      <w:r w:rsidRPr="006A64EE">
        <w:t xml:space="preserve">In Studie SC-II betrug in Woche 24 bei mit </w:t>
      </w:r>
      <w:r w:rsidR="00354C7F">
        <w:t>Tocilizumab</w:t>
      </w:r>
      <w:r w:rsidRPr="006A64EE">
        <w:t xml:space="preserve"> subkutan alle zwei Wochen behandelten Patienten der ACR20 60,9 %, der ACR50 39,8 % und der ACR70 19,7 %; im Vergleich dazu betrug bei mit Placebo behandelten Patienten der ACR20 31,5 %, der ACR50 12,3 % und der ACR70 5,0 %. Patienten in den subkutanen Armen hatten als Ausgangswert einen mittleren DAS28 von 6,7 und in den Placeboarmen von 6,6. In Woche 24 wurde eine signifikante Reduktion des DAS28 vom Ausgangswert um 3,1 im subkutanen und 1,7 im Placeboarm beobachtet. Ein DAS28 &lt; 2,6 wurde im subkutanen Arm bei 32,0 % der Patienten und bei 4,0 % im Placeboarm beobachtet.</w:t>
      </w:r>
    </w:p>
    <w:p w14:paraId="16C36847" w14:textId="77777777" w:rsidR="00093A5E" w:rsidRPr="006A64EE" w:rsidRDefault="00093A5E" w:rsidP="004255F8">
      <w:pPr>
        <w:pStyle w:val="a3"/>
        <w:widowControl/>
      </w:pPr>
    </w:p>
    <w:p w14:paraId="26B5D476" w14:textId="77777777" w:rsidR="00093A5E" w:rsidRPr="006A64EE" w:rsidRDefault="009C2544" w:rsidP="004255F8">
      <w:pPr>
        <w:keepNext/>
        <w:widowControl/>
        <w:rPr>
          <w:i/>
        </w:rPr>
      </w:pPr>
      <w:r w:rsidRPr="006A64EE">
        <w:rPr>
          <w:i/>
        </w:rPr>
        <w:t>Gesundheitsbezogene Ergebnisse und Lebensqualität</w:t>
      </w:r>
    </w:p>
    <w:p w14:paraId="49B72472" w14:textId="77777777" w:rsidR="00093A5E" w:rsidRPr="006A64EE" w:rsidRDefault="009C2544" w:rsidP="004255F8">
      <w:pPr>
        <w:pStyle w:val="a3"/>
        <w:keepNext/>
        <w:widowControl/>
      </w:pPr>
      <w:r w:rsidRPr="006A64EE">
        <w:t>In Studie SC-I betrug der mittlere Abfall des HAQ-DI vom Ausgangswert bis Woche 24 sowohl im subkutanen als auch intravenösen Arm 0,6. Der Anteil an Patienten, die in Woche 24 eine klinisch relevante Verbesserung in Bezug auf den HAQ-DI Score hatten (Veränderung vom Ausgangswert von</w:t>
      </w:r>
      <w:r w:rsidR="00125B1C" w:rsidRPr="006A64EE">
        <w:t xml:space="preserve"> </w:t>
      </w:r>
      <w:r w:rsidR="007D680A" w:rsidRPr="006A64EE">
        <w:t>≥ 0,3 Einheiten), war im subkutanen (65,2 %) und intravenösen (67,4 %) Arm vergleichbar, mit einem gewichteten Unterschied der Anteile von -2,3 % (95-%-KI -8,1; 3,4). Beim SF-36 betrug die mittlere Veränderung vom Ausgangswert bis Woche 24 des Scores der mentalen Komponente im subkutanen Arm 6,22 und im intravenösen Arm 6,54; die Veränderung des Scores der physischen Komponente war ebenfalls vergleichbar mit 9,49 im subkutanen Arm und 9,65 im intravenösen Arm.</w:t>
      </w:r>
    </w:p>
    <w:p w14:paraId="11FE0774" w14:textId="77777777" w:rsidR="00093A5E" w:rsidRPr="006A64EE" w:rsidRDefault="00093A5E" w:rsidP="004255F8">
      <w:pPr>
        <w:pStyle w:val="a3"/>
        <w:widowControl/>
      </w:pPr>
    </w:p>
    <w:p w14:paraId="509241C9" w14:textId="56ABAB90" w:rsidR="00093A5E" w:rsidRPr="006A64EE" w:rsidRDefault="009C2544" w:rsidP="004255F8">
      <w:pPr>
        <w:pStyle w:val="a3"/>
        <w:widowControl/>
      </w:pPr>
      <w:r w:rsidRPr="006A64EE">
        <w:t xml:space="preserve">In Studie SC-II war der mittlere Abfall des HAQ-DI vom Ausgangswert bis Woche 24 bei Patienten, die </w:t>
      </w:r>
      <w:r w:rsidR="00354C7F">
        <w:t>Tocilizumab</w:t>
      </w:r>
      <w:r w:rsidRPr="006A64EE">
        <w:t xml:space="preserve"> alle zwei Wochen subkutan erhielten, signifikant höher (0,4) im Vergleich zu Placebo (0,3). Der Anteil an Patienten, die in Woche 24 eine klinisch relevante Verbesserung in Bezug auf den HAQ-DI Score hatten (Veränderung vom Ausgangswert von ≥ 0,3 Einheiten), war im Arm mit </w:t>
      </w:r>
      <w:r w:rsidR="00354C7F">
        <w:t>Tocilizumab</w:t>
      </w:r>
      <w:r w:rsidRPr="006A64EE">
        <w:t xml:space="preserve"> subkutan jede zweite Woche höher (58 %) im Vergleich zu Placebo (46,8 %). Der SF-36 (mittlere Veränderung der Scores der mentalen und physischen Komponente) war in der Gruppe mit </w:t>
      </w:r>
      <w:r w:rsidR="00354C7F">
        <w:t>Tocilizumab</w:t>
      </w:r>
      <w:r w:rsidRPr="006A64EE">
        <w:t xml:space="preserve"> subkutan signifikant höher (6,5 und 5,3) im Vergleich zu Placebo (3,8 und 2,9).</w:t>
      </w:r>
    </w:p>
    <w:p w14:paraId="15F29F3A" w14:textId="77777777" w:rsidR="00093A5E" w:rsidRPr="006A64EE" w:rsidRDefault="00093A5E" w:rsidP="004255F8">
      <w:pPr>
        <w:pStyle w:val="a3"/>
        <w:widowControl/>
      </w:pPr>
    </w:p>
    <w:p w14:paraId="1D7556F2" w14:textId="77777777" w:rsidR="00093A5E" w:rsidRPr="006A64EE" w:rsidRDefault="009C2544" w:rsidP="007372F1">
      <w:pPr>
        <w:pStyle w:val="a3"/>
        <w:keepNext/>
        <w:widowControl/>
      </w:pPr>
      <w:r w:rsidRPr="006A64EE">
        <w:rPr>
          <w:u w:val="single"/>
        </w:rPr>
        <w:t>Subkutane Anwendung</w:t>
      </w:r>
    </w:p>
    <w:p w14:paraId="2BB5546F" w14:textId="77777777" w:rsidR="00093A5E" w:rsidRPr="006A64EE" w:rsidRDefault="009C2544" w:rsidP="007372F1">
      <w:pPr>
        <w:keepNext/>
        <w:widowControl/>
        <w:rPr>
          <w:b/>
        </w:rPr>
      </w:pPr>
      <w:r w:rsidRPr="006A64EE">
        <w:rPr>
          <w:b/>
          <w:u w:val="single"/>
        </w:rPr>
        <w:t>sJIA</w:t>
      </w:r>
    </w:p>
    <w:p w14:paraId="2EB43E0A" w14:textId="77777777" w:rsidR="00093A5E" w:rsidRPr="006A64EE" w:rsidRDefault="009C2544" w:rsidP="007372F1">
      <w:pPr>
        <w:pStyle w:val="a3"/>
        <w:keepNext/>
        <w:widowControl/>
      </w:pPr>
      <w:r w:rsidRPr="006A64EE">
        <w:rPr>
          <w:u w:val="single"/>
        </w:rPr>
        <w:t>Klinische Wirksamkeit</w:t>
      </w:r>
    </w:p>
    <w:p w14:paraId="0CE4D884" w14:textId="12E1971F" w:rsidR="00093A5E" w:rsidRPr="006A64EE" w:rsidRDefault="009C2544" w:rsidP="004255F8">
      <w:pPr>
        <w:pStyle w:val="a3"/>
        <w:widowControl/>
      </w:pPr>
      <w:r w:rsidRPr="006A64EE">
        <w:t xml:space="preserve">Eine 52-wöchige offene multizentrische PK/PD- und Sicherheitsstudie (WA28118) wurde bei pädiatrischen Patienten mit sJIA im Alter von 1 bis 17 Jahren durchgeführt, um die geeignete Dosis von </w:t>
      </w:r>
      <w:r w:rsidR="00354C7F">
        <w:t>Tocilizumab</w:t>
      </w:r>
      <w:r w:rsidRPr="006A64EE">
        <w:t xml:space="preserve"> subkutan zu bestimmen, mit der vergleichbare PK-, PD- und Sicherheitsprofile zur intravenösen Anwendung erzielt werden.</w:t>
      </w:r>
    </w:p>
    <w:p w14:paraId="4252F886" w14:textId="77777777" w:rsidR="00093A5E" w:rsidRPr="006A64EE" w:rsidRDefault="00093A5E" w:rsidP="004255F8">
      <w:pPr>
        <w:pStyle w:val="a3"/>
        <w:widowControl/>
      </w:pPr>
    </w:p>
    <w:p w14:paraId="367404CF" w14:textId="4F211368" w:rsidR="00093A5E" w:rsidRPr="006A64EE" w:rsidRDefault="009C2544" w:rsidP="004255F8">
      <w:pPr>
        <w:pStyle w:val="a3"/>
        <w:widowControl/>
      </w:pPr>
      <w:r w:rsidRPr="006A64EE">
        <w:t xml:space="preserve">Geeignete Patienten erhielten </w:t>
      </w:r>
      <w:r w:rsidR="00354C7F">
        <w:t>Tocilizumab</w:t>
      </w:r>
      <w:r w:rsidRPr="006A64EE">
        <w:t xml:space="preserve"> in Abhängigkeit vom Körpergewicht, wobei Patienten mit einem Gewicht von ≥ 30 kg (n = 26) 162 mg </w:t>
      </w:r>
      <w:r w:rsidR="00354C7F">
        <w:t>Tocilizumab</w:t>
      </w:r>
      <w:r w:rsidRPr="006A64EE">
        <w:t xml:space="preserve"> einmal pro Woche (qw) und Patienten mit einem Gewicht unter 30 kg (n = 25) 162 mg </w:t>
      </w:r>
      <w:r w:rsidR="00354C7F">
        <w:t>Tocilizumab</w:t>
      </w:r>
      <w:r w:rsidRPr="006A64EE">
        <w:t xml:space="preserve"> alle 10 Tage (Q10D; n = 8) oder alle</w:t>
      </w:r>
      <w:r w:rsidR="00125B1C" w:rsidRPr="006A64EE">
        <w:t xml:space="preserve"> </w:t>
      </w:r>
      <w:r w:rsidRPr="006A64EE">
        <w:t>2</w:t>
      </w:r>
      <w:r w:rsidR="00B10040">
        <w:t> </w:t>
      </w:r>
      <w:r w:rsidRPr="006A64EE">
        <w:t xml:space="preserve">Wochen (q2w; n = 17) über 52 Wochen erhielten. Von diesen 51 Patienten waren 26 (51 %) noch nicht mit </w:t>
      </w:r>
      <w:r w:rsidR="00354C7F">
        <w:t>Tocilizumab</w:t>
      </w:r>
      <w:r w:rsidRPr="006A64EE">
        <w:t xml:space="preserve"> behandelt worden und 25 (49 %) hatten bereits </w:t>
      </w:r>
      <w:r w:rsidR="00354C7F">
        <w:t>Tocilizumab</w:t>
      </w:r>
      <w:r w:rsidRPr="006A64EE">
        <w:t xml:space="preserve"> intravenös erhalten und wechselten zu Studienbeginn zu </w:t>
      </w:r>
      <w:r w:rsidR="00354C7F">
        <w:t>Tocilizumab</w:t>
      </w:r>
      <w:r w:rsidRPr="006A64EE">
        <w:t xml:space="preserve"> subkutan.</w:t>
      </w:r>
    </w:p>
    <w:p w14:paraId="1BE93A8A" w14:textId="77777777" w:rsidR="00093A5E" w:rsidRPr="006A64EE" w:rsidRDefault="00093A5E" w:rsidP="004255F8">
      <w:pPr>
        <w:pStyle w:val="a3"/>
        <w:widowControl/>
      </w:pPr>
    </w:p>
    <w:p w14:paraId="4CD9DF7A" w14:textId="06572443" w:rsidR="00093A5E" w:rsidRPr="006A64EE" w:rsidRDefault="009C2544" w:rsidP="004255F8">
      <w:pPr>
        <w:pStyle w:val="a3"/>
        <w:widowControl/>
      </w:pPr>
      <w:r w:rsidRPr="006A64EE">
        <w:t xml:space="preserve">Explorative Wirksamkeitsergebnisse zeigten, dass </w:t>
      </w:r>
      <w:r w:rsidR="00354C7F">
        <w:t>Tocilizumab</w:t>
      </w:r>
      <w:r w:rsidRPr="006A64EE">
        <w:t xml:space="preserve"> subkutan während des gesamten Studienverlaufs bei Patienten in beiden Körpergewichtsgruppen (unter 30 kg und ≥ 30 kg) alle explorativen Wirksamkeitsparameter einschließlich Juvenile Arthritis Disease Activity Score (JADAS)-71 für Tocilizumab-naive Patienten verbesserte und alle explorativen Wirksamkeitsparameter für Patienten aufrechterhielt, die von </w:t>
      </w:r>
      <w:r w:rsidR="00354C7F">
        <w:t>Tocilizumab</w:t>
      </w:r>
      <w:r w:rsidRPr="006A64EE">
        <w:t xml:space="preserve"> intravenös auf </w:t>
      </w:r>
      <w:r w:rsidR="00354C7F">
        <w:t>Tocilizumab</w:t>
      </w:r>
      <w:r w:rsidRPr="006A64EE">
        <w:t xml:space="preserve"> subkutan umgestellt hatten.</w:t>
      </w:r>
    </w:p>
    <w:p w14:paraId="5D5F387D" w14:textId="77777777" w:rsidR="00093A5E" w:rsidRPr="006A64EE" w:rsidRDefault="00093A5E" w:rsidP="004255F8">
      <w:pPr>
        <w:pStyle w:val="a3"/>
        <w:widowControl/>
      </w:pPr>
    </w:p>
    <w:p w14:paraId="0D85B6DC" w14:textId="77777777" w:rsidR="00093A5E" w:rsidRPr="006A64EE" w:rsidRDefault="009C2544" w:rsidP="007372F1">
      <w:pPr>
        <w:pStyle w:val="a3"/>
        <w:keepNext/>
        <w:widowControl/>
      </w:pPr>
      <w:r w:rsidRPr="006A64EE">
        <w:rPr>
          <w:u w:val="single"/>
        </w:rPr>
        <w:lastRenderedPageBreak/>
        <w:t>Subkutane Anwendung</w:t>
      </w:r>
    </w:p>
    <w:p w14:paraId="62AE315F" w14:textId="77777777" w:rsidR="00093A5E" w:rsidRPr="006A64EE" w:rsidRDefault="009C2544" w:rsidP="007372F1">
      <w:pPr>
        <w:keepNext/>
        <w:widowControl/>
        <w:rPr>
          <w:b/>
        </w:rPr>
      </w:pPr>
      <w:r w:rsidRPr="006A64EE">
        <w:rPr>
          <w:b/>
          <w:u w:val="single"/>
        </w:rPr>
        <w:t>pJIA</w:t>
      </w:r>
    </w:p>
    <w:p w14:paraId="1D85A11A" w14:textId="77777777" w:rsidR="00093A5E" w:rsidRPr="006A64EE" w:rsidRDefault="009C2544" w:rsidP="007372F1">
      <w:pPr>
        <w:pStyle w:val="a3"/>
        <w:keepNext/>
        <w:widowControl/>
      </w:pPr>
      <w:r w:rsidRPr="006A64EE">
        <w:rPr>
          <w:u w:val="single"/>
        </w:rPr>
        <w:t>Klinische Wirksamkeit</w:t>
      </w:r>
    </w:p>
    <w:p w14:paraId="5E1C530C" w14:textId="5816CC7F" w:rsidR="00093A5E" w:rsidRPr="006A64EE" w:rsidRDefault="009C2544" w:rsidP="004255F8">
      <w:pPr>
        <w:pStyle w:val="a3"/>
        <w:widowControl/>
      </w:pPr>
      <w:r w:rsidRPr="006A64EE">
        <w:t xml:space="preserve">Eine 52-wöchige offene multizentrische PK/PD- und Sicherheitsstudie wurde mit pädiatrischen Patienten mit pJIA im Alter von 1 bis 17 Jahren durchgeführt, um die geeignete Dosis von </w:t>
      </w:r>
      <w:r w:rsidR="00354C7F">
        <w:t>Tocilizumab</w:t>
      </w:r>
      <w:r w:rsidRPr="006A64EE">
        <w:t xml:space="preserve"> subkutan zu bestimmen, mit der vergleichbare PK-, PD- und Sicherheitsprofile zur intravenösen Anwendung erzielt werden.</w:t>
      </w:r>
    </w:p>
    <w:p w14:paraId="7FAAE459" w14:textId="77777777" w:rsidR="00093A5E" w:rsidRPr="006A64EE" w:rsidRDefault="00093A5E" w:rsidP="004255F8">
      <w:pPr>
        <w:pStyle w:val="a3"/>
        <w:widowControl/>
      </w:pPr>
    </w:p>
    <w:p w14:paraId="5F792134" w14:textId="21CFF4EB" w:rsidR="00093A5E" w:rsidRPr="006A64EE" w:rsidRDefault="009C2544" w:rsidP="004255F8">
      <w:pPr>
        <w:pStyle w:val="a3"/>
        <w:widowControl/>
      </w:pPr>
      <w:r w:rsidRPr="006A64EE">
        <w:t xml:space="preserve">Geeignete Patienten erhielten Tocilizumab in Abhängigkeit von ihrem Körpergewicht. Patienten mit einem Körpergewicht von ≥ 30 kg (n = 25) erhielten 162 mg </w:t>
      </w:r>
      <w:r w:rsidR="00354C7F">
        <w:t>Tocilizumab</w:t>
      </w:r>
      <w:r w:rsidRPr="006A64EE">
        <w:t xml:space="preserve"> alle zwei Wochen (q2w) und Patienten mit einem Körpergewicht von unter 30 kg (n = 27) erhielten 162 mg </w:t>
      </w:r>
      <w:r w:rsidR="00354C7F">
        <w:t>Tocilizumab</w:t>
      </w:r>
      <w:r w:rsidRPr="006A64EE">
        <w:t xml:space="preserve"> alle drei Wochen (q3w) über 52 Wochen. Von diesen 52 Patienten waren 37 (71 %) noch nicht mit </w:t>
      </w:r>
      <w:r w:rsidR="00354C7F">
        <w:t>Tocilizumab</w:t>
      </w:r>
      <w:r w:rsidRPr="006A64EE">
        <w:t xml:space="preserve"> behandelt worden und 15 (29 %) hatten bereits </w:t>
      </w:r>
      <w:r w:rsidR="00354C7F">
        <w:t>Tocilizumab</w:t>
      </w:r>
      <w:r w:rsidRPr="006A64EE">
        <w:t xml:space="preserve"> intravenös erhalten und wechselten zum Baseline-Zeitpunkt zu </w:t>
      </w:r>
      <w:r w:rsidR="00E26B13">
        <w:t>Tocilizumab</w:t>
      </w:r>
      <w:r w:rsidRPr="006A64EE">
        <w:t xml:space="preserve"> subkutan.</w:t>
      </w:r>
    </w:p>
    <w:p w14:paraId="44FBC41F" w14:textId="77777777" w:rsidR="00093A5E" w:rsidRPr="006A64EE" w:rsidRDefault="00093A5E" w:rsidP="004255F8">
      <w:pPr>
        <w:pStyle w:val="a3"/>
        <w:widowControl/>
      </w:pPr>
    </w:p>
    <w:p w14:paraId="4F927383" w14:textId="42F26502" w:rsidR="00093A5E" w:rsidRPr="006A64EE" w:rsidRDefault="009C2544" w:rsidP="004255F8">
      <w:pPr>
        <w:pStyle w:val="a3"/>
        <w:widowControl/>
      </w:pPr>
      <w:r w:rsidRPr="006A64EE">
        <w:t xml:space="preserve">Die subkutanen </w:t>
      </w:r>
      <w:r w:rsidR="00354C7F">
        <w:t>Tocilizumab</w:t>
      </w:r>
      <w:r w:rsidRPr="006A64EE">
        <w:t xml:space="preserve">-Schemata von 162 mg q3w für Patienten mit einem Körpergewicht von unter 30 kg und 162 mg q2w für Patienten mit einem Körpergewicht von ≥ 30 kg führen zu PK-Expositionen und PD-Ansprechen, die vergleichbare Sicherheits- und Wirksamkeitsergebnisse erzielen, wie sie mit der zugelassenen intravenösen Darreichungsform von </w:t>
      </w:r>
      <w:r w:rsidR="00354C7F">
        <w:t>Tocilizumab</w:t>
      </w:r>
      <w:r w:rsidRPr="006A64EE">
        <w:t xml:space="preserve"> zur Behandlung der pJIA erzielt werden.</w:t>
      </w:r>
    </w:p>
    <w:p w14:paraId="40664953" w14:textId="77777777" w:rsidR="00093A5E" w:rsidRPr="006A64EE" w:rsidRDefault="00093A5E" w:rsidP="004255F8">
      <w:pPr>
        <w:widowControl/>
      </w:pPr>
    </w:p>
    <w:p w14:paraId="3C89F92F" w14:textId="6819CA9A" w:rsidR="00093A5E" w:rsidRPr="006A64EE" w:rsidRDefault="007D680A" w:rsidP="004255F8">
      <w:pPr>
        <w:widowControl/>
      </w:pPr>
      <w:r w:rsidRPr="006A64EE">
        <w:t xml:space="preserve">Exploratorische Wirksamkeitsergebnisse zeigten, dass </w:t>
      </w:r>
      <w:r w:rsidR="00354C7F">
        <w:t>Tocilizumab</w:t>
      </w:r>
      <w:r w:rsidRPr="006A64EE">
        <w:t xml:space="preserve"> subkutan den medianen Juvenile Arthritis Disease Activity Score (JADAS)-71 bei mit </w:t>
      </w:r>
      <w:r w:rsidR="00354C7F">
        <w:t>Tocilizumab</w:t>
      </w:r>
      <w:r w:rsidRPr="006A64EE">
        <w:t xml:space="preserve"> nicht vorbehandelten Patienten verbesserte und bei Patienten, die von der intravenösen zu der subkutanen Behandlung mit </w:t>
      </w:r>
      <w:r w:rsidR="00354C7F">
        <w:t>Tocilizumab</w:t>
      </w:r>
      <w:r w:rsidRPr="006A64EE">
        <w:t xml:space="preserve"> wechselten, den medianen JADAS-71 über die gesamte Studienlaufzeit in beiden Körpergewichts-Gruppen (unter 30 kg und ≥ 30 kg) aufrecht erhielt.</w:t>
      </w:r>
    </w:p>
    <w:p w14:paraId="14294A68" w14:textId="77777777" w:rsidR="00093A5E" w:rsidRPr="006A64EE" w:rsidRDefault="00093A5E" w:rsidP="004255F8">
      <w:pPr>
        <w:pStyle w:val="a3"/>
        <w:widowControl/>
      </w:pPr>
    </w:p>
    <w:p w14:paraId="2E54483C" w14:textId="77777777" w:rsidR="00093A5E" w:rsidRPr="006A64EE" w:rsidRDefault="009C2544" w:rsidP="007372F1">
      <w:pPr>
        <w:pStyle w:val="a3"/>
        <w:keepNext/>
        <w:widowControl/>
      </w:pPr>
      <w:r w:rsidRPr="006A64EE">
        <w:rPr>
          <w:u w:val="single"/>
        </w:rPr>
        <w:t>Subkutane Anwendung</w:t>
      </w:r>
    </w:p>
    <w:p w14:paraId="7F75B75A" w14:textId="77777777" w:rsidR="00093A5E" w:rsidRPr="006A64EE" w:rsidRDefault="009C2544" w:rsidP="007372F1">
      <w:pPr>
        <w:keepNext/>
        <w:widowControl/>
        <w:rPr>
          <w:b/>
        </w:rPr>
      </w:pPr>
      <w:r w:rsidRPr="006A64EE">
        <w:rPr>
          <w:b/>
          <w:u w:val="single"/>
        </w:rPr>
        <w:t>RZA</w:t>
      </w:r>
    </w:p>
    <w:p w14:paraId="65B59033" w14:textId="77777777" w:rsidR="00093A5E" w:rsidRPr="006A64EE" w:rsidRDefault="009C2544" w:rsidP="007372F1">
      <w:pPr>
        <w:pStyle w:val="a3"/>
        <w:keepNext/>
        <w:widowControl/>
      </w:pPr>
      <w:r w:rsidRPr="006A64EE">
        <w:rPr>
          <w:u w:val="single"/>
        </w:rPr>
        <w:t>Klinische Wirksamkeit</w:t>
      </w:r>
    </w:p>
    <w:p w14:paraId="536C5A54" w14:textId="17D517A1" w:rsidR="00093A5E" w:rsidRPr="006A64EE" w:rsidRDefault="009C2544" w:rsidP="004255F8">
      <w:pPr>
        <w:pStyle w:val="a3"/>
        <w:widowControl/>
      </w:pPr>
      <w:r w:rsidRPr="006A64EE">
        <w:t xml:space="preserve">Die Studie WA28119 war eine randomisierte, multizentrische, doppelblinde, placebokontrollierte Überlegenheitsstudie der Phase III zur Beurteilung der Wirksamkeit und Sicherheit von </w:t>
      </w:r>
      <w:r w:rsidR="009611C2">
        <w:t>Tocilizumab</w:t>
      </w:r>
      <w:r w:rsidRPr="006A64EE">
        <w:t xml:space="preserve"> bei Patienten mit RZA.</w:t>
      </w:r>
    </w:p>
    <w:p w14:paraId="7ED225B9" w14:textId="77777777" w:rsidR="00093A5E" w:rsidRPr="006A64EE" w:rsidRDefault="00093A5E" w:rsidP="004255F8">
      <w:pPr>
        <w:pStyle w:val="a3"/>
        <w:widowControl/>
      </w:pPr>
    </w:p>
    <w:p w14:paraId="592C1E9D" w14:textId="39FE1CAE" w:rsidR="00093A5E" w:rsidRPr="006A64EE" w:rsidRDefault="009C2544" w:rsidP="004255F8">
      <w:pPr>
        <w:pStyle w:val="a3"/>
        <w:widowControl/>
      </w:pPr>
      <w:r w:rsidRPr="006A64EE">
        <w:t>Es wurden 251 Patienten mit beginnender oder rezidivierender RZA aufgenommen und einer von vier Behandlungsgruppen zugewiesen. Die Studie bestand aus einem 52-wöchigen, verblindeten Zeitraum (Teil 1), gefolgt von einem 104-wöchigen offenen Erweiterungszeitraum (Teil 2). Der Zweck von Teil 2 war die Beschreibung der Langzeitsicherheit und der anhaltenden Wirksamkeit nach einer</w:t>
      </w:r>
      <w:r w:rsidR="00125B1C" w:rsidRPr="006A64EE">
        <w:t xml:space="preserve"> </w:t>
      </w:r>
      <w:r w:rsidRPr="006A64EE">
        <w:t xml:space="preserve">52-wöchigen </w:t>
      </w:r>
      <w:r w:rsidR="009611C2">
        <w:t>Tocilizumab</w:t>
      </w:r>
      <w:r w:rsidRPr="006A64EE">
        <w:t xml:space="preserve"> Therapie sowie die Untersuchung der Rezidivrate und der Notwendigkeit einer </w:t>
      </w:r>
      <w:r w:rsidR="009611C2">
        <w:t>Tocilizumab-</w:t>
      </w:r>
      <w:r w:rsidRPr="006A64EE">
        <w:t xml:space="preserve">Therapie über 52 Wochen hinaus. Außerdem sollten Erkenntnisse darüber gewonnen werden, inwieweit durch </w:t>
      </w:r>
      <w:r w:rsidR="009611C2">
        <w:t>Tocilizumab</w:t>
      </w:r>
      <w:r w:rsidRPr="006A64EE">
        <w:t xml:space="preserve"> langfristig der Corticosteroideinsatz reduziert werden kann.</w:t>
      </w:r>
    </w:p>
    <w:p w14:paraId="0C9F61C7" w14:textId="77777777" w:rsidR="00093A5E" w:rsidRPr="006A64EE" w:rsidRDefault="00093A5E" w:rsidP="004255F8">
      <w:pPr>
        <w:pStyle w:val="a3"/>
        <w:widowControl/>
      </w:pPr>
    </w:p>
    <w:p w14:paraId="3C15117F" w14:textId="407E5DB9" w:rsidR="00093A5E" w:rsidRPr="006A64EE" w:rsidRDefault="009C2544" w:rsidP="004255F8">
      <w:pPr>
        <w:pStyle w:val="a3"/>
        <w:widowControl/>
      </w:pPr>
      <w:r w:rsidRPr="006A64EE">
        <w:t xml:space="preserve">Es wurden zwei subkutane </w:t>
      </w:r>
      <w:r w:rsidR="009611C2">
        <w:t>Tocilizumab-</w:t>
      </w:r>
      <w:r w:rsidRPr="006A64EE">
        <w:t>Dosierungen (162 mg einmal wöchentlich und 162 mg alle</w:t>
      </w:r>
      <w:r w:rsidR="00125B1C" w:rsidRPr="006A64EE">
        <w:t xml:space="preserve"> </w:t>
      </w:r>
      <w:r w:rsidRPr="006A64EE">
        <w:t>2</w:t>
      </w:r>
      <w:r w:rsidR="009662A0">
        <w:t> </w:t>
      </w:r>
      <w:r w:rsidRPr="006A64EE">
        <w:t>Wochen) mit zwei verschiedenen Placebo-Kontrollgruppen im Randomisierungsverhältnis 2:1:1:1 verglichen.</w:t>
      </w:r>
    </w:p>
    <w:p w14:paraId="0F4D16C6" w14:textId="77777777" w:rsidR="00093A5E" w:rsidRPr="006A64EE" w:rsidRDefault="00093A5E" w:rsidP="004255F8">
      <w:pPr>
        <w:pStyle w:val="a3"/>
        <w:widowControl/>
      </w:pPr>
    </w:p>
    <w:p w14:paraId="1884E5CB" w14:textId="4ADE4BA3" w:rsidR="00093A5E" w:rsidRPr="006A64EE" w:rsidRDefault="009C2544" w:rsidP="004255F8">
      <w:pPr>
        <w:pStyle w:val="a3"/>
        <w:widowControl/>
      </w:pPr>
      <w:r w:rsidRPr="006A64EE">
        <w:t xml:space="preserve">Alle Patienten erhielten eine Glucocorticoid-Basismedikation (Prednison). In beiden </w:t>
      </w:r>
      <w:r w:rsidR="009611C2">
        <w:t>Tocilizumab-</w:t>
      </w:r>
      <w:r w:rsidRPr="006A64EE">
        <w:t>Gruppen und in einer der Placebo-Gruppen wurde eine vorgegebene Prednison-Ausschleichtherapie über 26 Wochen angewendet. In der zweiten Placebo-Gruppe wurde eine vorgegebene Prednison-Ausschleichtherapie über 52 Wochen angewendet, was eher der allgemeinen Behandlungspraxis entspricht.</w:t>
      </w:r>
    </w:p>
    <w:p w14:paraId="3D706B92" w14:textId="77777777" w:rsidR="00093A5E" w:rsidRPr="006A64EE" w:rsidRDefault="00093A5E" w:rsidP="004255F8">
      <w:pPr>
        <w:pStyle w:val="a3"/>
        <w:widowControl/>
      </w:pPr>
    </w:p>
    <w:p w14:paraId="302998B9" w14:textId="6D880452" w:rsidR="00093A5E" w:rsidRPr="006A64EE" w:rsidRDefault="009C2544" w:rsidP="004255F8">
      <w:pPr>
        <w:pStyle w:val="a3"/>
        <w:widowControl/>
      </w:pPr>
      <w:r w:rsidRPr="006A64EE">
        <w:t xml:space="preserve">Die Dauer der Glucocorticoid-Therapie während des Screenings und vor Beginn der Behandlung mit </w:t>
      </w:r>
      <w:r w:rsidR="009611C2">
        <w:t>Tocilizumab</w:t>
      </w:r>
      <w:r w:rsidRPr="006A64EE">
        <w:t xml:space="preserve"> (oder Placebo) war in allen 4 Behandlungsgruppen ähnlich (siehe Tabelle 3).</w:t>
      </w:r>
    </w:p>
    <w:p w14:paraId="46D4AEB9" w14:textId="77777777" w:rsidR="00093A5E" w:rsidRPr="006A64EE" w:rsidRDefault="00093A5E" w:rsidP="004255F8">
      <w:pPr>
        <w:pStyle w:val="a3"/>
        <w:widowControl/>
      </w:pPr>
    </w:p>
    <w:p w14:paraId="72CB7A9F" w14:textId="77777777" w:rsidR="00093A5E" w:rsidRPr="006A64EE" w:rsidRDefault="009C2544" w:rsidP="004255F8">
      <w:pPr>
        <w:pStyle w:val="Tabletittle"/>
      </w:pPr>
      <w:r w:rsidRPr="006A64EE">
        <w:lastRenderedPageBreak/>
        <w:t>Tabelle 3:</w:t>
      </w:r>
      <w:r w:rsidR="007B0BAB" w:rsidRPr="006A64EE">
        <w:tab/>
      </w:r>
      <w:r w:rsidRPr="006A64EE">
        <w:t>Dauer der Glucocorticoid-Therapie während des Screenings in Studie WA28119</w:t>
      </w:r>
    </w:p>
    <w:p w14:paraId="62F4AF26" w14:textId="683FCDEA" w:rsidR="002D5756" w:rsidRPr="006A64EE" w:rsidRDefault="002D5756" w:rsidP="004255F8">
      <w:pPr>
        <w:pStyle w:val="a3"/>
        <w:widowControl/>
        <w:rPr>
          <w:i/>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588"/>
        <w:gridCol w:w="1885"/>
        <w:gridCol w:w="1885"/>
        <w:gridCol w:w="1885"/>
        <w:gridCol w:w="1885"/>
      </w:tblGrid>
      <w:tr w:rsidR="00593482" w:rsidRPr="006A64EE" w14:paraId="0A6E4587" w14:textId="77777777" w:rsidTr="00B42E77">
        <w:trPr>
          <w:cantSplit/>
        </w:trPr>
        <w:tc>
          <w:tcPr>
            <w:tcW w:w="1588" w:type="dxa"/>
          </w:tcPr>
          <w:p w14:paraId="20BFD325" w14:textId="59F85567" w:rsidR="00370D83" w:rsidRPr="006A64EE" w:rsidRDefault="00370D83" w:rsidP="004255F8">
            <w:pPr>
              <w:pStyle w:val="TableParagraph"/>
              <w:widowControl/>
              <w:suppressAutoHyphens/>
              <w:jc w:val="center"/>
              <w:rPr>
                <w:b/>
                <w:sz w:val="20"/>
                <w:szCs w:val="20"/>
              </w:rPr>
            </w:pPr>
          </w:p>
        </w:tc>
        <w:tc>
          <w:tcPr>
            <w:tcW w:w="1885" w:type="dxa"/>
          </w:tcPr>
          <w:p w14:paraId="4FC1E62A" w14:textId="77777777" w:rsidR="00093A5E" w:rsidRPr="006A64EE" w:rsidRDefault="00370D83" w:rsidP="004255F8">
            <w:pPr>
              <w:pStyle w:val="TableParagraph"/>
              <w:widowControl/>
              <w:suppressAutoHyphens/>
              <w:jc w:val="center"/>
              <w:rPr>
                <w:b/>
                <w:sz w:val="20"/>
                <w:szCs w:val="20"/>
              </w:rPr>
            </w:pPr>
            <w:r w:rsidRPr="006A64EE">
              <w:rPr>
                <w:b/>
                <w:sz w:val="20"/>
                <w:szCs w:val="20"/>
              </w:rPr>
              <w:t xml:space="preserve">Placebo + 26 Wochen Prednison Ausschleichtherapie </w:t>
            </w:r>
          </w:p>
          <w:p w14:paraId="1E43DE88" w14:textId="032C2631" w:rsidR="00370D83" w:rsidRPr="006A64EE" w:rsidRDefault="00370D83" w:rsidP="004255F8">
            <w:pPr>
              <w:pStyle w:val="TableParagraph"/>
              <w:widowControl/>
              <w:suppressAutoHyphens/>
              <w:jc w:val="center"/>
              <w:rPr>
                <w:b/>
                <w:sz w:val="20"/>
                <w:szCs w:val="20"/>
              </w:rPr>
            </w:pPr>
            <w:r w:rsidRPr="006A64EE">
              <w:rPr>
                <w:b/>
                <w:sz w:val="20"/>
                <w:szCs w:val="20"/>
              </w:rPr>
              <w:t>n = 50</w:t>
            </w:r>
          </w:p>
        </w:tc>
        <w:tc>
          <w:tcPr>
            <w:tcW w:w="1885" w:type="dxa"/>
          </w:tcPr>
          <w:p w14:paraId="28B9CCD2" w14:textId="77777777" w:rsidR="00093A5E" w:rsidRPr="006A64EE" w:rsidRDefault="00370D83" w:rsidP="004255F8">
            <w:pPr>
              <w:pStyle w:val="TableParagraph"/>
              <w:widowControl/>
              <w:suppressAutoHyphens/>
              <w:jc w:val="center"/>
              <w:rPr>
                <w:b/>
                <w:sz w:val="20"/>
                <w:szCs w:val="20"/>
              </w:rPr>
            </w:pPr>
            <w:r w:rsidRPr="006A64EE">
              <w:rPr>
                <w:b/>
                <w:sz w:val="20"/>
                <w:szCs w:val="20"/>
              </w:rPr>
              <w:t>Placebo + 52 Wochen Prednison</w:t>
            </w:r>
          </w:p>
          <w:p w14:paraId="62E3F290" w14:textId="77777777" w:rsidR="00093A5E" w:rsidRPr="006A64EE" w:rsidRDefault="00370D83" w:rsidP="004255F8">
            <w:pPr>
              <w:pStyle w:val="TableParagraph"/>
              <w:widowControl/>
              <w:suppressAutoHyphens/>
              <w:jc w:val="center"/>
              <w:rPr>
                <w:b/>
                <w:sz w:val="20"/>
                <w:szCs w:val="20"/>
              </w:rPr>
            </w:pPr>
            <w:r w:rsidRPr="006A64EE">
              <w:rPr>
                <w:b/>
                <w:sz w:val="20"/>
                <w:szCs w:val="20"/>
              </w:rPr>
              <w:t xml:space="preserve">Ausschleichtherapie </w:t>
            </w:r>
          </w:p>
          <w:p w14:paraId="628D7CEA" w14:textId="7AF34D28" w:rsidR="00370D83" w:rsidRPr="006A64EE" w:rsidRDefault="00370D83" w:rsidP="004255F8">
            <w:pPr>
              <w:pStyle w:val="TableParagraph"/>
              <w:widowControl/>
              <w:suppressAutoHyphens/>
              <w:jc w:val="center"/>
              <w:rPr>
                <w:b/>
                <w:sz w:val="20"/>
                <w:szCs w:val="20"/>
              </w:rPr>
            </w:pPr>
            <w:r w:rsidRPr="006A64EE">
              <w:rPr>
                <w:b/>
                <w:sz w:val="20"/>
                <w:szCs w:val="20"/>
              </w:rPr>
              <w:t>n = 51</w:t>
            </w:r>
          </w:p>
        </w:tc>
        <w:tc>
          <w:tcPr>
            <w:tcW w:w="1885" w:type="dxa"/>
          </w:tcPr>
          <w:p w14:paraId="110710C6" w14:textId="161ABD2C" w:rsidR="00093A5E" w:rsidRPr="009611C2" w:rsidRDefault="009611C2" w:rsidP="004255F8">
            <w:pPr>
              <w:pStyle w:val="TableParagraph"/>
              <w:widowControl/>
              <w:suppressAutoHyphens/>
              <w:jc w:val="center"/>
              <w:rPr>
                <w:b/>
                <w:bCs/>
                <w:sz w:val="20"/>
                <w:szCs w:val="20"/>
              </w:rPr>
            </w:pPr>
            <w:r w:rsidRPr="00B320E1">
              <w:rPr>
                <w:b/>
                <w:bCs/>
              </w:rPr>
              <w:t>Tocilizumab</w:t>
            </w:r>
            <w:r w:rsidR="00370D83" w:rsidRPr="009611C2">
              <w:rPr>
                <w:b/>
                <w:bCs/>
                <w:sz w:val="20"/>
                <w:szCs w:val="20"/>
              </w:rPr>
              <w:t xml:space="preserve"> 162 mg</w:t>
            </w:r>
          </w:p>
          <w:p w14:paraId="47DCC720" w14:textId="77777777" w:rsidR="00093A5E" w:rsidRPr="009611C2" w:rsidRDefault="00370D83" w:rsidP="004255F8">
            <w:pPr>
              <w:pStyle w:val="TableParagraph"/>
              <w:widowControl/>
              <w:suppressAutoHyphens/>
              <w:jc w:val="center"/>
              <w:rPr>
                <w:b/>
                <w:bCs/>
                <w:sz w:val="20"/>
                <w:szCs w:val="20"/>
              </w:rPr>
            </w:pPr>
            <w:r w:rsidRPr="009611C2">
              <w:rPr>
                <w:b/>
                <w:bCs/>
                <w:sz w:val="20"/>
                <w:szCs w:val="20"/>
              </w:rPr>
              <w:t>s.c. wöchentlich + 26 Wochen Prednison</w:t>
            </w:r>
          </w:p>
          <w:p w14:paraId="763FB4C2" w14:textId="77777777" w:rsidR="00093A5E" w:rsidRPr="009611C2" w:rsidRDefault="00370D83" w:rsidP="004255F8">
            <w:pPr>
              <w:pStyle w:val="TableParagraph"/>
              <w:widowControl/>
              <w:suppressAutoHyphens/>
              <w:jc w:val="center"/>
              <w:rPr>
                <w:b/>
                <w:bCs/>
                <w:sz w:val="20"/>
                <w:szCs w:val="20"/>
              </w:rPr>
            </w:pPr>
            <w:r w:rsidRPr="009611C2">
              <w:rPr>
                <w:b/>
                <w:bCs/>
                <w:sz w:val="20"/>
                <w:szCs w:val="20"/>
              </w:rPr>
              <w:t>Ausschleichtherapie</w:t>
            </w:r>
          </w:p>
          <w:p w14:paraId="62C76C91" w14:textId="7BD0043E" w:rsidR="00370D83" w:rsidRPr="009611C2" w:rsidRDefault="00370D83" w:rsidP="004255F8">
            <w:pPr>
              <w:pStyle w:val="TableParagraph"/>
              <w:widowControl/>
              <w:suppressAutoHyphens/>
              <w:jc w:val="center"/>
              <w:rPr>
                <w:b/>
                <w:bCs/>
                <w:sz w:val="20"/>
                <w:szCs w:val="20"/>
              </w:rPr>
            </w:pPr>
            <w:r w:rsidRPr="009611C2">
              <w:rPr>
                <w:b/>
                <w:bCs/>
                <w:sz w:val="20"/>
                <w:szCs w:val="20"/>
              </w:rPr>
              <w:t>n = 100</w:t>
            </w:r>
          </w:p>
        </w:tc>
        <w:tc>
          <w:tcPr>
            <w:tcW w:w="1885" w:type="dxa"/>
          </w:tcPr>
          <w:p w14:paraId="61E75B45" w14:textId="1AD7EC5F" w:rsidR="00093A5E" w:rsidRPr="009611C2" w:rsidRDefault="009611C2" w:rsidP="004255F8">
            <w:pPr>
              <w:pStyle w:val="TableParagraph"/>
              <w:widowControl/>
              <w:suppressAutoHyphens/>
              <w:jc w:val="center"/>
              <w:rPr>
                <w:b/>
                <w:bCs/>
                <w:sz w:val="20"/>
                <w:szCs w:val="20"/>
              </w:rPr>
            </w:pPr>
            <w:r w:rsidRPr="00B320E1">
              <w:rPr>
                <w:b/>
                <w:bCs/>
              </w:rPr>
              <w:t>Tocilizumab</w:t>
            </w:r>
            <w:r w:rsidR="00370D83" w:rsidRPr="009611C2">
              <w:rPr>
                <w:b/>
                <w:bCs/>
                <w:sz w:val="20"/>
                <w:szCs w:val="20"/>
              </w:rPr>
              <w:t xml:space="preserve"> 162 mg</w:t>
            </w:r>
          </w:p>
          <w:p w14:paraId="77AB00C4" w14:textId="77777777" w:rsidR="00093A5E" w:rsidRPr="009611C2" w:rsidRDefault="00370D83" w:rsidP="004255F8">
            <w:pPr>
              <w:pStyle w:val="TableParagraph"/>
              <w:widowControl/>
              <w:suppressAutoHyphens/>
              <w:jc w:val="center"/>
              <w:rPr>
                <w:b/>
                <w:bCs/>
                <w:sz w:val="20"/>
                <w:szCs w:val="20"/>
              </w:rPr>
            </w:pPr>
            <w:r w:rsidRPr="009611C2">
              <w:rPr>
                <w:b/>
                <w:bCs/>
                <w:sz w:val="20"/>
                <w:szCs w:val="20"/>
              </w:rPr>
              <w:t>s.c. alle zwei Wochen</w:t>
            </w:r>
          </w:p>
          <w:p w14:paraId="774B510C" w14:textId="77777777" w:rsidR="00093A5E" w:rsidRPr="009611C2" w:rsidRDefault="00370D83" w:rsidP="004255F8">
            <w:pPr>
              <w:pStyle w:val="TableParagraph"/>
              <w:widowControl/>
              <w:suppressAutoHyphens/>
              <w:jc w:val="center"/>
              <w:rPr>
                <w:b/>
                <w:bCs/>
                <w:sz w:val="20"/>
                <w:szCs w:val="20"/>
              </w:rPr>
            </w:pPr>
            <w:r w:rsidRPr="009611C2">
              <w:rPr>
                <w:b/>
                <w:bCs/>
                <w:sz w:val="20"/>
                <w:szCs w:val="20"/>
              </w:rPr>
              <w:t>+ 26 Wochen Prednison Ausschleichtherapie</w:t>
            </w:r>
          </w:p>
          <w:p w14:paraId="0770B8CD" w14:textId="76495B95" w:rsidR="00370D83" w:rsidRPr="009611C2" w:rsidRDefault="00370D83" w:rsidP="004255F8">
            <w:pPr>
              <w:pStyle w:val="TableParagraph"/>
              <w:widowControl/>
              <w:suppressAutoHyphens/>
              <w:jc w:val="center"/>
              <w:rPr>
                <w:b/>
                <w:bCs/>
                <w:sz w:val="20"/>
                <w:szCs w:val="20"/>
              </w:rPr>
            </w:pPr>
            <w:r w:rsidRPr="009611C2">
              <w:rPr>
                <w:b/>
                <w:bCs/>
                <w:sz w:val="20"/>
                <w:szCs w:val="20"/>
              </w:rPr>
              <w:t>n = 49</w:t>
            </w:r>
          </w:p>
        </w:tc>
      </w:tr>
      <w:tr w:rsidR="007372F1" w:rsidRPr="006A64EE" w14:paraId="4006481C" w14:textId="77777777" w:rsidTr="00D41926">
        <w:trPr>
          <w:cantSplit/>
        </w:trPr>
        <w:tc>
          <w:tcPr>
            <w:tcW w:w="9128" w:type="dxa"/>
            <w:gridSpan w:val="5"/>
          </w:tcPr>
          <w:p w14:paraId="51E7ADE0" w14:textId="5941A596" w:rsidR="007372F1" w:rsidRPr="006A64EE" w:rsidRDefault="007372F1" w:rsidP="004255F8">
            <w:pPr>
              <w:pStyle w:val="TableParagraph"/>
              <w:widowControl/>
              <w:suppressAutoHyphens/>
              <w:rPr>
                <w:b/>
                <w:bCs/>
                <w:sz w:val="20"/>
                <w:szCs w:val="20"/>
              </w:rPr>
            </w:pPr>
            <w:r w:rsidRPr="006A64EE">
              <w:rPr>
                <w:b/>
                <w:bCs/>
                <w:sz w:val="20"/>
                <w:szCs w:val="20"/>
              </w:rPr>
              <w:t>Dauer (Tage)</w:t>
            </w:r>
          </w:p>
        </w:tc>
      </w:tr>
      <w:tr w:rsidR="00593482" w:rsidRPr="006A64EE" w14:paraId="48A94985" w14:textId="77777777" w:rsidTr="00B42E77">
        <w:trPr>
          <w:cantSplit/>
        </w:trPr>
        <w:tc>
          <w:tcPr>
            <w:tcW w:w="1588" w:type="dxa"/>
          </w:tcPr>
          <w:p w14:paraId="4C093CED" w14:textId="77777777" w:rsidR="002D5756" w:rsidRPr="006A64EE" w:rsidRDefault="009C2544" w:rsidP="004255F8">
            <w:pPr>
              <w:pStyle w:val="TableParagraph"/>
              <w:widowControl/>
              <w:suppressAutoHyphens/>
              <w:ind w:left="284"/>
              <w:rPr>
                <w:sz w:val="20"/>
                <w:szCs w:val="20"/>
              </w:rPr>
            </w:pPr>
            <w:r w:rsidRPr="006A64EE">
              <w:rPr>
                <w:sz w:val="20"/>
                <w:szCs w:val="20"/>
              </w:rPr>
              <w:t>Mittel (SD)</w:t>
            </w:r>
          </w:p>
        </w:tc>
        <w:tc>
          <w:tcPr>
            <w:tcW w:w="1885" w:type="dxa"/>
          </w:tcPr>
          <w:p w14:paraId="19733960" w14:textId="77777777" w:rsidR="002D5756" w:rsidRPr="006A64EE" w:rsidRDefault="009C2544" w:rsidP="004255F8">
            <w:pPr>
              <w:pStyle w:val="TableParagraph"/>
              <w:widowControl/>
              <w:suppressAutoHyphens/>
              <w:jc w:val="center"/>
              <w:rPr>
                <w:sz w:val="20"/>
                <w:szCs w:val="20"/>
              </w:rPr>
            </w:pPr>
            <w:r w:rsidRPr="006A64EE">
              <w:rPr>
                <w:sz w:val="20"/>
                <w:szCs w:val="20"/>
              </w:rPr>
              <w:t>35,7 (11,5)</w:t>
            </w:r>
          </w:p>
        </w:tc>
        <w:tc>
          <w:tcPr>
            <w:tcW w:w="1885" w:type="dxa"/>
          </w:tcPr>
          <w:p w14:paraId="746CD337" w14:textId="77777777" w:rsidR="002D5756" w:rsidRPr="006A64EE" w:rsidRDefault="009C2544" w:rsidP="004255F8">
            <w:pPr>
              <w:pStyle w:val="TableParagraph"/>
              <w:widowControl/>
              <w:suppressAutoHyphens/>
              <w:jc w:val="center"/>
              <w:rPr>
                <w:sz w:val="20"/>
                <w:szCs w:val="20"/>
              </w:rPr>
            </w:pPr>
            <w:r w:rsidRPr="006A64EE">
              <w:rPr>
                <w:sz w:val="20"/>
                <w:szCs w:val="20"/>
              </w:rPr>
              <w:t>36,3 (12,5)</w:t>
            </w:r>
          </w:p>
        </w:tc>
        <w:tc>
          <w:tcPr>
            <w:tcW w:w="1885" w:type="dxa"/>
          </w:tcPr>
          <w:p w14:paraId="0DEFDFCB" w14:textId="77777777" w:rsidR="002D5756" w:rsidRPr="006A64EE" w:rsidRDefault="009C2544" w:rsidP="004255F8">
            <w:pPr>
              <w:pStyle w:val="TableParagraph"/>
              <w:widowControl/>
              <w:suppressAutoHyphens/>
              <w:jc w:val="center"/>
              <w:rPr>
                <w:sz w:val="20"/>
                <w:szCs w:val="20"/>
              </w:rPr>
            </w:pPr>
            <w:r w:rsidRPr="006A64EE">
              <w:rPr>
                <w:sz w:val="20"/>
                <w:szCs w:val="20"/>
              </w:rPr>
              <w:t>35,6 (13,2)</w:t>
            </w:r>
          </w:p>
        </w:tc>
        <w:tc>
          <w:tcPr>
            <w:tcW w:w="1885" w:type="dxa"/>
          </w:tcPr>
          <w:p w14:paraId="46691722" w14:textId="77777777" w:rsidR="002D5756" w:rsidRPr="006A64EE" w:rsidRDefault="009C2544" w:rsidP="004255F8">
            <w:pPr>
              <w:pStyle w:val="TableParagraph"/>
              <w:widowControl/>
              <w:suppressAutoHyphens/>
              <w:jc w:val="center"/>
              <w:rPr>
                <w:sz w:val="20"/>
                <w:szCs w:val="20"/>
              </w:rPr>
            </w:pPr>
            <w:r w:rsidRPr="006A64EE">
              <w:rPr>
                <w:sz w:val="20"/>
                <w:szCs w:val="20"/>
              </w:rPr>
              <w:t>37,4 (14,4)</w:t>
            </w:r>
          </w:p>
        </w:tc>
      </w:tr>
      <w:tr w:rsidR="00593482" w:rsidRPr="006A64EE" w14:paraId="6A8F9A76" w14:textId="77777777" w:rsidTr="00B42E77">
        <w:trPr>
          <w:cantSplit/>
        </w:trPr>
        <w:tc>
          <w:tcPr>
            <w:tcW w:w="1588" w:type="dxa"/>
          </w:tcPr>
          <w:p w14:paraId="217648D0" w14:textId="77777777" w:rsidR="002D5756" w:rsidRPr="006A64EE" w:rsidRDefault="009C2544" w:rsidP="004255F8">
            <w:pPr>
              <w:pStyle w:val="TableParagraph"/>
              <w:widowControl/>
              <w:suppressAutoHyphens/>
              <w:ind w:left="284"/>
              <w:rPr>
                <w:sz w:val="20"/>
                <w:szCs w:val="20"/>
              </w:rPr>
            </w:pPr>
            <w:r w:rsidRPr="006A64EE">
              <w:rPr>
                <w:sz w:val="20"/>
                <w:szCs w:val="20"/>
              </w:rPr>
              <w:t>Median</w:t>
            </w:r>
          </w:p>
        </w:tc>
        <w:tc>
          <w:tcPr>
            <w:tcW w:w="1885" w:type="dxa"/>
          </w:tcPr>
          <w:p w14:paraId="51D410B4" w14:textId="77777777" w:rsidR="002D5756" w:rsidRPr="006A64EE" w:rsidRDefault="009C2544" w:rsidP="004255F8">
            <w:pPr>
              <w:pStyle w:val="TableParagraph"/>
              <w:widowControl/>
              <w:suppressAutoHyphens/>
              <w:jc w:val="center"/>
              <w:rPr>
                <w:sz w:val="20"/>
                <w:szCs w:val="20"/>
              </w:rPr>
            </w:pPr>
            <w:r w:rsidRPr="006A64EE">
              <w:rPr>
                <w:sz w:val="20"/>
                <w:szCs w:val="20"/>
              </w:rPr>
              <w:t>42,0</w:t>
            </w:r>
          </w:p>
        </w:tc>
        <w:tc>
          <w:tcPr>
            <w:tcW w:w="1885" w:type="dxa"/>
          </w:tcPr>
          <w:p w14:paraId="4F91AB9F" w14:textId="77777777" w:rsidR="002D5756" w:rsidRPr="006A64EE" w:rsidRDefault="009C2544" w:rsidP="004255F8">
            <w:pPr>
              <w:pStyle w:val="TableParagraph"/>
              <w:widowControl/>
              <w:suppressAutoHyphens/>
              <w:jc w:val="center"/>
              <w:rPr>
                <w:sz w:val="20"/>
                <w:szCs w:val="20"/>
              </w:rPr>
            </w:pPr>
            <w:r w:rsidRPr="006A64EE">
              <w:rPr>
                <w:sz w:val="20"/>
                <w:szCs w:val="20"/>
              </w:rPr>
              <w:t>41,0</w:t>
            </w:r>
          </w:p>
        </w:tc>
        <w:tc>
          <w:tcPr>
            <w:tcW w:w="1885" w:type="dxa"/>
          </w:tcPr>
          <w:p w14:paraId="2271D1A0" w14:textId="77777777" w:rsidR="002D5756" w:rsidRPr="006A64EE" w:rsidRDefault="009C2544" w:rsidP="004255F8">
            <w:pPr>
              <w:pStyle w:val="TableParagraph"/>
              <w:widowControl/>
              <w:suppressAutoHyphens/>
              <w:jc w:val="center"/>
              <w:rPr>
                <w:sz w:val="20"/>
                <w:szCs w:val="20"/>
              </w:rPr>
            </w:pPr>
            <w:r w:rsidRPr="006A64EE">
              <w:rPr>
                <w:sz w:val="20"/>
                <w:szCs w:val="20"/>
              </w:rPr>
              <w:t>41,0</w:t>
            </w:r>
          </w:p>
        </w:tc>
        <w:tc>
          <w:tcPr>
            <w:tcW w:w="1885" w:type="dxa"/>
          </w:tcPr>
          <w:p w14:paraId="038398F5" w14:textId="77777777" w:rsidR="002D5756" w:rsidRPr="006A64EE" w:rsidRDefault="009C2544" w:rsidP="004255F8">
            <w:pPr>
              <w:pStyle w:val="TableParagraph"/>
              <w:widowControl/>
              <w:suppressAutoHyphens/>
              <w:jc w:val="center"/>
              <w:rPr>
                <w:sz w:val="20"/>
                <w:szCs w:val="20"/>
              </w:rPr>
            </w:pPr>
            <w:r w:rsidRPr="006A64EE">
              <w:rPr>
                <w:sz w:val="20"/>
                <w:szCs w:val="20"/>
              </w:rPr>
              <w:t>42,0</w:t>
            </w:r>
          </w:p>
        </w:tc>
      </w:tr>
      <w:tr w:rsidR="00593482" w:rsidRPr="006A64EE" w14:paraId="441885BB" w14:textId="77777777" w:rsidTr="00B42E77">
        <w:trPr>
          <w:cantSplit/>
        </w:trPr>
        <w:tc>
          <w:tcPr>
            <w:tcW w:w="1588" w:type="dxa"/>
          </w:tcPr>
          <w:p w14:paraId="22258832" w14:textId="77777777" w:rsidR="002D5756" w:rsidRPr="006A64EE" w:rsidRDefault="009C2544" w:rsidP="004255F8">
            <w:pPr>
              <w:pStyle w:val="TableParagraph"/>
              <w:widowControl/>
              <w:suppressAutoHyphens/>
              <w:ind w:left="284"/>
              <w:rPr>
                <w:sz w:val="20"/>
                <w:szCs w:val="20"/>
              </w:rPr>
            </w:pPr>
            <w:r w:rsidRPr="006A64EE">
              <w:rPr>
                <w:sz w:val="20"/>
                <w:szCs w:val="20"/>
              </w:rPr>
              <w:t>Min - Max</w:t>
            </w:r>
          </w:p>
        </w:tc>
        <w:tc>
          <w:tcPr>
            <w:tcW w:w="1885" w:type="dxa"/>
          </w:tcPr>
          <w:p w14:paraId="14E6AC26" w14:textId="77777777" w:rsidR="002D5756" w:rsidRPr="006A64EE" w:rsidRDefault="009C2544" w:rsidP="004255F8">
            <w:pPr>
              <w:pStyle w:val="TableParagraph"/>
              <w:widowControl/>
              <w:suppressAutoHyphens/>
              <w:jc w:val="center"/>
              <w:rPr>
                <w:sz w:val="20"/>
                <w:szCs w:val="20"/>
              </w:rPr>
            </w:pPr>
            <w:r w:rsidRPr="006A64EE">
              <w:rPr>
                <w:sz w:val="20"/>
                <w:szCs w:val="20"/>
              </w:rPr>
              <w:t>6 - 63</w:t>
            </w:r>
          </w:p>
        </w:tc>
        <w:tc>
          <w:tcPr>
            <w:tcW w:w="1885" w:type="dxa"/>
          </w:tcPr>
          <w:p w14:paraId="7066FA4E" w14:textId="77777777" w:rsidR="002D5756" w:rsidRPr="006A64EE" w:rsidRDefault="009C2544" w:rsidP="004255F8">
            <w:pPr>
              <w:pStyle w:val="TableParagraph"/>
              <w:widowControl/>
              <w:suppressAutoHyphens/>
              <w:jc w:val="center"/>
              <w:rPr>
                <w:sz w:val="20"/>
                <w:szCs w:val="20"/>
              </w:rPr>
            </w:pPr>
            <w:r w:rsidRPr="006A64EE">
              <w:rPr>
                <w:sz w:val="20"/>
                <w:szCs w:val="20"/>
              </w:rPr>
              <w:t>12 – 82</w:t>
            </w:r>
          </w:p>
        </w:tc>
        <w:tc>
          <w:tcPr>
            <w:tcW w:w="1885" w:type="dxa"/>
          </w:tcPr>
          <w:p w14:paraId="399D6DA2" w14:textId="77777777" w:rsidR="002D5756" w:rsidRPr="006A64EE" w:rsidRDefault="009C2544" w:rsidP="004255F8">
            <w:pPr>
              <w:pStyle w:val="TableParagraph"/>
              <w:widowControl/>
              <w:suppressAutoHyphens/>
              <w:jc w:val="center"/>
              <w:rPr>
                <w:sz w:val="20"/>
                <w:szCs w:val="20"/>
              </w:rPr>
            </w:pPr>
            <w:r w:rsidRPr="006A64EE">
              <w:rPr>
                <w:sz w:val="20"/>
                <w:szCs w:val="20"/>
              </w:rPr>
              <w:t>1 - 87</w:t>
            </w:r>
          </w:p>
        </w:tc>
        <w:tc>
          <w:tcPr>
            <w:tcW w:w="1885" w:type="dxa"/>
          </w:tcPr>
          <w:p w14:paraId="6783BDE2" w14:textId="77777777" w:rsidR="002D5756" w:rsidRPr="006A64EE" w:rsidRDefault="009C2544" w:rsidP="004255F8">
            <w:pPr>
              <w:pStyle w:val="TableParagraph"/>
              <w:widowControl/>
              <w:suppressAutoHyphens/>
              <w:jc w:val="center"/>
              <w:rPr>
                <w:sz w:val="20"/>
                <w:szCs w:val="20"/>
              </w:rPr>
            </w:pPr>
            <w:r w:rsidRPr="006A64EE">
              <w:rPr>
                <w:sz w:val="20"/>
                <w:szCs w:val="20"/>
              </w:rPr>
              <w:t>9 - 87</w:t>
            </w:r>
          </w:p>
        </w:tc>
      </w:tr>
    </w:tbl>
    <w:p w14:paraId="1F71252F" w14:textId="77777777" w:rsidR="00093A5E" w:rsidRPr="006A64EE" w:rsidRDefault="00093A5E" w:rsidP="004255F8">
      <w:pPr>
        <w:pStyle w:val="a3"/>
        <w:widowControl/>
      </w:pPr>
    </w:p>
    <w:p w14:paraId="34DC6C8C" w14:textId="6893B281" w:rsidR="00093A5E" w:rsidRPr="006A64EE" w:rsidRDefault="009C2544" w:rsidP="004255F8">
      <w:pPr>
        <w:pStyle w:val="a3"/>
        <w:widowControl/>
      </w:pPr>
      <w:r w:rsidRPr="006A64EE">
        <w:t xml:space="preserve">Der primäre Wirksamkeitsendpunkt, gemessen als Anteil der Patienten, die in Woche 52 eine steroidfreie anhaltende Remission unter </w:t>
      </w:r>
      <w:r w:rsidR="009611C2">
        <w:t>Tocilizumab</w:t>
      </w:r>
      <w:r w:rsidRPr="006A64EE">
        <w:t xml:space="preserve"> plus 26 Wochen Prednison-Ausschleichtherapie verglichen mit Placebo plus 26 Wochen Prednison-Ausschleichtherapie erreichten, wurde erfüllt (siehe Tabelle 4).</w:t>
      </w:r>
    </w:p>
    <w:p w14:paraId="073D0E28" w14:textId="77777777" w:rsidR="00093A5E" w:rsidRPr="006A64EE" w:rsidRDefault="00093A5E" w:rsidP="004255F8">
      <w:pPr>
        <w:pStyle w:val="a3"/>
        <w:widowControl/>
      </w:pPr>
    </w:p>
    <w:p w14:paraId="694DC022" w14:textId="0533EF56" w:rsidR="00093A5E" w:rsidRPr="006A64EE" w:rsidRDefault="009C2544" w:rsidP="004255F8">
      <w:pPr>
        <w:pStyle w:val="a3"/>
        <w:widowControl/>
      </w:pPr>
      <w:r w:rsidRPr="006A64EE">
        <w:t xml:space="preserve">Auch der wichtigste sekundäre Wirksamkeitsendpunkt wurde erfüllt, welcher den Anteil der Patienten gemessen hat, die in Woche 52 eine anhaltende Remission unter </w:t>
      </w:r>
      <w:r w:rsidR="009611C2">
        <w:t>Tocilizumab</w:t>
      </w:r>
      <w:r w:rsidRPr="006A64EE">
        <w:t xml:space="preserve"> plus 26 Wochen Prednison-Ausschleichtherapie verglichen mit Placebo plus 52 Wochen Prednison-</w:t>
      </w:r>
      <w:r w:rsidR="007D680A" w:rsidRPr="006A64EE">
        <w:t>Ausschleichtherapie erreichten (siehe Tabelle 4).</w:t>
      </w:r>
    </w:p>
    <w:p w14:paraId="66D0C033" w14:textId="77777777" w:rsidR="00093A5E" w:rsidRPr="006A64EE" w:rsidRDefault="00093A5E" w:rsidP="004255F8">
      <w:pPr>
        <w:pStyle w:val="a3"/>
        <w:widowControl/>
      </w:pPr>
    </w:p>
    <w:p w14:paraId="183CFBE7" w14:textId="4D08865A" w:rsidR="00093A5E" w:rsidRPr="006A64EE" w:rsidRDefault="009C2544" w:rsidP="004255F8">
      <w:pPr>
        <w:pStyle w:val="a3"/>
        <w:widowControl/>
      </w:pPr>
      <w:r w:rsidRPr="006A64EE">
        <w:t xml:space="preserve">Es zeigte sich ein statistisch signifikanter, überlegener Behandlungseffekt zugunsten von </w:t>
      </w:r>
      <w:r w:rsidR="009611C2">
        <w:t>Tocilizumab</w:t>
      </w:r>
      <w:r w:rsidRPr="006A64EE">
        <w:t xml:space="preserve"> gegenüber Placebo zur Erreichung einer steroidfreien anhaltenden Remission in Woche 52 unter </w:t>
      </w:r>
      <w:r w:rsidR="009611C2">
        <w:t>Tocilizumab</w:t>
      </w:r>
      <w:r w:rsidRPr="006A64EE">
        <w:t xml:space="preserve"> plus 26 Wochen Prednison-Ausschleichtherapie im Vergleich zu Placebo plus 26</w:t>
      </w:r>
      <w:r w:rsidR="00846418">
        <w:t> </w:t>
      </w:r>
      <w:r w:rsidRPr="006A64EE">
        <w:t>Wochen Prednison-Ausschleichtherapie und zu Placebo plus 52 Wochen Prednison-Ausschleichtherapie.</w:t>
      </w:r>
    </w:p>
    <w:p w14:paraId="76989479" w14:textId="77777777" w:rsidR="00093A5E" w:rsidRPr="006A64EE" w:rsidRDefault="00093A5E" w:rsidP="004255F8">
      <w:pPr>
        <w:pStyle w:val="a3"/>
        <w:widowControl/>
      </w:pPr>
    </w:p>
    <w:p w14:paraId="406DC806" w14:textId="77777777" w:rsidR="00093A5E" w:rsidRPr="006A64EE" w:rsidRDefault="009C2544" w:rsidP="004255F8">
      <w:pPr>
        <w:pStyle w:val="a3"/>
        <w:widowControl/>
      </w:pPr>
      <w:r w:rsidRPr="006A64EE">
        <w:t>In Tabelle 4 wird der Anteil der Patienten aufgeführt, die in Woche 52 eine anhaltende Remission erreicht hatten.</w:t>
      </w:r>
    </w:p>
    <w:p w14:paraId="4E9F5BA8" w14:textId="77777777" w:rsidR="00093A5E" w:rsidRPr="006A64EE" w:rsidRDefault="00093A5E" w:rsidP="004255F8">
      <w:pPr>
        <w:pStyle w:val="a3"/>
        <w:widowControl/>
      </w:pPr>
    </w:p>
    <w:p w14:paraId="6221A9D7" w14:textId="77777777" w:rsidR="00093A5E" w:rsidRPr="006A64EE" w:rsidRDefault="009C2544" w:rsidP="004255F8">
      <w:pPr>
        <w:widowControl/>
        <w:rPr>
          <w:i/>
        </w:rPr>
      </w:pPr>
      <w:r w:rsidRPr="006A64EE">
        <w:rPr>
          <w:i/>
        </w:rPr>
        <w:t>Sekundäre Endpunkte</w:t>
      </w:r>
    </w:p>
    <w:p w14:paraId="28C76DE6" w14:textId="5B17183D" w:rsidR="00093A5E" w:rsidRPr="006A64EE" w:rsidRDefault="009C2544" w:rsidP="004255F8">
      <w:pPr>
        <w:pStyle w:val="a3"/>
        <w:widowControl/>
      </w:pPr>
      <w:r w:rsidRPr="006A64EE">
        <w:t xml:space="preserve">Die Beurteilung der Zeit bis zum ersten RZA-Schub zeigte ein signifikant geringeres Schubrisiko in der Gruppe mit </w:t>
      </w:r>
      <w:r w:rsidR="009611C2">
        <w:t>Tocilizumab</w:t>
      </w:r>
      <w:r w:rsidRPr="006A64EE">
        <w:t xml:space="preserve"> subkutan wöchentlich im Vergleich zu den Gruppen mit Placebo plus 26</w:t>
      </w:r>
      <w:r w:rsidR="00846418">
        <w:t> </w:t>
      </w:r>
      <w:r w:rsidRPr="006A64EE">
        <w:t xml:space="preserve">Wochen Prednison-Ausschleichtherapie und Placebo plus 52 Wochen Prednison-Ausschleichtherapie sowie in der Gruppe mit </w:t>
      </w:r>
      <w:r w:rsidR="009611C2">
        <w:t>Tocilizumab</w:t>
      </w:r>
      <w:r w:rsidRPr="006A64EE">
        <w:t xml:space="preserve"> subkutan alle 2 Wochen im Vergleich zur Gruppe mit Placebo</w:t>
      </w:r>
      <w:r w:rsidR="00125B1C" w:rsidRPr="006A64EE">
        <w:t xml:space="preserve"> </w:t>
      </w:r>
      <w:r w:rsidRPr="006A64EE">
        <w:t>plus 26 Wochen Prednison-Ausschleichtherapie (beim Vergleich auf einem</w:t>
      </w:r>
      <w:r w:rsidR="00125B1C" w:rsidRPr="006A64EE">
        <w:t xml:space="preserve"> </w:t>
      </w:r>
      <w:r w:rsidRPr="006A64EE">
        <w:t xml:space="preserve">Signifikanzniveau von 0,01). </w:t>
      </w:r>
      <w:r w:rsidR="009611C2">
        <w:t>Tocilizumab</w:t>
      </w:r>
      <w:r w:rsidRPr="006A64EE">
        <w:t xml:space="preserve"> subkutan wöchentlich zeigte auch eine klinisch bedeutsame Abnahme des Schubrisikos im Vergleich zu Placebo plus 26 Wochen Prednison-Ausschleichtherapie, und zwar sowohl bei Patienten, die mit rezidivierender RZA in die Studie aufgenommen wurden, als auch bei Patienten mit beginnender RZA zu Studienbeginn (Tabelle 4).</w:t>
      </w:r>
    </w:p>
    <w:p w14:paraId="05CFCE13" w14:textId="77777777" w:rsidR="00093A5E" w:rsidRPr="006A64EE" w:rsidRDefault="00093A5E" w:rsidP="004255F8">
      <w:pPr>
        <w:pStyle w:val="a3"/>
        <w:widowControl/>
      </w:pPr>
    </w:p>
    <w:p w14:paraId="6C82CC80" w14:textId="77777777" w:rsidR="00093A5E" w:rsidRPr="006A64EE" w:rsidRDefault="009C2544" w:rsidP="004255F8">
      <w:pPr>
        <w:keepNext/>
        <w:widowControl/>
        <w:rPr>
          <w:i/>
        </w:rPr>
      </w:pPr>
      <w:r w:rsidRPr="006A64EE">
        <w:rPr>
          <w:i/>
        </w:rPr>
        <w:t>Kumulative Glucocorticoid-Dosis</w:t>
      </w:r>
    </w:p>
    <w:p w14:paraId="34034CD3" w14:textId="2EAFA651" w:rsidR="00093A5E" w:rsidRPr="006A64EE" w:rsidRDefault="009C2544" w:rsidP="004255F8">
      <w:pPr>
        <w:pStyle w:val="a3"/>
        <w:widowControl/>
      </w:pPr>
      <w:r w:rsidRPr="006A64EE">
        <w:t>Die kumulative Prednison-Dosis in Woche</w:t>
      </w:r>
      <w:r w:rsidR="006B2CAB">
        <w:t> </w:t>
      </w:r>
      <w:r w:rsidRPr="006A64EE">
        <w:t xml:space="preserve">52 war signifikant niedriger in den beiden </w:t>
      </w:r>
      <w:r w:rsidR="009611C2">
        <w:t>Tocilizumab</w:t>
      </w:r>
      <w:r w:rsidRPr="006A64EE">
        <w:t>-Gruppen verglichen mit den beiden Placebo-Gruppen (Tabelle</w:t>
      </w:r>
      <w:r w:rsidR="006B2CAB">
        <w:t> </w:t>
      </w:r>
      <w:r w:rsidRPr="006A64EE">
        <w:t>4). In einer separaten Analyse der Patienten, die während der ersten 52</w:t>
      </w:r>
      <w:r w:rsidR="006B2CAB">
        <w:t> </w:t>
      </w:r>
      <w:r w:rsidRPr="006A64EE">
        <w:t xml:space="preserve">Wochen Prednison als Bedarfsmedikation (Escape) zur Behandlung von RZA-Schüben erhalten hatten, variierte die kumulative Prednison-Dosis stark. Der Median der Dosen für Patienten, die eine Escape-Therapie mit Glucocorticoiden in den Gruppen mit </w:t>
      </w:r>
      <w:r w:rsidR="009611C2">
        <w:t>Tocilizumab</w:t>
      </w:r>
      <w:r w:rsidRPr="006A64EE">
        <w:t xml:space="preserve"> wöchentlich bzw. alle 2</w:t>
      </w:r>
      <w:r w:rsidR="006B2CAB">
        <w:t> </w:t>
      </w:r>
      <w:r w:rsidRPr="006A64EE">
        <w:t>Wochen erhielten, lagen bei 3</w:t>
      </w:r>
      <w:r w:rsidR="006B2CAB">
        <w:t> </w:t>
      </w:r>
      <w:r w:rsidRPr="006A64EE">
        <w:t>129,75</w:t>
      </w:r>
      <w:r w:rsidR="006B2CAB">
        <w:t> </w:t>
      </w:r>
      <w:r w:rsidRPr="006A64EE">
        <w:t>mg bzw. 3</w:t>
      </w:r>
      <w:r w:rsidR="006B2CAB">
        <w:t> </w:t>
      </w:r>
      <w:r w:rsidRPr="006A64EE">
        <w:t>847</w:t>
      </w:r>
      <w:r w:rsidR="006B2CAB">
        <w:t> </w:t>
      </w:r>
      <w:r w:rsidRPr="006A64EE">
        <w:t>mg. Beide Werte sind deutlich niedriger als der Median der unter der Escape-Glucocorticoid-Therapie verwendeten Dosen in den Gruppen mit Placebo plus 26</w:t>
      </w:r>
      <w:r w:rsidR="006B2CAB">
        <w:t> </w:t>
      </w:r>
      <w:r w:rsidRPr="006A64EE">
        <w:t>Wochen bzw. Placebo plus 52</w:t>
      </w:r>
      <w:r w:rsidR="006B2CAB">
        <w:t> </w:t>
      </w:r>
      <w:r w:rsidRPr="006A64EE">
        <w:t>Wochen Prednison-Ausschleichtherapie von 4</w:t>
      </w:r>
      <w:r w:rsidR="006B2CAB">
        <w:t> </w:t>
      </w:r>
      <w:r w:rsidRPr="006A64EE">
        <w:t>023,5</w:t>
      </w:r>
      <w:r w:rsidR="006B2CAB">
        <w:t> </w:t>
      </w:r>
      <w:r w:rsidRPr="006A64EE">
        <w:t>mg bzw. 5</w:t>
      </w:r>
      <w:r w:rsidR="006B2CAB">
        <w:t> </w:t>
      </w:r>
      <w:r w:rsidRPr="006A64EE">
        <w:t>389,5</w:t>
      </w:r>
      <w:r w:rsidR="006B2CAB">
        <w:t> </w:t>
      </w:r>
      <w:r w:rsidRPr="006A64EE">
        <w:t>mg.</w:t>
      </w:r>
    </w:p>
    <w:p w14:paraId="7DA715B0" w14:textId="77777777" w:rsidR="00093A5E" w:rsidRPr="006A64EE" w:rsidRDefault="00093A5E" w:rsidP="004255F8">
      <w:pPr>
        <w:pStyle w:val="a3"/>
        <w:widowControl/>
      </w:pPr>
    </w:p>
    <w:p w14:paraId="7C8D4833" w14:textId="77777777" w:rsidR="00093A5E" w:rsidRPr="006A64EE" w:rsidRDefault="009C2544" w:rsidP="004255F8">
      <w:pPr>
        <w:pStyle w:val="Tabletittle"/>
      </w:pPr>
      <w:r w:rsidRPr="006A64EE">
        <w:lastRenderedPageBreak/>
        <w:t>Tabelle 4:</w:t>
      </w:r>
      <w:r w:rsidR="00D67735" w:rsidRPr="006A64EE">
        <w:tab/>
      </w:r>
      <w:r w:rsidRPr="006A64EE">
        <w:t>Wirksamkeitsergebnisse der Studie WA28119</w:t>
      </w:r>
    </w:p>
    <w:p w14:paraId="673377E9" w14:textId="0DF7F561" w:rsidR="002D5756" w:rsidRPr="006A64EE" w:rsidRDefault="002D5756" w:rsidP="004255F8">
      <w:pPr>
        <w:pStyle w:val="a3"/>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3210"/>
        <w:gridCol w:w="1126"/>
        <w:gridCol w:w="1126"/>
        <w:gridCol w:w="1792"/>
        <w:gridCol w:w="1807"/>
      </w:tblGrid>
      <w:tr w:rsidR="00593482" w:rsidRPr="006A64EE" w14:paraId="6208867A" w14:textId="77777777" w:rsidTr="00A27366">
        <w:trPr>
          <w:cantSplit/>
        </w:trPr>
        <w:tc>
          <w:tcPr>
            <w:tcW w:w="3234" w:type="dxa"/>
          </w:tcPr>
          <w:p w14:paraId="148ADD19" w14:textId="6BE19B7A" w:rsidR="00D67735" w:rsidRPr="006A64EE" w:rsidRDefault="00D67735" w:rsidP="00B41A4A">
            <w:pPr>
              <w:pStyle w:val="TableParagraph"/>
              <w:widowControl/>
              <w:suppressAutoHyphens/>
              <w:jc w:val="center"/>
              <w:rPr>
                <w:b/>
                <w:sz w:val="20"/>
                <w:szCs w:val="20"/>
              </w:rPr>
            </w:pPr>
          </w:p>
        </w:tc>
        <w:tc>
          <w:tcPr>
            <w:tcW w:w="1134" w:type="dxa"/>
          </w:tcPr>
          <w:p w14:paraId="54550566" w14:textId="238C2EDE" w:rsidR="00093A5E" w:rsidRPr="006A64EE" w:rsidRDefault="00D67735" w:rsidP="00B41A4A">
            <w:pPr>
              <w:pStyle w:val="TableParagraph"/>
              <w:widowControl/>
              <w:suppressAutoHyphens/>
              <w:jc w:val="center"/>
              <w:rPr>
                <w:b/>
                <w:sz w:val="20"/>
                <w:szCs w:val="20"/>
              </w:rPr>
            </w:pPr>
            <w:r w:rsidRPr="006A64EE">
              <w:rPr>
                <w:b/>
                <w:sz w:val="20"/>
                <w:szCs w:val="20"/>
              </w:rPr>
              <w:t>Placebo + 26 Wochen Prednison-Ausschleich- therapie</w:t>
            </w:r>
          </w:p>
          <w:p w14:paraId="621726BE" w14:textId="5317D50C" w:rsidR="00D67735" w:rsidRPr="006A64EE" w:rsidRDefault="00D67735" w:rsidP="00B41A4A">
            <w:pPr>
              <w:pStyle w:val="TableParagraph"/>
              <w:widowControl/>
              <w:suppressAutoHyphens/>
              <w:jc w:val="center"/>
              <w:rPr>
                <w:b/>
                <w:sz w:val="20"/>
                <w:szCs w:val="20"/>
              </w:rPr>
            </w:pPr>
            <w:r w:rsidRPr="006A64EE">
              <w:rPr>
                <w:b/>
                <w:sz w:val="20"/>
                <w:szCs w:val="20"/>
              </w:rPr>
              <w:t>n = 50</w:t>
            </w:r>
          </w:p>
        </w:tc>
        <w:tc>
          <w:tcPr>
            <w:tcW w:w="1134" w:type="dxa"/>
          </w:tcPr>
          <w:p w14:paraId="5A5AED8A" w14:textId="53EED263" w:rsidR="00093A5E" w:rsidRPr="006A64EE" w:rsidRDefault="00D67735" w:rsidP="00B41A4A">
            <w:pPr>
              <w:pStyle w:val="TableParagraph"/>
              <w:widowControl/>
              <w:suppressAutoHyphens/>
              <w:jc w:val="center"/>
              <w:rPr>
                <w:b/>
                <w:sz w:val="20"/>
                <w:szCs w:val="20"/>
              </w:rPr>
            </w:pPr>
            <w:r w:rsidRPr="006A64EE">
              <w:rPr>
                <w:b/>
                <w:sz w:val="20"/>
                <w:szCs w:val="20"/>
              </w:rPr>
              <w:t>Placebo + 52 Wochen Prednison-Ausschleich- therapie</w:t>
            </w:r>
          </w:p>
          <w:p w14:paraId="13914DB0" w14:textId="5CBD044D" w:rsidR="00D67735" w:rsidRPr="006A64EE" w:rsidRDefault="00D67735" w:rsidP="00B41A4A">
            <w:pPr>
              <w:pStyle w:val="TableParagraph"/>
              <w:widowControl/>
              <w:suppressAutoHyphens/>
              <w:jc w:val="center"/>
              <w:rPr>
                <w:b/>
                <w:sz w:val="20"/>
                <w:szCs w:val="20"/>
              </w:rPr>
            </w:pPr>
            <w:r w:rsidRPr="006A64EE">
              <w:rPr>
                <w:b/>
                <w:sz w:val="20"/>
                <w:szCs w:val="20"/>
              </w:rPr>
              <w:t>n = 51</w:t>
            </w:r>
          </w:p>
        </w:tc>
        <w:tc>
          <w:tcPr>
            <w:tcW w:w="1805" w:type="dxa"/>
          </w:tcPr>
          <w:p w14:paraId="5870837A" w14:textId="49EDC1F4" w:rsidR="00093A5E" w:rsidRPr="00A27366" w:rsidRDefault="009611C2" w:rsidP="00B41A4A">
            <w:pPr>
              <w:pStyle w:val="TableParagraph"/>
              <w:widowControl/>
              <w:suppressAutoHyphens/>
              <w:jc w:val="center"/>
              <w:rPr>
                <w:b/>
                <w:bCs/>
                <w:sz w:val="20"/>
                <w:szCs w:val="20"/>
              </w:rPr>
            </w:pPr>
            <w:r w:rsidRPr="00B320E1">
              <w:rPr>
                <w:b/>
                <w:bCs/>
                <w:sz w:val="20"/>
                <w:szCs w:val="20"/>
              </w:rPr>
              <w:t>Tocilizumab</w:t>
            </w:r>
            <w:r w:rsidR="00D67735" w:rsidRPr="00A27366">
              <w:rPr>
                <w:b/>
                <w:bCs/>
                <w:sz w:val="20"/>
                <w:szCs w:val="20"/>
              </w:rPr>
              <w:t xml:space="preserve"> 162 mg subkutan wöchentlich</w:t>
            </w:r>
          </w:p>
          <w:p w14:paraId="558A0864" w14:textId="77777777" w:rsidR="00093A5E" w:rsidRPr="00A27366" w:rsidRDefault="00D67735" w:rsidP="00B41A4A">
            <w:pPr>
              <w:pStyle w:val="TableParagraph"/>
              <w:widowControl/>
              <w:suppressAutoHyphens/>
              <w:jc w:val="center"/>
              <w:rPr>
                <w:b/>
                <w:bCs/>
                <w:sz w:val="20"/>
                <w:szCs w:val="20"/>
              </w:rPr>
            </w:pPr>
            <w:r w:rsidRPr="00A27366">
              <w:rPr>
                <w:b/>
                <w:bCs/>
                <w:sz w:val="20"/>
                <w:szCs w:val="20"/>
              </w:rPr>
              <w:t>+ 26 Wochen Prednison-Ausschleichtherapie</w:t>
            </w:r>
          </w:p>
          <w:p w14:paraId="6F5CFEE8" w14:textId="6F70CD8A" w:rsidR="00D67735" w:rsidRPr="00A27366" w:rsidRDefault="00D67735" w:rsidP="00B41A4A">
            <w:pPr>
              <w:pStyle w:val="TableParagraph"/>
              <w:widowControl/>
              <w:suppressAutoHyphens/>
              <w:jc w:val="center"/>
              <w:rPr>
                <w:b/>
                <w:bCs/>
                <w:sz w:val="20"/>
                <w:szCs w:val="20"/>
              </w:rPr>
            </w:pPr>
            <w:r w:rsidRPr="00A27366">
              <w:rPr>
                <w:b/>
                <w:bCs/>
                <w:sz w:val="20"/>
                <w:szCs w:val="20"/>
              </w:rPr>
              <w:t>n = 100</w:t>
            </w:r>
          </w:p>
        </w:tc>
        <w:tc>
          <w:tcPr>
            <w:tcW w:w="1820" w:type="dxa"/>
          </w:tcPr>
          <w:p w14:paraId="1DEED84C" w14:textId="413688D4" w:rsidR="00093A5E" w:rsidRPr="00A27366" w:rsidRDefault="009611C2" w:rsidP="00B41A4A">
            <w:pPr>
              <w:pStyle w:val="TableParagraph"/>
              <w:widowControl/>
              <w:suppressAutoHyphens/>
              <w:jc w:val="center"/>
              <w:rPr>
                <w:b/>
                <w:bCs/>
                <w:sz w:val="20"/>
                <w:szCs w:val="20"/>
              </w:rPr>
            </w:pPr>
            <w:r w:rsidRPr="00B320E1">
              <w:rPr>
                <w:b/>
                <w:bCs/>
                <w:sz w:val="20"/>
                <w:szCs w:val="20"/>
              </w:rPr>
              <w:t>Tocilizumab</w:t>
            </w:r>
            <w:r w:rsidR="00D67735" w:rsidRPr="00A27366">
              <w:rPr>
                <w:b/>
                <w:bCs/>
                <w:sz w:val="20"/>
                <w:szCs w:val="20"/>
              </w:rPr>
              <w:t xml:space="preserve"> 162 mg subkutan alle</w:t>
            </w:r>
          </w:p>
          <w:p w14:paraId="06CF32EC" w14:textId="77777777" w:rsidR="00093A5E" w:rsidRPr="00A27366" w:rsidRDefault="00D67735" w:rsidP="00B41A4A">
            <w:pPr>
              <w:pStyle w:val="TableParagraph"/>
              <w:widowControl/>
              <w:suppressAutoHyphens/>
              <w:jc w:val="center"/>
              <w:rPr>
                <w:b/>
                <w:bCs/>
                <w:sz w:val="20"/>
                <w:szCs w:val="20"/>
              </w:rPr>
            </w:pPr>
            <w:r w:rsidRPr="00A27366">
              <w:rPr>
                <w:b/>
                <w:bCs/>
                <w:sz w:val="20"/>
                <w:szCs w:val="20"/>
              </w:rPr>
              <w:t>2 Wochen +</w:t>
            </w:r>
          </w:p>
          <w:p w14:paraId="3E4745AB" w14:textId="77777777" w:rsidR="00093A5E" w:rsidRPr="00A27366" w:rsidRDefault="00D67735" w:rsidP="00B41A4A">
            <w:pPr>
              <w:pStyle w:val="TableParagraph"/>
              <w:widowControl/>
              <w:suppressAutoHyphens/>
              <w:jc w:val="center"/>
              <w:rPr>
                <w:b/>
                <w:bCs/>
                <w:sz w:val="20"/>
                <w:szCs w:val="20"/>
              </w:rPr>
            </w:pPr>
            <w:r w:rsidRPr="00A27366">
              <w:rPr>
                <w:b/>
                <w:bCs/>
                <w:sz w:val="20"/>
                <w:szCs w:val="20"/>
              </w:rPr>
              <w:t>26 Wochen Prednison-</w:t>
            </w:r>
          </w:p>
          <w:p w14:paraId="2A44B0DB" w14:textId="77777777" w:rsidR="00093A5E" w:rsidRPr="00A27366" w:rsidRDefault="00D67735" w:rsidP="00B41A4A">
            <w:pPr>
              <w:pStyle w:val="TableParagraph"/>
              <w:widowControl/>
              <w:suppressAutoHyphens/>
              <w:jc w:val="center"/>
              <w:rPr>
                <w:b/>
                <w:bCs/>
                <w:sz w:val="20"/>
                <w:szCs w:val="20"/>
              </w:rPr>
            </w:pPr>
            <w:r w:rsidRPr="00A27366">
              <w:rPr>
                <w:b/>
                <w:bCs/>
                <w:sz w:val="20"/>
                <w:szCs w:val="20"/>
              </w:rPr>
              <w:t>Ausschleichtherapie</w:t>
            </w:r>
          </w:p>
          <w:p w14:paraId="4B2192C6" w14:textId="4F487887" w:rsidR="00D67735" w:rsidRPr="00A27366" w:rsidRDefault="00D67735" w:rsidP="00B41A4A">
            <w:pPr>
              <w:pStyle w:val="TableParagraph"/>
              <w:widowControl/>
              <w:suppressAutoHyphens/>
              <w:jc w:val="center"/>
              <w:rPr>
                <w:b/>
                <w:bCs/>
                <w:sz w:val="20"/>
                <w:szCs w:val="20"/>
              </w:rPr>
            </w:pPr>
            <w:r w:rsidRPr="00A27366">
              <w:rPr>
                <w:b/>
                <w:bCs/>
                <w:sz w:val="20"/>
                <w:szCs w:val="20"/>
              </w:rPr>
              <w:t>n = 49</w:t>
            </w:r>
          </w:p>
        </w:tc>
      </w:tr>
      <w:tr w:rsidR="00593482" w:rsidRPr="006A64EE" w14:paraId="5391951B" w14:textId="77777777" w:rsidTr="00B41A4A">
        <w:trPr>
          <w:cantSplit/>
        </w:trPr>
        <w:tc>
          <w:tcPr>
            <w:tcW w:w="9127" w:type="dxa"/>
            <w:gridSpan w:val="5"/>
          </w:tcPr>
          <w:p w14:paraId="7C1BDA45" w14:textId="77777777" w:rsidR="002D5756" w:rsidRPr="006A64EE" w:rsidRDefault="009C2544" w:rsidP="00B41A4A">
            <w:pPr>
              <w:pStyle w:val="TableParagraph"/>
              <w:widowControl/>
              <w:suppressAutoHyphens/>
              <w:rPr>
                <w:b/>
                <w:sz w:val="20"/>
                <w:szCs w:val="20"/>
              </w:rPr>
            </w:pPr>
            <w:r w:rsidRPr="006A64EE">
              <w:rPr>
                <w:b/>
                <w:sz w:val="20"/>
                <w:szCs w:val="20"/>
              </w:rPr>
              <w:t>Primärer Endpunkt</w:t>
            </w:r>
          </w:p>
        </w:tc>
      </w:tr>
      <w:tr w:rsidR="00593482" w:rsidRPr="006A64EE" w14:paraId="1FF0AD5F" w14:textId="77777777" w:rsidTr="00B41A4A">
        <w:trPr>
          <w:cantSplit/>
        </w:trPr>
        <w:tc>
          <w:tcPr>
            <w:tcW w:w="9127" w:type="dxa"/>
            <w:gridSpan w:val="5"/>
          </w:tcPr>
          <w:p w14:paraId="209F724D" w14:textId="7BE8F8C3" w:rsidR="00D67735" w:rsidRPr="006A64EE" w:rsidRDefault="00D67735" w:rsidP="00B41A4A">
            <w:pPr>
              <w:pStyle w:val="TableParagraph"/>
              <w:widowControl/>
              <w:suppressAutoHyphens/>
              <w:rPr>
                <w:sz w:val="20"/>
                <w:szCs w:val="20"/>
              </w:rPr>
            </w:pPr>
            <w:r w:rsidRPr="006A64EE">
              <w:rPr>
                <w:sz w:val="20"/>
                <w:szCs w:val="20"/>
              </w:rPr>
              <w:t xml:space="preserve">****Anhaltende Remission (Tocilizumab-Gruppen </w:t>
            </w:r>
            <w:r w:rsidRPr="006A64EE">
              <w:rPr>
                <w:i/>
                <w:sz w:val="20"/>
                <w:szCs w:val="20"/>
              </w:rPr>
              <w:t xml:space="preserve">vs. </w:t>
            </w:r>
            <w:r w:rsidRPr="006A64EE">
              <w:rPr>
                <w:sz w:val="20"/>
                <w:szCs w:val="20"/>
              </w:rPr>
              <w:t>Placebo+26)</w:t>
            </w:r>
          </w:p>
        </w:tc>
      </w:tr>
      <w:tr w:rsidR="00593482" w:rsidRPr="006A64EE" w14:paraId="70871EAE" w14:textId="77777777" w:rsidTr="00A27366">
        <w:trPr>
          <w:cantSplit/>
        </w:trPr>
        <w:tc>
          <w:tcPr>
            <w:tcW w:w="3234" w:type="dxa"/>
          </w:tcPr>
          <w:p w14:paraId="6F37CE3B" w14:textId="77777777" w:rsidR="002D5756" w:rsidRPr="006A64EE" w:rsidRDefault="009C2544" w:rsidP="00B41A4A">
            <w:pPr>
              <w:pStyle w:val="TableParagraph"/>
              <w:widowControl/>
              <w:suppressAutoHyphens/>
              <w:ind w:left="284"/>
              <w:rPr>
                <w:sz w:val="20"/>
                <w:szCs w:val="20"/>
              </w:rPr>
            </w:pPr>
            <w:r w:rsidRPr="006A64EE">
              <w:rPr>
                <w:sz w:val="20"/>
                <w:szCs w:val="20"/>
              </w:rPr>
              <w:t>Responder in Woche 52, n (%)</w:t>
            </w:r>
          </w:p>
        </w:tc>
        <w:tc>
          <w:tcPr>
            <w:tcW w:w="1134" w:type="dxa"/>
          </w:tcPr>
          <w:p w14:paraId="4AEF9A87" w14:textId="77777777" w:rsidR="002D5756" w:rsidRPr="006A64EE" w:rsidRDefault="009C2544" w:rsidP="00B41A4A">
            <w:pPr>
              <w:pStyle w:val="TableParagraph"/>
              <w:widowControl/>
              <w:suppressAutoHyphens/>
              <w:jc w:val="center"/>
              <w:rPr>
                <w:sz w:val="20"/>
                <w:szCs w:val="20"/>
              </w:rPr>
            </w:pPr>
            <w:r w:rsidRPr="006A64EE">
              <w:rPr>
                <w:sz w:val="20"/>
                <w:szCs w:val="20"/>
              </w:rPr>
              <w:t>7 (14 %)</w:t>
            </w:r>
          </w:p>
        </w:tc>
        <w:tc>
          <w:tcPr>
            <w:tcW w:w="1134" w:type="dxa"/>
          </w:tcPr>
          <w:p w14:paraId="650818DD" w14:textId="77777777" w:rsidR="002D5756" w:rsidRPr="006A64EE" w:rsidRDefault="009C2544" w:rsidP="00B41A4A">
            <w:pPr>
              <w:pStyle w:val="TableParagraph"/>
              <w:widowControl/>
              <w:suppressAutoHyphens/>
              <w:jc w:val="center"/>
              <w:rPr>
                <w:sz w:val="20"/>
                <w:szCs w:val="20"/>
              </w:rPr>
            </w:pPr>
            <w:r w:rsidRPr="006A64EE">
              <w:rPr>
                <w:sz w:val="20"/>
                <w:szCs w:val="20"/>
              </w:rPr>
              <w:t>9 (17,6 %)</w:t>
            </w:r>
          </w:p>
        </w:tc>
        <w:tc>
          <w:tcPr>
            <w:tcW w:w="1805" w:type="dxa"/>
          </w:tcPr>
          <w:p w14:paraId="02AEBEBD" w14:textId="77777777" w:rsidR="002D5756" w:rsidRPr="006A64EE" w:rsidRDefault="009C2544" w:rsidP="00B41A4A">
            <w:pPr>
              <w:pStyle w:val="TableParagraph"/>
              <w:widowControl/>
              <w:suppressAutoHyphens/>
              <w:jc w:val="center"/>
              <w:rPr>
                <w:sz w:val="20"/>
                <w:szCs w:val="20"/>
              </w:rPr>
            </w:pPr>
            <w:r w:rsidRPr="006A64EE">
              <w:rPr>
                <w:sz w:val="20"/>
                <w:szCs w:val="20"/>
              </w:rPr>
              <w:t>56 (56 %)</w:t>
            </w:r>
          </w:p>
        </w:tc>
        <w:tc>
          <w:tcPr>
            <w:tcW w:w="1820" w:type="dxa"/>
          </w:tcPr>
          <w:p w14:paraId="04D81415" w14:textId="77777777" w:rsidR="002D5756" w:rsidRPr="006A64EE" w:rsidRDefault="009C2544" w:rsidP="00B41A4A">
            <w:pPr>
              <w:pStyle w:val="TableParagraph"/>
              <w:widowControl/>
              <w:suppressAutoHyphens/>
              <w:jc w:val="center"/>
              <w:rPr>
                <w:sz w:val="20"/>
                <w:szCs w:val="20"/>
              </w:rPr>
            </w:pPr>
            <w:r w:rsidRPr="006A64EE">
              <w:rPr>
                <w:sz w:val="20"/>
                <w:szCs w:val="20"/>
              </w:rPr>
              <w:t>26 (53,1 %)</w:t>
            </w:r>
          </w:p>
        </w:tc>
      </w:tr>
      <w:tr w:rsidR="00593482" w:rsidRPr="006A64EE" w14:paraId="40C06504" w14:textId="77777777" w:rsidTr="00A27366">
        <w:trPr>
          <w:cantSplit/>
        </w:trPr>
        <w:tc>
          <w:tcPr>
            <w:tcW w:w="3234" w:type="dxa"/>
          </w:tcPr>
          <w:p w14:paraId="1D344488" w14:textId="77777777" w:rsidR="002D5756" w:rsidRPr="006A64EE" w:rsidRDefault="009C2544" w:rsidP="00B41A4A">
            <w:pPr>
              <w:pStyle w:val="TableParagraph"/>
              <w:widowControl/>
              <w:suppressAutoHyphens/>
              <w:ind w:left="284"/>
              <w:rPr>
                <w:sz w:val="20"/>
                <w:szCs w:val="20"/>
              </w:rPr>
            </w:pPr>
            <w:r w:rsidRPr="006A64EE">
              <w:rPr>
                <w:sz w:val="20"/>
                <w:szCs w:val="20"/>
              </w:rPr>
              <w:t>Nicht korrigierte Unterschiede in</w:t>
            </w:r>
            <w:r w:rsidR="00D67735" w:rsidRPr="006A64EE">
              <w:rPr>
                <w:sz w:val="20"/>
                <w:szCs w:val="20"/>
              </w:rPr>
              <w:t xml:space="preserve"> Anteilen</w:t>
            </w:r>
          </w:p>
          <w:p w14:paraId="0AB0DAC3" w14:textId="7935CE6C" w:rsidR="00B971A8" w:rsidRPr="006A64EE" w:rsidRDefault="00B971A8" w:rsidP="00B41A4A">
            <w:pPr>
              <w:pStyle w:val="TableParagraph"/>
              <w:widowControl/>
              <w:suppressAutoHyphens/>
              <w:ind w:left="284"/>
            </w:pPr>
            <w:r w:rsidRPr="006A64EE">
              <w:rPr>
                <w:sz w:val="20"/>
                <w:szCs w:val="20"/>
              </w:rPr>
              <w:t>(99,5-%-KI)</w:t>
            </w:r>
          </w:p>
        </w:tc>
        <w:tc>
          <w:tcPr>
            <w:tcW w:w="1134" w:type="dxa"/>
          </w:tcPr>
          <w:p w14:paraId="3DC52236" w14:textId="77777777" w:rsidR="002D5756" w:rsidRPr="006A64EE" w:rsidRDefault="009C2544" w:rsidP="00B41A4A">
            <w:pPr>
              <w:pStyle w:val="TableParagraph"/>
              <w:widowControl/>
              <w:suppressAutoHyphens/>
              <w:jc w:val="center"/>
              <w:rPr>
                <w:sz w:val="20"/>
                <w:szCs w:val="20"/>
              </w:rPr>
            </w:pPr>
            <w:r w:rsidRPr="006A64EE">
              <w:rPr>
                <w:sz w:val="20"/>
                <w:szCs w:val="20"/>
              </w:rPr>
              <w:t>Entfällt.</w:t>
            </w:r>
          </w:p>
        </w:tc>
        <w:tc>
          <w:tcPr>
            <w:tcW w:w="1134" w:type="dxa"/>
          </w:tcPr>
          <w:p w14:paraId="4EBE545F" w14:textId="77777777" w:rsidR="002D5756" w:rsidRPr="006A64EE" w:rsidRDefault="009C2544" w:rsidP="00B41A4A">
            <w:pPr>
              <w:pStyle w:val="TableParagraph"/>
              <w:widowControl/>
              <w:suppressAutoHyphens/>
              <w:jc w:val="center"/>
              <w:rPr>
                <w:sz w:val="20"/>
                <w:szCs w:val="20"/>
              </w:rPr>
            </w:pPr>
            <w:r w:rsidRPr="006A64EE">
              <w:rPr>
                <w:sz w:val="20"/>
                <w:szCs w:val="20"/>
              </w:rPr>
              <w:t>Entfällt.</w:t>
            </w:r>
          </w:p>
        </w:tc>
        <w:tc>
          <w:tcPr>
            <w:tcW w:w="1805" w:type="dxa"/>
          </w:tcPr>
          <w:p w14:paraId="6CD83D4E" w14:textId="77777777" w:rsidR="002D5756" w:rsidRPr="006A64EE" w:rsidRDefault="009C2544" w:rsidP="00B41A4A">
            <w:pPr>
              <w:pStyle w:val="TableParagraph"/>
              <w:widowControl/>
              <w:suppressAutoHyphens/>
              <w:jc w:val="center"/>
              <w:rPr>
                <w:sz w:val="20"/>
                <w:szCs w:val="20"/>
              </w:rPr>
            </w:pPr>
            <w:r w:rsidRPr="006A64EE">
              <w:rPr>
                <w:sz w:val="20"/>
                <w:szCs w:val="20"/>
              </w:rPr>
              <w:t>42 %*</w:t>
            </w:r>
          </w:p>
          <w:p w14:paraId="31A0562A" w14:textId="77777777" w:rsidR="00B971A8" w:rsidRPr="006A64EE" w:rsidRDefault="00B971A8" w:rsidP="00B41A4A">
            <w:pPr>
              <w:pStyle w:val="TableParagraph"/>
              <w:widowControl/>
              <w:suppressAutoHyphens/>
              <w:jc w:val="center"/>
              <w:rPr>
                <w:sz w:val="20"/>
                <w:szCs w:val="20"/>
              </w:rPr>
            </w:pPr>
          </w:p>
          <w:p w14:paraId="76B7A9C8" w14:textId="3EB4D1BF" w:rsidR="00B971A8" w:rsidRPr="006A64EE" w:rsidRDefault="00B971A8" w:rsidP="00B41A4A">
            <w:pPr>
              <w:pStyle w:val="TableParagraph"/>
              <w:widowControl/>
              <w:suppressAutoHyphens/>
              <w:jc w:val="center"/>
              <w:rPr>
                <w:sz w:val="20"/>
                <w:szCs w:val="20"/>
              </w:rPr>
            </w:pPr>
            <w:r w:rsidRPr="006A64EE">
              <w:rPr>
                <w:sz w:val="20"/>
                <w:szCs w:val="20"/>
              </w:rPr>
              <w:t>(18,00; 66,00)</w:t>
            </w:r>
          </w:p>
        </w:tc>
        <w:tc>
          <w:tcPr>
            <w:tcW w:w="1820" w:type="dxa"/>
          </w:tcPr>
          <w:p w14:paraId="3D6C5ADD" w14:textId="77777777" w:rsidR="002D5756" w:rsidRPr="006A64EE" w:rsidRDefault="009C2544" w:rsidP="00B41A4A">
            <w:pPr>
              <w:pStyle w:val="TableParagraph"/>
              <w:widowControl/>
              <w:suppressAutoHyphens/>
              <w:jc w:val="center"/>
              <w:rPr>
                <w:sz w:val="20"/>
                <w:szCs w:val="20"/>
              </w:rPr>
            </w:pPr>
            <w:r w:rsidRPr="006A64EE">
              <w:rPr>
                <w:sz w:val="20"/>
                <w:szCs w:val="20"/>
              </w:rPr>
              <w:t>39,06 %*</w:t>
            </w:r>
          </w:p>
          <w:p w14:paraId="47F7626C" w14:textId="77777777" w:rsidR="00B971A8" w:rsidRPr="006A64EE" w:rsidRDefault="00B971A8" w:rsidP="00B41A4A">
            <w:pPr>
              <w:pStyle w:val="TableParagraph"/>
              <w:widowControl/>
              <w:suppressAutoHyphens/>
              <w:jc w:val="center"/>
              <w:rPr>
                <w:sz w:val="20"/>
                <w:szCs w:val="20"/>
              </w:rPr>
            </w:pPr>
          </w:p>
          <w:p w14:paraId="7EF965B9" w14:textId="00E69992" w:rsidR="00B971A8" w:rsidRPr="006A64EE" w:rsidRDefault="00B971A8" w:rsidP="00B41A4A">
            <w:pPr>
              <w:pStyle w:val="TableParagraph"/>
              <w:widowControl/>
              <w:suppressAutoHyphens/>
              <w:jc w:val="center"/>
              <w:rPr>
                <w:sz w:val="20"/>
                <w:szCs w:val="20"/>
              </w:rPr>
            </w:pPr>
            <w:r w:rsidRPr="006A64EE">
              <w:rPr>
                <w:sz w:val="20"/>
                <w:szCs w:val="20"/>
              </w:rPr>
              <w:t>(12,46; 65,66)</w:t>
            </w:r>
          </w:p>
        </w:tc>
      </w:tr>
      <w:tr w:rsidR="00593482" w:rsidRPr="006A64EE" w14:paraId="359817CF" w14:textId="77777777" w:rsidTr="00B41A4A">
        <w:trPr>
          <w:cantSplit/>
        </w:trPr>
        <w:tc>
          <w:tcPr>
            <w:tcW w:w="9127" w:type="dxa"/>
            <w:gridSpan w:val="5"/>
          </w:tcPr>
          <w:p w14:paraId="6A00A3C8" w14:textId="77777777" w:rsidR="002D5756" w:rsidRPr="006A64EE" w:rsidRDefault="009C2544" w:rsidP="00B41A4A">
            <w:pPr>
              <w:pStyle w:val="TableParagraph"/>
              <w:widowControl/>
              <w:suppressAutoHyphens/>
              <w:rPr>
                <w:b/>
                <w:sz w:val="20"/>
                <w:szCs w:val="20"/>
              </w:rPr>
            </w:pPr>
            <w:r w:rsidRPr="006A64EE">
              <w:rPr>
                <w:b/>
                <w:sz w:val="20"/>
                <w:szCs w:val="20"/>
              </w:rPr>
              <w:t>Wichtigster sekundärer Endpunkt</w:t>
            </w:r>
          </w:p>
        </w:tc>
      </w:tr>
      <w:tr w:rsidR="00593482" w:rsidRPr="006A64EE" w14:paraId="59B3FA2C" w14:textId="77777777" w:rsidTr="00B41A4A">
        <w:trPr>
          <w:cantSplit/>
        </w:trPr>
        <w:tc>
          <w:tcPr>
            <w:tcW w:w="9127" w:type="dxa"/>
            <w:gridSpan w:val="5"/>
          </w:tcPr>
          <w:p w14:paraId="56A6D7DC" w14:textId="7E8F7BB0" w:rsidR="00D67735" w:rsidRPr="006A64EE" w:rsidRDefault="00D67735" w:rsidP="00B41A4A">
            <w:pPr>
              <w:pStyle w:val="TableParagraph"/>
              <w:widowControl/>
              <w:suppressAutoHyphens/>
              <w:rPr>
                <w:sz w:val="20"/>
                <w:szCs w:val="20"/>
              </w:rPr>
            </w:pPr>
            <w:r w:rsidRPr="006A64EE">
              <w:rPr>
                <w:sz w:val="20"/>
                <w:szCs w:val="20"/>
              </w:rPr>
              <w:t xml:space="preserve">Anhaltende Remission (Tocilizumab-Gruppen </w:t>
            </w:r>
            <w:r w:rsidRPr="006A64EE">
              <w:rPr>
                <w:i/>
                <w:sz w:val="20"/>
                <w:szCs w:val="20"/>
              </w:rPr>
              <w:t>vs</w:t>
            </w:r>
            <w:r w:rsidRPr="006A64EE">
              <w:rPr>
                <w:sz w:val="20"/>
                <w:szCs w:val="20"/>
              </w:rPr>
              <w:t>. Placebo+52)</w:t>
            </w:r>
          </w:p>
        </w:tc>
      </w:tr>
      <w:tr w:rsidR="00593482" w:rsidRPr="006A64EE" w14:paraId="1394F2F0" w14:textId="77777777" w:rsidTr="00A27366">
        <w:trPr>
          <w:cantSplit/>
        </w:trPr>
        <w:tc>
          <w:tcPr>
            <w:tcW w:w="3234" w:type="dxa"/>
          </w:tcPr>
          <w:p w14:paraId="68914F5C" w14:textId="77777777" w:rsidR="002D5756" w:rsidRPr="006A64EE" w:rsidRDefault="009C2544" w:rsidP="00B41A4A">
            <w:pPr>
              <w:pStyle w:val="TableParagraph"/>
              <w:widowControl/>
              <w:suppressAutoHyphens/>
              <w:ind w:left="284"/>
              <w:rPr>
                <w:sz w:val="20"/>
                <w:szCs w:val="20"/>
              </w:rPr>
            </w:pPr>
            <w:r w:rsidRPr="006A64EE">
              <w:rPr>
                <w:sz w:val="20"/>
                <w:szCs w:val="20"/>
              </w:rPr>
              <w:t>Responder in Woche 52, n (%)</w:t>
            </w:r>
          </w:p>
        </w:tc>
        <w:tc>
          <w:tcPr>
            <w:tcW w:w="1134" w:type="dxa"/>
          </w:tcPr>
          <w:p w14:paraId="299E7369" w14:textId="77777777" w:rsidR="002D5756" w:rsidRPr="006A64EE" w:rsidRDefault="009C2544" w:rsidP="00B41A4A">
            <w:pPr>
              <w:pStyle w:val="TableParagraph"/>
              <w:widowControl/>
              <w:suppressAutoHyphens/>
              <w:jc w:val="center"/>
              <w:rPr>
                <w:sz w:val="20"/>
                <w:szCs w:val="20"/>
              </w:rPr>
            </w:pPr>
            <w:r w:rsidRPr="006A64EE">
              <w:rPr>
                <w:sz w:val="20"/>
                <w:szCs w:val="20"/>
              </w:rPr>
              <w:t>7 (14 %)</w:t>
            </w:r>
          </w:p>
        </w:tc>
        <w:tc>
          <w:tcPr>
            <w:tcW w:w="1134" w:type="dxa"/>
          </w:tcPr>
          <w:p w14:paraId="3EBE47B4" w14:textId="77777777" w:rsidR="002D5756" w:rsidRPr="006A64EE" w:rsidRDefault="009C2544" w:rsidP="00B41A4A">
            <w:pPr>
              <w:pStyle w:val="TableParagraph"/>
              <w:widowControl/>
              <w:suppressAutoHyphens/>
              <w:jc w:val="center"/>
              <w:rPr>
                <w:sz w:val="20"/>
                <w:szCs w:val="20"/>
              </w:rPr>
            </w:pPr>
            <w:r w:rsidRPr="006A64EE">
              <w:rPr>
                <w:sz w:val="20"/>
                <w:szCs w:val="20"/>
              </w:rPr>
              <w:t>9 (17,6 %)</w:t>
            </w:r>
          </w:p>
        </w:tc>
        <w:tc>
          <w:tcPr>
            <w:tcW w:w="1805" w:type="dxa"/>
          </w:tcPr>
          <w:p w14:paraId="24D1A5F3" w14:textId="77777777" w:rsidR="002D5756" w:rsidRPr="006A64EE" w:rsidRDefault="009C2544" w:rsidP="00B41A4A">
            <w:pPr>
              <w:pStyle w:val="TableParagraph"/>
              <w:widowControl/>
              <w:suppressAutoHyphens/>
              <w:jc w:val="center"/>
              <w:rPr>
                <w:sz w:val="20"/>
                <w:szCs w:val="20"/>
              </w:rPr>
            </w:pPr>
            <w:r w:rsidRPr="006A64EE">
              <w:rPr>
                <w:sz w:val="20"/>
                <w:szCs w:val="20"/>
              </w:rPr>
              <w:t>56 (56 %)</w:t>
            </w:r>
          </w:p>
        </w:tc>
        <w:tc>
          <w:tcPr>
            <w:tcW w:w="1820" w:type="dxa"/>
          </w:tcPr>
          <w:p w14:paraId="19D821CA" w14:textId="77777777" w:rsidR="002D5756" w:rsidRPr="006A64EE" w:rsidRDefault="009C2544" w:rsidP="00B41A4A">
            <w:pPr>
              <w:pStyle w:val="TableParagraph"/>
              <w:widowControl/>
              <w:suppressAutoHyphens/>
              <w:jc w:val="center"/>
              <w:rPr>
                <w:sz w:val="20"/>
                <w:szCs w:val="20"/>
              </w:rPr>
            </w:pPr>
            <w:r w:rsidRPr="006A64EE">
              <w:rPr>
                <w:sz w:val="20"/>
                <w:szCs w:val="20"/>
              </w:rPr>
              <w:t>26 (53,1 %)</w:t>
            </w:r>
          </w:p>
        </w:tc>
      </w:tr>
      <w:tr w:rsidR="00B971A8" w:rsidRPr="006A64EE" w14:paraId="623DED72" w14:textId="77777777" w:rsidTr="00A27366">
        <w:trPr>
          <w:cantSplit/>
          <w:trHeight w:val="690"/>
        </w:trPr>
        <w:tc>
          <w:tcPr>
            <w:tcW w:w="3234" w:type="dxa"/>
          </w:tcPr>
          <w:p w14:paraId="625F1983" w14:textId="77777777" w:rsidR="00B971A8" w:rsidRPr="006A64EE" w:rsidRDefault="00B971A8" w:rsidP="00B41A4A">
            <w:pPr>
              <w:pStyle w:val="TableParagraph"/>
              <w:widowControl/>
              <w:suppressAutoHyphens/>
              <w:ind w:left="284"/>
              <w:rPr>
                <w:sz w:val="20"/>
                <w:szCs w:val="20"/>
              </w:rPr>
            </w:pPr>
            <w:r w:rsidRPr="006A64EE">
              <w:rPr>
                <w:sz w:val="20"/>
                <w:szCs w:val="20"/>
              </w:rPr>
              <w:t>Nicht korrigierte Unterschiede in Anteilen</w:t>
            </w:r>
          </w:p>
          <w:p w14:paraId="621A5FAA" w14:textId="7562B1B2" w:rsidR="00B971A8" w:rsidRPr="006A64EE" w:rsidRDefault="00B971A8" w:rsidP="00B41A4A">
            <w:pPr>
              <w:pStyle w:val="TableParagraph"/>
              <w:widowControl/>
              <w:suppressAutoHyphens/>
              <w:ind w:left="284"/>
              <w:rPr>
                <w:sz w:val="20"/>
                <w:szCs w:val="20"/>
              </w:rPr>
            </w:pPr>
            <w:r w:rsidRPr="006A64EE">
              <w:rPr>
                <w:sz w:val="20"/>
                <w:szCs w:val="20"/>
              </w:rPr>
              <w:t>(99,5-%-KI)</w:t>
            </w:r>
          </w:p>
        </w:tc>
        <w:tc>
          <w:tcPr>
            <w:tcW w:w="1134" w:type="dxa"/>
          </w:tcPr>
          <w:p w14:paraId="28D4F193" w14:textId="556F90FB" w:rsidR="00B971A8" w:rsidRPr="006A64EE" w:rsidRDefault="00B971A8" w:rsidP="00B41A4A">
            <w:pPr>
              <w:pStyle w:val="TableParagraph"/>
              <w:widowControl/>
              <w:suppressAutoHyphens/>
              <w:jc w:val="center"/>
              <w:rPr>
                <w:sz w:val="20"/>
                <w:szCs w:val="20"/>
              </w:rPr>
            </w:pPr>
            <w:r w:rsidRPr="006A64EE">
              <w:rPr>
                <w:sz w:val="20"/>
                <w:szCs w:val="20"/>
              </w:rPr>
              <w:t>Entfällt.</w:t>
            </w:r>
          </w:p>
        </w:tc>
        <w:tc>
          <w:tcPr>
            <w:tcW w:w="1134" w:type="dxa"/>
          </w:tcPr>
          <w:p w14:paraId="0C444EB3" w14:textId="3419E3A5" w:rsidR="00B971A8" w:rsidRPr="006A64EE" w:rsidRDefault="00B971A8" w:rsidP="00B41A4A">
            <w:pPr>
              <w:pStyle w:val="TableParagraph"/>
              <w:widowControl/>
              <w:suppressAutoHyphens/>
              <w:jc w:val="center"/>
              <w:rPr>
                <w:sz w:val="20"/>
                <w:szCs w:val="20"/>
              </w:rPr>
            </w:pPr>
            <w:r w:rsidRPr="006A64EE">
              <w:rPr>
                <w:sz w:val="20"/>
                <w:szCs w:val="20"/>
              </w:rPr>
              <w:t>Entfällt.</w:t>
            </w:r>
          </w:p>
        </w:tc>
        <w:tc>
          <w:tcPr>
            <w:tcW w:w="1805" w:type="dxa"/>
          </w:tcPr>
          <w:p w14:paraId="6AA9C750" w14:textId="77777777" w:rsidR="00B971A8" w:rsidRPr="006A64EE" w:rsidRDefault="00B971A8" w:rsidP="00B41A4A">
            <w:pPr>
              <w:pStyle w:val="TableParagraph"/>
              <w:widowControl/>
              <w:suppressAutoHyphens/>
              <w:jc w:val="center"/>
              <w:rPr>
                <w:sz w:val="20"/>
                <w:szCs w:val="20"/>
              </w:rPr>
            </w:pPr>
            <w:r w:rsidRPr="006A64EE">
              <w:rPr>
                <w:sz w:val="20"/>
                <w:szCs w:val="20"/>
              </w:rPr>
              <w:t>38,35 %*</w:t>
            </w:r>
          </w:p>
          <w:p w14:paraId="088D4A4D" w14:textId="77777777" w:rsidR="00B971A8" w:rsidRPr="006A64EE" w:rsidRDefault="00B971A8" w:rsidP="00B41A4A">
            <w:pPr>
              <w:pStyle w:val="TableParagraph"/>
              <w:widowControl/>
              <w:suppressAutoHyphens/>
              <w:jc w:val="center"/>
              <w:rPr>
                <w:sz w:val="20"/>
                <w:szCs w:val="20"/>
              </w:rPr>
            </w:pPr>
          </w:p>
          <w:p w14:paraId="338BE8A4" w14:textId="0E504605" w:rsidR="00B971A8" w:rsidRPr="006A64EE" w:rsidRDefault="00B971A8" w:rsidP="00B41A4A">
            <w:pPr>
              <w:pStyle w:val="TableParagraph"/>
              <w:widowControl/>
              <w:suppressAutoHyphens/>
              <w:jc w:val="center"/>
              <w:rPr>
                <w:sz w:val="20"/>
                <w:szCs w:val="20"/>
              </w:rPr>
            </w:pPr>
            <w:r w:rsidRPr="006A64EE">
              <w:rPr>
                <w:sz w:val="20"/>
                <w:szCs w:val="20"/>
              </w:rPr>
              <w:t>(17,89; 58,81)</w:t>
            </w:r>
          </w:p>
        </w:tc>
        <w:tc>
          <w:tcPr>
            <w:tcW w:w="1820" w:type="dxa"/>
          </w:tcPr>
          <w:p w14:paraId="02AA7183" w14:textId="77777777" w:rsidR="00B971A8" w:rsidRPr="006A64EE" w:rsidRDefault="00B971A8" w:rsidP="00B41A4A">
            <w:pPr>
              <w:pStyle w:val="TableParagraph"/>
              <w:widowControl/>
              <w:suppressAutoHyphens/>
              <w:jc w:val="center"/>
              <w:rPr>
                <w:sz w:val="20"/>
                <w:szCs w:val="20"/>
              </w:rPr>
            </w:pPr>
            <w:r w:rsidRPr="006A64EE">
              <w:rPr>
                <w:sz w:val="20"/>
                <w:szCs w:val="20"/>
              </w:rPr>
              <w:t>35,41 %**</w:t>
            </w:r>
          </w:p>
          <w:p w14:paraId="46916736" w14:textId="77777777" w:rsidR="00B971A8" w:rsidRPr="006A64EE" w:rsidRDefault="00B971A8" w:rsidP="00B41A4A">
            <w:pPr>
              <w:pStyle w:val="TableParagraph"/>
              <w:widowControl/>
              <w:suppressAutoHyphens/>
              <w:jc w:val="center"/>
              <w:rPr>
                <w:sz w:val="20"/>
                <w:szCs w:val="20"/>
              </w:rPr>
            </w:pPr>
          </w:p>
          <w:p w14:paraId="1968BD96" w14:textId="5FD15CBE" w:rsidR="00B971A8" w:rsidRPr="006A64EE" w:rsidRDefault="00B971A8" w:rsidP="00B41A4A">
            <w:pPr>
              <w:pStyle w:val="TableParagraph"/>
              <w:widowControl/>
              <w:suppressAutoHyphens/>
              <w:jc w:val="center"/>
              <w:rPr>
                <w:sz w:val="20"/>
                <w:szCs w:val="20"/>
              </w:rPr>
            </w:pPr>
            <w:r w:rsidRPr="006A64EE">
              <w:rPr>
                <w:sz w:val="20"/>
                <w:szCs w:val="20"/>
              </w:rPr>
              <w:t>(10,41; 60,41)</w:t>
            </w:r>
          </w:p>
        </w:tc>
      </w:tr>
      <w:tr w:rsidR="00593482" w:rsidRPr="006A64EE" w14:paraId="04EA2E40" w14:textId="77777777" w:rsidTr="00B41A4A">
        <w:trPr>
          <w:cantSplit/>
        </w:trPr>
        <w:tc>
          <w:tcPr>
            <w:tcW w:w="9127" w:type="dxa"/>
            <w:gridSpan w:val="5"/>
            <w:tcBorders>
              <w:bottom w:val="single" w:sz="4" w:space="0" w:color="auto"/>
            </w:tcBorders>
          </w:tcPr>
          <w:p w14:paraId="7CB69E77" w14:textId="25ABB8DD" w:rsidR="00DF7B20" w:rsidRPr="006A64EE" w:rsidRDefault="00DF7B20" w:rsidP="00B41A4A">
            <w:pPr>
              <w:pStyle w:val="TableParagraph"/>
              <w:widowControl/>
              <w:suppressAutoHyphens/>
              <w:rPr>
                <w:sz w:val="20"/>
                <w:szCs w:val="20"/>
              </w:rPr>
            </w:pPr>
            <w:r w:rsidRPr="006A64EE">
              <w:rPr>
                <w:b/>
                <w:sz w:val="20"/>
                <w:szCs w:val="20"/>
              </w:rPr>
              <w:t>Weitere sekundäre Endpunkte</w:t>
            </w:r>
          </w:p>
        </w:tc>
      </w:tr>
      <w:tr w:rsidR="00593482" w:rsidRPr="006A64EE" w14:paraId="213A0DDE" w14:textId="77777777" w:rsidTr="00A27366">
        <w:trPr>
          <w:cantSplit/>
        </w:trPr>
        <w:tc>
          <w:tcPr>
            <w:tcW w:w="3234" w:type="dxa"/>
            <w:tcBorders>
              <w:bottom w:val="nil"/>
              <w:right w:val="single" w:sz="4" w:space="0" w:color="auto"/>
            </w:tcBorders>
          </w:tcPr>
          <w:p w14:paraId="74951085" w14:textId="77777777" w:rsidR="00093A5E" w:rsidRPr="006A64EE" w:rsidRDefault="00DF7B20" w:rsidP="00B41A4A">
            <w:pPr>
              <w:pStyle w:val="TableParagraph"/>
              <w:widowControl/>
              <w:suppressAutoHyphens/>
              <w:rPr>
                <w:sz w:val="20"/>
                <w:szCs w:val="20"/>
              </w:rPr>
            </w:pPr>
            <w:r w:rsidRPr="006A64EE">
              <w:rPr>
                <w:sz w:val="20"/>
                <w:szCs w:val="20"/>
              </w:rPr>
              <w:t xml:space="preserve">Zeit bis zum ersten RZA-Schub¹ (Tocilizumab-Gruppen </w:t>
            </w:r>
            <w:r w:rsidRPr="006A64EE">
              <w:rPr>
                <w:i/>
                <w:sz w:val="20"/>
                <w:szCs w:val="20"/>
              </w:rPr>
              <w:t xml:space="preserve">vs. </w:t>
            </w:r>
            <w:r w:rsidRPr="006A64EE">
              <w:rPr>
                <w:sz w:val="20"/>
                <w:szCs w:val="20"/>
              </w:rPr>
              <w:t>Placebo+26)</w:t>
            </w:r>
          </w:p>
          <w:p w14:paraId="514BA390" w14:textId="284184EC" w:rsidR="00DF7B20" w:rsidRPr="006A64EE" w:rsidRDefault="00DF7B20" w:rsidP="00B41A4A">
            <w:pPr>
              <w:pStyle w:val="TableParagraph"/>
              <w:widowControl/>
              <w:suppressAutoHyphens/>
              <w:ind w:left="284"/>
              <w:rPr>
                <w:sz w:val="20"/>
                <w:szCs w:val="20"/>
              </w:rPr>
            </w:pPr>
            <w:r w:rsidRPr="006A64EE">
              <w:rPr>
                <w:sz w:val="20"/>
                <w:szCs w:val="20"/>
              </w:rPr>
              <w:t>HR (99-%-KI)</w:t>
            </w:r>
          </w:p>
        </w:tc>
        <w:tc>
          <w:tcPr>
            <w:tcW w:w="1134" w:type="dxa"/>
            <w:tcBorders>
              <w:left w:val="single" w:sz="4" w:space="0" w:color="auto"/>
              <w:bottom w:val="nil"/>
              <w:right w:val="single" w:sz="4" w:space="0" w:color="auto"/>
            </w:tcBorders>
          </w:tcPr>
          <w:p w14:paraId="15A7C6C4" w14:textId="77777777" w:rsidR="00093A5E" w:rsidRPr="006A64EE" w:rsidRDefault="00093A5E" w:rsidP="00B41A4A">
            <w:pPr>
              <w:pStyle w:val="TableParagraph"/>
              <w:widowControl/>
              <w:suppressAutoHyphens/>
              <w:jc w:val="center"/>
              <w:rPr>
                <w:sz w:val="20"/>
                <w:szCs w:val="20"/>
              </w:rPr>
            </w:pPr>
          </w:p>
          <w:p w14:paraId="5DCEAD8B" w14:textId="04A6E13E"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134" w:type="dxa"/>
            <w:tcBorders>
              <w:left w:val="single" w:sz="4" w:space="0" w:color="auto"/>
              <w:bottom w:val="nil"/>
              <w:right w:val="single" w:sz="4" w:space="0" w:color="auto"/>
            </w:tcBorders>
          </w:tcPr>
          <w:p w14:paraId="6080F7D6" w14:textId="77777777" w:rsidR="00093A5E" w:rsidRPr="006A64EE" w:rsidRDefault="00093A5E" w:rsidP="00B41A4A">
            <w:pPr>
              <w:pStyle w:val="TableParagraph"/>
              <w:widowControl/>
              <w:suppressAutoHyphens/>
              <w:jc w:val="center"/>
              <w:rPr>
                <w:sz w:val="20"/>
                <w:szCs w:val="20"/>
              </w:rPr>
            </w:pPr>
          </w:p>
          <w:p w14:paraId="5CE48C5B" w14:textId="10D98AAE"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805" w:type="dxa"/>
            <w:tcBorders>
              <w:left w:val="single" w:sz="4" w:space="0" w:color="auto"/>
              <w:bottom w:val="nil"/>
              <w:right w:val="single" w:sz="4" w:space="0" w:color="auto"/>
            </w:tcBorders>
          </w:tcPr>
          <w:p w14:paraId="4EB0B425" w14:textId="77777777" w:rsidR="00093A5E" w:rsidRPr="006A64EE" w:rsidRDefault="00093A5E" w:rsidP="00B41A4A">
            <w:pPr>
              <w:pStyle w:val="TableParagraph"/>
              <w:widowControl/>
              <w:suppressAutoHyphens/>
              <w:jc w:val="center"/>
              <w:rPr>
                <w:sz w:val="20"/>
                <w:szCs w:val="20"/>
              </w:rPr>
            </w:pPr>
          </w:p>
          <w:p w14:paraId="33773713" w14:textId="77777777" w:rsidR="00093A5E" w:rsidRPr="006A64EE" w:rsidRDefault="00DF7B20" w:rsidP="00B41A4A">
            <w:pPr>
              <w:pStyle w:val="TableParagraph"/>
              <w:widowControl/>
              <w:suppressAutoHyphens/>
              <w:jc w:val="center"/>
              <w:rPr>
                <w:sz w:val="20"/>
                <w:szCs w:val="20"/>
              </w:rPr>
            </w:pPr>
            <w:r w:rsidRPr="006A64EE">
              <w:rPr>
                <w:sz w:val="20"/>
                <w:szCs w:val="20"/>
              </w:rPr>
              <w:t>0,23*</w:t>
            </w:r>
          </w:p>
          <w:p w14:paraId="46E95740" w14:textId="6BFBBC64" w:rsidR="00DF7B20" w:rsidRPr="006A64EE" w:rsidRDefault="00DF7B20" w:rsidP="00B41A4A">
            <w:pPr>
              <w:pStyle w:val="TableParagraph"/>
              <w:widowControl/>
              <w:suppressAutoHyphens/>
              <w:jc w:val="center"/>
              <w:rPr>
                <w:sz w:val="20"/>
                <w:szCs w:val="20"/>
              </w:rPr>
            </w:pPr>
            <w:r w:rsidRPr="006A64EE">
              <w:rPr>
                <w:sz w:val="20"/>
                <w:szCs w:val="20"/>
              </w:rPr>
              <w:t>(0,11; 0,46)</w:t>
            </w:r>
          </w:p>
        </w:tc>
        <w:tc>
          <w:tcPr>
            <w:tcW w:w="1820" w:type="dxa"/>
            <w:tcBorders>
              <w:left w:val="single" w:sz="4" w:space="0" w:color="auto"/>
              <w:bottom w:val="nil"/>
            </w:tcBorders>
          </w:tcPr>
          <w:p w14:paraId="7F88995B" w14:textId="77777777" w:rsidR="00093A5E" w:rsidRPr="006A64EE" w:rsidRDefault="00093A5E" w:rsidP="00B41A4A">
            <w:pPr>
              <w:pStyle w:val="TableParagraph"/>
              <w:widowControl/>
              <w:suppressAutoHyphens/>
              <w:jc w:val="center"/>
              <w:rPr>
                <w:sz w:val="20"/>
                <w:szCs w:val="20"/>
              </w:rPr>
            </w:pPr>
          </w:p>
          <w:p w14:paraId="0C5BBAF2" w14:textId="77777777" w:rsidR="00093A5E" w:rsidRPr="006A64EE" w:rsidRDefault="00DF7B20" w:rsidP="00B41A4A">
            <w:pPr>
              <w:pStyle w:val="TableParagraph"/>
              <w:widowControl/>
              <w:suppressAutoHyphens/>
              <w:jc w:val="center"/>
              <w:rPr>
                <w:sz w:val="20"/>
                <w:szCs w:val="20"/>
              </w:rPr>
            </w:pPr>
            <w:r w:rsidRPr="006A64EE">
              <w:rPr>
                <w:sz w:val="20"/>
                <w:szCs w:val="20"/>
              </w:rPr>
              <w:t>0,28**</w:t>
            </w:r>
          </w:p>
          <w:p w14:paraId="00C50413" w14:textId="367046DF" w:rsidR="00DF7B20" w:rsidRPr="006A64EE" w:rsidRDefault="00DF7B20" w:rsidP="00B41A4A">
            <w:pPr>
              <w:pStyle w:val="TableParagraph"/>
              <w:widowControl/>
              <w:suppressAutoHyphens/>
              <w:jc w:val="center"/>
              <w:rPr>
                <w:sz w:val="20"/>
                <w:szCs w:val="20"/>
              </w:rPr>
            </w:pPr>
            <w:r w:rsidRPr="006A64EE">
              <w:rPr>
                <w:sz w:val="20"/>
                <w:szCs w:val="20"/>
              </w:rPr>
              <w:t>(0,12; 0,66)</w:t>
            </w:r>
          </w:p>
        </w:tc>
      </w:tr>
      <w:tr w:rsidR="00593482" w:rsidRPr="006A64EE" w14:paraId="2065DE0C" w14:textId="77777777" w:rsidTr="00A27366">
        <w:trPr>
          <w:cantSplit/>
        </w:trPr>
        <w:tc>
          <w:tcPr>
            <w:tcW w:w="3234" w:type="dxa"/>
            <w:tcBorders>
              <w:top w:val="nil"/>
              <w:bottom w:val="nil"/>
              <w:right w:val="single" w:sz="4" w:space="0" w:color="auto"/>
            </w:tcBorders>
          </w:tcPr>
          <w:p w14:paraId="7539983A" w14:textId="77777777" w:rsidR="00093A5E" w:rsidRPr="006A64EE" w:rsidRDefault="00DF7B20" w:rsidP="00B41A4A">
            <w:pPr>
              <w:pStyle w:val="TableParagraph"/>
              <w:widowControl/>
              <w:suppressAutoHyphens/>
              <w:rPr>
                <w:sz w:val="20"/>
                <w:szCs w:val="20"/>
              </w:rPr>
            </w:pPr>
            <w:r w:rsidRPr="006A64EE">
              <w:rPr>
                <w:sz w:val="20"/>
                <w:szCs w:val="20"/>
              </w:rPr>
              <w:t xml:space="preserve">Zeit bis zum ersten RZA-Schub¹ (Tocilizumab-Gruppen </w:t>
            </w:r>
            <w:r w:rsidRPr="006A64EE">
              <w:rPr>
                <w:i/>
                <w:sz w:val="20"/>
                <w:szCs w:val="20"/>
              </w:rPr>
              <w:t xml:space="preserve">vs. </w:t>
            </w:r>
            <w:r w:rsidRPr="006A64EE">
              <w:rPr>
                <w:sz w:val="20"/>
                <w:szCs w:val="20"/>
              </w:rPr>
              <w:t>Placebo+52)</w:t>
            </w:r>
          </w:p>
          <w:p w14:paraId="10FC0502" w14:textId="361F98E7" w:rsidR="00DF7B20" w:rsidRPr="006A64EE" w:rsidRDefault="00DF7B20" w:rsidP="00B41A4A">
            <w:pPr>
              <w:pStyle w:val="TableParagraph"/>
              <w:widowControl/>
              <w:suppressAutoHyphens/>
              <w:ind w:left="284"/>
              <w:rPr>
                <w:sz w:val="20"/>
                <w:szCs w:val="20"/>
              </w:rPr>
            </w:pPr>
            <w:r w:rsidRPr="006A64EE">
              <w:rPr>
                <w:sz w:val="20"/>
                <w:szCs w:val="20"/>
              </w:rPr>
              <w:t>HR (99-%-KI)</w:t>
            </w:r>
          </w:p>
        </w:tc>
        <w:tc>
          <w:tcPr>
            <w:tcW w:w="1134" w:type="dxa"/>
            <w:tcBorders>
              <w:top w:val="nil"/>
              <w:left w:val="single" w:sz="4" w:space="0" w:color="auto"/>
              <w:bottom w:val="nil"/>
              <w:right w:val="single" w:sz="4" w:space="0" w:color="auto"/>
            </w:tcBorders>
          </w:tcPr>
          <w:p w14:paraId="3D91DFC2" w14:textId="77777777" w:rsidR="00093A5E" w:rsidRPr="006A64EE" w:rsidRDefault="00093A5E" w:rsidP="00B41A4A">
            <w:pPr>
              <w:pStyle w:val="TableParagraph"/>
              <w:widowControl/>
              <w:suppressAutoHyphens/>
              <w:jc w:val="center"/>
              <w:rPr>
                <w:sz w:val="20"/>
                <w:szCs w:val="20"/>
              </w:rPr>
            </w:pPr>
          </w:p>
          <w:p w14:paraId="2F58D40D" w14:textId="305F5746"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134" w:type="dxa"/>
            <w:tcBorders>
              <w:top w:val="nil"/>
              <w:left w:val="single" w:sz="4" w:space="0" w:color="auto"/>
              <w:bottom w:val="nil"/>
              <w:right w:val="single" w:sz="4" w:space="0" w:color="auto"/>
            </w:tcBorders>
          </w:tcPr>
          <w:p w14:paraId="2041E487" w14:textId="77777777" w:rsidR="00093A5E" w:rsidRPr="006A64EE" w:rsidRDefault="00093A5E" w:rsidP="00B41A4A">
            <w:pPr>
              <w:pStyle w:val="TableParagraph"/>
              <w:widowControl/>
              <w:suppressAutoHyphens/>
              <w:jc w:val="center"/>
              <w:rPr>
                <w:sz w:val="20"/>
                <w:szCs w:val="20"/>
              </w:rPr>
            </w:pPr>
          </w:p>
          <w:p w14:paraId="7DCBC4A5" w14:textId="2EA3A8FC"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805" w:type="dxa"/>
            <w:tcBorders>
              <w:top w:val="nil"/>
              <w:left w:val="single" w:sz="4" w:space="0" w:color="auto"/>
              <w:bottom w:val="nil"/>
              <w:right w:val="single" w:sz="4" w:space="0" w:color="auto"/>
            </w:tcBorders>
          </w:tcPr>
          <w:p w14:paraId="1AE8DAB9" w14:textId="77777777" w:rsidR="00093A5E" w:rsidRPr="006A64EE" w:rsidRDefault="00093A5E" w:rsidP="00B41A4A">
            <w:pPr>
              <w:pStyle w:val="TableParagraph"/>
              <w:widowControl/>
              <w:suppressAutoHyphens/>
              <w:jc w:val="center"/>
              <w:rPr>
                <w:sz w:val="20"/>
                <w:szCs w:val="20"/>
              </w:rPr>
            </w:pPr>
          </w:p>
          <w:p w14:paraId="2B4412FC" w14:textId="77777777" w:rsidR="00093A5E" w:rsidRPr="006A64EE" w:rsidRDefault="00DF7B20" w:rsidP="00B41A4A">
            <w:pPr>
              <w:pStyle w:val="TableParagraph"/>
              <w:widowControl/>
              <w:suppressAutoHyphens/>
              <w:jc w:val="center"/>
              <w:rPr>
                <w:sz w:val="20"/>
                <w:szCs w:val="20"/>
              </w:rPr>
            </w:pPr>
            <w:r w:rsidRPr="006A64EE">
              <w:rPr>
                <w:sz w:val="20"/>
                <w:szCs w:val="20"/>
              </w:rPr>
              <w:t>0,39**</w:t>
            </w:r>
          </w:p>
          <w:p w14:paraId="0D43EA8D" w14:textId="721BB037" w:rsidR="00DF7B20" w:rsidRPr="006A64EE" w:rsidRDefault="00DF7B20" w:rsidP="00B41A4A">
            <w:pPr>
              <w:pStyle w:val="TableParagraph"/>
              <w:widowControl/>
              <w:suppressAutoHyphens/>
              <w:jc w:val="center"/>
              <w:rPr>
                <w:sz w:val="20"/>
                <w:szCs w:val="20"/>
              </w:rPr>
            </w:pPr>
            <w:r w:rsidRPr="006A64EE">
              <w:rPr>
                <w:sz w:val="20"/>
                <w:szCs w:val="20"/>
              </w:rPr>
              <w:t>(0,18; 0,82)</w:t>
            </w:r>
          </w:p>
        </w:tc>
        <w:tc>
          <w:tcPr>
            <w:tcW w:w="1820" w:type="dxa"/>
            <w:tcBorders>
              <w:top w:val="nil"/>
              <w:left w:val="single" w:sz="4" w:space="0" w:color="auto"/>
              <w:bottom w:val="nil"/>
            </w:tcBorders>
          </w:tcPr>
          <w:p w14:paraId="6D9921B0" w14:textId="77777777" w:rsidR="00093A5E" w:rsidRPr="006A64EE" w:rsidRDefault="00093A5E" w:rsidP="00B41A4A">
            <w:pPr>
              <w:pStyle w:val="TableParagraph"/>
              <w:widowControl/>
              <w:suppressAutoHyphens/>
              <w:jc w:val="center"/>
              <w:rPr>
                <w:sz w:val="20"/>
                <w:szCs w:val="20"/>
              </w:rPr>
            </w:pPr>
          </w:p>
          <w:p w14:paraId="0A1E2111" w14:textId="77777777" w:rsidR="00093A5E" w:rsidRPr="006A64EE" w:rsidRDefault="00DF7B20" w:rsidP="00B41A4A">
            <w:pPr>
              <w:pStyle w:val="TableParagraph"/>
              <w:widowControl/>
              <w:suppressAutoHyphens/>
              <w:jc w:val="center"/>
              <w:rPr>
                <w:sz w:val="20"/>
                <w:szCs w:val="20"/>
              </w:rPr>
            </w:pPr>
            <w:r w:rsidRPr="006A64EE">
              <w:rPr>
                <w:sz w:val="20"/>
                <w:szCs w:val="20"/>
              </w:rPr>
              <w:t>0,48</w:t>
            </w:r>
          </w:p>
          <w:p w14:paraId="0189D966" w14:textId="26AE5C78" w:rsidR="00DF7B20" w:rsidRPr="006A64EE" w:rsidRDefault="00DF7B20" w:rsidP="00B41A4A">
            <w:pPr>
              <w:pStyle w:val="TableParagraph"/>
              <w:widowControl/>
              <w:suppressAutoHyphens/>
              <w:jc w:val="center"/>
              <w:rPr>
                <w:sz w:val="20"/>
                <w:szCs w:val="20"/>
              </w:rPr>
            </w:pPr>
            <w:r w:rsidRPr="006A64EE">
              <w:rPr>
                <w:sz w:val="20"/>
                <w:szCs w:val="20"/>
              </w:rPr>
              <w:t>(0,20; 1,16)</w:t>
            </w:r>
          </w:p>
        </w:tc>
      </w:tr>
      <w:tr w:rsidR="00593482" w:rsidRPr="006A64EE" w14:paraId="50F782DC" w14:textId="77777777" w:rsidTr="00A27366">
        <w:trPr>
          <w:cantSplit/>
        </w:trPr>
        <w:tc>
          <w:tcPr>
            <w:tcW w:w="3234" w:type="dxa"/>
            <w:tcBorders>
              <w:top w:val="nil"/>
              <w:bottom w:val="nil"/>
              <w:right w:val="single" w:sz="4" w:space="0" w:color="auto"/>
            </w:tcBorders>
          </w:tcPr>
          <w:p w14:paraId="03E32F44" w14:textId="77777777" w:rsidR="00093A5E" w:rsidRPr="006A64EE" w:rsidRDefault="00DF7B20" w:rsidP="00B41A4A">
            <w:pPr>
              <w:pStyle w:val="TableParagraph"/>
              <w:widowControl/>
              <w:suppressAutoHyphens/>
              <w:rPr>
                <w:sz w:val="20"/>
                <w:szCs w:val="20"/>
              </w:rPr>
            </w:pPr>
            <w:r w:rsidRPr="006A64EE">
              <w:rPr>
                <w:sz w:val="20"/>
                <w:szCs w:val="20"/>
              </w:rPr>
              <w:t xml:space="preserve">Zeit bis zum ersten RZA-Schub¹ (Patienten mit Rezidiv; Tocilizumab-Gruppen </w:t>
            </w:r>
            <w:r w:rsidRPr="006A64EE">
              <w:rPr>
                <w:i/>
                <w:sz w:val="20"/>
                <w:szCs w:val="20"/>
              </w:rPr>
              <w:t xml:space="preserve">vs. </w:t>
            </w:r>
            <w:r w:rsidRPr="006A64EE">
              <w:rPr>
                <w:sz w:val="20"/>
                <w:szCs w:val="20"/>
              </w:rPr>
              <w:t>Placebo+26)</w:t>
            </w:r>
          </w:p>
          <w:p w14:paraId="7B223E4D" w14:textId="40E748DD" w:rsidR="00DF7B20" w:rsidRPr="006A64EE" w:rsidRDefault="00DF7B20" w:rsidP="00B41A4A">
            <w:pPr>
              <w:pStyle w:val="TableParagraph"/>
              <w:widowControl/>
              <w:suppressAutoHyphens/>
              <w:ind w:left="284"/>
              <w:rPr>
                <w:sz w:val="20"/>
                <w:szCs w:val="20"/>
              </w:rPr>
            </w:pPr>
            <w:r w:rsidRPr="006A64EE">
              <w:rPr>
                <w:sz w:val="20"/>
                <w:szCs w:val="20"/>
              </w:rPr>
              <w:t>HR (99-%-KI)</w:t>
            </w:r>
          </w:p>
        </w:tc>
        <w:tc>
          <w:tcPr>
            <w:tcW w:w="1134" w:type="dxa"/>
            <w:tcBorders>
              <w:top w:val="nil"/>
              <w:left w:val="single" w:sz="4" w:space="0" w:color="auto"/>
              <w:bottom w:val="nil"/>
              <w:right w:val="single" w:sz="4" w:space="0" w:color="auto"/>
            </w:tcBorders>
          </w:tcPr>
          <w:p w14:paraId="3D98E32C" w14:textId="77777777" w:rsidR="00093A5E" w:rsidRPr="006A64EE" w:rsidRDefault="00093A5E" w:rsidP="00B41A4A">
            <w:pPr>
              <w:pStyle w:val="TableParagraph"/>
              <w:widowControl/>
              <w:suppressAutoHyphens/>
              <w:jc w:val="center"/>
              <w:rPr>
                <w:sz w:val="20"/>
                <w:szCs w:val="20"/>
              </w:rPr>
            </w:pPr>
          </w:p>
          <w:p w14:paraId="6BBCF739" w14:textId="463FFC12"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134" w:type="dxa"/>
            <w:tcBorders>
              <w:top w:val="nil"/>
              <w:left w:val="single" w:sz="4" w:space="0" w:color="auto"/>
              <w:bottom w:val="nil"/>
              <w:right w:val="single" w:sz="4" w:space="0" w:color="auto"/>
            </w:tcBorders>
          </w:tcPr>
          <w:p w14:paraId="2D4FF3EA" w14:textId="77777777" w:rsidR="00093A5E" w:rsidRPr="006A64EE" w:rsidRDefault="00093A5E" w:rsidP="00B41A4A">
            <w:pPr>
              <w:pStyle w:val="TableParagraph"/>
              <w:widowControl/>
              <w:suppressAutoHyphens/>
              <w:jc w:val="center"/>
              <w:rPr>
                <w:sz w:val="20"/>
                <w:szCs w:val="20"/>
              </w:rPr>
            </w:pPr>
          </w:p>
          <w:p w14:paraId="4B652B3C" w14:textId="2A3EF6FA"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805" w:type="dxa"/>
            <w:tcBorders>
              <w:top w:val="nil"/>
              <w:left w:val="single" w:sz="4" w:space="0" w:color="auto"/>
              <w:bottom w:val="nil"/>
              <w:right w:val="single" w:sz="4" w:space="0" w:color="auto"/>
            </w:tcBorders>
          </w:tcPr>
          <w:p w14:paraId="6F4D252E" w14:textId="77777777" w:rsidR="00093A5E" w:rsidRPr="006A64EE" w:rsidRDefault="00093A5E" w:rsidP="00B41A4A">
            <w:pPr>
              <w:pStyle w:val="TableParagraph"/>
              <w:widowControl/>
              <w:suppressAutoHyphens/>
              <w:jc w:val="center"/>
              <w:rPr>
                <w:sz w:val="20"/>
                <w:szCs w:val="20"/>
              </w:rPr>
            </w:pPr>
          </w:p>
          <w:p w14:paraId="58A8FDCE" w14:textId="77777777" w:rsidR="00093A5E" w:rsidRPr="006A64EE" w:rsidRDefault="00DF7B20" w:rsidP="00B41A4A">
            <w:pPr>
              <w:pStyle w:val="TableParagraph"/>
              <w:widowControl/>
              <w:suppressAutoHyphens/>
              <w:jc w:val="center"/>
              <w:rPr>
                <w:sz w:val="20"/>
                <w:szCs w:val="20"/>
              </w:rPr>
            </w:pPr>
            <w:r w:rsidRPr="006A64EE">
              <w:rPr>
                <w:sz w:val="20"/>
                <w:szCs w:val="20"/>
              </w:rPr>
              <w:t>0,23***</w:t>
            </w:r>
          </w:p>
          <w:p w14:paraId="661DAA84" w14:textId="77777777" w:rsidR="00093A5E" w:rsidRPr="006A64EE" w:rsidRDefault="00093A5E" w:rsidP="00B41A4A">
            <w:pPr>
              <w:pStyle w:val="TableParagraph"/>
              <w:widowControl/>
              <w:suppressAutoHyphens/>
              <w:jc w:val="center"/>
              <w:rPr>
                <w:sz w:val="20"/>
                <w:szCs w:val="20"/>
              </w:rPr>
            </w:pPr>
          </w:p>
          <w:p w14:paraId="03387B6F" w14:textId="40230CA5" w:rsidR="00DF7B20" w:rsidRPr="006A64EE" w:rsidRDefault="00DF7B20" w:rsidP="00B41A4A">
            <w:pPr>
              <w:pStyle w:val="TableParagraph"/>
              <w:widowControl/>
              <w:suppressAutoHyphens/>
              <w:jc w:val="center"/>
              <w:rPr>
                <w:sz w:val="20"/>
                <w:szCs w:val="20"/>
              </w:rPr>
            </w:pPr>
            <w:r w:rsidRPr="006A64EE">
              <w:rPr>
                <w:sz w:val="20"/>
                <w:szCs w:val="20"/>
              </w:rPr>
              <w:t>(0,09; 0,61)</w:t>
            </w:r>
          </w:p>
        </w:tc>
        <w:tc>
          <w:tcPr>
            <w:tcW w:w="1820" w:type="dxa"/>
            <w:tcBorders>
              <w:top w:val="nil"/>
              <w:left w:val="single" w:sz="4" w:space="0" w:color="auto"/>
              <w:bottom w:val="nil"/>
            </w:tcBorders>
          </w:tcPr>
          <w:p w14:paraId="1B236C43" w14:textId="77777777" w:rsidR="00093A5E" w:rsidRPr="006A64EE" w:rsidRDefault="00093A5E" w:rsidP="00B41A4A">
            <w:pPr>
              <w:pStyle w:val="TableParagraph"/>
              <w:widowControl/>
              <w:suppressAutoHyphens/>
              <w:jc w:val="center"/>
              <w:rPr>
                <w:sz w:val="20"/>
                <w:szCs w:val="20"/>
              </w:rPr>
            </w:pPr>
          </w:p>
          <w:p w14:paraId="5DD483E7" w14:textId="77777777" w:rsidR="00093A5E" w:rsidRPr="006A64EE" w:rsidRDefault="00DF7B20" w:rsidP="00B41A4A">
            <w:pPr>
              <w:pStyle w:val="TableParagraph"/>
              <w:widowControl/>
              <w:suppressAutoHyphens/>
              <w:jc w:val="center"/>
              <w:rPr>
                <w:sz w:val="20"/>
                <w:szCs w:val="20"/>
              </w:rPr>
            </w:pPr>
            <w:r w:rsidRPr="006A64EE">
              <w:rPr>
                <w:sz w:val="20"/>
                <w:szCs w:val="20"/>
              </w:rPr>
              <w:t>0,42</w:t>
            </w:r>
          </w:p>
          <w:p w14:paraId="3CD52D7A" w14:textId="77777777" w:rsidR="00093A5E" w:rsidRPr="006A64EE" w:rsidRDefault="00093A5E" w:rsidP="00B41A4A">
            <w:pPr>
              <w:pStyle w:val="TableParagraph"/>
              <w:widowControl/>
              <w:suppressAutoHyphens/>
              <w:jc w:val="center"/>
              <w:rPr>
                <w:sz w:val="20"/>
                <w:szCs w:val="20"/>
              </w:rPr>
            </w:pPr>
          </w:p>
          <w:p w14:paraId="28E4149D" w14:textId="38CD6DCF" w:rsidR="00DF7B20" w:rsidRPr="006A64EE" w:rsidRDefault="00DF7B20" w:rsidP="00B41A4A">
            <w:pPr>
              <w:pStyle w:val="TableParagraph"/>
              <w:widowControl/>
              <w:suppressAutoHyphens/>
              <w:jc w:val="center"/>
              <w:rPr>
                <w:sz w:val="20"/>
                <w:szCs w:val="20"/>
              </w:rPr>
            </w:pPr>
            <w:r w:rsidRPr="006A64EE">
              <w:rPr>
                <w:sz w:val="20"/>
                <w:szCs w:val="20"/>
              </w:rPr>
              <w:t>(0,14; 1,28)</w:t>
            </w:r>
          </w:p>
        </w:tc>
      </w:tr>
      <w:tr w:rsidR="00593482" w:rsidRPr="006A64EE" w14:paraId="3B6F7EF0" w14:textId="77777777" w:rsidTr="00A27366">
        <w:trPr>
          <w:cantSplit/>
        </w:trPr>
        <w:tc>
          <w:tcPr>
            <w:tcW w:w="3234" w:type="dxa"/>
            <w:tcBorders>
              <w:top w:val="nil"/>
              <w:bottom w:val="nil"/>
              <w:right w:val="single" w:sz="4" w:space="0" w:color="auto"/>
            </w:tcBorders>
          </w:tcPr>
          <w:p w14:paraId="4E85F45E" w14:textId="77777777" w:rsidR="00093A5E" w:rsidRPr="006A64EE" w:rsidRDefault="00DF7B20" w:rsidP="00B41A4A">
            <w:pPr>
              <w:pStyle w:val="TableParagraph"/>
              <w:widowControl/>
              <w:suppressAutoHyphens/>
              <w:rPr>
                <w:sz w:val="20"/>
                <w:szCs w:val="20"/>
              </w:rPr>
            </w:pPr>
            <w:r w:rsidRPr="006A64EE">
              <w:rPr>
                <w:sz w:val="20"/>
                <w:szCs w:val="20"/>
              </w:rPr>
              <w:t xml:space="preserve">Zeit bis zum ersten RZA-Schub¹ (Patienten mit Rezidiv; Tocilizumab-Gruppen </w:t>
            </w:r>
            <w:r w:rsidRPr="006A64EE">
              <w:rPr>
                <w:i/>
                <w:sz w:val="20"/>
                <w:szCs w:val="20"/>
              </w:rPr>
              <w:t xml:space="preserve">vs. </w:t>
            </w:r>
            <w:r w:rsidRPr="006A64EE">
              <w:rPr>
                <w:sz w:val="20"/>
                <w:szCs w:val="20"/>
              </w:rPr>
              <w:t>Placebo+52)</w:t>
            </w:r>
          </w:p>
          <w:p w14:paraId="521D7A8A" w14:textId="593E8520" w:rsidR="00DF7B20" w:rsidRPr="006A64EE" w:rsidRDefault="00DF7B20" w:rsidP="00B41A4A">
            <w:pPr>
              <w:pStyle w:val="TableParagraph"/>
              <w:widowControl/>
              <w:suppressAutoHyphens/>
              <w:ind w:left="284"/>
              <w:rPr>
                <w:sz w:val="20"/>
                <w:szCs w:val="20"/>
              </w:rPr>
            </w:pPr>
            <w:r w:rsidRPr="006A64EE">
              <w:rPr>
                <w:sz w:val="20"/>
                <w:szCs w:val="20"/>
              </w:rPr>
              <w:t>HR (99-%-KI)</w:t>
            </w:r>
          </w:p>
        </w:tc>
        <w:tc>
          <w:tcPr>
            <w:tcW w:w="1134" w:type="dxa"/>
            <w:tcBorders>
              <w:top w:val="nil"/>
              <w:left w:val="single" w:sz="4" w:space="0" w:color="auto"/>
              <w:bottom w:val="nil"/>
              <w:right w:val="single" w:sz="4" w:space="0" w:color="auto"/>
            </w:tcBorders>
          </w:tcPr>
          <w:p w14:paraId="03FC8887" w14:textId="77777777" w:rsidR="00093A5E" w:rsidRPr="006A64EE" w:rsidRDefault="00093A5E" w:rsidP="00B41A4A">
            <w:pPr>
              <w:pStyle w:val="TableParagraph"/>
              <w:widowControl/>
              <w:suppressAutoHyphens/>
              <w:jc w:val="center"/>
              <w:rPr>
                <w:sz w:val="20"/>
                <w:szCs w:val="20"/>
              </w:rPr>
            </w:pPr>
          </w:p>
          <w:p w14:paraId="4FF2E895" w14:textId="342003C1"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134" w:type="dxa"/>
            <w:tcBorders>
              <w:top w:val="nil"/>
              <w:left w:val="single" w:sz="4" w:space="0" w:color="auto"/>
              <w:bottom w:val="nil"/>
              <w:right w:val="single" w:sz="4" w:space="0" w:color="auto"/>
            </w:tcBorders>
          </w:tcPr>
          <w:p w14:paraId="0A0E565F" w14:textId="77777777" w:rsidR="00093A5E" w:rsidRPr="006A64EE" w:rsidRDefault="00093A5E" w:rsidP="00B41A4A">
            <w:pPr>
              <w:pStyle w:val="TableParagraph"/>
              <w:widowControl/>
              <w:suppressAutoHyphens/>
              <w:jc w:val="center"/>
              <w:rPr>
                <w:sz w:val="20"/>
                <w:szCs w:val="20"/>
              </w:rPr>
            </w:pPr>
          </w:p>
          <w:p w14:paraId="34D17DE9" w14:textId="77E15ABA"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805" w:type="dxa"/>
            <w:tcBorders>
              <w:top w:val="nil"/>
              <w:left w:val="single" w:sz="4" w:space="0" w:color="auto"/>
              <w:bottom w:val="nil"/>
              <w:right w:val="single" w:sz="4" w:space="0" w:color="auto"/>
            </w:tcBorders>
          </w:tcPr>
          <w:p w14:paraId="63143E3F" w14:textId="77777777" w:rsidR="00093A5E" w:rsidRPr="006A64EE" w:rsidRDefault="00093A5E" w:rsidP="00B41A4A">
            <w:pPr>
              <w:pStyle w:val="TableParagraph"/>
              <w:widowControl/>
              <w:suppressAutoHyphens/>
              <w:jc w:val="center"/>
              <w:rPr>
                <w:sz w:val="20"/>
                <w:szCs w:val="20"/>
              </w:rPr>
            </w:pPr>
          </w:p>
          <w:p w14:paraId="411333CB" w14:textId="77777777" w:rsidR="00093A5E" w:rsidRPr="006A64EE" w:rsidRDefault="00DF7B20" w:rsidP="00B41A4A">
            <w:pPr>
              <w:pStyle w:val="TableParagraph"/>
              <w:widowControl/>
              <w:suppressAutoHyphens/>
              <w:jc w:val="center"/>
              <w:rPr>
                <w:sz w:val="20"/>
                <w:szCs w:val="20"/>
              </w:rPr>
            </w:pPr>
            <w:r w:rsidRPr="006A64EE">
              <w:rPr>
                <w:sz w:val="20"/>
                <w:szCs w:val="20"/>
              </w:rPr>
              <w:t>0,36</w:t>
            </w:r>
          </w:p>
          <w:p w14:paraId="18B6C58B" w14:textId="77777777" w:rsidR="00093A5E" w:rsidRPr="006A64EE" w:rsidRDefault="00093A5E" w:rsidP="00B41A4A">
            <w:pPr>
              <w:pStyle w:val="TableParagraph"/>
              <w:widowControl/>
              <w:suppressAutoHyphens/>
              <w:jc w:val="center"/>
              <w:rPr>
                <w:sz w:val="20"/>
                <w:szCs w:val="20"/>
              </w:rPr>
            </w:pPr>
          </w:p>
          <w:p w14:paraId="63D82F0E" w14:textId="039CEE62" w:rsidR="00DF7B20" w:rsidRPr="006A64EE" w:rsidRDefault="00DF7B20" w:rsidP="00B41A4A">
            <w:pPr>
              <w:pStyle w:val="TableParagraph"/>
              <w:widowControl/>
              <w:suppressAutoHyphens/>
              <w:jc w:val="center"/>
              <w:rPr>
                <w:sz w:val="20"/>
                <w:szCs w:val="20"/>
              </w:rPr>
            </w:pPr>
            <w:r w:rsidRPr="006A64EE">
              <w:rPr>
                <w:sz w:val="20"/>
                <w:szCs w:val="20"/>
              </w:rPr>
              <w:t>(0,13; 1,00)</w:t>
            </w:r>
          </w:p>
        </w:tc>
        <w:tc>
          <w:tcPr>
            <w:tcW w:w="1820" w:type="dxa"/>
            <w:tcBorders>
              <w:top w:val="nil"/>
              <w:left w:val="single" w:sz="4" w:space="0" w:color="auto"/>
              <w:bottom w:val="nil"/>
            </w:tcBorders>
          </w:tcPr>
          <w:p w14:paraId="36C53452" w14:textId="77777777" w:rsidR="00093A5E" w:rsidRPr="006A64EE" w:rsidRDefault="00093A5E" w:rsidP="00B41A4A">
            <w:pPr>
              <w:pStyle w:val="TableParagraph"/>
              <w:widowControl/>
              <w:suppressAutoHyphens/>
              <w:jc w:val="center"/>
              <w:rPr>
                <w:sz w:val="20"/>
                <w:szCs w:val="20"/>
              </w:rPr>
            </w:pPr>
          </w:p>
          <w:p w14:paraId="1330F779" w14:textId="77777777" w:rsidR="00093A5E" w:rsidRPr="006A64EE" w:rsidRDefault="00DF7B20" w:rsidP="00B41A4A">
            <w:pPr>
              <w:pStyle w:val="TableParagraph"/>
              <w:widowControl/>
              <w:suppressAutoHyphens/>
              <w:jc w:val="center"/>
              <w:rPr>
                <w:sz w:val="20"/>
                <w:szCs w:val="20"/>
              </w:rPr>
            </w:pPr>
            <w:r w:rsidRPr="006A64EE">
              <w:rPr>
                <w:sz w:val="20"/>
                <w:szCs w:val="20"/>
              </w:rPr>
              <w:t>0,67</w:t>
            </w:r>
          </w:p>
          <w:p w14:paraId="58929A79" w14:textId="77777777" w:rsidR="00093A5E" w:rsidRPr="006A64EE" w:rsidRDefault="00093A5E" w:rsidP="00B41A4A">
            <w:pPr>
              <w:pStyle w:val="TableParagraph"/>
              <w:widowControl/>
              <w:suppressAutoHyphens/>
              <w:jc w:val="center"/>
              <w:rPr>
                <w:sz w:val="20"/>
                <w:szCs w:val="20"/>
              </w:rPr>
            </w:pPr>
          </w:p>
          <w:p w14:paraId="77921D00" w14:textId="48D5639C" w:rsidR="00DF7B20" w:rsidRPr="006A64EE" w:rsidRDefault="00DF7B20" w:rsidP="00B41A4A">
            <w:pPr>
              <w:pStyle w:val="TableParagraph"/>
              <w:widowControl/>
              <w:suppressAutoHyphens/>
              <w:jc w:val="center"/>
              <w:rPr>
                <w:sz w:val="20"/>
                <w:szCs w:val="20"/>
              </w:rPr>
            </w:pPr>
            <w:r w:rsidRPr="006A64EE">
              <w:rPr>
                <w:sz w:val="20"/>
                <w:szCs w:val="20"/>
              </w:rPr>
              <w:t>(0,21; 2,10)</w:t>
            </w:r>
          </w:p>
        </w:tc>
      </w:tr>
      <w:tr w:rsidR="00593482" w:rsidRPr="006A64EE" w14:paraId="650B3E8D" w14:textId="77777777" w:rsidTr="00A27366">
        <w:trPr>
          <w:cantSplit/>
        </w:trPr>
        <w:tc>
          <w:tcPr>
            <w:tcW w:w="3234" w:type="dxa"/>
            <w:tcBorders>
              <w:top w:val="nil"/>
              <w:bottom w:val="nil"/>
              <w:right w:val="single" w:sz="4" w:space="0" w:color="auto"/>
            </w:tcBorders>
          </w:tcPr>
          <w:p w14:paraId="3C365460" w14:textId="77777777" w:rsidR="00093A5E" w:rsidRPr="006A64EE" w:rsidRDefault="00DF7B20" w:rsidP="00B41A4A">
            <w:pPr>
              <w:pStyle w:val="TableParagraph"/>
              <w:widowControl/>
              <w:suppressAutoHyphens/>
              <w:rPr>
                <w:sz w:val="20"/>
                <w:szCs w:val="20"/>
              </w:rPr>
            </w:pPr>
            <w:r w:rsidRPr="006A64EE">
              <w:rPr>
                <w:sz w:val="20"/>
                <w:szCs w:val="20"/>
              </w:rPr>
              <w:t xml:space="preserve">Zeit bis zum ersten RZA-Schub¹ (Patienten mit Krankheitsbeginn; Tocilizumab-Gruppen </w:t>
            </w:r>
            <w:r w:rsidRPr="006A64EE">
              <w:rPr>
                <w:i/>
                <w:sz w:val="20"/>
                <w:szCs w:val="20"/>
              </w:rPr>
              <w:t xml:space="preserve">vs. </w:t>
            </w:r>
            <w:r w:rsidRPr="006A64EE">
              <w:rPr>
                <w:sz w:val="20"/>
                <w:szCs w:val="20"/>
              </w:rPr>
              <w:t>Placebo+26)</w:t>
            </w:r>
          </w:p>
          <w:p w14:paraId="7FB5DC63" w14:textId="0B3CF2AC" w:rsidR="00DF7B20" w:rsidRPr="006A64EE" w:rsidRDefault="00DF7B20" w:rsidP="00B41A4A">
            <w:pPr>
              <w:pStyle w:val="TableParagraph"/>
              <w:widowControl/>
              <w:suppressAutoHyphens/>
              <w:ind w:left="284"/>
              <w:rPr>
                <w:sz w:val="20"/>
                <w:szCs w:val="20"/>
              </w:rPr>
            </w:pPr>
            <w:r w:rsidRPr="006A64EE">
              <w:rPr>
                <w:sz w:val="20"/>
                <w:szCs w:val="20"/>
              </w:rPr>
              <w:t>HR (99-%-KI)</w:t>
            </w:r>
          </w:p>
        </w:tc>
        <w:tc>
          <w:tcPr>
            <w:tcW w:w="1134" w:type="dxa"/>
            <w:tcBorders>
              <w:top w:val="nil"/>
              <w:left w:val="single" w:sz="4" w:space="0" w:color="auto"/>
              <w:bottom w:val="nil"/>
              <w:right w:val="single" w:sz="4" w:space="0" w:color="auto"/>
            </w:tcBorders>
          </w:tcPr>
          <w:p w14:paraId="0B4FC0F1" w14:textId="77777777" w:rsidR="00093A5E" w:rsidRPr="006A64EE" w:rsidRDefault="00093A5E" w:rsidP="00B41A4A">
            <w:pPr>
              <w:pStyle w:val="TableParagraph"/>
              <w:widowControl/>
              <w:suppressAutoHyphens/>
              <w:jc w:val="center"/>
              <w:rPr>
                <w:sz w:val="20"/>
                <w:szCs w:val="20"/>
              </w:rPr>
            </w:pPr>
          </w:p>
          <w:p w14:paraId="7ED4B19B" w14:textId="3CDD982C"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134" w:type="dxa"/>
            <w:tcBorders>
              <w:top w:val="nil"/>
              <w:left w:val="single" w:sz="4" w:space="0" w:color="auto"/>
              <w:bottom w:val="nil"/>
              <w:right w:val="single" w:sz="4" w:space="0" w:color="auto"/>
            </w:tcBorders>
          </w:tcPr>
          <w:p w14:paraId="0DA99DC5" w14:textId="77777777" w:rsidR="00093A5E" w:rsidRPr="006A64EE" w:rsidRDefault="00093A5E" w:rsidP="00B41A4A">
            <w:pPr>
              <w:pStyle w:val="TableParagraph"/>
              <w:widowControl/>
              <w:suppressAutoHyphens/>
              <w:jc w:val="center"/>
              <w:rPr>
                <w:sz w:val="20"/>
                <w:szCs w:val="20"/>
              </w:rPr>
            </w:pPr>
          </w:p>
          <w:p w14:paraId="40AE7A06" w14:textId="202B2A55"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805" w:type="dxa"/>
            <w:tcBorders>
              <w:top w:val="nil"/>
              <w:left w:val="single" w:sz="4" w:space="0" w:color="auto"/>
              <w:bottom w:val="nil"/>
              <w:right w:val="single" w:sz="4" w:space="0" w:color="auto"/>
            </w:tcBorders>
          </w:tcPr>
          <w:p w14:paraId="3F16353B" w14:textId="77777777" w:rsidR="00093A5E" w:rsidRPr="006A64EE" w:rsidRDefault="00093A5E" w:rsidP="00B41A4A">
            <w:pPr>
              <w:pStyle w:val="TableParagraph"/>
              <w:widowControl/>
              <w:suppressAutoHyphens/>
              <w:jc w:val="center"/>
              <w:rPr>
                <w:sz w:val="20"/>
                <w:szCs w:val="20"/>
              </w:rPr>
            </w:pPr>
          </w:p>
          <w:p w14:paraId="213CCB36" w14:textId="77777777" w:rsidR="00093A5E" w:rsidRPr="006A64EE" w:rsidRDefault="00DF7B20" w:rsidP="00B41A4A">
            <w:pPr>
              <w:pStyle w:val="TableParagraph"/>
              <w:widowControl/>
              <w:suppressAutoHyphens/>
              <w:jc w:val="center"/>
              <w:rPr>
                <w:sz w:val="20"/>
                <w:szCs w:val="20"/>
              </w:rPr>
            </w:pPr>
            <w:r w:rsidRPr="006A64EE">
              <w:rPr>
                <w:sz w:val="20"/>
                <w:szCs w:val="20"/>
              </w:rPr>
              <w:t>0,25***</w:t>
            </w:r>
          </w:p>
          <w:p w14:paraId="344C8B25" w14:textId="77777777" w:rsidR="00093A5E" w:rsidRPr="006A64EE" w:rsidRDefault="00093A5E" w:rsidP="00B41A4A">
            <w:pPr>
              <w:pStyle w:val="TableParagraph"/>
              <w:widowControl/>
              <w:suppressAutoHyphens/>
              <w:jc w:val="center"/>
              <w:rPr>
                <w:sz w:val="20"/>
                <w:szCs w:val="20"/>
              </w:rPr>
            </w:pPr>
          </w:p>
          <w:p w14:paraId="008C159F" w14:textId="66A4BA8D" w:rsidR="00DF7B20" w:rsidRPr="006A64EE" w:rsidRDefault="00DF7B20" w:rsidP="00B41A4A">
            <w:pPr>
              <w:pStyle w:val="TableParagraph"/>
              <w:widowControl/>
              <w:suppressAutoHyphens/>
              <w:jc w:val="center"/>
              <w:rPr>
                <w:sz w:val="20"/>
                <w:szCs w:val="20"/>
              </w:rPr>
            </w:pPr>
            <w:r w:rsidRPr="006A64EE">
              <w:rPr>
                <w:sz w:val="20"/>
                <w:szCs w:val="20"/>
              </w:rPr>
              <w:t>(0,09; 0,70)</w:t>
            </w:r>
          </w:p>
        </w:tc>
        <w:tc>
          <w:tcPr>
            <w:tcW w:w="1820" w:type="dxa"/>
            <w:tcBorders>
              <w:top w:val="nil"/>
              <w:left w:val="single" w:sz="4" w:space="0" w:color="auto"/>
              <w:bottom w:val="nil"/>
            </w:tcBorders>
          </w:tcPr>
          <w:p w14:paraId="7782CA94" w14:textId="77777777" w:rsidR="00093A5E" w:rsidRPr="006A64EE" w:rsidRDefault="00093A5E" w:rsidP="00B41A4A">
            <w:pPr>
              <w:pStyle w:val="TableParagraph"/>
              <w:widowControl/>
              <w:suppressAutoHyphens/>
              <w:jc w:val="center"/>
              <w:rPr>
                <w:sz w:val="20"/>
                <w:szCs w:val="20"/>
              </w:rPr>
            </w:pPr>
          </w:p>
          <w:p w14:paraId="478310FB" w14:textId="77777777" w:rsidR="00093A5E" w:rsidRPr="006A64EE" w:rsidRDefault="00DF7B20" w:rsidP="00B41A4A">
            <w:pPr>
              <w:pStyle w:val="TableParagraph"/>
              <w:widowControl/>
              <w:suppressAutoHyphens/>
              <w:jc w:val="center"/>
              <w:rPr>
                <w:sz w:val="20"/>
                <w:szCs w:val="20"/>
              </w:rPr>
            </w:pPr>
            <w:r w:rsidRPr="006A64EE">
              <w:rPr>
                <w:sz w:val="20"/>
                <w:szCs w:val="20"/>
              </w:rPr>
              <w:t>0,20***</w:t>
            </w:r>
          </w:p>
          <w:p w14:paraId="0A2F5B68" w14:textId="77777777" w:rsidR="00093A5E" w:rsidRPr="006A64EE" w:rsidRDefault="00093A5E" w:rsidP="00B41A4A">
            <w:pPr>
              <w:pStyle w:val="TableParagraph"/>
              <w:widowControl/>
              <w:suppressAutoHyphens/>
              <w:jc w:val="center"/>
              <w:rPr>
                <w:sz w:val="20"/>
                <w:szCs w:val="20"/>
              </w:rPr>
            </w:pPr>
          </w:p>
          <w:p w14:paraId="19261549" w14:textId="7F8A6B5D" w:rsidR="00DF7B20" w:rsidRPr="006A64EE" w:rsidRDefault="00DF7B20" w:rsidP="00B41A4A">
            <w:pPr>
              <w:pStyle w:val="TableParagraph"/>
              <w:widowControl/>
              <w:suppressAutoHyphens/>
              <w:jc w:val="center"/>
              <w:rPr>
                <w:sz w:val="20"/>
                <w:szCs w:val="20"/>
              </w:rPr>
            </w:pPr>
            <w:r w:rsidRPr="006A64EE">
              <w:rPr>
                <w:sz w:val="20"/>
                <w:szCs w:val="20"/>
              </w:rPr>
              <w:t>(0,05; 0,76)</w:t>
            </w:r>
          </w:p>
        </w:tc>
      </w:tr>
      <w:tr w:rsidR="00593482" w:rsidRPr="006A64EE" w14:paraId="58CB68AE" w14:textId="77777777" w:rsidTr="00A27366">
        <w:trPr>
          <w:cantSplit/>
        </w:trPr>
        <w:tc>
          <w:tcPr>
            <w:tcW w:w="3234" w:type="dxa"/>
            <w:tcBorders>
              <w:top w:val="nil"/>
              <w:bottom w:val="single" w:sz="4" w:space="0" w:color="auto"/>
              <w:right w:val="single" w:sz="4" w:space="0" w:color="auto"/>
            </w:tcBorders>
          </w:tcPr>
          <w:p w14:paraId="02AD40D9" w14:textId="77777777" w:rsidR="00093A5E" w:rsidRPr="006A64EE" w:rsidRDefault="00DF7B20" w:rsidP="00B41A4A">
            <w:pPr>
              <w:pStyle w:val="TableParagraph"/>
              <w:widowControl/>
              <w:suppressAutoHyphens/>
              <w:rPr>
                <w:sz w:val="20"/>
                <w:szCs w:val="20"/>
              </w:rPr>
            </w:pPr>
            <w:r w:rsidRPr="006A64EE">
              <w:rPr>
                <w:sz w:val="20"/>
                <w:szCs w:val="20"/>
              </w:rPr>
              <w:t xml:space="preserve">Zeit bis zum ersten RZA-Schub¹ (Patienten mit Krankheitsbeginn; Tocilizumab-Gruppen </w:t>
            </w:r>
            <w:r w:rsidRPr="006A64EE">
              <w:rPr>
                <w:i/>
                <w:sz w:val="20"/>
                <w:szCs w:val="20"/>
              </w:rPr>
              <w:t xml:space="preserve">vs. </w:t>
            </w:r>
            <w:r w:rsidRPr="006A64EE">
              <w:rPr>
                <w:sz w:val="20"/>
                <w:szCs w:val="20"/>
              </w:rPr>
              <w:t>Placebo+52)</w:t>
            </w:r>
          </w:p>
          <w:p w14:paraId="263253FE" w14:textId="55D25FAD" w:rsidR="00DF7B20" w:rsidRPr="006A64EE" w:rsidRDefault="00DF7B20" w:rsidP="00B41A4A">
            <w:pPr>
              <w:pStyle w:val="TableParagraph"/>
              <w:widowControl/>
              <w:suppressAutoHyphens/>
              <w:ind w:left="284"/>
              <w:rPr>
                <w:sz w:val="20"/>
                <w:szCs w:val="20"/>
              </w:rPr>
            </w:pPr>
            <w:r w:rsidRPr="006A64EE">
              <w:rPr>
                <w:sz w:val="20"/>
                <w:szCs w:val="20"/>
              </w:rPr>
              <w:t>HR (99-%-KI)</w:t>
            </w:r>
          </w:p>
        </w:tc>
        <w:tc>
          <w:tcPr>
            <w:tcW w:w="1134" w:type="dxa"/>
            <w:tcBorders>
              <w:top w:val="nil"/>
              <w:left w:val="single" w:sz="4" w:space="0" w:color="auto"/>
              <w:bottom w:val="single" w:sz="4" w:space="0" w:color="auto"/>
              <w:right w:val="single" w:sz="4" w:space="0" w:color="auto"/>
            </w:tcBorders>
          </w:tcPr>
          <w:p w14:paraId="4B9D85DF" w14:textId="77777777" w:rsidR="00093A5E" w:rsidRPr="006A64EE" w:rsidRDefault="00093A5E" w:rsidP="00B41A4A">
            <w:pPr>
              <w:pStyle w:val="TableParagraph"/>
              <w:widowControl/>
              <w:suppressAutoHyphens/>
              <w:jc w:val="center"/>
              <w:rPr>
                <w:sz w:val="20"/>
                <w:szCs w:val="20"/>
              </w:rPr>
            </w:pPr>
          </w:p>
          <w:p w14:paraId="73CD10CF" w14:textId="4AF9A32E"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134" w:type="dxa"/>
            <w:tcBorders>
              <w:top w:val="nil"/>
              <w:left w:val="single" w:sz="4" w:space="0" w:color="auto"/>
              <w:bottom w:val="single" w:sz="4" w:space="0" w:color="auto"/>
              <w:right w:val="single" w:sz="4" w:space="0" w:color="auto"/>
            </w:tcBorders>
          </w:tcPr>
          <w:p w14:paraId="752588F6" w14:textId="77777777" w:rsidR="00093A5E" w:rsidRPr="006A64EE" w:rsidRDefault="00093A5E" w:rsidP="00B41A4A">
            <w:pPr>
              <w:pStyle w:val="TableParagraph"/>
              <w:widowControl/>
              <w:suppressAutoHyphens/>
              <w:jc w:val="center"/>
              <w:rPr>
                <w:sz w:val="20"/>
                <w:szCs w:val="20"/>
              </w:rPr>
            </w:pPr>
          </w:p>
          <w:p w14:paraId="1D0AD7BA" w14:textId="25A96D1D" w:rsidR="00DF7B20" w:rsidRPr="006A64EE" w:rsidRDefault="00DF7B20" w:rsidP="00B41A4A">
            <w:pPr>
              <w:pStyle w:val="TableParagraph"/>
              <w:widowControl/>
              <w:suppressAutoHyphens/>
              <w:jc w:val="center"/>
              <w:rPr>
                <w:sz w:val="20"/>
                <w:szCs w:val="20"/>
              </w:rPr>
            </w:pPr>
            <w:r w:rsidRPr="006A64EE">
              <w:rPr>
                <w:sz w:val="20"/>
                <w:szCs w:val="20"/>
              </w:rPr>
              <w:t>Entfällt.</w:t>
            </w:r>
          </w:p>
        </w:tc>
        <w:tc>
          <w:tcPr>
            <w:tcW w:w="1805" w:type="dxa"/>
            <w:tcBorders>
              <w:top w:val="nil"/>
              <w:left w:val="single" w:sz="4" w:space="0" w:color="auto"/>
              <w:bottom w:val="single" w:sz="4" w:space="0" w:color="auto"/>
              <w:right w:val="single" w:sz="4" w:space="0" w:color="auto"/>
            </w:tcBorders>
          </w:tcPr>
          <w:p w14:paraId="3C044B1D" w14:textId="77777777" w:rsidR="00093A5E" w:rsidRPr="006A64EE" w:rsidRDefault="00093A5E" w:rsidP="00B41A4A">
            <w:pPr>
              <w:pStyle w:val="TableParagraph"/>
              <w:widowControl/>
              <w:suppressAutoHyphens/>
              <w:jc w:val="center"/>
              <w:rPr>
                <w:sz w:val="20"/>
                <w:szCs w:val="20"/>
              </w:rPr>
            </w:pPr>
          </w:p>
          <w:p w14:paraId="3ED77249" w14:textId="77777777" w:rsidR="00093A5E" w:rsidRPr="006A64EE" w:rsidRDefault="00DF7B20" w:rsidP="00B41A4A">
            <w:pPr>
              <w:pStyle w:val="TableParagraph"/>
              <w:widowControl/>
              <w:suppressAutoHyphens/>
              <w:jc w:val="center"/>
              <w:rPr>
                <w:sz w:val="20"/>
                <w:szCs w:val="20"/>
              </w:rPr>
            </w:pPr>
            <w:r w:rsidRPr="006A64EE">
              <w:rPr>
                <w:sz w:val="20"/>
                <w:szCs w:val="20"/>
              </w:rPr>
              <w:t>0,44</w:t>
            </w:r>
          </w:p>
          <w:p w14:paraId="6A484058" w14:textId="77777777" w:rsidR="00093A5E" w:rsidRPr="006A64EE" w:rsidRDefault="00093A5E" w:rsidP="00B41A4A">
            <w:pPr>
              <w:pStyle w:val="TableParagraph"/>
              <w:widowControl/>
              <w:suppressAutoHyphens/>
              <w:jc w:val="center"/>
              <w:rPr>
                <w:sz w:val="20"/>
                <w:szCs w:val="20"/>
              </w:rPr>
            </w:pPr>
          </w:p>
          <w:p w14:paraId="4402BE3B" w14:textId="069BDCDB" w:rsidR="00DF7B20" w:rsidRPr="006A64EE" w:rsidRDefault="00DF7B20" w:rsidP="00B41A4A">
            <w:pPr>
              <w:pStyle w:val="TableParagraph"/>
              <w:widowControl/>
              <w:suppressAutoHyphens/>
              <w:jc w:val="center"/>
              <w:rPr>
                <w:sz w:val="20"/>
                <w:szCs w:val="20"/>
              </w:rPr>
            </w:pPr>
            <w:r w:rsidRPr="006A64EE">
              <w:rPr>
                <w:sz w:val="20"/>
                <w:szCs w:val="20"/>
              </w:rPr>
              <w:t>(0,14; 1,32)</w:t>
            </w:r>
          </w:p>
        </w:tc>
        <w:tc>
          <w:tcPr>
            <w:tcW w:w="1820" w:type="dxa"/>
            <w:tcBorders>
              <w:top w:val="nil"/>
              <w:left w:val="single" w:sz="4" w:space="0" w:color="auto"/>
              <w:bottom w:val="single" w:sz="4" w:space="0" w:color="auto"/>
            </w:tcBorders>
          </w:tcPr>
          <w:p w14:paraId="70D96A66" w14:textId="77777777" w:rsidR="00093A5E" w:rsidRPr="006A64EE" w:rsidRDefault="00093A5E" w:rsidP="00B41A4A">
            <w:pPr>
              <w:pStyle w:val="TableParagraph"/>
              <w:widowControl/>
              <w:suppressAutoHyphens/>
              <w:jc w:val="center"/>
              <w:rPr>
                <w:sz w:val="20"/>
                <w:szCs w:val="20"/>
              </w:rPr>
            </w:pPr>
          </w:p>
          <w:p w14:paraId="5A0441EA" w14:textId="77777777" w:rsidR="00093A5E" w:rsidRPr="006A64EE" w:rsidRDefault="00DF7B20" w:rsidP="00B41A4A">
            <w:pPr>
              <w:pStyle w:val="TableParagraph"/>
              <w:widowControl/>
              <w:suppressAutoHyphens/>
              <w:jc w:val="center"/>
              <w:rPr>
                <w:sz w:val="20"/>
                <w:szCs w:val="20"/>
              </w:rPr>
            </w:pPr>
            <w:r w:rsidRPr="006A64EE">
              <w:rPr>
                <w:sz w:val="20"/>
                <w:szCs w:val="20"/>
              </w:rPr>
              <w:t>0,35</w:t>
            </w:r>
          </w:p>
          <w:p w14:paraId="70618CB7" w14:textId="77777777" w:rsidR="00093A5E" w:rsidRPr="006A64EE" w:rsidRDefault="00093A5E" w:rsidP="00B41A4A">
            <w:pPr>
              <w:pStyle w:val="TableParagraph"/>
              <w:widowControl/>
              <w:suppressAutoHyphens/>
              <w:jc w:val="center"/>
              <w:rPr>
                <w:sz w:val="20"/>
                <w:szCs w:val="20"/>
              </w:rPr>
            </w:pPr>
          </w:p>
          <w:p w14:paraId="3848B819" w14:textId="226634D7" w:rsidR="00DF7B20" w:rsidRPr="006A64EE" w:rsidRDefault="00DF7B20" w:rsidP="00B41A4A">
            <w:pPr>
              <w:pStyle w:val="TableParagraph"/>
              <w:widowControl/>
              <w:suppressAutoHyphens/>
              <w:jc w:val="center"/>
              <w:rPr>
                <w:sz w:val="20"/>
                <w:szCs w:val="20"/>
              </w:rPr>
            </w:pPr>
            <w:r w:rsidRPr="006A64EE">
              <w:rPr>
                <w:sz w:val="20"/>
                <w:szCs w:val="20"/>
              </w:rPr>
              <w:t>(0,09; 1,42)</w:t>
            </w:r>
          </w:p>
        </w:tc>
      </w:tr>
      <w:tr w:rsidR="00377251" w:rsidRPr="006A64EE" w14:paraId="015EDB19" w14:textId="77777777" w:rsidTr="00A27366">
        <w:trPr>
          <w:cantSplit/>
        </w:trPr>
        <w:tc>
          <w:tcPr>
            <w:tcW w:w="3234" w:type="dxa"/>
            <w:tcBorders>
              <w:top w:val="single" w:sz="4" w:space="0" w:color="auto"/>
              <w:right w:val="single" w:sz="4" w:space="0" w:color="auto"/>
            </w:tcBorders>
          </w:tcPr>
          <w:p w14:paraId="6225FAA4" w14:textId="77777777" w:rsidR="00377251" w:rsidRPr="006A64EE" w:rsidRDefault="00377251" w:rsidP="00B41A4A">
            <w:pPr>
              <w:pStyle w:val="TableParagraph"/>
              <w:widowControl/>
              <w:suppressAutoHyphens/>
              <w:rPr>
                <w:i/>
                <w:iCs/>
                <w:sz w:val="20"/>
                <w:szCs w:val="20"/>
              </w:rPr>
            </w:pPr>
            <w:r w:rsidRPr="006A64EE">
              <w:rPr>
                <w:i/>
                <w:iCs/>
                <w:sz w:val="20"/>
                <w:szCs w:val="20"/>
              </w:rPr>
              <w:t>Kumulative Glucocorticoid-Dosis (mg)</w:t>
            </w:r>
          </w:p>
          <w:p w14:paraId="660D554B" w14:textId="77777777" w:rsidR="00377251" w:rsidRPr="006A64EE" w:rsidRDefault="00377251" w:rsidP="00B41A4A">
            <w:pPr>
              <w:pStyle w:val="TableParagraph"/>
              <w:widowControl/>
              <w:suppressAutoHyphens/>
              <w:ind w:left="284"/>
              <w:rPr>
                <w:i/>
                <w:iCs/>
                <w:sz w:val="20"/>
                <w:szCs w:val="20"/>
              </w:rPr>
            </w:pPr>
            <w:r w:rsidRPr="006A64EE">
              <w:rPr>
                <w:i/>
                <w:iCs/>
                <w:sz w:val="20"/>
                <w:szCs w:val="20"/>
              </w:rPr>
              <w:t>Median in Woche 52 (Tocilizumab-Gruppen vs. Placebo+26</w:t>
            </w:r>
            <w:r w:rsidRPr="006A64EE">
              <w:rPr>
                <w:i/>
                <w:iCs/>
                <w:sz w:val="20"/>
                <w:szCs w:val="20"/>
                <w:vertAlign w:val="superscript"/>
              </w:rPr>
              <w:t>2</w:t>
            </w:r>
            <w:r w:rsidRPr="006A64EE">
              <w:rPr>
                <w:i/>
                <w:iCs/>
                <w:sz w:val="20"/>
                <w:szCs w:val="20"/>
              </w:rPr>
              <w:t>)</w:t>
            </w:r>
          </w:p>
          <w:p w14:paraId="4AF9F028" w14:textId="288E17C8" w:rsidR="00377251" w:rsidRPr="006A64EE" w:rsidRDefault="00377251" w:rsidP="00B41A4A">
            <w:pPr>
              <w:pStyle w:val="TableParagraph"/>
              <w:widowControl/>
              <w:suppressAutoHyphens/>
              <w:ind w:left="284"/>
              <w:rPr>
                <w:i/>
                <w:iCs/>
                <w:sz w:val="20"/>
                <w:szCs w:val="20"/>
              </w:rPr>
            </w:pPr>
            <w:r w:rsidRPr="006A64EE">
              <w:rPr>
                <w:i/>
                <w:iCs/>
                <w:sz w:val="20"/>
                <w:szCs w:val="20"/>
              </w:rPr>
              <w:t>Median in Woche 52 (Tocilizumab-Gruppen vs. Placebo+52</w:t>
            </w:r>
            <w:r w:rsidRPr="006A64EE">
              <w:rPr>
                <w:i/>
                <w:iCs/>
                <w:sz w:val="20"/>
                <w:szCs w:val="20"/>
                <w:vertAlign w:val="superscript"/>
              </w:rPr>
              <w:t>2</w:t>
            </w:r>
            <w:r w:rsidRPr="006A64EE">
              <w:rPr>
                <w:i/>
                <w:iCs/>
                <w:sz w:val="20"/>
                <w:szCs w:val="20"/>
              </w:rPr>
              <w:t>)</w:t>
            </w:r>
          </w:p>
        </w:tc>
        <w:tc>
          <w:tcPr>
            <w:tcW w:w="1134" w:type="dxa"/>
            <w:tcBorders>
              <w:top w:val="single" w:sz="4" w:space="0" w:color="auto"/>
              <w:left w:val="single" w:sz="4" w:space="0" w:color="auto"/>
              <w:right w:val="single" w:sz="4" w:space="0" w:color="auto"/>
            </w:tcBorders>
          </w:tcPr>
          <w:p w14:paraId="6A284774" w14:textId="77777777" w:rsidR="00377251" w:rsidRPr="006A64EE" w:rsidRDefault="00377251" w:rsidP="00B41A4A">
            <w:pPr>
              <w:pStyle w:val="TableParagraph"/>
              <w:widowControl/>
              <w:suppressAutoHyphens/>
              <w:jc w:val="center"/>
              <w:rPr>
                <w:sz w:val="20"/>
                <w:szCs w:val="20"/>
              </w:rPr>
            </w:pPr>
          </w:p>
          <w:p w14:paraId="192984D9" w14:textId="0C0A14B5" w:rsidR="00377251" w:rsidRPr="006A64EE" w:rsidRDefault="00377251" w:rsidP="00B41A4A">
            <w:pPr>
              <w:pStyle w:val="TableParagraph"/>
              <w:widowControl/>
              <w:suppressAutoHyphens/>
              <w:jc w:val="center"/>
              <w:rPr>
                <w:sz w:val="20"/>
                <w:szCs w:val="20"/>
              </w:rPr>
            </w:pPr>
            <w:r w:rsidRPr="006A64EE">
              <w:rPr>
                <w:sz w:val="20"/>
                <w:szCs w:val="20"/>
              </w:rPr>
              <w:t>3</w:t>
            </w:r>
            <w:r w:rsidR="00DF3F57">
              <w:rPr>
                <w:sz w:val="20"/>
                <w:szCs w:val="20"/>
              </w:rPr>
              <w:t> </w:t>
            </w:r>
            <w:r w:rsidRPr="006A64EE">
              <w:rPr>
                <w:sz w:val="20"/>
                <w:szCs w:val="20"/>
              </w:rPr>
              <w:t>296,00</w:t>
            </w:r>
          </w:p>
          <w:p w14:paraId="02E9069E" w14:textId="77777777" w:rsidR="00377251" w:rsidRPr="006A64EE" w:rsidRDefault="00377251" w:rsidP="00B41A4A">
            <w:pPr>
              <w:pStyle w:val="TableParagraph"/>
              <w:widowControl/>
              <w:suppressAutoHyphens/>
              <w:jc w:val="center"/>
              <w:rPr>
                <w:sz w:val="20"/>
                <w:szCs w:val="20"/>
              </w:rPr>
            </w:pPr>
          </w:p>
          <w:p w14:paraId="717F0140" w14:textId="68DA434F" w:rsidR="00377251" w:rsidRPr="006A64EE" w:rsidRDefault="00377251" w:rsidP="00B41A4A">
            <w:pPr>
              <w:pStyle w:val="TableParagraph"/>
              <w:widowControl/>
              <w:suppressAutoHyphens/>
              <w:jc w:val="center"/>
              <w:rPr>
                <w:sz w:val="20"/>
                <w:szCs w:val="20"/>
              </w:rPr>
            </w:pPr>
            <w:r w:rsidRPr="006A64EE">
              <w:rPr>
                <w:sz w:val="20"/>
                <w:szCs w:val="20"/>
              </w:rPr>
              <w:t>Entfällt.</w:t>
            </w:r>
          </w:p>
        </w:tc>
        <w:tc>
          <w:tcPr>
            <w:tcW w:w="1134" w:type="dxa"/>
            <w:tcBorders>
              <w:top w:val="single" w:sz="4" w:space="0" w:color="auto"/>
              <w:left w:val="single" w:sz="4" w:space="0" w:color="auto"/>
              <w:right w:val="single" w:sz="4" w:space="0" w:color="auto"/>
            </w:tcBorders>
          </w:tcPr>
          <w:p w14:paraId="40FE370F" w14:textId="77777777" w:rsidR="00377251" w:rsidRPr="006A64EE" w:rsidRDefault="00377251" w:rsidP="00B41A4A">
            <w:pPr>
              <w:pStyle w:val="TableParagraph"/>
              <w:widowControl/>
              <w:suppressAutoHyphens/>
              <w:jc w:val="center"/>
              <w:rPr>
                <w:sz w:val="20"/>
                <w:szCs w:val="20"/>
              </w:rPr>
            </w:pPr>
          </w:p>
          <w:p w14:paraId="610A2DCE" w14:textId="2A77622E" w:rsidR="00377251" w:rsidRPr="006A64EE" w:rsidRDefault="00377251" w:rsidP="00B41A4A">
            <w:pPr>
              <w:pStyle w:val="TableParagraph"/>
              <w:widowControl/>
              <w:suppressAutoHyphens/>
              <w:jc w:val="center"/>
              <w:rPr>
                <w:sz w:val="20"/>
                <w:szCs w:val="20"/>
              </w:rPr>
            </w:pPr>
            <w:r w:rsidRPr="006A64EE">
              <w:rPr>
                <w:sz w:val="20"/>
                <w:szCs w:val="20"/>
              </w:rPr>
              <w:t>Entfällt.</w:t>
            </w:r>
          </w:p>
          <w:p w14:paraId="273A5962" w14:textId="77777777" w:rsidR="00377251" w:rsidRPr="006A64EE" w:rsidRDefault="00377251" w:rsidP="00B41A4A">
            <w:pPr>
              <w:pStyle w:val="TableParagraph"/>
              <w:widowControl/>
              <w:suppressAutoHyphens/>
              <w:jc w:val="center"/>
              <w:rPr>
                <w:sz w:val="20"/>
                <w:szCs w:val="20"/>
              </w:rPr>
            </w:pPr>
          </w:p>
          <w:p w14:paraId="305FE279" w14:textId="79C91714" w:rsidR="00377251" w:rsidRPr="006A64EE" w:rsidRDefault="00377251" w:rsidP="00B41A4A">
            <w:pPr>
              <w:pStyle w:val="TableParagraph"/>
              <w:widowControl/>
              <w:suppressAutoHyphens/>
              <w:jc w:val="center"/>
              <w:rPr>
                <w:sz w:val="20"/>
                <w:szCs w:val="20"/>
              </w:rPr>
            </w:pPr>
            <w:r w:rsidRPr="006A64EE">
              <w:rPr>
                <w:sz w:val="20"/>
                <w:szCs w:val="20"/>
              </w:rPr>
              <w:t>3</w:t>
            </w:r>
            <w:r w:rsidR="00DF3F57">
              <w:rPr>
                <w:sz w:val="20"/>
                <w:szCs w:val="20"/>
              </w:rPr>
              <w:t> </w:t>
            </w:r>
            <w:r w:rsidRPr="006A64EE">
              <w:rPr>
                <w:sz w:val="20"/>
                <w:szCs w:val="20"/>
              </w:rPr>
              <w:t>817,50</w:t>
            </w:r>
          </w:p>
        </w:tc>
        <w:tc>
          <w:tcPr>
            <w:tcW w:w="1805" w:type="dxa"/>
            <w:tcBorders>
              <w:top w:val="single" w:sz="4" w:space="0" w:color="auto"/>
              <w:left w:val="single" w:sz="4" w:space="0" w:color="auto"/>
              <w:right w:val="single" w:sz="4" w:space="0" w:color="auto"/>
            </w:tcBorders>
          </w:tcPr>
          <w:p w14:paraId="54BE7ABC" w14:textId="77777777" w:rsidR="00377251" w:rsidRPr="006A64EE" w:rsidRDefault="00377251" w:rsidP="00B41A4A">
            <w:pPr>
              <w:pStyle w:val="TableParagraph"/>
              <w:widowControl/>
              <w:suppressAutoHyphens/>
              <w:jc w:val="center"/>
              <w:rPr>
                <w:sz w:val="20"/>
                <w:szCs w:val="20"/>
              </w:rPr>
            </w:pPr>
          </w:p>
          <w:p w14:paraId="68C45F6D" w14:textId="3287445D" w:rsidR="00377251" w:rsidRPr="006A64EE" w:rsidRDefault="00377251" w:rsidP="00B41A4A">
            <w:pPr>
              <w:pStyle w:val="TableParagraph"/>
              <w:widowControl/>
              <w:suppressAutoHyphens/>
              <w:jc w:val="center"/>
              <w:rPr>
                <w:sz w:val="20"/>
                <w:szCs w:val="20"/>
              </w:rPr>
            </w:pPr>
            <w:r w:rsidRPr="006A64EE">
              <w:rPr>
                <w:sz w:val="20"/>
                <w:szCs w:val="20"/>
              </w:rPr>
              <w:t>1</w:t>
            </w:r>
            <w:r w:rsidR="00DF3F57">
              <w:rPr>
                <w:sz w:val="20"/>
                <w:szCs w:val="20"/>
              </w:rPr>
              <w:t> </w:t>
            </w:r>
            <w:r w:rsidRPr="006A64EE">
              <w:rPr>
                <w:sz w:val="20"/>
                <w:szCs w:val="20"/>
              </w:rPr>
              <w:t>862,00*</w:t>
            </w:r>
          </w:p>
          <w:p w14:paraId="4EC62B94" w14:textId="77777777" w:rsidR="00377251" w:rsidRPr="006A64EE" w:rsidRDefault="00377251" w:rsidP="00B41A4A">
            <w:pPr>
              <w:pStyle w:val="TableParagraph"/>
              <w:widowControl/>
              <w:suppressAutoHyphens/>
              <w:jc w:val="center"/>
              <w:rPr>
                <w:sz w:val="20"/>
                <w:szCs w:val="20"/>
              </w:rPr>
            </w:pPr>
          </w:p>
          <w:p w14:paraId="697FF6EC" w14:textId="0A56856C" w:rsidR="00377251" w:rsidRPr="006A64EE" w:rsidRDefault="00377251" w:rsidP="00B41A4A">
            <w:pPr>
              <w:pStyle w:val="TableParagraph"/>
              <w:widowControl/>
              <w:suppressAutoHyphens/>
              <w:jc w:val="center"/>
              <w:rPr>
                <w:sz w:val="20"/>
                <w:szCs w:val="20"/>
              </w:rPr>
            </w:pPr>
            <w:r w:rsidRPr="006A64EE">
              <w:rPr>
                <w:sz w:val="20"/>
                <w:szCs w:val="20"/>
              </w:rPr>
              <w:t>1</w:t>
            </w:r>
            <w:r w:rsidR="00DF3F57">
              <w:rPr>
                <w:sz w:val="20"/>
                <w:szCs w:val="20"/>
              </w:rPr>
              <w:t> </w:t>
            </w:r>
            <w:r w:rsidRPr="006A64EE">
              <w:rPr>
                <w:sz w:val="20"/>
                <w:szCs w:val="20"/>
              </w:rPr>
              <w:t>862,00*</w:t>
            </w:r>
          </w:p>
        </w:tc>
        <w:tc>
          <w:tcPr>
            <w:tcW w:w="1820" w:type="dxa"/>
            <w:tcBorders>
              <w:top w:val="single" w:sz="4" w:space="0" w:color="auto"/>
              <w:left w:val="single" w:sz="4" w:space="0" w:color="auto"/>
            </w:tcBorders>
          </w:tcPr>
          <w:p w14:paraId="5892EF76" w14:textId="77777777" w:rsidR="00377251" w:rsidRPr="006A64EE" w:rsidRDefault="00377251" w:rsidP="00B41A4A">
            <w:pPr>
              <w:pStyle w:val="TableParagraph"/>
              <w:widowControl/>
              <w:suppressAutoHyphens/>
              <w:jc w:val="center"/>
              <w:rPr>
                <w:sz w:val="20"/>
                <w:szCs w:val="20"/>
              </w:rPr>
            </w:pPr>
          </w:p>
          <w:p w14:paraId="49177423" w14:textId="34492759" w:rsidR="00377251" w:rsidRPr="006A64EE" w:rsidRDefault="00377251" w:rsidP="00B41A4A">
            <w:pPr>
              <w:pStyle w:val="TableParagraph"/>
              <w:widowControl/>
              <w:suppressAutoHyphens/>
              <w:jc w:val="center"/>
              <w:rPr>
                <w:sz w:val="20"/>
                <w:szCs w:val="20"/>
              </w:rPr>
            </w:pPr>
            <w:r w:rsidRPr="006A64EE">
              <w:rPr>
                <w:sz w:val="20"/>
                <w:szCs w:val="20"/>
              </w:rPr>
              <w:t>1</w:t>
            </w:r>
            <w:r w:rsidR="00DF3F57">
              <w:rPr>
                <w:sz w:val="20"/>
                <w:szCs w:val="20"/>
              </w:rPr>
              <w:t> </w:t>
            </w:r>
            <w:r w:rsidRPr="006A64EE">
              <w:rPr>
                <w:sz w:val="20"/>
                <w:szCs w:val="20"/>
              </w:rPr>
              <w:t>862,00*</w:t>
            </w:r>
          </w:p>
          <w:p w14:paraId="69B69204" w14:textId="77777777" w:rsidR="00377251" w:rsidRPr="006A64EE" w:rsidRDefault="00377251" w:rsidP="00B41A4A">
            <w:pPr>
              <w:pStyle w:val="TableParagraph"/>
              <w:widowControl/>
              <w:suppressAutoHyphens/>
              <w:jc w:val="center"/>
              <w:rPr>
                <w:sz w:val="20"/>
                <w:szCs w:val="20"/>
              </w:rPr>
            </w:pPr>
          </w:p>
          <w:p w14:paraId="6D30BA10" w14:textId="75775420" w:rsidR="00377251" w:rsidRPr="006A64EE" w:rsidRDefault="00377251" w:rsidP="00B41A4A">
            <w:pPr>
              <w:pStyle w:val="TableParagraph"/>
              <w:widowControl/>
              <w:suppressAutoHyphens/>
              <w:jc w:val="center"/>
              <w:rPr>
                <w:sz w:val="20"/>
                <w:szCs w:val="20"/>
              </w:rPr>
            </w:pPr>
            <w:r w:rsidRPr="006A64EE">
              <w:rPr>
                <w:sz w:val="20"/>
                <w:szCs w:val="20"/>
              </w:rPr>
              <w:t>1</w:t>
            </w:r>
            <w:r w:rsidR="00DF3F57">
              <w:rPr>
                <w:sz w:val="20"/>
                <w:szCs w:val="20"/>
              </w:rPr>
              <w:t> </w:t>
            </w:r>
            <w:r w:rsidRPr="006A64EE">
              <w:rPr>
                <w:sz w:val="20"/>
                <w:szCs w:val="20"/>
              </w:rPr>
              <w:t>862,00*</w:t>
            </w:r>
          </w:p>
        </w:tc>
      </w:tr>
      <w:tr w:rsidR="00593482" w:rsidRPr="006A64EE" w14:paraId="582888E1" w14:textId="77777777" w:rsidTr="00B41A4A">
        <w:trPr>
          <w:cantSplit/>
        </w:trPr>
        <w:tc>
          <w:tcPr>
            <w:tcW w:w="9127" w:type="dxa"/>
            <w:gridSpan w:val="5"/>
            <w:tcBorders>
              <w:bottom w:val="single" w:sz="4" w:space="0" w:color="auto"/>
            </w:tcBorders>
          </w:tcPr>
          <w:p w14:paraId="7706BA5D" w14:textId="4CD02E3B" w:rsidR="00A20F3B" w:rsidRPr="006A64EE" w:rsidRDefault="00A20F3B" w:rsidP="00B41A4A">
            <w:pPr>
              <w:pStyle w:val="TableParagraph"/>
              <w:widowControl/>
              <w:suppressAutoHyphens/>
              <w:rPr>
                <w:sz w:val="20"/>
                <w:szCs w:val="20"/>
              </w:rPr>
            </w:pPr>
            <w:r w:rsidRPr="006A64EE">
              <w:rPr>
                <w:b/>
                <w:sz w:val="20"/>
                <w:szCs w:val="20"/>
              </w:rPr>
              <w:t>Explorative Endpunkte</w:t>
            </w:r>
          </w:p>
        </w:tc>
      </w:tr>
      <w:tr w:rsidR="002E2525" w:rsidRPr="006A64EE" w14:paraId="6D9C05FB" w14:textId="77777777" w:rsidTr="00A27366">
        <w:trPr>
          <w:cantSplit/>
          <w:trHeight w:val="690"/>
        </w:trPr>
        <w:tc>
          <w:tcPr>
            <w:tcW w:w="3234" w:type="dxa"/>
            <w:tcBorders>
              <w:right w:val="nil"/>
            </w:tcBorders>
          </w:tcPr>
          <w:p w14:paraId="6F35AC46" w14:textId="7DE344CF" w:rsidR="002E2525" w:rsidRPr="006A64EE" w:rsidRDefault="002E2525" w:rsidP="00B41A4A">
            <w:pPr>
              <w:pStyle w:val="TableParagraph"/>
              <w:widowControl/>
              <w:suppressAutoHyphens/>
              <w:rPr>
                <w:sz w:val="20"/>
                <w:szCs w:val="20"/>
              </w:rPr>
            </w:pPr>
            <w:r w:rsidRPr="006A64EE">
              <w:rPr>
                <w:sz w:val="20"/>
                <w:szCs w:val="20"/>
              </w:rPr>
              <w:t>Annualisierte Rezidivrate, Woche</w:t>
            </w:r>
            <w:r w:rsidR="00DF3F57">
              <w:rPr>
                <w:sz w:val="20"/>
                <w:szCs w:val="20"/>
              </w:rPr>
              <w:t> </w:t>
            </w:r>
            <w:r w:rsidRPr="006A64EE">
              <w:rPr>
                <w:sz w:val="20"/>
                <w:szCs w:val="20"/>
              </w:rPr>
              <w:t>52</w:t>
            </w:r>
            <w:r w:rsidRPr="006A64EE">
              <w:rPr>
                <w:sz w:val="20"/>
                <w:szCs w:val="20"/>
                <w:vertAlign w:val="superscript"/>
              </w:rPr>
              <w:t>§</w:t>
            </w:r>
          </w:p>
          <w:p w14:paraId="59B19B11" w14:textId="791EF55C" w:rsidR="002E2525" w:rsidRPr="006A64EE" w:rsidRDefault="002E2525" w:rsidP="00B41A4A">
            <w:pPr>
              <w:pStyle w:val="TableParagraph"/>
              <w:widowControl/>
              <w:suppressAutoHyphens/>
              <w:ind w:left="284"/>
              <w:rPr>
                <w:sz w:val="20"/>
                <w:szCs w:val="20"/>
              </w:rPr>
            </w:pPr>
            <w:r w:rsidRPr="006A64EE">
              <w:rPr>
                <w:sz w:val="20"/>
                <w:szCs w:val="20"/>
              </w:rPr>
              <w:t>Mittel (SD)</w:t>
            </w:r>
          </w:p>
        </w:tc>
        <w:tc>
          <w:tcPr>
            <w:tcW w:w="1134" w:type="dxa"/>
            <w:tcBorders>
              <w:left w:val="nil"/>
              <w:right w:val="nil"/>
            </w:tcBorders>
          </w:tcPr>
          <w:p w14:paraId="57C2F5D9" w14:textId="77777777" w:rsidR="002E2525" w:rsidRPr="006A64EE" w:rsidRDefault="002E2525" w:rsidP="00B41A4A">
            <w:pPr>
              <w:pStyle w:val="TableParagraph"/>
              <w:widowControl/>
              <w:suppressAutoHyphens/>
              <w:jc w:val="center"/>
              <w:rPr>
                <w:sz w:val="20"/>
                <w:szCs w:val="20"/>
              </w:rPr>
            </w:pPr>
          </w:p>
          <w:p w14:paraId="2A0BC417" w14:textId="3A011D04" w:rsidR="002E2525" w:rsidRPr="006A64EE" w:rsidRDefault="002E2525" w:rsidP="00B41A4A">
            <w:pPr>
              <w:pStyle w:val="TableParagraph"/>
              <w:widowControl/>
              <w:suppressAutoHyphens/>
              <w:jc w:val="center"/>
              <w:rPr>
                <w:sz w:val="20"/>
                <w:szCs w:val="20"/>
              </w:rPr>
            </w:pPr>
            <w:r w:rsidRPr="006A64EE">
              <w:rPr>
                <w:sz w:val="20"/>
                <w:szCs w:val="20"/>
              </w:rPr>
              <w:t>1,74</w:t>
            </w:r>
          </w:p>
          <w:p w14:paraId="0D96CF3E" w14:textId="206E71E3" w:rsidR="002E2525" w:rsidRPr="006A64EE" w:rsidRDefault="002E2525" w:rsidP="00B41A4A">
            <w:pPr>
              <w:pStyle w:val="TableParagraph"/>
              <w:widowControl/>
              <w:suppressAutoHyphens/>
              <w:jc w:val="center"/>
              <w:rPr>
                <w:sz w:val="20"/>
                <w:szCs w:val="20"/>
              </w:rPr>
            </w:pPr>
            <w:r w:rsidRPr="006A64EE">
              <w:rPr>
                <w:sz w:val="20"/>
                <w:szCs w:val="20"/>
              </w:rPr>
              <w:t>(2,18)</w:t>
            </w:r>
          </w:p>
        </w:tc>
        <w:tc>
          <w:tcPr>
            <w:tcW w:w="1134" w:type="dxa"/>
            <w:tcBorders>
              <w:left w:val="nil"/>
              <w:right w:val="nil"/>
            </w:tcBorders>
          </w:tcPr>
          <w:p w14:paraId="7042B7BA" w14:textId="77777777" w:rsidR="002E2525" w:rsidRPr="006A64EE" w:rsidRDefault="002E2525" w:rsidP="00B41A4A">
            <w:pPr>
              <w:pStyle w:val="TableParagraph"/>
              <w:widowControl/>
              <w:suppressAutoHyphens/>
              <w:jc w:val="center"/>
              <w:rPr>
                <w:sz w:val="20"/>
                <w:szCs w:val="20"/>
              </w:rPr>
            </w:pPr>
          </w:p>
          <w:p w14:paraId="08CEC7E4" w14:textId="2BB23FB4" w:rsidR="002E2525" w:rsidRPr="006A64EE" w:rsidRDefault="002E2525" w:rsidP="00B41A4A">
            <w:pPr>
              <w:pStyle w:val="TableParagraph"/>
              <w:widowControl/>
              <w:suppressAutoHyphens/>
              <w:jc w:val="center"/>
              <w:rPr>
                <w:sz w:val="20"/>
                <w:szCs w:val="20"/>
              </w:rPr>
            </w:pPr>
            <w:r w:rsidRPr="006A64EE">
              <w:rPr>
                <w:sz w:val="20"/>
                <w:szCs w:val="20"/>
              </w:rPr>
              <w:t>1,30</w:t>
            </w:r>
          </w:p>
          <w:p w14:paraId="6D993EDC" w14:textId="7FD71C90" w:rsidR="002E2525" w:rsidRPr="006A64EE" w:rsidRDefault="002E2525" w:rsidP="00B41A4A">
            <w:pPr>
              <w:pStyle w:val="TableParagraph"/>
              <w:widowControl/>
              <w:suppressAutoHyphens/>
              <w:jc w:val="center"/>
              <w:rPr>
                <w:sz w:val="20"/>
                <w:szCs w:val="20"/>
              </w:rPr>
            </w:pPr>
            <w:r w:rsidRPr="006A64EE">
              <w:rPr>
                <w:sz w:val="20"/>
                <w:szCs w:val="20"/>
              </w:rPr>
              <w:t>(1,84)</w:t>
            </w:r>
          </w:p>
        </w:tc>
        <w:tc>
          <w:tcPr>
            <w:tcW w:w="1805" w:type="dxa"/>
            <w:tcBorders>
              <w:left w:val="nil"/>
              <w:right w:val="nil"/>
            </w:tcBorders>
          </w:tcPr>
          <w:p w14:paraId="2E2BAAA8" w14:textId="77777777" w:rsidR="002E2525" w:rsidRPr="006A64EE" w:rsidRDefault="002E2525" w:rsidP="00B41A4A">
            <w:pPr>
              <w:pStyle w:val="TableParagraph"/>
              <w:widowControl/>
              <w:suppressAutoHyphens/>
              <w:jc w:val="center"/>
              <w:rPr>
                <w:sz w:val="20"/>
                <w:szCs w:val="20"/>
              </w:rPr>
            </w:pPr>
          </w:p>
          <w:p w14:paraId="187E1E51" w14:textId="683AADD5" w:rsidR="002E2525" w:rsidRPr="006A64EE" w:rsidRDefault="002E2525" w:rsidP="00B41A4A">
            <w:pPr>
              <w:pStyle w:val="TableParagraph"/>
              <w:widowControl/>
              <w:suppressAutoHyphens/>
              <w:jc w:val="center"/>
              <w:rPr>
                <w:sz w:val="20"/>
                <w:szCs w:val="20"/>
              </w:rPr>
            </w:pPr>
            <w:r w:rsidRPr="006A64EE">
              <w:rPr>
                <w:sz w:val="20"/>
                <w:szCs w:val="20"/>
              </w:rPr>
              <w:t>0,41</w:t>
            </w:r>
          </w:p>
          <w:p w14:paraId="2B0D66C0" w14:textId="395DD10F" w:rsidR="002E2525" w:rsidRPr="006A64EE" w:rsidRDefault="002E2525" w:rsidP="00B41A4A">
            <w:pPr>
              <w:pStyle w:val="TableParagraph"/>
              <w:widowControl/>
              <w:suppressAutoHyphens/>
              <w:jc w:val="center"/>
              <w:rPr>
                <w:sz w:val="20"/>
                <w:szCs w:val="20"/>
              </w:rPr>
            </w:pPr>
            <w:r w:rsidRPr="006A64EE">
              <w:rPr>
                <w:sz w:val="20"/>
                <w:szCs w:val="20"/>
              </w:rPr>
              <w:t>(0,78)</w:t>
            </w:r>
          </w:p>
        </w:tc>
        <w:tc>
          <w:tcPr>
            <w:tcW w:w="1820" w:type="dxa"/>
            <w:tcBorders>
              <w:left w:val="nil"/>
            </w:tcBorders>
          </w:tcPr>
          <w:p w14:paraId="4131C228" w14:textId="77777777" w:rsidR="002E2525" w:rsidRPr="006A64EE" w:rsidRDefault="002E2525" w:rsidP="00B41A4A">
            <w:pPr>
              <w:pStyle w:val="TableParagraph"/>
              <w:widowControl/>
              <w:suppressAutoHyphens/>
              <w:jc w:val="center"/>
              <w:rPr>
                <w:sz w:val="20"/>
                <w:szCs w:val="20"/>
              </w:rPr>
            </w:pPr>
          </w:p>
          <w:p w14:paraId="6B3B8705" w14:textId="4A768DFB" w:rsidR="002E2525" w:rsidRPr="006A64EE" w:rsidRDefault="002E2525" w:rsidP="00B41A4A">
            <w:pPr>
              <w:pStyle w:val="TableParagraph"/>
              <w:widowControl/>
              <w:suppressAutoHyphens/>
              <w:jc w:val="center"/>
              <w:rPr>
                <w:sz w:val="20"/>
                <w:szCs w:val="20"/>
              </w:rPr>
            </w:pPr>
            <w:r w:rsidRPr="006A64EE">
              <w:rPr>
                <w:sz w:val="20"/>
                <w:szCs w:val="20"/>
              </w:rPr>
              <w:t>0,67</w:t>
            </w:r>
          </w:p>
          <w:p w14:paraId="3C2B8BB9" w14:textId="65B7CA1E" w:rsidR="002E2525" w:rsidRPr="006A64EE" w:rsidRDefault="002E2525" w:rsidP="00B41A4A">
            <w:pPr>
              <w:pStyle w:val="TableParagraph"/>
              <w:widowControl/>
              <w:suppressAutoHyphens/>
              <w:jc w:val="center"/>
              <w:rPr>
                <w:sz w:val="20"/>
                <w:szCs w:val="20"/>
              </w:rPr>
            </w:pPr>
            <w:r w:rsidRPr="006A64EE">
              <w:rPr>
                <w:sz w:val="20"/>
                <w:szCs w:val="20"/>
              </w:rPr>
              <w:t>(1,10)</w:t>
            </w:r>
          </w:p>
        </w:tc>
      </w:tr>
    </w:tbl>
    <w:p w14:paraId="2B7B4E39" w14:textId="77777777" w:rsidR="00093A5E" w:rsidRPr="006A64EE" w:rsidRDefault="009C2544" w:rsidP="004255F8">
      <w:pPr>
        <w:widowControl/>
        <w:rPr>
          <w:sz w:val="18"/>
          <w:szCs w:val="18"/>
        </w:rPr>
      </w:pPr>
      <w:r w:rsidRPr="006A64EE">
        <w:rPr>
          <w:sz w:val="18"/>
          <w:szCs w:val="18"/>
        </w:rPr>
        <w:t>* p &lt; 0,0001</w:t>
      </w:r>
    </w:p>
    <w:p w14:paraId="7A599EBB" w14:textId="77777777" w:rsidR="00093A5E" w:rsidRPr="006A64EE" w:rsidRDefault="009C2544" w:rsidP="004255F8">
      <w:pPr>
        <w:widowControl/>
        <w:rPr>
          <w:sz w:val="18"/>
          <w:szCs w:val="18"/>
        </w:rPr>
      </w:pPr>
      <w:r w:rsidRPr="006A64EE">
        <w:rPr>
          <w:sz w:val="18"/>
          <w:szCs w:val="18"/>
        </w:rPr>
        <w:lastRenderedPageBreak/>
        <w:t>** p &lt; 0,005 (Signifikanzschwellenwert für primäre und wichtigste sekundäre Prüfungen auf Überlegenheit)</w:t>
      </w:r>
    </w:p>
    <w:p w14:paraId="2A5C3DD9" w14:textId="77777777" w:rsidR="00093A5E" w:rsidRPr="006A64EE" w:rsidRDefault="009C2544" w:rsidP="004255F8">
      <w:pPr>
        <w:widowControl/>
        <w:rPr>
          <w:sz w:val="18"/>
          <w:szCs w:val="18"/>
        </w:rPr>
      </w:pPr>
      <w:r w:rsidRPr="006A64EE">
        <w:rPr>
          <w:sz w:val="18"/>
          <w:szCs w:val="18"/>
        </w:rPr>
        <w:t xml:space="preserve">*** Beschreibender </w:t>
      </w:r>
      <w:r w:rsidRPr="006A64EE">
        <w:rPr>
          <w:i/>
          <w:sz w:val="18"/>
          <w:szCs w:val="18"/>
        </w:rPr>
        <w:t>p</w:t>
      </w:r>
      <w:r w:rsidRPr="006A64EE">
        <w:rPr>
          <w:sz w:val="18"/>
          <w:szCs w:val="18"/>
        </w:rPr>
        <w:t>-Wert &lt; 0,005</w:t>
      </w:r>
    </w:p>
    <w:p w14:paraId="121C64EA" w14:textId="77777777" w:rsidR="00093A5E" w:rsidRPr="006A64EE" w:rsidRDefault="009C2544" w:rsidP="004255F8">
      <w:pPr>
        <w:widowControl/>
        <w:rPr>
          <w:sz w:val="18"/>
          <w:szCs w:val="18"/>
        </w:rPr>
      </w:pPr>
      <w:r w:rsidRPr="006A64EE">
        <w:rPr>
          <w:sz w:val="18"/>
          <w:szCs w:val="18"/>
        </w:rPr>
        <w:t xml:space="preserve">**** </w:t>
      </w:r>
      <w:r w:rsidRPr="006A64EE">
        <w:rPr>
          <w:b/>
          <w:sz w:val="18"/>
          <w:szCs w:val="18"/>
        </w:rPr>
        <w:t xml:space="preserve">Schub: Wiederauftreten von RZA-Anzeichen oder -Symptomen und/oder ESR ≥30 mm/h </w:t>
      </w:r>
      <w:r w:rsidRPr="006A64EE">
        <w:rPr>
          <w:sz w:val="18"/>
          <w:szCs w:val="18"/>
        </w:rPr>
        <w:t>– Erhöhung der Prednison-Dosis nötig</w:t>
      </w:r>
    </w:p>
    <w:p w14:paraId="5CD57D09" w14:textId="77777777" w:rsidR="00093A5E" w:rsidRPr="006A64EE" w:rsidRDefault="009C2544" w:rsidP="004255F8">
      <w:pPr>
        <w:widowControl/>
        <w:rPr>
          <w:b/>
          <w:sz w:val="18"/>
          <w:szCs w:val="18"/>
        </w:rPr>
      </w:pPr>
      <w:r w:rsidRPr="006A64EE">
        <w:rPr>
          <w:b/>
          <w:sz w:val="18"/>
          <w:szCs w:val="18"/>
        </w:rPr>
        <w:t>Remission: Abwesenheit von Schüben und Normalisierung des CRP</w:t>
      </w:r>
    </w:p>
    <w:p w14:paraId="521AA8A8" w14:textId="77777777" w:rsidR="00093A5E" w:rsidRPr="006A64EE" w:rsidRDefault="009C2544" w:rsidP="004255F8">
      <w:pPr>
        <w:widowControl/>
        <w:rPr>
          <w:sz w:val="18"/>
          <w:szCs w:val="18"/>
        </w:rPr>
      </w:pPr>
      <w:r w:rsidRPr="006A64EE">
        <w:rPr>
          <w:b/>
          <w:sz w:val="18"/>
          <w:szCs w:val="18"/>
        </w:rPr>
        <w:t xml:space="preserve">Anhaltende Remission: Remission von Woche 12 bis Woche 52 </w:t>
      </w:r>
      <w:r w:rsidRPr="006A64EE">
        <w:rPr>
          <w:sz w:val="18"/>
          <w:szCs w:val="18"/>
        </w:rPr>
        <w:t>– Patienten müssen die im Protokoll definierte Prednison-Ausschleichtherapie einhalten</w:t>
      </w:r>
    </w:p>
    <w:p w14:paraId="1C5F1596" w14:textId="77777777" w:rsidR="00093A5E" w:rsidRPr="006A64EE" w:rsidRDefault="009C2544" w:rsidP="004255F8">
      <w:pPr>
        <w:widowControl/>
        <w:rPr>
          <w:sz w:val="18"/>
          <w:szCs w:val="18"/>
        </w:rPr>
      </w:pPr>
      <w:r w:rsidRPr="006A64EE">
        <w:rPr>
          <w:sz w:val="18"/>
          <w:szCs w:val="18"/>
        </w:rPr>
        <w:t>¹ Analyse der Zeit (in Tagen) zwischen klinischer Remission und erstem Krankheitsschub</w:t>
      </w:r>
    </w:p>
    <w:p w14:paraId="58843B94" w14:textId="77777777" w:rsidR="00093A5E" w:rsidRPr="006A64EE" w:rsidRDefault="009C2544" w:rsidP="004255F8">
      <w:pPr>
        <w:widowControl/>
        <w:rPr>
          <w:sz w:val="18"/>
          <w:szCs w:val="18"/>
        </w:rPr>
      </w:pPr>
      <w:r w:rsidRPr="006A64EE">
        <w:rPr>
          <w:sz w:val="18"/>
          <w:szCs w:val="18"/>
          <w:vertAlign w:val="superscript"/>
        </w:rPr>
        <w:t>2</w:t>
      </w:r>
      <w:r w:rsidRPr="006A64EE">
        <w:rPr>
          <w:sz w:val="18"/>
          <w:szCs w:val="18"/>
        </w:rPr>
        <w:t xml:space="preserve"> p-Werte werden mit einer Van-Elteren-Analyse für nicht parametrische Daten bestimmt</w:t>
      </w:r>
    </w:p>
    <w:p w14:paraId="16A50DFC" w14:textId="77777777" w:rsidR="00B926F4" w:rsidRDefault="009C2544" w:rsidP="004255F8">
      <w:pPr>
        <w:widowControl/>
        <w:rPr>
          <w:sz w:val="18"/>
          <w:szCs w:val="18"/>
        </w:rPr>
      </w:pPr>
      <w:r w:rsidRPr="006A64EE">
        <w:rPr>
          <w:sz w:val="18"/>
          <w:szCs w:val="18"/>
          <w:vertAlign w:val="superscript"/>
        </w:rPr>
        <w:t>§</w:t>
      </w:r>
      <w:r w:rsidRPr="006A64EE">
        <w:rPr>
          <w:sz w:val="18"/>
          <w:szCs w:val="18"/>
        </w:rPr>
        <w:t xml:space="preserve"> Es wurden keine statistischen Analysen durchgeführt </w:t>
      </w:r>
    </w:p>
    <w:p w14:paraId="4E294B67" w14:textId="423216E4" w:rsidR="00093A5E" w:rsidRPr="006A64EE" w:rsidRDefault="009C2544" w:rsidP="004255F8">
      <w:pPr>
        <w:widowControl/>
        <w:rPr>
          <w:sz w:val="18"/>
          <w:szCs w:val="18"/>
        </w:rPr>
      </w:pPr>
      <w:r w:rsidRPr="006A64EE">
        <w:rPr>
          <w:sz w:val="18"/>
          <w:szCs w:val="18"/>
        </w:rPr>
        <w:t>HR = Hazard Ratio</w:t>
      </w:r>
    </w:p>
    <w:p w14:paraId="77F83265" w14:textId="77777777" w:rsidR="00093A5E" w:rsidRPr="006A64EE" w:rsidRDefault="009C2544" w:rsidP="004255F8">
      <w:pPr>
        <w:widowControl/>
        <w:rPr>
          <w:sz w:val="18"/>
          <w:szCs w:val="18"/>
        </w:rPr>
      </w:pPr>
      <w:r w:rsidRPr="006A64EE">
        <w:rPr>
          <w:sz w:val="18"/>
          <w:szCs w:val="18"/>
        </w:rPr>
        <w:t>KI = Konfidenzintervall</w:t>
      </w:r>
    </w:p>
    <w:p w14:paraId="07B23F30" w14:textId="77777777" w:rsidR="00093A5E" w:rsidRPr="006A64EE" w:rsidRDefault="00093A5E" w:rsidP="004255F8">
      <w:pPr>
        <w:pStyle w:val="a3"/>
        <w:widowControl/>
      </w:pPr>
    </w:p>
    <w:p w14:paraId="071D4BB0" w14:textId="77777777" w:rsidR="00093A5E" w:rsidRPr="006A64EE" w:rsidRDefault="009C2544" w:rsidP="004255F8">
      <w:pPr>
        <w:keepNext/>
        <w:widowControl/>
        <w:rPr>
          <w:i/>
        </w:rPr>
      </w:pPr>
      <w:r w:rsidRPr="006A64EE">
        <w:rPr>
          <w:i/>
        </w:rPr>
        <w:t>Behandlungsergebnisse bezüglich der Lebensqualität</w:t>
      </w:r>
    </w:p>
    <w:p w14:paraId="09ED4EF8" w14:textId="77777777" w:rsidR="00093A5E" w:rsidRPr="006A64EE" w:rsidRDefault="00093A5E" w:rsidP="004255F8">
      <w:pPr>
        <w:pStyle w:val="a3"/>
        <w:keepNext/>
        <w:widowControl/>
        <w:rPr>
          <w:i/>
        </w:rPr>
      </w:pPr>
    </w:p>
    <w:p w14:paraId="15717D22" w14:textId="5FD49CA7" w:rsidR="00093A5E" w:rsidRPr="006A64EE" w:rsidRDefault="009C2544" w:rsidP="004255F8">
      <w:pPr>
        <w:pStyle w:val="a3"/>
        <w:widowControl/>
      </w:pPr>
      <w:r w:rsidRPr="006A64EE">
        <w:t xml:space="preserve">In Studie WA28119 wurden die Ergebnisse des Fragebogens SF-36 in körperliche und mentale Gesamtwerte (physical/mental component summary scores, PCS bzw. MCS) unterteilt. Die mittlere Veränderung des PCS von Studienbeginn bis Woche 52 war in den Gruppen mit </w:t>
      </w:r>
      <w:r w:rsidR="006E7EAA">
        <w:t>Tocilizumab</w:t>
      </w:r>
      <w:r w:rsidRPr="006A64EE">
        <w:t xml:space="preserve"> wöchentlich und alle 2 Wochen höher (stärkere Verbesserung) [4,10 bzw. 2,76] als in den beiden Placebo-Gruppen [Placebo plus 26 Wochen: -0,28, Placebo plus 52 Wochen: -1,49]. Allerdings zeigte nur der Vergleich zwischen der Gruppe mit </w:t>
      </w:r>
      <w:r w:rsidR="006E7EAA">
        <w:t>Tocilizumab</w:t>
      </w:r>
      <w:r w:rsidRPr="006A64EE">
        <w:t xml:space="preserve"> wöchentlich plus 26 Wochen Prednison-Ausschleichtherapie und der Gruppe mit Placebo plus 52 Wochen Prednison-Ausschleichtherapie</w:t>
      </w:r>
      <w:r w:rsidR="00AE6660" w:rsidRPr="006A64EE">
        <w:t xml:space="preserve"> </w:t>
      </w:r>
      <w:r w:rsidR="007D680A" w:rsidRPr="006A64EE">
        <w:t>(5,59; 99-%-KI: 8,6; 10,32) einen statistisch signifikanten Unterschied (</w:t>
      </w:r>
      <w:r w:rsidR="007D680A" w:rsidRPr="006A64EE">
        <w:rPr>
          <w:i/>
        </w:rPr>
        <w:t xml:space="preserve">p </w:t>
      </w:r>
      <w:r w:rsidR="007D680A" w:rsidRPr="006A64EE">
        <w:t xml:space="preserve">= 0,0024). Die mittlere Veränderung des MCS von Studienbeginn bis Woche 52 war in den Gruppen mit </w:t>
      </w:r>
      <w:r w:rsidR="006E7EAA">
        <w:t>Tocilizumab</w:t>
      </w:r>
      <w:r w:rsidR="007D680A" w:rsidRPr="006A64EE">
        <w:t xml:space="preserve"> wöchentlich und alle 2 Wochen höher [7,28 bzw. 6,12] als in der Gruppe mit Placebo plus 52 Wochen Prednison-Ausschleichtherapie [2,84] (allerdings waren die Unterschiede nicht statistisch signifikant [</w:t>
      </w:r>
      <w:r w:rsidR="007D680A" w:rsidRPr="006A64EE">
        <w:rPr>
          <w:i/>
        </w:rPr>
        <w:t xml:space="preserve">p </w:t>
      </w:r>
      <w:r w:rsidR="007D680A" w:rsidRPr="006A64EE">
        <w:t xml:space="preserve">= 0,0252 für wöchentlich, </w:t>
      </w:r>
      <w:r w:rsidR="007D680A" w:rsidRPr="006A64EE">
        <w:rPr>
          <w:i/>
        </w:rPr>
        <w:t xml:space="preserve">p </w:t>
      </w:r>
      <w:r w:rsidR="007D680A" w:rsidRPr="006A64EE">
        <w:t>= 0,1468 für alle 2 Wochen] und ähnlich hoch wie in der Gruppe mit Placebo plus 26 Wochen Prednison-Ausschleichtherapie [6,67].</w:t>
      </w:r>
    </w:p>
    <w:p w14:paraId="3DDA3E6B" w14:textId="77777777" w:rsidR="00093A5E" w:rsidRPr="006A64EE" w:rsidRDefault="00093A5E" w:rsidP="004255F8">
      <w:pPr>
        <w:pStyle w:val="a3"/>
        <w:widowControl/>
      </w:pPr>
    </w:p>
    <w:p w14:paraId="30897D55" w14:textId="12D3BCB4" w:rsidR="00093A5E" w:rsidRPr="006A64EE" w:rsidRDefault="009C2544" w:rsidP="004255F8">
      <w:pPr>
        <w:pStyle w:val="a3"/>
        <w:widowControl/>
      </w:pPr>
      <w:r w:rsidRPr="006A64EE">
        <w:t xml:space="preserve">Die generelle Beurteilung der Krankheitsaktivität durch die Patienten wurde mit einer visuellen Analogskala (VAS) von 0 bis 100 mm erfasst. Die mittlere Veränderung der generellen Patienten-VAS von Studienbeginn bis Woche 52 war niedriger (stärkere Verbesserung) in den Gruppen mit </w:t>
      </w:r>
      <w:r w:rsidR="006E7EAA">
        <w:t>Tocilizumab</w:t>
      </w:r>
      <w:r w:rsidRPr="006A64EE">
        <w:t xml:space="preserve"> wöchentlich und alle 2 Wochen [-19,0 bzw. -25,3] als in beiden Placebo-Gruppen [Placebo plus 26 Wochen: -3,4, Placebo plus 52 Wochen: -7,2], aber nur die Gruppe mit </w:t>
      </w:r>
      <w:r w:rsidR="006E7EAA">
        <w:t>Tocilizumab</w:t>
      </w:r>
      <w:r w:rsidRPr="006A64EE">
        <w:t xml:space="preserve"> alle 2 Wochen plus 26 Wochen Prednison-Ausschleichtherapie zeigte einen statistisch signifikanten Unterschied im Vergleich zu den Placebo-Gruppen [</w:t>
      </w:r>
      <w:r w:rsidRPr="006A64EE">
        <w:rPr>
          <w:i/>
        </w:rPr>
        <w:t xml:space="preserve">p </w:t>
      </w:r>
      <w:r w:rsidRPr="006A64EE">
        <w:t xml:space="preserve">= 0,0059 für Placebo plus 26 Wochen Prednison-Ausschleichtherapie und </w:t>
      </w:r>
      <w:r w:rsidRPr="006A64EE">
        <w:rPr>
          <w:i/>
        </w:rPr>
        <w:t xml:space="preserve">p </w:t>
      </w:r>
      <w:r w:rsidRPr="006A64EE">
        <w:t>= 0,0081 für Placebo plus 52 Wochen Prednison-Ausschleichtherapie].</w:t>
      </w:r>
    </w:p>
    <w:p w14:paraId="2599FDC6" w14:textId="77777777" w:rsidR="00093A5E" w:rsidRPr="006A64EE" w:rsidRDefault="00093A5E" w:rsidP="004255F8">
      <w:pPr>
        <w:pStyle w:val="a3"/>
        <w:widowControl/>
      </w:pPr>
    </w:p>
    <w:p w14:paraId="7221DD11" w14:textId="38E83CCE" w:rsidR="00093A5E" w:rsidRPr="006A64EE" w:rsidRDefault="009C2544" w:rsidP="004255F8">
      <w:pPr>
        <w:pStyle w:val="a3"/>
        <w:widowControl/>
      </w:pPr>
      <w:r w:rsidRPr="006A64EE">
        <w:t xml:space="preserve">Für alle Gruppen wurden die Änderungen der FACIT-Fatigue-Werte von Studienbeginn bis Woche 52 berechnet. Es ergaben sich folgende mittlere [SD] Änderungen: </w:t>
      </w:r>
      <w:r w:rsidR="006E7EAA">
        <w:t>Tocilizumab</w:t>
      </w:r>
      <w:r w:rsidRPr="006A64EE">
        <w:t xml:space="preserve"> wöchentlich plus</w:t>
      </w:r>
      <w:r w:rsidR="006E7EAA">
        <w:t xml:space="preserve"> </w:t>
      </w:r>
      <w:r w:rsidRPr="006A64EE">
        <w:t>26</w:t>
      </w:r>
      <w:r w:rsidR="00BB0BD8">
        <w:t> </w:t>
      </w:r>
      <w:r w:rsidRPr="006A64EE">
        <w:t xml:space="preserve">Wochen 5,61 [10,115], </w:t>
      </w:r>
      <w:r w:rsidR="006E7EAA">
        <w:t>Tocilizumab</w:t>
      </w:r>
      <w:r w:rsidRPr="006A64EE">
        <w:t xml:space="preserve"> alle 2 Wochen plus 26 Wochen 1,81 [8,836], Placebo plus</w:t>
      </w:r>
      <w:r w:rsidR="006E7EAA">
        <w:t xml:space="preserve"> </w:t>
      </w:r>
      <w:r w:rsidRPr="006A64EE">
        <w:t>26</w:t>
      </w:r>
      <w:r w:rsidR="00846418">
        <w:t> </w:t>
      </w:r>
      <w:r w:rsidRPr="006A64EE">
        <w:t>Wochen 0,26 [10,702] und Placebo plus 52 Wochen -1,63 [6,753].</w:t>
      </w:r>
    </w:p>
    <w:p w14:paraId="182AC964" w14:textId="77777777" w:rsidR="00093A5E" w:rsidRPr="006A64EE" w:rsidRDefault="00093A5E" w:rsidP="004255F8">
      <w:pPr>
        <w:pStyle w:val="a3"/>
        <w:widowControl/>
      </w:pPr>
    </w:p>
    <w:p w14:paraId="1B5E6467" w14:textId="4D0D10D7" w:rsidR="00093A5E" w:rsidRPr="006A64EE" w:rsidRDefault="009C2544" w:rsidP="004255F8">
      <w:pPr>
        <w:pStyle w:val="a3"/>
        <w:widowControl/>
      </w:pPr>
      <w:r w:rsidRPr="006A64EE">
        <w:t xml:space="preserve">Die Änderungen in den Werten des EQ5D von Studienbeginn bis Woche 52 betrugen bei </w:t>
      </w:r>
      <w:r w:rsidR="006E7EAA">
        <w:t>Tocilizumab</w:t>
      </w:r>
      <w:r w:rsidRPr="006A64EE">
        <w:t xml:space="preserve"> wöchentlich plus 26 Wochen 0,10 [0,198], bei </w:t>
      </w:r>
      <w:r w:rsidR="006E7EAA">
        <w:t>Tocilizumab</w:t>
      </w:r>
      <w:r w:rsidRPr="006A64EE">
        <w:t xml:space="preserve"> alle 2 Wochen plus 26 Wochen 0,05</w:t>
      </w:r>
      <w:r w:rsidR="00AE6660" w:rsidRPr="006A64EE">
        <w:t xml:space="preserve"> </w:t>
      </w:r>
      <w:r w:rsidRPr="006A64EE">
        <w:t xml:space="preserve">[0,215], bei Placebo plus 26 Wochen 0,07 [0,293] und bei Placebo plus 52 Wochen -0,02 [0,159]. </w:t>
      </w:r>
    </w:p>
    <w:p w14:paraId="0F3E77F2" w14:textId="77777777" w:rsidR="00093A5E" w:rsidRPr="006A64EE" w:rsidRDefault="00093A5E" w:rsidP="004255F8">
      <w:pPr>
        <w:pStyle w:val="a3"/>
        <w:widowControl/>
      </w:pPr>
    </w:p>
    <w:p w14:paraId="215BC225" w14:textId="77777777" w:rsidR="00093A5E" w:rsidRPr="006A64EE" w:rsidRDefault="009C2544" w:rsidP="004255F8">
      <w:pPr>
        <w:pStyle w:val="a3"/>
        <w:widowControl/>
      </w:pPr>
      <w:r w:rsidRPr="006A64EE">
        <w:t>Sowohl für FACIT-Fatigue als auch für EQ5D stehen höhere Werte für eine Verbesserung.</w:t>
      </w:r>
    </w:p>
    <w:p w14:paraId="5833D8E9" w14:textId="77777777" w:rsidR="00093A5E" w:rsidRPr="006A64EE" w:rsidRDefault="00093A5E" w:rsidP="004255F8">
      <w:pPr>
        <w:pStyle w:val="a3"/>
        <w:widowControl/>
      </w:pPr>
    </w:p>
    <w:p w14:paraId="6C3EA3F6" w14:textId="266AC908" w:rsidR="00093A5E" w:rsidRPr="006A64EE" w:rsidRDefault="009C2544">
      <w:pPr>
        <w:pStyle w:val="a3"/>
        <w:widowControl/>
      </w:pPr>
      <w:r w:rsidRPr="006A64EE">
        <w:rPr>
          <w:u w:val="single"/>
        </w:rPr>
        <w:t>Intravenöse Anwendung</w:t>
      </w:r>
      <w:r w:rsidR="00B926F4">
        <w:rPr>
          <w:u w:val="single"/>
        </w:rPr>
        <w:br/>
      </w:r>
      <w:r w:rsidRPr="006A64EE">
        <w:rPr>
          <w:b/>
          <w:u w:val="single"/>
        </w:rPr>
        <w:t>RA</w:t>
      </w:r>
      <w:r w:rsidR="00B926F4">
        <w:rPr>
          <w:b/>
          <w:u w:val="single"/>
        </w:rPr>
        <w:br/>
      </w:r>
      <w:r w:rsidRPr="006A64EE">
        <w:rPr>
          <w:u w:val="single"/>
        </w:rPr>
        <w:t>Klinische Wirksamkeit</w:t>
      </w:r>
      <w:r w:rsidR="00B926F4">
        <w:rPr>
          <w:u w:val="single"/>
        </w:rPr>
        <w:br/>
      </w:r>
      <w:r w:rsidRPr="006A64EE">
        <w:t xml:space="preserve">Die Wirksamkeit von </w:t>
      </w:r>
      <w:r w:rsidR="006E7EAA">
        <w:t>Tocilizumab</w:t>
      </w:r>
      <w:r w:rsidRPr="006A64EE">
        <w:t xml:space="preserve"> in Hinblick auf eine Linderung von Anzeichen und Symptomen einer RA wurde in fünf randomisierten, doppelblinden, multizentrischen Studien untersucht. In die Studien I – V wurden Patienten im Alter von ≥ 18 Jahren mit aktiver RA eingeschlossen, die auf der Basis der Kriterien des American College of Rheumatology (ACR) diagnostiziert wurden und die zum </w:t>
      </w:r>
      <w:r w:rsidRPr="006A64EE">
        <w:lastRenderedPageBreak/>
        <w:t>Zeitpunkt des Einschlusses mindestens acht druckschmerzempfindliche und sechs geschwollene Gelenke aufwiesen.</w:t>
      </w:r>
    </w:p>
    <w:p w14:paraId="3A25164B" w14:textId="77777777" w:rsidR="00093A5E" w:rsidRPr="006A64EE" w:rsidRDefault="00093A5E" w:rsidP="004255F8">
      <w:pPr>
        <w:pStyle w:val="a3"/>
        <w:widowControl/>
      </w:pPr>
    </w:p>
    <w:p w14:paraId="7868C0BB" w14:textId="6ABC949C" w:rsidR="00093A5E" w:rsidRPr="006A64EE" w:rsidRDefault="009C2544" w:rsidP="004255F8">
      <w:pPr>
        <w:pStyle w:val="a3"/>
        <w:widowControl/>
      </w:pPr>
      <w:r w:rsidRPr="006A64EE">
        <w:t xml:space="preserve">In Studie I wurde </w:t>
      </w:r>
      <w:r w:rsidR="006E7EAA">
        <w:t>Tocilizumab</w:t>
      </w:r>
      <w:r w:rsidRPr="006A64EE">
        <w:t xml:space="preserve"> alle vier Wochen intravenös als Monotherapie verabreicht. In den Studien II, III und V wurde </w:t>
      </w:r>
      <w:r w:rsidR="00E26B13">
        <w:t>Tocilizumab</w:t>
      </w:r>
      <w:r w:rsidRPr="006A64EE">
        <w:t xml:space="preserve"> intravenös alle vier Wochen in Kombination mit MTX </w:t>
      </w:r>
      <w:r w:rsidRPr="006A64EE">
        <w:rPr>
          <w:i/>
        </w:rPr>
        <w:t>vs</w:t>
      </w:r>
      <w:r w:rsidRPr="006A64EE">
        <w:t xml:space="preserve">. Placebo und MTX verabreicht. In Studie IV wurde </w:t>
      </w:r>
      <w:r w:rsidR="006E7EAA">
        <w:t>Tocilizumab</w:t>
      </w:r>
      <w:r w:rsidRPr="006A64EE">
        <w:t xml:space="preserve"> intravenös alle 4</w:t>
      </w:r>
      <w:r w:rsidR="00490D48">
        <w:t> </w:t>
      </w:r>
      <w:r w:rsidRPr="006A64EE">
        <w:t xml:space="preserve">Wochen in Kombination mit anderen DMARDs </w:t>
      </w:r>
      <w:r w:rsidRPr="006A64EE">
        <w:rPr>
          <w:i/>
        </w:rPr>
        <w:t>vs</w:t>
      </w:r>
      <w:r w:rsidRPr="006A64EE">
        <w:t>. Placebo und andere DMARDs verabreicht. Der primäre Endpunkt für jede dieser fünf Studien war der Anteil der Patienten, die in Woche</w:t>
      </w:r>
      <w:r w:rsidR="00490D48">
        <w:t> </w:t>
      </w:r>
      <w:r w:rsidRPr="006A64EE">
        <w:t>24 ein ACR20-Ansprechen erreichten.</w:t>
      </w:r>
    </w:p>
    <w:p w14:paraId="65B6BAE5" w14:textId="77777777" w:rsidR="00093A5E" w:rsidRPr="006A64EE" w:rsidRDefault="00093A5E" w:rsidP="004255F8">
      <w:pPr>
        <w:pStyle w:val="a3"/>
        <w:widowControl/>
      </w:pPr>
    </w:p>
    <w:p w14:paraId="087BC9A1" w14:textId="56047409" w:rsidR="00093A5E" w:rsidRPr="006A64EE" w:rsidRDefault="009C2544" w:rsidP="004255F8">
      <w:pPr>
        <w:pStyle w:val="a3"/>
        <w:widowControl/>
      </w:pPr>
      <w:r w:rsidRPr="006A64EE">
        <w:t xml:space="preserve">In Studie I wurden 673 Patienten untersucht, die während 6 Monaten vor der Randomisierung nicht mit MTX behandelt worden waren und die eine vorangegangene Behandlung mit MTX nicht aufgrund klinisch bedeutender toxischer Wirkungen oder mangelndem Ansprechen abgebrochen hatten. Die Mehrzahl der Patienten (67 %) war MTX-naiv. </w:t>
      </w:r>
      <w:r w:rsidR="006E7EAA">
        <w:t>Tocilizumab</w:t>
      </w:r>
      <w:r w:rsidRPr="006A64EE">
        <w:t xml:space="preserve"> wurde in Dosen von 8 mg/kg alle vier Wochen als Monotherapie verabreicht. Die Vergleichsgruppe erhielt wöchentlich MTX (dosistitriert von 7,5 mg bis zu einem Maximum von 20 mg wöchentlich, über einen Zeitraum von acht Wochen).</w:t>
      </w:r>
    </w:p>
    <w:p w14:paraId="0FF2DDC3" w14:textId="77777777" w:rsidR="00093A5E" w:rsidRPr="006A64EE" w:rsidRDefault="00093A5E" w:rsidP="004255F8">
      <w:pPr>
        <w:pStyle w:val="a3"/>
        <w:widowControl/>
      </w:pPr>
    </w:p>
    <w:p w14:paraId="6A92BACF" w14:textId="142B04E0" w:rsidR="00093A5E" w:rsidRPr="006A64EE" w:rsidRDefault="009C2544" w:rsidP="004255F8">
      <w:pPr>
        <w:pStyle w:val="a3"/>
        <w:widowControl/>
      </w:pPr>
      <w:r w:rsidRPr="006A64EE">
        <w:t>In Studie II, einer 2-Jahresstudie mit geplanten Analysen in Woche</w:t>
      </w:r>
      <w:r w:rsidR="00DF3F57">
        <w:t> </w:t>
      </w:r>
      <w:r w:rsidRPr="006A64EE">
        <w:t>24, Woche</w:t>
      </w:r>
      <w:r w:rsidR="00DF3F57">
        <w:t> </w:t>
      </w:r>
      <w:r w:rsidRPr="006A64EE">
        <w:t>52 und Woche</w:t>
      </w:r>
      <w:r w:rsidR="00DF3F57">
        <w:t> </w:t>
      </w:r>
      <w:r w:rsidRPr="006A64EE">
        <w:t>104, wurden 1</w:t>
      </w:r>
      <w:r w:rsidR="00DF3F57">
        <w:t> </w:t>
      </w:r>
      <w:r w:rsidRPr="006A64EE">
        <w:t>196</w:t>
      </w:r>
      <w:r w:rsidR="00DF3F57">
        <w:t> </w:t>
      </w:r>
      <w:r w:rsidRPr="006A64EE">
        <w:t xml:space="preserve">Patienten, die ein unzureichendes Ansprechen auf MTX hatten, untersucht. </w:t>
      </w:r>
      <w:r w:rsidR="006E7EAA">
        <w:t>Tocilizumab</w:t>
      </w:r>
      <w:r w:rsidRPr="006A64EE">
        <w:t xml:space="preserve"> in Dosen von 4</w:t>
      </w:r>
      <w:r w:rsidR="00DF3F57">
        <w:t> </w:t>
      </w:r>
      <w:r w:rsidRPr="006A64EE">
        <w:t>mg/kg oder 8</w:t>
      </w:r>
      <w:r w:rsidR="00DF3F57">
        <w:t> </w:t>
      </w:r>
      <w:r w:rsidRPr="006A64EE">
        <w:t>mg/kg oder Placebo wurden während 52</w:t>
      </w:r>
      <w:r w:rsidR="00DF3F57">
        <w:t> </w:t>
      </w:r>
      <w:r w:rsidRPr="006A64EE">
        <w:t>Wochen alle vier Wochen als verblindete Therapie in Kombination mit einer stabilen MTX-Dosis (10</w:t>
      </w:r>
      <w:r w:rsidR="00DF3F57">
        <w:t> </w:t>
      </w:r>
      <w:r w:rsidRPr="006A64EE">
        <w:t>mg – 25</w:t>
      </w:r>
      <w:r w:rsidR="00DF3F57">
        <w:t> </w:t>
      </w:r>
      <w:r w:rsidRPr="006A64EE">
        <w:t>mg wöchentlich) verabreicht. Nach Woche</w:t>
      </w:r>
      <w:r w:rsidR="00DF3F57">
        <w:t> </w:t>
      </w:r>
      <w:r w:rsidRPr="006A64EE">
        <w:t>52 konnten alle Patienten eine unverblindete Behandlung mit 8</w:t>
      </w:r>
      <w:r w:rsidR="00DF3F57">
        <w:t> </w:t>
      </w:r>
      <w:r w:rsidRPr="006A64EE">
        <w:t>mg/kg</w:t>
      </w:r>
      <w:r w:rsidR="00AE6660" w:rsidRPr="006A64EE">
        <w:t xml:space="preserve"> </w:t>
      </w:r>
      <w:r w:rsidR="006E7EAA">
        <w:t>Tocilizumab</w:t>
      </w:r>
      <w:r w:rsidR="007D680A" w:rsidRPr="006A64EE">
        <w:t xml:space="preserve"> erhalten. Von jenen Patienten, die die Studie beendeten und die ursprünglich in die Placebo + MTX-Gruppe randomisiert worden waren, erhielten 86</w:t>
      </w:r>
      <w:r w:rsidR="00DF3F57">
        <w:t> </w:t>
      </w:r>
      <w:r w:rsidR="007D680A" w:rsidRPr="006A64EE">
        <w:t>% im Jahr</w:t>
      </w:r>
      <w:r w:rsidR="00DF3F57">
        <w:t> </w:t>
      </w:r>
      <w:r w:rsidR="007D680A" w:rsidRPr="006A64EE">
        <w:t>2 unverblindet 8</w:t>
      </w:r>
      <w:r w:rsidR="00DF3F57">
        <w:t> </w:t>
      </w:r>
      <w:r w:rsidR="007D680A" w:rsidRPr="006A64EE">
        <w:t xml:space="preserve">mg/kg </w:t>
      </w:r>
      <w:r w:rsidR="006E7EAA">
        <w:t>Tocilizumab</w:t>
      </w:r>
      <w:r w:rsidR="007D680A" w:rsidRPr="006A64EE">
        <w:t>. Der primäre Endpunkt in Woche</w:t>
      </w:r>
      <w:r w:rsidR="00DF3F57">
        <w:t> </w:t>
      </w:r>
      <w:r w:rsidR="007D680A" w:rsidRPr="006A64EE">
        <w:t>24 war der Anteil von Patienten, die die Kriterien eines ACR20-Ansprechens erfüllten. Zusätzliche primäre Endpunkte waren die Prävention von Gelenkschädigungen und die Verbesserung der körperlichen Funktionsfähigkeit in Woche</w:t>
      </w:r>
      <w:r w:rsidR="00DF3F57">
        <w:t> </w:t>
      </w:r>
      <w:r w:rsidR="007D680A" w:rsidRPr="006A64EE">
        <w:t>52 und Woche</w:t>
      </w:r>
      <w:r w:rsidR="00DF3F57">
        <w:t> </w:t>
      </w:r>
      <w:r w:rsidR="007D680A" w:rsidRPr="006A64EE">
        <w:t>104.</w:t>
      </w:r>
    </w:p>
    <w:p w14:paraId="1A157D7B" w14:textId="77777777" w:rsidR="00093A5E" w:rsidRPr="006A64EE" w:rsidRDefault="00093A5E" w:rsidP="004255F8">
      <w:pPr>
        <w:pStyle w:val="a3"/>
        <w:widowControl/>
      </w:pPr>
    </w:p>
    <w:p w14:paraId="2F3D5994" w14:textId="7A17277F" w:rsidR="00093A5E" w:rsidRPr="006A64EE" w:rsidRDefault="009C2544" w:rsidP="004255F8">
      <w:pPr>
        <w:pStyle w:val="a3"/>
        <w:widowControl/>
      </w:pPr>
      <w:r w:rsidRPr="006A64EE">
        <w:t xml:space="preserve">In Studie III wurden 623 Patienten untersucht, die ein unzureichendes klinisches Ansprechen auf MTX hatten. Dosen von 4 mg/kg oder 8 mg/kg </w:t>
      </w:r>
      <w:r w:rsidR="006E7EAA">
        <w:t>Tocilizumab</w:t>
      </w:r>
      <w:r w:rsidRPr="006A64EE">
        <w:t xml:space="preserve"> oder Placebo wurden alle 4 Wochen in Kombination mit einer stabilen MTX-Dosis (10 mg bis 25 mg wöchentlich) verabreicht.</w:t>
      </w:r>
    </w:p>
    <w:p w14:paraId="5FA24274" w14:textId="77777777" w:rsidR="00093A5E" w:rsidRPr="006A64EE" w:rsidRDefault="00093A5E" w:rsidP="004255F8">
      <w:pPr>
        <w:pStyle w:val="a3"/>
        <w:widowControl/>
      </w:pPr>
    </w:p>
    <w:p w14:paraId="135455BC" w14:textId="7DBA4AC5" w:rsidR="00093A5E" w:rsidRPr="006A64EE" w:rsidRDefault="009C2544" w:rsidP="004255F8">
      <w:pPr>
        <w:pStyle w:val="a3"/>
        <w:widowControl/>
      </w:pPr>
      <w:r w:rsidRPr="006A64EE">
        <w:t>In Studie IV wurden 1</w:t>
      </w:r>
      <w:r w:rsidR="00DF3F57">
        <w:t> </w:t>
      </w:r>
      <w:r w:rsidRPr="006A64EE">
        <w:t>220</w:t>
      </w:r>
      <w:r w:rsidR="00DF3F57">
        <w:t> </w:t>
      </w:r>
      <w:r w:rsidRPr="006A64EE">
        <w:t>Patienten untersucht, die ein unzureichendes Ansprechen auf ihre bestehende Rheumatherapie mit einem oder mehreren DMARDs hatten. Dosen von 8</w:t>
      </w:r>
      <w:r w:rsidR="00DF3F57">
        <w:t> </w:t>
      </w:r>
      <w:r w:rsidRPr="006A64EE">
        <w:t xml:space="preserve">mg/kg </w:t>
      </w:r>
      <w:r w:rsidR="006E7EAA">
        <w:t>Tocilizumab</w:t>
      </w:r>
      <w:r w:rsidRPr="006A64EE">
        <w:t xml:space="preserve"> oder Placebo wurden alle vier Wochen in Kombination mit einer stabilen Therapie mit DMARDs verabreicht.</w:t>
      </w:r>
    </w:p>
    <w:p w14:paraId="2569CBDD" w14:textId="77777777" w:rsidR="00093A5E" w:rsidRPr="006A64EE" w:rsidRDefault="00093A5E" w:rsidP="004255F8">
      <w:pPr>
        <w:pStyle w:val="a3"/>
        <w:widowControl/>
      </w:pPr>
    </w:p>
    <w:p w14:paraId="3B9E4E27" w14:textId="1E41AC27" w:rsidR="00093A5E" w:rsidRPr="006A64EE" w:rsidRDefault="009C2544" w:rsidP="004255F8">
      <w:pPr>
        <w:pStyle w:val="a3"/>
        <w:widowControl/>
      </w:pPr>
      <w:r w:rsidRPr="006A64EE">
        <w:t>In Studie V wurden 499</w:t>
      </w:r>
      <w:r w:rsidR="00925AB0">
        <w:t> </w:t>
      </w:r>
      <w:r w:rsidRPr="006A64EE">
        <w:t>Patienten untersucht, die ein unzureichendes klinisches Ansprechen auf eine oder mehrere Behandlungen mit TNF-Inhibitoren hatten oder diese nicht vertragen haben. Die Therapie mit dem TNF-Inhibitor wurde vor der Randomisierung abgesetzt. Dosen von 4</w:t>
      </w:r>
      <w:r w:rsidR="00925AB0">
        <w:t> </w:t>
      </w:r>
      <w:r w:rsidRPr="006A64EE">
        <w:t>mg/kg oder 8</w:t>
      </w:r>
      <w:r w:rsidR="00925AB0">
        <w:t> </w:t>
      </w:r>
      <w:r w:rsidRPr="006A64EE">
        <w:t xml:space="preserve">mg/kg </w:t>
      </w:r>
      <w:r w:rsidR="006E7EAA">
        <w:t>Tocilizumab</w:t>
      </w:r>
      <w:r w:rsidRPr="006A64EE">
        <w:t xml:space="preserve"> oder Placebo wurden alle vier Wochen in Kombination mit einer stabilen MTX-Dosis (10</w:t>
      </w:r>
      <w:r w:rsidR="00925AB0">
        <w:t> </w:t>
      </w:r>
      <w:r w:rsidRPr="006A64EE">
        <w:t>mg bis 25</w:t>
      </w:r>
      <w:r w:rsidR="00925AB0">
        <w:t> </w:t>
      </w:r>
      <w:r w:rsidRPr="006A64EE">
        <w:t>mg wöchentlich) verabreicht.</w:t>
      </w:r>
    </w:p>
    <w:p w14:paraId="43290D7A" w14:textId="77777777" w:rsidR="00093A5E" w:rsidRPr="006A64EE" w:rsidRDefault="00093A5E" w:rsidP="004255F8">
      <w:pPr>
        <w:pStyle w:val="a3"/>
        <w:widowControl/>
      </w:pPr>
    </w:p>
    <w:p w14:paraId="51878276" w14:textId="77777777" w:rsidR="00093A5E" w:rsidRPr="006A64EE" w:rsidRDefault="009C2544" w:rsidP="004255F8">
      <w:pPr>
        <w:pStyle w:val="a3"/>
        <w:widowControl/>
      </w:pPr>
      <w:r w:rsidRPr="006A64EE">
        <w:rPr>
          <w:u w:val="single"/>
        </w:rPr>
        <w:t>Klinisches Ansprechen</w:t>
      </w:r>
    </w:p>
    <w:p w14:paraId="0C2A1045" w14:textId="6249362E" w:rsidR="00093A5E" w:rsidRPr="006A64EE" w:rsidRDefault="009C2544" w:rsidP="004255F8">
      <w:pPr>
        <w:pStyle w:val="a3"/>
        <w:widowControl/>
      </w:pPr>
      <w:r w:rsidRPr="006A64EE">
        <w:t xml:space="preserve">In allen Studien hatten Patienten, die mit 8 mg/kg </w:t>
      </w:r>
      <w:r w:rsidR="006E7EAA">
        <w:t>Tocilizumab</w:t>
      </w:r>
      <w:r w:rsidRPr="006A64EE">
        <w:t xml:space="preserve"> behandelt wurden, nach 6 Monaten ein statistisch signifikant höheres ACR20, 50, 70 Ansprechen im Vergleich zu denen in den Kontrollgruppen (Tabelle 5). In Studie I wurde die Überlegenheit von 8 mg/kg </w:t>
      </w:r>
      <w:r w:rsidR="006E7EAA">
        <w:t>Tocilizumab</w:t>
      </w:r>
      <w:r w:rsidRPr="006A64EE">
        <w:t xml:space="preserve"> gegenüber der aktiven Vergleichssubstanz MTX bestätigt.</w:t>
      </w:r>
    </w:p>
    <w:p w14:paraId="44BEEB07" w14:textId="77777777" w:rsidR="00093A5E" w:rsidRPr="006A64EE" w:rsidRDefault="00093A5E" w:rsidP="004255F8">
      <w:pPr>
        <w:pStyle w:val="a3"/>
        <w:widowControl/>
      </w:pPr>
    </w:p>
    <w:p w14:paraId="403EC2F5" w14:textId="77777777" w:rsidR="00093A5E" w:rsidRPr="006A64EE" w:rsidRDefault="009C2544" w:rsidP="004255F8">
      <w:pPr>
        <w:pStyle w:val="a3"/>
        <w:widowControl/>
      </w:pPr>
      <w:r w:rsidRPr="006A64EE">
        <w:t>Unabhängig vom Status des Rheumafaktors, dem Alter, dem Geschlecht, der Rasse, der Anzahl der vorangegangenen Behandlungen oder dem Status der Erkrankung war der Behandlungserfolg bei den Patienten vergleichbar. Die Zeit bis zum Eintreten einer Wirkung war kurz (nur 2 Wochen) und das Ausmaß des Ansprechens nahm während der Dauer der Behandlung weiter zu. Fortgesetztes, dauerhaftes Ansprechen wurde während mehr als 3 Jahren in den offenen Verlängerungsstudien I - V gesehen.</w:t>
      </w:r>
    </w:p>
    <w:p w14:paraId="42CA0500" w14:textId="77777777" w:rsidR="00093A5E" w:rsidRPr="006A64EE" w:rsidRDefault="00093A5E" w:rsidP="004255F8">
      <w:pPr>
        <w:pStyle w:val="a3"/>
        <w:widowControl/>
      </w:pPr>
    </w:p>
    <w:p w14:paraId="262C44FF" w14:textId="2DB06F35" w:rsidR="00093A5E" w:rsidRPr="006A64EE" w:rsidRDefault="009C2544" w:rsidP="004255F8">
      <w:pPr>
        <w:pStyle w:val="a3"/>
        <w:widowControl/>
      </w:pPr>
      <w:r w:rsidRPr="006A64EE">
        <w:t xml:space="preserve">Bei Patienten, die mit 8 mg/kg </w:t>
      </w:r>
      <w:r w:rsidR="006E7EAA">
        <w:t>Tocilizumab</w:t>
      </w:r>
      <w:r w:rsidRPr="006A64EE">
        <w:t xml:space="preserve"> behandelt wurden, wurden im Vergleich zu Patienten, die Placebo plus MTX oder andere DMARDs erhielten, in allen Studien signifikante Verbesserungen aller einzelner Komponenten des ACR-Ansprechens gesehen: der Anzahl der druckschmerzempfindlichen und geschwollenen Gelenke, der allgemeinen Beurteilung durch den Patienten und den Arzt, dem Ausmaß körperlicher Funktionseinschränkungen anhand des Index-Scores, der Schmerzbeurteilung und dem CRP.</w:t>
      </w:r>
    </w:p>
    <w:p w14:paraId="0B5FC202" w14:textId="77777777" w:rsidR="00093A5E" w:rsidRPr="006A64EE" w:rsidRDefault="00093A5E" w:rsidP="004255F8">
      <w:pPr>
        <w:pStyle w:val="a3"/>
        <w:widowControl/>
      </w:pPr>
    </w:p>
    <w:p w14:paraId="3A063C46" w14:textId="7A514F5A" w:rsidR="00093A5E" w:rsidRPr="006A64EE" w:rsidRDefault="009C2544" w:rsidP="004255F8">
      <w:pPr>
        <w:pStyle w:val="a3"/>
        <w:widowControl/>
      </w:pPr>
      <w:r w:rsidRPr="006A64EE">
        <w:t xml:space="preserve">Die Patienten in den Studien I – V hatten zu Beginn der Behandlung einen mittleren Disease Activity Score (DAS28) von 6,5 – 6,8. Bei den Patienten, die mit </w:t>
      </w:r>
      <w:r w:rsidR="006E7EAA">
        <w:t>Tocilizumab</w:t>
      </w:r>
      <w:r w:rsidRPr="006A64EE">
        <w:t xml:space="preserve"> behandelt wurden, wurden signifikante Reduktionen um 3,1 – 3,4 des zu Beginn der Behandlung bestimmten DAS28 (durchschnittliche Verbesserung) beobachtet, verglichen mit denen bei den Patienten in der Kontrollgruppe (1,3 - 2,1). Der Anteil der Patienten, die in Woche 24 eine DAS28-Remission (DAS28 &lt; 2,6) erreichten, war bei den Patienten, die </w:t>
      </w:r>
      <w:r w:rsidR="006E7EAA">
        <w:t>Tocilizumab</w:t>
      </w:r>
      <w:r w:rsidRPr="006A64EE">
        <w:t xml:space="preserve"> erhielten, signifikant höher</w:t>
      </w:r>
      <w:r w:rsidR="002D69B8" w:rsidRPr="006A64EE">
        <w:t xml:space="preserve"> </w:t>
      </w:r>
      <w:r w:rsidRPr="006A64EE">
        <w:t>(28 % - 34 %), verglichen mit 1 % – 12 % der Patienten in der Kontrollgruppe. In Studie II erreichten 65 % der Patienten in Woche 104 einen DAS28 von &lt; 2,6 verglichen mit 48 % der Patienten in Woche 52 und 33 % der Patienten in Woche 24.</w:t>
      </w:r>
    </w:p>
    <w:p w14:paraId="1C430B4B" w14:textId="77777777" w:rsidR="00093A5E" w:rsidRPr="006A64EE" w:rsidRDefault="00093A5E" w:rsidP="004255F8">
      <w:pPr>
        <w:pStyle w:val="a3"/>
        <w:widowControl/>
      </w:pPr>
    </w:p>
    <w:p w14:paraId="690BD209" w14:textId="58762983" w:rsidR="00093A5E" w:rsidRPr="006A64EE" w:rsidRDefault="009C2544" w:rsidP="004255F8">
      <w:pPr>
        <w:pStyle w:val="a3"/>
        <w:widowControl/>
      </w:pPr>
      <w:r w:rsidRPr="006A64EE">
        <w:t xml:space="preserve">In den zusammengefassten Daten aus den Studien II, III und IV lag der Anteil der Patienten, die ein ACR20, 50 und 70 Ansprechen erreichten, in der Gruppe, die mit 8 mg/kg </w:t>
      </w:r>
      <w:r w:rsidR="006E7EAA">
        <w:t>Tocilizumab</w:t>
      </w:r>
      <w:r w:rsidRPr="006A64EE">
        <w:t xml:space="preserve"> plus DMARD behandelt wurde, signifikant höher (59 % </w:t>
      </w:r>
      <w:r w:rsidRPr="006A64EE">
        <w:rPr>
          <w:i/>
        </w:rPr>
        <w:t>vs</w:t>
      </w:r>
      <w:r w:rsidRPr="006A64EE">
        <w:t xml:space="preserve">. 50 %, 37 % </w:t>
      </w:r>
      <w:r w:rsidRPr="006A64EE">
        <w:rPr>
          <w:i/>
        </w:rPr>
        <w:t>vs</w:t>
      </w:r>
      <w:r w:rsidRPr="006A64EE">
        <w:t xml:space="preserve">. 27 %, 18 % </w:t>
      </w:r>
      <w:r w:rsidRPr="006A64EE">
        <w:rPr>
          <w:i/>
        </w:rPr>
        <w:t>vs</w:t>
      </w:r>
      <w:r w:rsidRPr="006A64EE">
        <w:t xml:space="preserve">. 11 %) als bei der, die mit 4 mg/kg </w:t>
      </w:r>
      <w:r w:rsidR="006E7EAA">
        <w:t>Tocilizumab</w:t>
      </w:r>
      <w:r w:rsidRPr="006A64EE">
        <w:t xml:space="preserve"> plus DMARD behandelt wurde (p &lt; 0,03). Der Anteil der Patienten, die eine DAS28-Remission (DAS28 &lt; 2,6) erreichten, lag bei Patienten, die </w:t>
      </w:r>
      <w:r w:rsidR="006E7EAA">
        <w:t>Tocilizumab</w:t>
      </w:r>
      <w:r w:rsidRPr="006A64EE">
        <w:t xml:space="preserve"> 8 mg/kg plus DMARD</w:t>
      </w:r>
      <w:r w:rsidR="002D69B8" w:rsidRPr="006A64EE">
        <w:t xml:space="preserve"> </w:t>
      </w:r>
      <w:r w:rsidR="007D680A" w:rsidRPr="006A64EE">
        <w:t xml:space="preserve">erhielten, ebenso signifikant höher (31 % </w:t>
      </w:r>
      <w:r w:rsidR="007D680A" w:rsidRPr="006A64EE">
        <w:rPr>
          <w:i/>
        </w:rPr>
        <w:t>vs</w:t>
      </w:r>
      <w:r w:rsidR="007D680A" w:rsidRPr="006A64EE">
        <w:t xml:space="preserve">. 16 %) als bei Patienten, die </w:t>
      </w:r>
      <w:r w:rsidR="006E7EAA">
        <w:t>Tocilizumab</w:t>
      </w:r>
      <w:r w:rsidR="007D680A" w:rsidRPr="006A64EE">
        <w:t xml:space="preserve"> 4</w:t>
      </w:r>
      <w:r w:rsidR="00846418">
        <w:t> </w:t>
      </w:r>
      <w:r w:rsidR="007D680A" w:rsidRPr="006A64EE">
        <w:t>mg/kg plus DMARD erhielten (p &lt; 0,0001).</w:t>
      </w:r>
    </w:p>
    <w:p w14:paraId="05859311" w14:textId="77777777" w:rsidR="00093A5E" w:rsidRPr="006A64EE" w:rsidRDefault="00093A5E" w:rsidP="004255F8">
      <w:pPr>
        <w:pStyle w:val="a3"/>
        <w:widowControl/>
      </w:pPr>
    </w:p>
    <w:p w14:paraId="537CA5D2" w14:textId="77777777" w:rsidR="00093A5E" w:rsidRPr="006A64EE" w:rsidRDefault="009C2544" w:rsidP="004255F8">
      <w:pPr>
        <w:pStyle w:val="Tabletittle"/>
      </w:pPr>
      <w:r w:rsidRPr="006A64EE">
        <w:t>Tabelle 5:</w:t>
      </w:r>
      <w:r w:rsidR="00287F9A" w:rsidRPr="006A64EE">
        <w:tab/>
      </w:r>
      <w:r w:rsidRPr="006A64EE">
        <w:t>ACR-Ansprechen in kontrollierten Studien mit Placebo/MTX/DMARD (% Patienten)</w:t>
      </w:r>
    </w:p>
    <w:p w14:paraId="075758EA" w14:textId="7067A6F3" w:rsidR="002D5756" w:rsidRPr="006A64EE" w:rsidRDefault="002D5756" w:rsidP="004255F8">
      <w:pPr>
        <w:pStyle w:val="a3"/>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640"/>
        <w:gridCol w:w="842"/>
        <w:gridCol w:w="701"/>
        <w:gridCol w:w="839"/>
        <w:gridCol w:w="839"/>
        <w:gridCol w:w="839"/>
        <w:gridCol w:w="839"/>
        <w:gridCol w:w="923"/>
        <w:gridCol w:w="919"/>
        <w:gridCol w:w="841"/>
        <w:gridCol w:w="839"/>
      </w:tblGrid>
      <w:tr w:rsidR="00593482" w:rsidRPr="006A64EE" w14:paraId="716471BA" w14:textId="77777777" w:rsidTr="009A058C">
        <w:trPr>
          <w:tblHeader/>
        </w:trPr>
        <w:tc>
          <w:tcPr>
            <w:tcW w:w="686" w:type="dxa"/>
          </w:tcPr>
          <w:p w14:paraId="3CFAB54A" w14:textId="77777777" w:rsidR="002D5756" w:rsidRPr="006A64EE" w:rsidRDefault="002D5756" w:rsidP="004255F8">
            <w:pPr>
              <w:pStyle w:val="TableParagraph"/>
              <w:widowControl/>
              <w:suppressAutoHyphens/>
              <w:jc w:val="center"/>
              <w:rPr>
                <w:sz w:val="20"/>
                <w:szCs w:val="20"/>
              </w:rPr>
            </w:pPr>
          </w:p>
        </w:tc>
        <w:tc>
          <w:tcPr>
            <w:tcW w:w="1652" w:type="dxa"/>
            <w:gridSpan w:val="2"/>
          </w:tcPr>
          <w:p w14:paraId="3F41F56A" w14:textId="77777777" w:rsidR="00093A5E" w:rsidRPr="006A64EE" w:rsidRDefault="009C2544" w:rsidP="004255F8">
            <w:pPr>
              <w:pStyle w:val="TableParagraph"/>
              <w:widowControl/>
              <w:suppressAutoHyphens/>
              <w:jc w:val="center"/>
              <w:rPr>
                <w:b/>
                <w:sz w:val="20"/>
                <w:szCs w:val="20"/>
              </w:rPr>
            </w:pPr>
            <w:r w:rsidRPr="006A64EE">
              <w:rPr>
                <w:b/>
                <w:sz w:val="20"/>
                <w:szCs w:val="20"/>
              </w:rPr>
              <w:t>Studie I</w:t>
            </w:r>
          </w:p>
          <w:p w14:paraId="7909BF21" w14:textId="6FF258B4" w:rsidR="002D5756" w:rsidRPr="006A64EE" w:rsidRDefault="009C2544" w:rsidP="004255F8">
            <w:pPr>
              <w:pStyle w:val="TableParagraph"/>
              <w:widowControl/>
              <w:suppressAutoHyphens/>
              <w:jc w:val="center"/>
              <w:rPr>
                <w:b/>
                <w:sz w:val="20"/>
                <w:szCs w:val="20"/>
              </w:rPr>
            </w:pPr>
            <w:r w:rsidRPr="006A64EE">
              <w:rPr>
                <w:b/>
                <w:sz w:val="20"/>
                <w:szCs w:val="20"/>
              </w:rPr>
              <w:t>AMBITION</w:t>
            </w:r>
          </w:p>
        </w:tc>
        <w:tc>
          <w:tcPr>
            <w:tcW w:w="1798" w:type="dxa"/>
            <w:gridSpan w:val="2"/>
          </w:tcPr>
          <w:p w14:paraId="606D4D62" w14:textId="77777777" w:rsidR="00093A5E" w:rsidRPr="006A64EE" w:rsidRDefault="009C2544" w:rsidP="004255F8">
            <w:pPr>
              <w:pStyle w:val="TableParagraph"/>
              <w:widowControl/>
              <w:suppressAutoHyphens/>
              <w:jc w:val="center"/>
              <w:rPr>
                <w:b/>
                <w:sz w:val="20"/>
                <w:szCs w:val="20"/>
              </w:rPr>
            </w:pPr>
            <w:r w:rsidRPr="006A64EE">
              <w:rPr>
                <w:b/>
                <w:sz w:val="20"/>
                <w:szCs w:val="20"/>
              </w:rPr>
              <w:t>Studie II</w:t>
            </w:r>
          </w:p>
          <w:p w14:paraId="05F660BC" w14:textId="6070BF71" w:rsidR="002D5756" w:rsidRPr="006A64EE" w:rsidRDefault="009C2544" w:rsidP="004255F8">
            <w:pPr>
              <w:pStyle w:val="TableParagraph"/>
              <w:widowControl/>
              <w:suppressAutoHyphens/>
              <w:jc w:val="center"/>
              <w:rPr>
                <w:b/>
                <w:sz w:val="20"/>
                <w:szCs w:val="20"/>
              </w:rPr>
            </w:pPr>
            <w:r w:rsidRPr="006A64EE">
              <w:rPr>
                <w:b/>
                <w:sz w:val="20"/>
                <w:szCs w:val="20"/>
              </w:rPr>
              <w:t>LITHE</w:t>
            </w:r>
          </w:p>
        </w:tc>
        <w:tc>
          <w:tcPr>
            <w:tcW w:w="1798" w:type="dxa"/>
            <w:gridSpan w:val="2"/>
          </w:tcPr>
          <w:p w14:paraId="65023C04" w14:textId="77777777" w:rsidR="00093A5E" w:rsidRPr="006A64EE" w:rsidRDefault="009C2544" w:rsidP="004255F8">
            <w:pPr>
              <w:pStyle w:val="TableParagraph"/>
              <w:widowControl/>
              <w:suppressAutoHyphens/>
              <w:jc w:val="center"/>
              <w:rPr>
                <w:b/>
                <w:sz w:val="20"/>
                <w:szCs w:val="20"/>
              </w:rPr>
            </w:pPr>
            <w:r w:rsidRPr="006A64EE">
              <w:rPr>
                <w:b/>
                <w:sz w:val="20"/>
                <w:szCs w:val="20"/>
              </w:rPr>
              <w:t>Studie III</w:t>
            </w:r>
          </w:p>
          <w:p w14:paraId="57E9B6A1" w14:textId="5C3E81B1" w:rsidR="002D5756" w:rsidRPr="006A64EE" w:rsidRDefault="009C2544" w:rsidP="004255F8">
            <w:pPr>
              <w:pStyle w:val="TableParagraph"/>
              <w:widowControl/>
              <w:suppressAutoHyphens/>
              <w:jc w:val="center"/>
              <w:rPr>
                <w:b/>
                <w:sz w:val="20"/>
                <w:szCs w:val="20"/>
              </w:rPr>
            </w:pPr>
            <w:r w:rsidRPr="006A64EE">
              <w:rPr>
                <w:b/>
                <w:sz w:val="20"/>
                <w:szCs w:val="20"/>
              </w:rPr>
              <w:t>OPTION</w:t>
            </w:r>
          </w:p>
        </w:tc>
        <w:tc>
          <w:tcPr>
            <w:tcW w:w="1975" w:type="dxa"/>
            <w:gridSpan w:val="2"/>
          </w:tcPr>
          <w:p w14:paraId="2775EDC8" w14:textId="77777777" w:rsidR="00093A5E" w:rsidRPr="006A64EE" w:rsidRDefault="009C2544" w:rsidP="004255F8">
            <w:pPr>
              <w:pStyle w:val="TableParagraph"/>
              <w:widowControl/>
              <w:suppressAutoHyphens/>
              <w:jc w:val="center"/>
              <w:rPr>
                <w:b/>
                <w:sz w:val="20"/>
                <w:szCs w:val="20"/>
              </w:rPr>
            </w:pPr>
            <w:r w:rsidRPr="006A64EE">
              <w:rPr>
                <w:b/>
                <w:sz w:val="20"/>
                <w:szCs w:val="20"/>
              </w:rPr>
              <w:t>Studie IV</w:t>
            </w:r>
          </w:p>
          <w:p w14:paraId="3C103061" w14:textId="21C541B1" w:rsidR="002D5756" w:rsidRPr="006A64EE" w:rsidRDefault="009C2544" w:rsidP="004255F8">
            <w:pPr>
              <w:pStyle w:val="TableParagraph"/>
              <w:widowControl/>
              <w:suppressAutoHyphens/>
              <w:jc w:val="center"/>
              <w:rPr>
                <w:b/>
                <w:sz w:val="20"/>
                <w:szCs w:val="20"/>
              </w:rPr>
            </w:pPr>
            <w:r w:rsidRPr="006A64EE">
              <w:rPr>
                <w:b/>
                <w:sz w:val="20"/>
                <w:szCs w:val="20"/>
              </w:rPr>
              <w:t>TOWARD</w:t>
            </w:r>
          </w:p>
        </w:tc>
        <w:tc>
          <w:tcPr>
            <w:tcW w:w="1800" w:type="dxa"/>
            <w:gridSpan w:val="2"/>
          </w:tcPr>
          <w:p w14:paraId="30D5168E" w14:textId="77777777" w:rsidR="00093A5E" w:rsidRPr="006A64EE" w:rsidRDefault="009C2544" w:rsidP="004255F8">
            <w:pPr>
              <w:pStyle w:val="TableParagraph"/>
              <w:widowControl/>
              <w:suppressAutoHyphens/>
              <w:jc w:val="center"/>
              <w:rPr>
                <w:b/>
                <w:sz w:val="20"/>
                <w:szCs w:val="20"/>
              </w:rPr>
            </w:pPr>
            <w:r w:rsidRPr="006A64EE">
              <w:rPr>
                <w:b/>
                <w:sz w:val="20"/>
                <w:szCs w:val="20"/>
              </w:rPr>
              <w:t>Studie V</w:t>
            </w:r>
          </w:p>
          <w:p w14:paraId="541CD6AC" w14:textId="722FDA42" w:rsidR="002D5756" w:rsidRPr="006A64EE" w:rsidRDefault="009C2544" w:rsidP="004255F8">
            <w:pPr>
              <w:pStyle w:val="TableParagraph"/>
              <w:widowControl/>
              <w:suppressAutoHyphens/>
              <w:jc w:val="center"/>
              <w:rPr>
                <w:b/>
                <w:sz w:val="20"/>
                <w:szCs w:val="20"/>
              </w:rPr>
            </w:pPr>
            <w:r w:rsidRPr="006A64EE">
              <w:rPr>
                <w:b/>
                <w:sz w:val="20"/>
                <w:szCs w:val="20"/>
              </w:rPr>
              <w:t>RADIATE</w:t>
            </w:r>
          </w:p>
        </w:tc>
      </w:tr>
      <w:tr w:rsidR="00593482" w:rsidRPr="006A64EE" w14:paraId="75B20501" w14:textId="77777777" w:rsidTr="009A058C">
        <w:trPr>
          <w:tblHeader/>
        </w:trPr>
        <w:tc>
          <w:tcPr>
            <w:tcW w:w="686" w:type="dxa"/>
          </w:tcPr>
          <w:p w14:paraId="356BE654" w14:textId="48FD3146" w:rsidR="002D5756" w:rsidRPr="006A64EE" w:rsidRDefault="009C2544" w:rsidP="004255F8">
            <w:pPr>
              <w:pStyle w:val="TableParagraph"/>
              <w:widowControl/>
              <w:suppressAutoHyphens/>
              <w:jc w:val="center"/>
              <w:rPr>
                <w:sz w:val="20"/>
                <w:szCs w:val="20"/>
              </w:rPr>
            </w:pPr>
            <w:r w:rsidRPr="006A64EE">
              <w:rPr>
                <w:sz w:val="20"/>
                <w:szCs w:val="20"/>
              </w:rPr>
              <w:t>Woche</w:t>
            </w:r>
          </w:p>
        </w:tc>
        <w:tc>
          <w:tcPr>
            <w:tcW w:w="902" w:type="dxa"/>
          </w:tcPr>
          <w:p w14:paraId="1834FE72"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6F74EF9B" w14:textId="79CF13BC" w:rsidR="002D5756" w:rsidRPr="006A64EE" w:rsidRDefault="009C2544" w:rsidP="004255F8">
            <w:pPr>
              <w:pStyle w:val="TableParagraph"/>
              <w:widowControl/>
              <w:suppressAutoHyphens/>
              <w:jc w:val="center"/>
              <w:rPr>
                <w:b/>
                <w:sz w:val="20"/>
                <w:szCs w:val="20"/>
              </w:rPr>
            </w:pPr>
            <w:r w:rsidRPr="006A64EE">
              <w:rPr>
                <w:b/>
                <w:sz w:val="20"/>
                <w:szCs w:val="20"/>
              </w:rPr>
              <w:t>8 mg/kg</w:t>
            </w:r>
          </w:p>
        </w:tc>
        <w:tc>
          <w:tcPr>
            <w:tcW w:w="750" w:type="dxa"/>
          </w:tcPr>
          <w:p w14:paraId="741903EB" w14:textId="77777777" w:rsidR="002D5756" w:rsidRPr="006A64EE" w:rsidRDefault="009C2544" w:rsidP="004255F8">
            <w:pPr>
              <w:pStyle w:val="TableParagraph"/>
              <w:widowControl/>
              <w:suppressAutoHyphens/>
              <w:jc w:val="center"/>
              <w:rPr>
                <w:b/>
                <w:sz w:val="20"/>
                <w:szCs w:val="20"/>
              </w:rPr>
            </w:pPr>
            <w:r w:rsidRPr="006A64EE">
              <w:rPr>
                <w:b/>
                <w:sz w:val="20"/>
                <w:szCs w:val="20"/>
              </w:rPr>
              <w:t>MTX</w:t>
            </w:r>
          </w:p>
        </w:tc>
        <w:tc>
          <w:tcPr>
            <w:tcW w:w="899" w:type="dxa"/>
          </w:tcPr>
          <w:p w14:paraId="0821E0D8"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2E8DF3EB" w14:textId="77777777" w:rsidR="00093A5E" w:rsidRPr="006A64EE" w:rsidRDefault="009C2544" w:rsidP="004255F8">
            <w:pPr>
              <w:pStyle w:val="TableParagraph"/>
              <w:widowControl/>
              <w:suppressAutoHyphens/>
              <w:jc w:val="center"/>
              <w:rPr>
                <w:b/>
                <w:sz w:val="20"/>
                <w:szCs w:val="20"/>
              </w:rPr>
            </w:pPr>
            <w:r w:rsidRPr="006A64EE">
              <w:rPr>
                <w:b/>
                <w:sz w:val="20"/>
                <w:szCs w:val="20"/>
              </w:rPr>
              <w:t>8 mg/kg</w:t>
            </w:r>
          </w:p>
          <w:p w14:paraId="3C53070B" w14:textId="16BB67E8" w:rsidR="002D5756" w:rsidRPr="006A64EE" w:rsidRDefault="009C2544" w:rsidP="004255F8">
            <w:pPr>
              <w:pStyle w:val="TableParagraph"/>
              <w:widowControl/>
              <w:suppressAutoHyphens/>
              <w:jc w:val="center"/>
              <w:rPr>
                <w:b/>
                <w:sz w:val="20"/>
                <w:szCs w:val="20"/>
              </w:rPr>
            </w:pPr>
            <w:r w:rsidRPr="006A64EE">
              <w:rPr>
                <w:b/>
                <w:sz w:val="20"/>
                <w:szCs w:val="20"/>
              </w:rPr>
              <w:t>+ MTX</w:t>
            </w:r>
          </w:p>
        </w:tc>
        <w:tc>
          <w:tcPr>
            <w:tcW w:w="899" w:type="dxa"/>
          </w:tcPr>
          <w:p w14:paraId="5841F674" w14:textId="77777777" w:rsidR="002D5756" w:rsidRPr="006A64EE" w:rsidRDefault="009C2544" w:rsidP="004255F8">
            <w:pPr>
              <w:pStyle w:val="TableParagraph"/>
              <w:widowControl/>
              <w:suppressAutoHyphens/>
              <w:jc w:val="center"/>
              <w:rPr>
                <w:b/>
                <w:sz w:val="20"/>
                <w:szCs w:val="20"/>
              </w:rPr>
            </w:pPr>
            <w:r w:rsidRPr="006A64EE">
              <w:rPr>
                <w:b/>
                <w:sz w:val="20"/>
                <w:szCs w:val="20"/>
              </w:rPr>
              <w:t>PBO + MTX</w:t>
            </w:r>
          </w:p>
        </w:tc>
        <w:tc>
          <w:tcPr>
            <w:tcW w:w="899" w:type="dxa"/>
          </w:tcPr>
          <w:p w14:paraId="415F8A28"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0F872495" w14:textId="77777777" w:rsidR="00093A5E" w:rsidRPr="006A64EE" w:rsidRDefault="009C2544" w:rsidP="004255F8">
            <w:pPr>
              <w:pStyle w:val="TableParagraph"/>
              <w:widowControl/>
              <w:suppressAutoHyphens/>
              <w:jc w:val="center"/>
              <w:rPr>
                <w:b/>
                <w:sz w:val="20"/>
                <w:szCs w:val="20"/>
              </w:rPr>
            </w:pPr>
            <w:r w:rsidRPr="006A64EE">
              <w:rPr>
                <w:b/>
                <w:sz w:val="20"/>
                <w:szCs w:val="20"/>
              </w:rPr>
              <w:t>8 mg/kg</w:t>
            </w:r>
          </w:p>
          <w:p w14:paraId="1D3B6AB4" w14:textId="0943F7D4" w:rsidR="002D5756" w:rsidRPr="006A64EE" w:rsidRDefault="009C2544" w:rsidP="004255F8">
            <w:pPr>
              <w:pStyle w:val="TableParagraph"/>
              <w:widowControl/>
              <w:suppressAutoHyphens/>
              <w:jc w:val="center"/>
              <w:rPr>
                <w:b/>
                <w:sz w:val="20"/>
                <w:szCs w:val="20"/>
              </w:rPr>
            </w:pPr>
            <w:r w:rsidRPr="006A64EE">
              <w:rPr>
                <w:b/>
                <w:sz w:val="20"/>
                <w:szCs w:val="20"/>
              </w:rPr>
              <w:t>+ MTX</w:t>
            </w:r>
          </w:p>
        </w:tc>
        <w:tc>
          <w:tcPr>
            <w:tcW w:w="899" w:type="dxa"/>
          </w:tcPr>
          <w:p w14:paraId="0045B091" w14:textId="77777777" w:rsidR="00093A5E" w:rsidRPr="006A64EE" w:rsidRDefault="009C2544" w:rsidP="004255F8">
            <w:pPr>
              <w:pStyle w:val="TableParagraph"/>
              <w:widowControl/>
              <w:suppressAutoHyphens/>
              <w:jc w:val="center"/>
              <w:rPr>
                <w:b/>
                <w:sz w:val="20"/>
                <w:szCs w:val="20"/>
              </w:rPr>
            </w:pPr>
            <w:r w:rsidRPr="006A64EE">
              <w:rPr>
                <w:b/>
                <w:sz w:val="20"/>
                <w:szCs w:val="20"/>
              </w:rPr>
              <w:t>PBO</w:t>
            </w:r>
          </w:p>
          <w:p w14:paraId="478B5855" w14:textId="4E93342E" w:rsidR="002D5756" w:rsidRPr="006A64EE" w:rsidRDefault="009C2544" w:rsidP="004255F8">
            <w:pPr>
              <w:pStyle w:val="TableParagraph"/>
              <w:widowControl/>
              <w:suppressAutoHyphens/>
              <w:jc w:val="center"/>
              <w:rPr>
                <w:b/>
                <w:sz w:val="20"/>
                <w:szCs w:val="20"/>
              </w:rPr>
            </w:pPr>
            <w:r w:rsidRPr="006A64EE">
              <w:rPr>
                <w:b/>
                <w:sz w:val="20"/>
                <w:szCs w:val="20"/>
              </w:rPr>
              <w:t>+ MTX</w:t>
            </w:r>
          </w:p>
        </w:tc>
        <w:tc>
          <w:tcPr>
            <w:tcW w:w="990" w:type="dxa"/>
          </w:tcPr>
          <w:p w14:paraId="0B25A024"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07599C01" w14:textId="77777777" w:rsidR="00093A5E" w:rsidRPr="006A64EE" w:rsidRDefault="009C2544" w:rsidP="004255F8">
            <w:pPr>
              <w:pStyle w:val="TableParagraph"/>
              <w:widowControl/>
              <w:suppressAutoHyphens/>
              <w:jc w:val="center"/>
              <w:rPr>
                <w:b/>
                <w:sz w:val="20"/>
                <w:szCs w:val="20"/>
              </w:rPr>
            </w:pPr>
            <w:r w:rsidRPr="006A64EE">
              <w:rPr>
                <w:b/>
                <w:sz w:val="20"/>
                <w:szCs w:val="20"/>
              </w:rPr>
              <w:t>8 mg/kg</w:t>
            </w:r>
          </w:p>
          <w:p w14:paraId="43711647" w14:textId="3D7D34A6" w:rsidR="002D5756" w:rsidRPr="006A64EE" w:rsidRDefault="009C2544" w:rsidP="004255F8">
            <w:pPr>
              <w:pStyle w:val="TableParagraph"/>
              <w:widowControl/>
              <w:suppressAutoHyphens/>
              <w:jc w:val="center"/>
              <w:rPr>
                <w:b/>
                <w:sz w:val="20"/>
                <w:szCs w:val="20"/>
              </w:rPr>
            </w:pPr>
            <w:r w:rsidRPr="006A64EE">
              <w:rPr>
                <w:b/>
                <w:sz w:val="20"/>
                <w:szCs w:val="20"/>
              </w:rPr>
              <w:t>+ DMARD</w:t>
            </w:r>
          </w:p>
        </w:tc>
        <w:tc>
          <w:tcPr>
            <w:tcW w:w="985" w:type="dxa"/>
          </w:tcPr>
          <w:p w14:paraId="647070FE" w14:textId="77777777" w:rsidR="002D5756" w:rsidRPr="006A64EE" w:rsidRDefault="009C2544" w:rsidP="004255F8">
            <w:pPr>
              <w:pStyle w:val="TableParagraph"/>
              <w:widowControl/>
              <w:suppressAutoHyphens/>
              <w:jc w:val="center"/>
              <w:rPr>
                <w:b/>
                <w:sz w:val="20"/>
                <w:szCs w:val="20"/>
              </w:rPr>
            </w:pPr>
            <w:r w:rsidRPr="006A64EE">
              <w:rPr>
                <w:b/>
                <w:sz w:val="20"/>
                <w:szCs w:val="20"/>
              </w:rPr>
              <w:t>PBO + DMARD</w:t>
            </w:r>
          </w:p>
        </w:tc>
        <w:tc>
          <w:tcPr>
            <w:tcW w:w="901" w:type="dxa"/>
          </w:tcPr>
          <w:p w14:paraId="26EECDCA" w14:textId="77777777" w:rsidR="00093A5E" w:rsidRPr="006A64EE" w:rsidRDefault="009C2544" w:rsidP="004255F8">
            <w:pPr>
              <w:pStyle w:val="TableParagraph"/>
              <w:widowControl/>
              <w:suppressAutoHyphens/>
              <w:jc w:val="center"/>
              <w:rPr>
                <w:b/>
                <w:sz w:val="20"/>
                <w:szCs w:val="20"/>
              </w:rPr>
            </w:pPr>
            <w:r w:rsidRPr="006A64EE">
              <w:rPr>
                <w:b/>
                <w:sz w:val="20"/>
                <w:szCs w:val="20"/>
              </w:rPr>
              <w:t>TCZ</w:t>
            </w:r>
          </w:p>
          <w:p w14:paraId="30ECC2FE" w14:textId="77777777" w:rsidR="00093A5E" w:rsidRPr="006A64EE" w:rsidRDefault="009C2544" w:rsidP="004255F8">
            <w:pPr>
              <w:pStyle w:val="TableParagraph"/>
              <w:widowControl/>
              <w:suppressAutoHyphens/>
              <w:jc w:val="center"/>
              <w:rPr>
                <w:b/>
                <w:sz w:val="20"/>
                <w:szCs w:val="20"/>
              </w:rPr>
            </w:pPr>
            <w:r w:rsidRPr="006A64EE">
              <w:rPr>
                <w:b/>
                <w:sz w:val="20"/>
                <w:szCs w:val="20"/>
              </w:rPr>
              <w:t>8 mg/kg</w:t>
            </w:r>
          </w:p>
          <w:p w14:paraId="5727B8F8" w14:textId="32598FC2" w:rsidR="002D5756" w:rsidRPr="006A64EE" w:rsidRDefault="009C2544" w:rsidP="004255F8">
            <w:pPr>
              <w:pStyle w:val="TableParagraph"/>
              <w:widowControl/>
              <w:suppressAutoHyphens/>
              <w:jc w:val="center"/>
              <w:rPr>
                <w:b/>
                <w:sz w:val="20"/>
                <w:szCs w:val="20"/>
              </w:rPr>
            </w:pPr>
            <w:r w:rsidRPr="006A64EE">
              <w:rPr>
                <w:b/>
                <w:sz w:val="20"/>
                <w:szCs w:val="20"/>
              </w:rPr>
              <w:t>+ MTX</w:t>
            </w:r>
          </w:p>
        </w:tc>
        <w:tc>
          <w:tcPr>
            <w:tcW w:w="899" w:type="dxa"/>
          </w:tcPr>
          <w:p w14:paraId="29EFF5B6" w14:textId="77777777" w:rsidR="002D5756" w:rsidRPr="006A64EE" w:rsidRDefault="009C2544" w:rsidP="004255F8">
            <w:pPr>
              <w:pStyle w:val="TableParagraph"/>
              <w:widowControl/>
              <w:suppressAutoHyphens/>
              <w:jc w:val="center"/>
              <w:rPr>
                <w:b/>
                <w:sz w:val="20"/>
                <w:szCs w:val="20"/>
              </w:rPr>
            </w:pPr>
            <w:r w:rsidRPr="006A64EE">
              <w:rPr>
                <w:b/>
                <w:sz w:val="20"/>
                <w:szCs w:val="20"/>
              </w:rPr>
              <w:t>PBO + MTX</w:t>
            </w:r>
          </w:p>
        </w:tc>
      </w:tr>
      <w:tr w:rsidR="00593482" w:rsidRPr="006A64EE" w14:paraId="4674CF4F" w14:textId="77777777" w:rsidTr="009A058C">
        <w:trPr>
          <w:tblHeader/>
        </w:trPr>
        <w:tc>
          <w:tcPr>
            <w:tcW w:w="686" w:type="dxa"/>
          </w:tcPr>
          <w:p w14:paraId="4976F8EA" w14:textId="77777777" w:rsidR="002D5756" w:rsidRPr="006A64EE" w:rsidRDefault="002D5756" w:rsidP="004255F8">
            <w:pPr>
              <w:pStyle w:val="TableParagraph"/>
              <w:widowControl/>
              <w:suppressAutoHyphens/>
              <w:jc w:val="center"/>
              <w:rPr>
                <w:sz w:val="20"/>
                <w:szCs w:val="20"/>
              </w:rPr>
            </w:pPr>
          </w:p>
        </w:tc>
        <w:tc>
          <w:tcPr>
            <w:tcW w:w="902" w:type="dxa"/>
          </w:tcPr>
          <w:p w14:paraId="74380518" w14:textId="77777777" w:rsidR="002D5756" w:rsidRPr="006A64EE" w:rsidRDefault="009C2544" w:rsidP="004255F8">
            <w:pPr>
              <w:pStyle w:val="TableParagraph"/>
              <w:widowControl/>
              <w:suppressAutoHyphens/>
              <w:jc w:val="center"/>
              <w:rPr>
                <w:b/>
                <w:sz w:val="20"/>
                <w:szCs w:val="20"/>
              </w:rPr>
            </w:pPr>
            <w:r w:rsidRPr="006A64EE">
              <w:rPr>
                <w:b/>
                <w:sz w:val="20"/>
                <w:szCs w:val="20"/>
              </w:rPr>
              <w:t>n = 286</w:t>
            </w:r>
          </w:p>
        </w:tc>
        <w:tc>
          <w:tcPr>
            <w:tcW w:w="750" w:type="dxa"/>
          </w:tcPr>
          <w:p w14:paraId="391066F9" w14:textId="36783C5E" w:rsidR="002D5756" w:rsidRPr="006A64EE" w:rsidRDefault="009C2544" w:rsidP="004255F8">
            <w:pPr>
              <w:pStyle w:val="TableParagraph"/>
              <w:widowControl/>
              <w:suppressAutoHyphens/>
              <w:jc w:val="center"/>
              <w:rPr>
                <w:b/>
                <w:sz w:val="20"/>
                <w:szCs w:val="20"/>
              </w:rPr>
            </w:pPr>
            <w:r w:rsidRPr="006A64EE">
              <w:rPr>
                <w:b/>
                <w:sz w:val="20"/>
                <w:szCs w:val="20"/>
              </w:rPr>
              <w:t>n =</w:t>
            </w:r>
            <w:r w:rsidR="00CE7C1B" w:rsidRPr="006A64EE">
              <w:rPr>
                <w:b/>
                <w:sz w:val="20"/>
                <w:szCs w:val="20"/>
              </w:rPr>
              <w:t xml:space="preserve"> </w:t>
            </w:r>
            <w:r w:rsidRPr="006A64EE">
              <w:rPr>
                <w:b/>
                <w:sz w:val="20"/>
                <w:szCs w:val="20"/>
              </w:rPr>
              <w:t>284</w:t>
            </w:r>
          </w:p>
        </w:tc>
        <w:tc>
          <w:tcPr>
            <w:tcW w:w="899" w:type="dxa"/>
          </w:tcPr>
          <w:p w14:paraId="454B37EC" w14:textId="77777777" w:rsidR="002D5756" w:rsidRPr="006A64EE" w:rsidRDefault="009C2544" w:rsidP="004255F8">
            <w:pPr>
              <w:pStyle w:val="TableParagraph"/>
              <w:widowControl/>
              <w:suppressAutoHyphens/>
              <w:jc w:val="center"/>
              <w:rPr>
                <w:b/>
                <w:sz w:val="20"/>
                <w:szCs w:val="20"/>
              </w:rPr>
            </w:pPr>
            <w:r w:rsidRPr="006A64EE">
              <w:rPr>
                <w:b/>
                <w:sz w:val="20"/>
                <w:szCs w:val="20"/>
              </w:rPr>
              <w:t>n = 398</w:t>
            </w:r>
          </w:p>
        </w:tc>
        <w:tc>
          <w:tcPr>
            <w:tcW w:w="899" w:type="dxa"/>
          </w:tcPr>
          <w:p w14:paraId="71AD2DED" w14:textId="77777777" w:rsidR="002D5756" w:rsidRPr="006A64EE" w:rsidRDefault="009C2544" w:rsidP="004255F8">
            <w:pPr>
              <w:pStyle w:val="TableParagraph"/>
              <w:widowControl/>
              <w:suppressAutoHyphens/>
              <w:jc w:val="center"/>
              <w:rPr>
                <w:b/>
                <w:sz w:val="20"/>
                <w:szCs w:val="20"/>
              </w:rPr>
            </w:pPr>
            <w:r w:rsidRPr="006A64EE">
              <w:rPr>
                <w:b/>
                <w:sz w:val="20"/>
                <w:szCs w:val="20"/>
              </w:rPr>
              <w:t>n = 393</w:t>
            </w:r>
          </w:p>
        </w:tc>
        <w:tc>
          <w:tcPr>
            <w:tcW w:w="899" w:type="dxa"/>
          </w:tcPr>
          <w:p w14:paraId="1BC7CB18" w14:textId="77777777" w:rsidR="002D5756" w:rsidRPr="006A64EE" w:rsidRDefault="009C2544" w:rsidP="004255F8">
            <w:pPr>
              <w:pStyle w:val="TableParagraph"/>
              <w:widowControl/>
              <w:suppressAutoHyphens/>
              <w:jc w:val="center"/>
              <w:rPr>
                <w:b/>
                <w:sz w:val="20"/>
                <w:szCs w:val="20"/>
              </w:rPr>
            </w:pPr>
            <w:r w:rsidRPr="006A64EE">
              <w:rPr>
                <w:b/>
                <w:sz w:val="20"/>
                <w:szCs w:val="20"/>
              </w:rPr>
              <w:t>n = 205</w:t>
            </w:r>
          </w:p>
        </w:tc>
        <w:tc>
          <w:tcPr>
            <w:tcW w:w="899" w:type="dxa"/>
          </w:tcPr>
          <w:p w14:paraId="5AC72412" w14:textId="77777777" w:rsidR="002D5756" w:rsidRPr="006A64EE" w:rsidRDefault="009C2544" w:rsidP="004255F8">
            <w:pPr>
              <w:pStyle w:val="TableParagraph"/>
              <w:widowControl/>
              <w:suppressAutoHyphens/>
              <w:jc w:val="center"/>
              <w:rPr>
                <w:b/>
                <w:sz w:val="20"/>
                <w:szCs w:val="20"/>
              </w:rPr>
            </w:pPr>
            <w:r w:rsidRPr="006A64EE">
              <w:rPr>
                <w:b/>
                <w:sz w:val="20"/>
                <w:szCs w:val="20"/>
              </w:rPr>
              <w:t>n = 204</w:t>
            </w:r>
          </w:p>
        </w:tc>
        <w:tc>
          <w:tcPr>
            <w:tcW w:w="990" w:type="dxa"/>
          </w:tcPr>
          <w:p w14:paraId="24BFA3E7" w14:textId="77777777" w:rsidR="002D5756" w:rsidRPr="006A64EE" w:rsidRDefault="009C2544" w:rsidP="004255F8">
            <w:pPr>
              <w:pStyle w:val="TableParagraph"/>
              <w:widowControl/>
              <w:suppressAutoHyphens/>
              <w:jc w:val="center"/>
              <w:rPr>
                <w:b/>
                <w:sz w:val="20"/>
                <w:szCs w:val="20"/>
              </w:rPr>
            </w:pPr>
            <w:r w:rsidRPr="006A64EE">
              <w:rPr>
                <w:b/>
                <w:sz w:val="20"/>
                <w:szCs w:val="20"/>
              </w:rPr>
              <w:t>n = 803</w:t>
            </w:r>
          </w:p>
        </w:tc>
        <w:tc>
          <w:tcPr>
            <w:tcW w:w="985" w:type="dxa"/>
          </w:tcPr>
          <w:p w14:paraId="66FF94D4" w14:textId="77777777" w:rsidR="002D5756" w:rsidRPr="006A64EE" w:rsidRDefault="009C2544" w:rsidP="004255F8">
            <w:pPr>
              <w:pStyle w:val="TableParagraph"/>
              <w:widowControl/>
              <w:suppressAutoHyphens/>
              <w:jc w:val="center"/>
              <w:rPr>
                <w:b/>
                <w:sz w:val="20"/>
                <w:szCs w:val="20"/>
              </w:rPr>
            </w:pPr>
            <w:r w:rsidRPr="006A64EE">
              <w:rPr>
                <w:b/>
                <w:sz w:val="20"/>
                <w:szCs w:val="20"/>
              </w:rPr>
              <w:t>n = 413</w:t>
            </w:r>
          </w:p>
        </w:tc>
        <w:tc>
          <w:tcPr>
            <w:tcW w:w="901" w:type="dxa"/>
          </w:tcPr>
          <w:p w14:paraId="75FD86E4" w14:textId="77777777" w:rsidR="002D5756" w:rsidRPr="006A64EE" w:rsidRDefault="009C2544" w:rsidP="004255F8">
            <w:pPr>
              <w:pStyle w:val="TableParagraph"/>
              <w:widowControl/>
              <w:suppressAutoHyphens/>
              <w:jc w:val="center"/>
              <w:rPr>
                <w:b/>
                <w:sz w:val="20"/>
                <w:szCs w:val="20"/>
              </w:rPr>
            </w:pPr>
            <w:r w:rsidRPr="006A64EE">
              <w:rPr>
                <w:b/>
                <w:sz w:val="20"/>
                <w:szCs w:val="20"/>
              </w:rPr>
              <w:t>n = 170</w:t>
            </w:r>
          </w:p>
        </w:tc>
        <w:tc>
          <w:tcPr>
            <w:tcW w:w="899" w:type="dxa"/>
          </w:tcPr>
          <w:p w14:paraId="1A2CDF07" w14:textId="77777777" w:rsidR="002D5756" w:rsidRPr="006A64EE" w:rsidRDefault="009C2544" w:rsidP="004255F8">
            <w:pPr>
              <w:pStyle w:val="TableParagraph"/>
              <w:widowControl/>
              <w:suppressAutoHyphens/>
              <w:jc w:val="center"/>
              <w:rPr>
                <w:b/>
                <w:sz w:val="20"/>
                <w:szCs w:val="20"/>
              </w:rPr>
            </w:pPr>
            <w:r w:rsidRPr="006A64EE">
              <w:rPr>
                <w:b/>
                <w:sz w:val="20"/>
                <w:szCs w:val="20"/>
              </w:rPr>
              <w:t>n = 158</w:t>
            </w:r>
          </w:p>
        </w:tc>
      </w:tr>
      <w:tr w:rsidR="00593482" w:rsidRPr="006A64EE" w14:paraId="1A5332DF" w14:textId="77777777" w:rsidTr="009A058C">
        <w:tc>
          <w:tcPr>
            <w:tcW w:w="9709" w:type="dxa"/>
            <w:gridSpan w:val="11"/>
          </w:tcPr>
          <w:p w14:paraId="0A41D348" w14:textId="77777777" w:rsidR="002D5756" w:rsidRPr="006A64EE" w:rsidRDefault="009C2544" w:rsidP="004255F8">
            <w:pPr>
              <w:pStyle w:val="TableParagraph"/>
              <w:keepNext/>
              <w:widowControl/>
              <w:suppressAutoHyphens/>
              <w:jc w:val="center"/>
              <w:rPr>
                <w:b/>
                <w:sz w:val="20"/>
                <w:szCs w:val="20"/>
              </w:rPr>
            </w:pPr>
            <w:r w:rsidRPr="006A64EE">
              <w:rPr>
                <w:b/>
                <w:sz w:val="20"/>
                <w:szCs w:val="20"/>
              </w:rPr>
              <w:t>ACR20</w:t>
            </w:r>
          </w:p>
        </w:tc>
      </w:tr>
      <w:tr w:rsidR="00593482" w:rsidRPr="006A64EE" w14:paraId="02B1632F" w14:textId="77777777" w:rsidTr="009A058C">
        <w:tc>
          <w:tcPr>
            <w:tcW w:w="686" w:type="dxa"/>
          </w:tcPr>
          <w:p w14:paraId="04D353F5" w14:textId="77777777" w:rsidR="002D5756" w:rsidRPr="006A64EE" w:rsidRDefault="009C2544" w:rsidP="004255F8">
            <w:pPr>
              <w:pStyle w:val="TableParagraph"/>
              <w:widowControl/>
              <w:suppressAutoHyphens/>
              <w:jc w:val="center"/>
              <w:rPr>
                <w:sz w:val="20"/>
                <w:szCs w:val="20"/>
              </w:rPr>
            </w:pPr>
            <w:r w:rsidRPr="006A64EE">
              <w:rPr>
                <w:sz w:val="20"/>
                <w:szCs w:val="20"/>
              </w:rPr>
              <w:t>24</w:t>
            </w:r>
          </w:p>
        </w:tc>
        <w:tc>
          <w:tcPr>
            <w:tcW w:w="902" w:type="dxa"/>
          </w:tcPr>
          <w:p w14:paraId="3A48814C" w14:textId="77777777" w:rsidR="002D5756" w:rsidRPr="006A64EE" w:rsidRDefault="009C2544" w:rsidP="004255F8">
            <w:pPr>
              <w:pStyle w:val="TableParagraph"/>
              <w:widowControl/>
              <w:suppressAutoHyphens/>
              <w:jc w:val="center"/>
              <w:rPr>
                <w:sz w:val="20"/>
                <w:szCs w:val="20"/>
              </w:rPr>
            </w:pPr>
            <w:r w:rsidRPr="006A64EE">
              <w:rPr>
                <w:sz w:val="20"/>
                <w:szCs w:val="20"/>
              </w:rPr>
              <w:t>70 %***</w:t>
            </w:r>
          </w:p>
        </w:tc>
        <w:tc>
          <w:tcPr>
            <w:tcW w:w="750" w:type="dxa"/>
          </w:tcPr>
          <w:p w14:paraId="0A95094B" w14:textId="77777777" w:rsidR="002D5756" w:rsidRPr="006A64EE" w:rsidRDefault="009C2544" w:rsidP="004255F8">
            <w:pPr>
              <w:pStyle w:val="TableParagraph"/>
              <w:widowControl/>
              <w:suppressAutoHyphens/>
              <w:jc w:val="center"/>
              <w:rPr>
                <w:sz w:val="20"/>
                <w:szCs w:val="20"/>
              </w:rPr>
            </w:pPr>
            <w:r w:rsidRPr="006A64EE">
              <w:rPr>
                <w:sz w:val="20"/>
                <w:szCs w:val="20"/>
              </w:rPr>
              <w:t>52 %</w:t>
            </w:r>
          </w:p>
        </w:tc>
        <w:tc>
          <w:tcPr>
            <w:tcW w:w="899" w:type="dxa"/>
          </w:tcPr>
          <w:p w14:paraId="0F3D7F35" w14:textId="743F913C" w:rsidR="002D5756" w:rsidRPr="006A64EE" w:rsidRDefault="009C2544" w:rsidP="004255F8">
            <w:pPr>
              <w:pStyle w:val="TableParagraph"/>
              <w:widowControl/>
              <w:suppressAutoHyphens/>
              <w:jc w:val="center"/>
              <w:rPr>
                <w:sz w:val="20"/>
                <w:szCs w:val="20"/>
              </w:rPr>
            </w:pPr>
            <w:r w:rsidRPr="006A64EE">
              <w:rPr>
                <w:sz w:val="20"/>
                <w:szCs w:val="20"/>
              </w:rPr>
              <w:t>56 %***</w:t>
            </w:r>
          </w:p>
        </w:tc>
        <w:tc>
          <w:tcPr>
            <w:tcW w:w="899" w:type="dxa"/>
          </w:tcPr>
          <w:p w14:paraId="4545D96A" w14:textId="77777777" w:rsidR="002D5756" w:rsidRPr="006A64EE" w:rsidRDefault="009C2544" w:rsidP="004255F8">
            <w:pPr>
              <w:pStyle w:val="TableParagraph"/>
              <w:widowControl/>
              <w:suppressAutoHyphens/>
              <w:jc w:val="center"/>
              <w:rPr>
                <w:sz w:val="20"/>
                <w:szCs w:val="20"/>
              </w:rPr>
            </w:pPr>
            <w:r w:rsidRPr="006A64EE">
              <w:rPr>
                <w:sz w:val="20"/>
                <w:szCs w:val="20"/>
              </w:rPr>
              <w:t>27 %</w:t>
            </w:r>
          </w:p>
        </w:tc>
        <w:tc>
          <w:tcPr>
            <w:tcW w:w="899" w:type="dxa"/>
          </w:tcPr>
          <w:p w14:paraId="12820BE6" w14:textId="1814CD7C" w:rsidR="002D5756" w:rsidRPr="006A64EE" w:rsidRDefault="009C2544" w:rsidP="004255F8">
            <w:pPr>
              <w:pStyle w:val="TableParagraph"/>
              <w:widowControl/>
              <w:suppressAutoHyphens/>
              <w:jc w:val="center"/>
              <w:rPr>
                <w:sz w:val="20"/>
                <w:szCs w:val="20"/>
              </w:rPr>
            </w:pPr>
            <w:r w:rsidRPr="006A64EE">
              <w:rPr>
                <w:sz w:val="20"/>
                <w:szCs w:val="20"/>
              </w:rPr>
              <w:t>59 %***</w:t>
            </w:r>
          </w:p>
        </w:tc>
        <w:tc>
          <w:tcPr>
            <w:tcW w:w="899" w:type="dxa"/>
          </w:tcPr>
          <w:p w14:paraId="220F2A1C" w14:textId="77777777" w:rsidR="002D5756" w:rsidRPr="006A64EE" w:rsidRDefault="009C2544" w:rsidP="004255F8">
            <w:pPr>
              <w:pStyle w:val="TableParagraph"/>
              <w:widowControl/>
              <w:suppressAutoHyphens/>
              <w:jc w:val="center"/>
              <w:rPr>
                <w:sz w:val="20"/>
                <w:szCs w:val="20"/>
              </w:rPr>
            </w:pPr>
            <w:r w:rsidRPr="006A64EE">
              <w:rPr>
                <w:sz w:val="20"/>
                <w:szCs w:val="20"/>
              </w:rPr>
              <w:t>26 %</w:t>
            </w:r>
          </w:p>
        </w:tc>
        <w:tc>
          <w:tcPr>
            <w:tcW w:w="990" w:type="dxa"/>
          </w:tcPr>
          <w:p w14:paraId="3ACF2673" w14:textId="77777777" w:rsidR="002D5756" w:rsidRPr="006A64EE" w:rsidRDefault="009C2544" w:rsidP="004255F8">
            <w:pPr>
              <w:pStyle w:val="TableParagraph"/>
              <w:widowControl/>
              <w:suppressAutoHyphens/>
              <w:jc w:val="center"/>
              <w:rPr>
                <w:sz w:val="20"/>
                <w:szCs w:val="20"/>
              </w:rPr>
            </w:pPr>
            <w:r w:rsidRPr="006A64EE">
              <w:rPr>
                <w:sz w:val="20"/>
                <w:szCs w:val="20"/>
              </w:rPr>
              <w:t>61 %***</w:t>
            </w:r>
          </w:p>
        </w:tc>
        <w:tc>
          <w:tcPr>
            <w:tcW w:w="985" w:type="dxa"/>
          </w:tcPr>
          <w:p w14:paraId="3802DF0C" w14:textId="77777777" w:rsidR="002D5756" w:rsidRPr="006A64EE" w:rsidRDefault="009C2544" w:rsidP="004255F8">
            <w:pPr>
              <w:pStyle w:val="TableParagraph"/>
              <w:widowControl/>
              <w:suppressAutoHyphens/>
              <w:jc w:val="center"/>
              <w:rPr>
                <w:sz w:val="20"/>
                <w:szCs w:val="20"/>
              </w:rPr>
            </w:pPr>
            <w:r w:rsidRPr="006A64EE">
              <w:rPr>
                <w:sz w:val="20"/>
                <w:szCs w:val="20"/>
              </w:rPr>
              <w:t>24 %</w:t>
            </w:r>
          </w:p>
        </w:tc>
        <w:tc>
          <w:tcPr>
            <w:tcW w:w="901" w:type="dxa"/>
          </w:tcPr>
          <w:p w14:paraId="143FAE9A" w14:textId="50A565CF" w:rsidR="002D5756" w:rsidRPr="006A64EE" w:rsidRDefault="009C2544" w:rsidP="004255F8">
            <w:pPr>
              <w:pStyle w:val="TableParagraph"/>
              <w:widowControl/>
              <w:suppressAutoHyphens/>
              <w:jc w:val="center"/>
              <w:rPr>
                <w:sz w:val="20"/>
                <w:szCs w:val="20"/>
              </w:rPr>
            </w:pPr>
            <w:r w:rsidRPr="006A64EE">
              <w:rPr>
                <w:sz w:val="20"/>
                <w:szCs w:val="20"/>
              </w:rPr>
              <w:t>50 %***</w:t>
            </w:r>
          </w:p>
        </w:tc>
        <w:tc>
          <w:tcPr>
            <w:tcW w:w="899" w:type="dxa"/>
          </w:tcPr>
          <w:p w14:paraId="6A1A0151" w14:textId="77777777" w:rsidR="002D5756" w:rsidRPr="006A64EE" w:rsidRDefault="009C2544" w:rsidP="004255F8">
            <w:pPr>
              <w:pStyle w:val="TableParagraph"/>
              <w:widowControl/>
              <w:suppressAutoHyphens/>
              <w:jc w:val="center"/>
              <w:rPr>
                <w:sz w:val="20"/>
                <w:szCs w:val="20"/>
              </w:rPr>
            </w:pPr>
            <w:r w:rsidRPr="006A64EE">
              <w:rPr>
                <w:sz w:val="20"/>
                <w:szCs w:val="20"/>
              </w:rPr>
              <w:t>10 %</w:t>
            </w:r>
          </w:p>
        </w:tc>
      </w:tr>
      <w:tr w:rsidR="00593482" w:rsidRPr="006A64EE" w14:paraId="122296DC" w14:textId="77777777" w:rsidTr="009A058C">
        <w:tc>
          <w:tcPr>
            <w:tcW w:w="686" w:type="dxa"/>
          </w:tcPr>
          <w:p w14:paraId="6A36C4FC" w14:textId="77777777" w:rsidR="002D5756" w:rsidRPr="006A64EE" w:rsidRDefault="009C2544" w:rsidP="004255F8">
            <w:pPr>
              <w:pStyle w:val="TableParagraph"/>
              <w:widowControl/>
              <w:suppressAutoHyphens/>
              <w:jc w:val="center"/>
              <w:rPr>
                <w:sz w:val="20"/>
                <w:szCs w:val="20"/>
              </w:rPr>
            </w:pPr>
            <w:r w:rsidRPr="006A64EE">
              <w:rPr>
                <w:sz w:val="20"/>
                <w:szCs w:val="20"/>
              </w:rPr>
              <w:t>52</w:t>
            </w:r>
          </w:p>
        </w:tc>
        <w:tc>
          <w:tcPr>
            <w:tcW w:w="902" w:type="dxa"/>
          </w:tcPr>
          <w:p w14:paraId="522FD941" w14:textId="77777777" w:rsidR="002D5756" w:rsidRPr="006A64EE" w:rsidRDefault="002D5756" w:rsidP="004255F8">
            <w:pPr>
              <w:pStyle w:val="TableParagraph"/>
              <w:widowControl/>
              <w:suppressAutoHyphens/>
              <w:rPr>
                <w:sz w:val="20"/>
                <w:szCs w:val="20"/>
              </w:rPr>
            </w:pPr>
          </w:p>
        </w:tc>
        <w:tc>
          <w:tcPr>
            <w:tcW w:w="750" w:type="dxa"/>
          </w:tcPr>
          <w:p w14:paraId="10AE7E10" w14:textId="77777777" w:rsidR="002D5756" w:rsidRPr="006A64EE" w:rsidRDefault="002D5756" w:rsidP="004255F8">
            <w:pPr>
              <w:pStyle w:val="TableParagraph"/>
              <w:widowControl/>
              <w:suppressAutoHyphens/>
              <w:rPr>
                <w:sz w:val="20"/>
                <w:szCs w:val="20"/>
              </w:rPr>
            </w:pPr>
          </w:p>
        </w:tc>
        <w:tc>
          <w:tcPr>
            <w:tcW w:w="899" w:type="dxa"/>
          </w:tcPr>
          <w:p w14:paraId="1E088C43" w14:textId="478E8B5F" w:rsidR="002D5756" w:rsidRPr="006A64EE" w:rsidRDefault="009C2544" w:rsidP="004255F8">
            <w:pPr>
              <w:pStyle w:val="TableParagraph"/>
              <w:widowControl/>
              <w:suppressAutoHyphens/>
              <w:jc w:val="center"/>
              <w:rPr>
                <w:sz w:val="20"/>
                <w:szCs w:val="20"/>
              </w:rPr>
            </w:pPr>
            <w:r w:rsidRPr="006A64EE">
              <w:rPr>
                <w:sz w:val="20"/>
                <w:szCs w:val="20"/>
              </w:rPr>
              <w:t>56 %***</w:t>
            </w:r>
          </w:p>
        </w:tc>
        <w:tc>
          <w:tcPr>
            <w:tcW w:w="899" w:type="dxa"/>
          </w:tcPr>
          <w:p w14:paraId="48F99984" w14:textId="77777777" w:rsidR="002D5756" w:rsidRPr="006A64EE" w:rsidRDefault="009C2544" w:rsidP="004255F8">
            <w:pPr>
              <w:pStyle w:val="TableParagraph"/>
              <w:widowControl/>
              <w:suppressAutoHyphens/>
              <w:jc w:val="center"/>
              <w:rPr>
                <w:sz w:val="20"/>
                <w:szCs w:val="20"/>
              </w:rPr>
            </w:pPr>
            <w:r w:rsidRPr="006A64EE">
              <w:rPr>
                <w:sz w:val="20"/>
                <w:szCs w:val="20"/>
              </w:rPr>
              <w:t>25 %</w:t>
            </w:r>
          </w:p>
        </w:tc>
        <w:tc>
          <w:tcPr>
            <w:tcW w:w="899" w:type="dxa"/>
          </w:tcPr>
          <w:p w14:paraId="2A83391E" w14:textId="77777777" w:rsidR="002D5756" w:rsidRPr="006A64EE" w:rsidRDefault="002D5756" w:rsidP="004255F8">
            <w:pPr>
              <w:pStyle w:val="TableParagraph"/>
              <w:widowControl/>
              <w:suppressAutoHyphens/>
              <w:rPr>
                <w:sz w:val="20"/>
                <w:szCs w:val="20"/>
              </w:rPr>
            </w:pPr>
          </w:p>
        </w:tc>
        <w:tc>
          <w:tcPr>
            <w:tcW w:w="899" w:type="dxa"/>
          </w:tcPr>
          <w:p w14:paraId="0732F76A" w14:textId="77777777" w:rsidR="002D5756" w:rsidRPr="006A64EE" w:rsidRDefault="002D5756" w:rsidP="004255F8">
            <w:pPr>
              <w:pStyle w:val="TableParagraph"/>
              <w:widowControl/>
              <w:suppressAutoHyphens/>
              <w:rPr>
                <w:sz w:val="20"/>
                <w:szCs w:val="20"/>
              </w:rPr>
            </w:pPr>
          </w:p>
        </w:tc>
        <w:tc>
          <w:tcPr>
            <w:tcW w:w="990" w:type="dxa"/>
          </w:tcPr>
          <w:p w14:paraId="494A43DF" w14:textId="77777777" w:rsidR="002D5756" w:rsidRPr="006A64EE" w:rsidRDefault="002D5756" w:rsidP="004255F8">
            <w:pPr>
              <w:pStyle w:val="TableParagraph"/>
              <w:widowControl/>
              <w:suppressAutoHyphens/>
              <w:rPr>
                <w:sz w:val="20"/>
                <w:szCs w:val="20"/>
              </w:rPr>
            </w:pPr>
          </w:p>
        </w:tc>
        <w:tc>
          <w:tcPr>
            <w:tcW w:w="985" w:type="dxa"/>
          </w:tcPr>
          <w:p w14:paraId="411A9BDA" w14:textId="77777777" w:rsidR="002D5756" w:rsidRPr="006A64EE" w:rsidRDefault="002D5756" w:rsidP="004255F8">
            <w:pPr>
              <w:pStyle w:val="TableParagraph"/>
              <w:widowControl/>
              <w:suppressAutoHyphens/>
              <w:rPr>
                <w:sz w:val="20"/>
                <w:szCs w:val="20"/>
              </w:rPr>
            </w:pPr>
          </w:p>
        </w:tc>
        <w:tc>
          <w:tcPr>
            <w:tcW w:w="901" w:type="dxa"/>
          </w:tcPr>
          <w:p w14:paraId="34D9CBDE" w14:textId="77777777" w:rsidR="002D5756" w:rsidRPr="006A64EE" w:rsidRDefault="002D5756" w:rsidP="004255F8">
            <w:pPr>
              <w:pStyle w:val="TableParagraph"/>
              <w:widowControl/>
              <w:suppressAutoHyphens/>
              <w:rPr>
                <w:sz w:val="20"/>
                <w:szCs w:val="20"/>
              </w:rPr>
            </w:pPr>
          </w:p>
        </w:tc>
        <w:tc>
          <w:tcPr>
            <w:tcW w:w="899" w:type="dxa"/>
          </w:tcPr>
          <w:p w14:paraId="226EDD0A" w14:textId="77777777" w:rsidR="002D5756" w:rsidRPr="006A64EE" w:rsidRDefault="002D5756" w:rsidP="004255F8">
            <w:pPr>
              <w:pStyle w:val="TableParagraph"/>
              <w:widowControl/>
              <w:suppressAutoHyphens/>
              <w:rPr>
                <w:sz w:val="20"/>
                <w:szCs w:val="20"/>
              </w:rPr>
            </w:pPr>
          </w:p>
        </w:tc>
      </w:tr>
      <w:tr w:rsidR="00593482" w:rsidRPr="006A64EE" w14:paraId="759E55D2" w14:textId="77777777" w:rsidTr="009A058C">
        <w:tc>
          <w:tcPr>
            <w:tcW w:w="9709" w:type="dxa"/>
            <w:gridSpan w:val="11"/>
          </w:tcPr>
          <w:p w14:paraId="540241AC" w14:textId="77777777" w:rsidR="002D5756" w:rsidRPr="006A64EE" w:rsidRDefault="009C2544" w:rsidP="004255F8">
            <w:pPr>
              <w:pStyle w:val="TableParagraph"/>
              <w:keepNext/>
              <w:widowControl/>
              <w:suppressAutoHyphens/>
              <w:jc w:val="center"/>
              <w:rPr>
                <w:b/>
                <w:sz w:val="20"/>
                <w:szCs w:val="20"/>
              </w:rPr>
            </w:pPr>
            <w:r w:rsidRPr="006A64EE">
              <w:rPr>
                <w:b/>
                <w:sz w:val="20"/>
                <w:szCs w:val="20"/>
              </w:rPr>
              <w:t>ACR50</w:t>
            </w:r>
          </w:p>
        </w:tc>
      </w:tr>
      <w:tr w:rsidR="00593482" w:rsidRPr="006A64EE" w14:paraId="57FE59A6" w14:textId="77777777" w:rsidTr="009A058C">
        <w:tc>
          <w:tcPr>
            <w:tcW w:w="686" w:type="dxa"/>
          </w:tcPr>
          <w:p w14:paraId="564F6089" w14:textId="77777777" w:rsidR="002D5756" w:rsidRPr="006A64EE" w:rsidRDefault="009C2544" w:rsidP="004255F8">
            <w:pPr>
              <w:pStyle w:val="TableParagraph"/>
              <w:widowControl/>
              <w:suppressAutoHyphens/>
              <w:jc w:val="center"/>
              <w:rPr>
                <w:sz w:val="20"/>
                <w:szCs w:val="20"/>
              </w:rPr>
            </w:pPr>
            <w:r w:rsidRPr="006A64EE">
              <w:rPr>
                <w:sz w:val="20"/>
                <w:szCs w:val="20"/>
              </w:rPr>
              <w:t>24</w:t>
            </w:r>
          </w:p>
        </w:tc>
        <w:tc>
          <w:tcPr>
            <w:tcW w:w="902" w:type="dxa"/>
          </w:tcPr>
          <w:p w14:paraId="3E373C5D" w14:textId="77777777" w:rsidR="002D5756" w:rsidRPr="006A64EE" w:rsidRDefault="009C2544" w:rsidP="004255F8">
            <w:pPr>
              <w:pStyle w:val="TableParagraph"/>
              <w:widowControl/>
              <w:suppressAutoHyphens/>
              <w:jc w:val="center"/>
              <w:rPr>
                <w:sz w:val="20"/>
                <w:szCs w:val="20"/>
              </w:rPr>
            </w:pPr>
            <w:r w:rsidRPr="006A64EE">
              <w:rPr>
                <w:sz w:val="20"/>
                <w:szCs w:val="20"/>
              </w:rPr>
              <w:t>44 %**</w:t>
            </w:r>
          </w:p>
        </w:tc>
        <w:tc>
          <w:tcPr>
            <w:tcW w:w="750" w:type="dxa"/>
          </w:tcPr>
          <w:p w14:paraId="68139865" w14:textId="77777777" w:rsidR="002D5756" w:rsidRPr="006A64EE" w:rsidRDefault="009C2544" w:rsidP="004255F8">
            <w:pPr>
              <w:pStyle w:val="TableParagraph"/>
              <w:widowControl/>
              <w:suppressAutoHyphens/>
              <w:jc w:val="center"/>
              <w:rPr>
                <w:sz w:val="20"/>
                <w:szCs w:val="20"/>
              </w:rPr>
            </w:pPr>
            <w:r w:rsidRPr="006A64EE">
              <w:rPr>
                <w:sz w:val="20"/>
                <w:szCs w:val="20"/>
              </w:rPr>
              <w:t>33 %</w:t>
            </w:r>
          </w:p>
        </w:tc>
        <w:tc>
          <w:tcPr>
            <w:tcW w:w="899" w:type="dxa"/>
          </w:tcPr>
          <w:p w14:paraId="35397574" w14:textId="1A74CAA3" w:rsidR="002D5756" w:rsidRPr="006A64EE" w:rsidRDefault="009C2544" w:rsidP="004255F8">
            <w:pPr>
              <w:pStyle w:val="TableParagraph"/>
              <w:widowControl/>
              <w:suppressAutoHyphens/>
              <w:jc w:val="center"/>
              <w:rPr>
                <w:sz w:val="20"/>
                <w:szCs w:val="20"/>
              </w:rPr>
            </w:pPr>
            <w:r w:rsidRPr="006A64EE">
              <w:rPr>
                <w:sz w:val="20"/>
                <w:szCs w:val="20"/>
              </w:rPr>
              <w:t>32 %***</w:t>
            </w:r>
          </w:p>
        </w:tc>
        <w:tc>
          <w:tcPr>
            <w:tcW w:w="899" w:type="dxa"/>
          </w:tcPr>
          <w:p w14:paraId="785BBF39" w14:textId="77777777" w:rsidR="002D5756" w:rsidRPr="006A64EE" w:rsidRDefault="009C2544" w:rsidP="004255F8">
            <w:pPr>
              <w:pStyle w:val="TableParagraph"/>
              <w:widowControl/>
              <w:suppressAutoHyphens/>
              <w:jc w:val="center"/>
              <w:rPr>
                <w:sz w:val="20"/>
                <w:szCs w:val="20"/>
              </w:rPr>
            </w:pPr>
            <w:r w:rsidRPr="006A64EE">
              <w:rPr>
                <w:sz w:val="20"/>
                <w:szCs w:val="20"/>
              </w:rPr>
              <w:t>10 %</w:t>
            </w:r>
          </w:p>
        </w:tc>
        <w:tc>
          <w:tcPr>
            <w:tcW w:w="899" w:type="dxa"/>
          </w:tcPr>
          <w:p w14:paraId="62E6A5AB" w14:textId="0D8E9414" w:rsidR="002D5756" w:rsidRPr="006A64EE" w:rsidRDefault="009C2544" w:rsidP="004255F8">
            <w:pPr>
              <w:pStyle w:val="TableParagraph"/>
              <w:widowControl/>
              <w:suppressAutoHyphens/>
              <w:jc w:val="center"/>
              <w:rPr>
                <w:sz w:val="20"/>
                <w:szCs w:val="20"/>
              </w:rPr>
            </w:pPr>
            <w:r w:rsidRPr="006A64EE">
              <w:rPr>
                <w:sz w:val="20"/>
                <w:szCs w:val="20"/>
              </w:rPr>
              <w:t>44 %***</w:t>
            </w:r>
          </w:p>
        </w:tc>
        <w:tc>
          <w:tcPr>
            <w:tcW w:w="899" w:type="dxa"/>
          </w:tcPr>
          <w:p w14:paraId="456E6AA9" w14:textId="77777777" w:rsidR="002D5756" w:rsidRPr="006A64EE" w:rsidRDefault="009C2544" w:rsidP="004255F8">
            <w:pPr>
              <w:pStyle w:val="TableParagraph"/>
              <w:widowControl/>
              <w:suppressAutoHyphens/>
              <w:jc w:val="center"/>
              <w:rPr>
                <w:sz w:val="20"/>
                <w:szCs w:val="20"/>
              </w:rPr>
            </w:pPr>
            <w:r w:rsidRPr="006A64EE">
              <w:rPr>
                <w:sz w:val="20"/>
                <w:szCs w:val="20"/>
              </w:rPr>
              <w:t>11 %</w:t>
            </w:r>
          </w:p>
        </w:tc>
        <w:tc>
          <w:tcPr>
            <w:tcW w:w="990" w:type="dxa"/>
          </w:tcPr>
          <w:p w14:paraId="37FEB18F" w14:textId="77777777" w:rsidR="002D5756" w:rsidRPr="006A64EE" w:rsidRDefault="009C2544" w:rsidP="004255F8">
            <w:pPr>
              <w:pStyle w:val="TableParagraph"/>
              <w:widowControl/>
              <w:suppressAutoHyphens/>
              <w:jc w:val="center"/>
              <w:rPr>
                <w:sz w:val="20"/>
                <w:szCs w:val="20"/>
              </w:rPr>
            </w:pPr>
            <w:r w:rsidRPr="006A64EE">
              <w:rPr>
                <w:sz w:val="20"/>
                <w:szCs w:val="20"/>
              </w:rPr>
              <w:t>38 %***</w:t>
            </w:r>
          </w:p>
        </w:tc>
        <w:tc>
          <w:tcPr>
            <w:tcW w:w="985" w:type="dxa"/>
          </w:tcPr>
          <w:p w14:paraId="40EE7E76" w14:textId="77777777" w:rsidR="002D5756" w:rsidRPr="006A64EE" w:rsidRDefault="009C2544" w:rsidP="004255F8">
            <w:pPr>
              <w:pStyle w:val="TableParagraph"/>
              <w:widowControl/>
              <w:suppressAutoHyphens/>
              <w:jc w:val="center"/>
              <w:rPr>
                <w:sz w:val="20"/>
                <w:szCs w:val="20"/>
              </w:rPr>
            </w:pPr>
            <w:r w:rsidRPr="006A64EE">
              <w:rPr>
                <w:sz w:val="20"/>
                <w:szCs w:val="20"/>
              </w:rPr>
              <w:t>9 %</w:t>
            </w:r>
          </w:p>
        </w:tc>
        <w:tc>
          <w:tcPr>
            <w:tcW w:w="901" w:type="dxa"/>
          </w:tcPr>
          <w:p w14:paraId="0BBF3E10" w14:textId="711BC019" w:rsidR="002D5756" w:rsidRPr="006A64EE" w:rsidRDefault="009C2544" w:rsidP="004255F8">
            <w:pPr>
              <w:pStyle w:val="TableParagraph"/>
              <w:widowControl/>
              <w:suppressAutoHyphens/>
              <w:jc w:val="center"/>
              <w:rPr>
                <w:sz w:val="20"/>
                <w:szCs w:val="20"/>
              </w:rPr>
            </w:pPr>
            <w:r w:rsidRPr="006A64EE">
              <w:rPr>
                <w:sz w:val="20"/>
                <w:szCs w:val="20"/>
              </w:rPr>
              <w:t>29 %***</w:t>
            </w:r>
          </w:p>
        </w:tc>
        <w:tc>
          <w:tcPr>
            <w:tcW w:w="899" w:type="dxa"/>
          </w:tcPr>
          <w:p w14:paraId="42BC971F" w14:textId="77777777" w:rsidR="002D5756" w:rsidRPr="006A64EE" w:rsidRDefault="009C2544" w:rsidP="004255F8">
            <w:pPr>
              <w:pStyle w:val="TableParagraph"/>
              <w:widowControl/>
              <w:suppressAutoHyphens/>
              <w:jc w:val="center"/>
              <w:rPr>
                <w:sz w:val="20"/>
                <w:szCs w:val="20"/>
              </w:rPr>
            </w:pPr>
            <w:r w:rsidRPr="006A64EE">
              <w:rPr>
                <w:sz w:val="20"/>
                <w:szCs w:val="20"/>
              </w:rPr>
              <w:t>4 %</w:t>
            </w:r>
          </w:p>
        </w:tc>
      </w:tr>
      <w:tr w:rsidR="00593482" w:rsidRPr="006A64EE" w14:paraId="2C4C84DD" w14:textId="77777777" w:rsidTr="009A058C">
        <w:tc>
          <w:tcPr>
            <w:tcW w:w="686" w:type="dxa"/>
          </w:tcPr>
          <w:p w14:paraId="53C229E4" w14:textId="77777777" w:rsidR="002D5756" w:rsidRPr="006A64EE" w:rsidRDefault="009C2544" w:rsidP="004255F8">
            <w:pPr>
              <w:pStyle w:val="TableParagraph"/>
              <w:widowControl/>
              <w:suppressAutoHyphens/>
              <w:jc w:val="center"/>
              <w:rPr>
                <w:sz w:val="20"/>
                <w:szCs w:val="20"/>
              </w:rPr>
            </w:pPr>
            <w:r w:rsidRPr="006A64EE">
              <w:rPr>
                <w:sz w:val="20"/>
                <w:szCs w:val="20"/>
              </w:rPr>
              <w:t>52</w:t>
            </w:r>
          </w:p>
        </w:tc>
        <w:tc>
          <w:tcPr>
            <w:tcW w:w="902" w:type="dxa"/>
          </w:tcPr>
          <w:p w14:paraId="5ACE01F1" w14:textId="77777777" w:rsidR="002D5756" w:rsidRPr="006A64EE" w:rsidRDefault="002D5756" w:rsidP="004255F8">
            <w:pPr>
              <w:pStyle w:val="TableParagraph"/>
              <w:widowControl/>
              <w:suppressAutoHyphens/>
              <w:rPr>
                <w:sz w:val="20"/>
                <w:szCs w:val="20"/>
              </w:rPr>
            </w:pPr>
          </w:p>
        </w:tc>
        <w:tc>
          <w:tcPr>
            <w:tcW w:w="750" w:type="dxa"/>
          </w:tcPr>
          <w:p w14:paraId="2C2D6CE5" w14:textId="77777777" w:rsidR="002D5756" w:rsidRPr="006A64EE" w:rsidRDefault="002D5756" w:rsidP="004255F8">
            <w:pPr>
              <w:pStyle w:val="TableParagraph"/>
              <w:widowControl/>
              <w:suppressAutoHyphens/>
              <w:rPr>
                <w:sz w:val="20"/>
                <w:szCs w:val="20"/>
              </w:rPr>
            </w:pPr>
          </w:p>
        </w:tc>
        <w:tc>
          <w:tcPr>
            <w:tcW w:w="899" w:type="dxa"/>
          </w:tcPr>
          <w:p w14:paraId="4346E5A3" w14:textId="73A19F9A" w:rsidR="002D5756" w:rsidRPr="006A64EE" w:rsidRDefault="009C2544" w:rsidP="004255F8">
            <w:pPr>
              <w:pStyle w:val="TableParagraph"/>
              <w:widowControl/>
              <w:suppressAutoHyphens/>
              <w:jc w:val="center"/>
              <w:rPr>
                <w:sz w:val="20"/>
                <w:szCs w:val="20"/>
              </w:rPr>
            </w:pPr>
            <w:r w:rsidRPr="006A64EE">
              <w:rPr>
                <w:sz w:val="20"/>
                <w:szCs w:val="20"/>
              </w:rPr>
              <w:t>36 %***</w:t>
            </w:r>
          </w:p>
        </w:tc>
        <w:tc>
          <w:tcPr>
            <w:tcW w:w="899" w:type="dxa"/>
          </w:tcPr>
          <w:p w14:paraId="11E473DC" w14:textId="77777777" w:rsidR="002D5756" w:rsidRPr="006A64EE" w:rsidRDefault="009C2544" w:rsidP="004255F8">
            <w:pPr>
              <w:pStyle w:val="TableParagraph"/>
              <w:widowControl/>
              <w:suppressAutoHyphens/>
              <w:jc w:val="center"/>
              <w:rPr>
                <w:sz w:val="20"/>
                <w:szCs w:val="20"/>
              </w:rPr>
            </w:pPr>
            <w:r w:rsidRPr="006A64EE">
              <w:rPr>
                <w:sz w:val="20"/>
                <w:szCs w:val="20"/>
              </w:rPr>
              <w:t>10 %</w:t>
            </w:r>
          </w:p>
        </w:tc>
        <w:tc>
          <w:tcPr>
            <w:tcW w:w="899" w:type="dxa"/>
          </w:tcPr>
          <w:p w14:paraId="043D8A01" w14:textId="77777777" w:rsidR="002D5756" w:rsidRPr="006A64EE" w:rsidRDefault="002D5756" w:rsidP="004255F8">
            <w:pPr>
              <w:pStyle w:val="TableParagraph"/>
              <w:widowControl/>
              <w:suppressAutoHyphens/>
              <w:rPr>
                <w:sz w:val="20"/>
                <w:szCs w:val="20"/>
              </w:rPr>
            </w:pPr>
          </w:p>
        </w:tc>
        <w:tc>
          <w:tcPr>
            <w:tcW w:w="899" w:type="dxa"/>
          </w:tcPr>
          <w:p w14:paraId="47E3FBFD" w14:textId="77777777" w:rsidR="002D5756" w:rsidRPr="006A64EE" w:rsidRDefault="002D5756" w:rsidP="004255F8">
            <w:pPr>
              <w:pStyle w:val="TableParagraph"/>
              <w:widowControl/>
              <w:suppressAutoHyphens/>
              <w:rPr>
                <w:sz w:val="20"/>
                <w:szCs w:val="20"/>
              </w:rPr>
            </w:pPr>
          </w:p>
        </w:tc>
        <w:tc>
          <w:tcPr>
            <w:tcW w:w="990" w:type="dxa"/>
          </w:tcPr>
          <w:p w14:paraId="1046F886" w14:textId="77777777" w:rsidR="002D5756" w:rsidRPr="006A64EE" w:rsidRDefault="002D5756" w:rsidP="004255F8">
            <w:pPr>
              <w:pStyle w:val="TableParagraph"/>
              <w:widowControl/>
              <w:suppressAutoHyphens/>
              <w:rPr>
                <w:sz w:val="20"/>
                <w:szCs w:val="20"/>
              </w:rPr>
            </w:pPr>
          </w:p>
        </w:tc>
        <w:tc>
          <w:tcPr>
            <w:tcW w:w="985" w:type="dxa"/>
          </w:tcPr>
          <w:p w14:paraId="0DB8D778" w14:textId="77777777" w:rsidR="002D5756" w:rsidRPr="006A64EE" w:rsidRDefault="002D5756" w:rsidP="004255F8">
            <w:pPr>
              <w:pStyle w:val="TableParagraph"/>
              <w:widowControl/>
              <w:suppressAutoHyphens/>
              <w:rPr>
                <w:sz w:val="20"/>
                <w:szCs w:val="20"/>
              </w:rPr>
            </w:pPr>
          </w:p>
        </w:tc>
        <w:tc>
          <w:tcPr>
            <w:tcW w:w="901" w:type="dxa"/>
          </w:tcPr>
          <w:p w14:paraId="072EBF35" w14:textId="77777777" w:rsidR="002D5756" w:rsidRPr="006A64EE" w:rsidRDefault="002D5756" w:rsidP="004255F8">
            <w:pPr>
              <w:pStyle w:val="TableParagraph"/>
              <w:widowControl/>
              <w:suppressAutoHyphens/>
              <w:rPr>
                <w:sz w:val="20"/>
                <w:szCs w:val="20"/>
              </w:rPr>
            </w:pPr>
          </w:p>
        </w:tc>
        <w:tc>
          <w:tcPr>
            <w:tcW w:w="899" w:type="dxa"/>
          </w:tcPr>
          <w:p w14:paraId="276A18F7" w14:textId="77777777" w:rsidR="002D5756" w:rsidRPr="006A64EE" w:rsidRDefault="002D5756" w:rsidP="004255F8">
            <w:pPr>
              <w:pStyle w:val="TableParagraph"/>
              <w:widowControl/>
              <w:suppressAutoHyphens/>
              <w:rPr>
                <w:sz w:val="20"/>
                <w:szCs w:val="20"/>
              </w:rPr>
            </w:pPr>
          </w:p>
        </w:tc>
      </w:tr>
      <w:tr w:rsidR="00593482" w:rsidRPr="006A64EE" w14:paraId="0AFA88E4" w14:textId="77777777" w:rsidTr="009A058C">
        <w:tc>
          <w:tcPr>
            <w:tcW w:w="9709" w:type="dxa"/>
            <w:gridSpan w:val="11"/>
          </w:tcPr>
          <w:p w14:paraId="0E91D08E" w14:textId="77777777" w:rsidR="002D5756" w:rsidRPr="006A64EE" w:rsidRDefault="009C2544" w:rsidP="004255F8">
            <w:pPr>
              <w:pStyle w:val="TableParagraph"/>
              <w:keepNext/>
              <w:widowControl/>
              <w:suppressAutoHyphens/>
              <w:jc w:val="center"/>
              <w:rPr>
                <w:b/>
                <w:sz w:val="20"/>
                <w:szCs w:val="20"/>
              </w:rPr>
            </w:pPr>
            <w:r w:rsidRPr="006A64EE">
              <w:rPr>
                <w:b/>
                <w:sz w:val="20"/>
                <w:szCs w:val="20"/>
              </w:rPr>
              <w:t>ACR70</w:t>
            </w:r>
          </w:p>
        </w:tc>
      </w:tr>
      <w:tr w:rsidR="00593482" w:rsidRPr="006A64EE" w14:paraId="49941E62" w14:textId="77777777" w:rsidTr="009A058C">
        <w:tc>
          <w:tcPr>
            <w:tcW w:w="686" w:type="dxa"/>
          </w:tcPr>
          <w:p w14:paraId="48625A3C" w14:textId="77777777" w:rsidR="002D5756" w:rsidRPr="006A64EE" w:rsidRDefault="009C2544" w:rsidP="004255F8">
            <w:pPr>
              <w:pStyle w:val="TableParagraph"/>
              <w:widowControl/>
              <w:suppressAutoHyphens/>
              <w:jc w:val="center"/>
              <w:rPr>
                <w:sz w:val="20"/>
                <w:szCs w:val="20"/>
              </w:rPr>
            </w:pPr>
            <w:r w:rsidRPr="006A64EE">
              <w:rPr>
                <w:sz w:val="20"/>
                <w:szCs w:val="20"/>
              </w:rPr>
              <w:t>24</w:t>
            </w:r>
          </w:p>
        </w:tc>
        <w:tc>
          <w:tcPr>
            <w:tcW w:w="902" w:type="dxa"/>
          </w:tcPr>
          <w:p w14:paraId="002C8D9C" w14:textId="77777777" w:rsidR="002D5756" w:rsidRPr="006A64EE" w:rsidRDefault="009C2544" w:rsidP="004255F8">
            <w:pPr>
              <w:pStyle w:val="TableParagraph"/>
              <w:widowControl/>
              <w:suppressAutoHyphens/>
              <w:jc w:val="center"/>
              <w:rPr>
                <w:sz w:val="20"/>
                <w:szCs w:val="20"/>
              </w:rPr>
            </w:pPr>
            <w:r w:rsidRPr="006A64EE">
              <w:rPr>
                <w:sz w:val="20"/>
                <w:szCs w:val="20"/>
              </w:rPr>
              <w:t>28 %**</w:t>
            </w:r>
          </w:p>
        </w:tc>
        <w:tc>
          <w:tcPr>
            <w:tcW w:w="750" w:type="dxa"/>
          </w:tcPr>
          <w:p w14:paraId="48415D08" w14:textId="77777777" w:rsidR="002D5756" w:rsidRPr="006A64EE" w:rsidRDefault="009C2544" w:rsidP="004255F8">
            <w:pPr>
              <w:pStyle w:val="TableParagraph"/>
              <w:widowControl/>
              <w:suppressAutoHyphens/>
              <w:jc w:val="center"/>
              <w:rPr>
                <w:sz w:val="20"/>
                <w:szCs w:val="20"/>
              </w:rPr>
            </w:pPr>
            <w:r w:rsidRPr="006A64EE">
              <w:rPr>
                <w:sz w:val="20"/>
                <w:szCs w:val="20"/>
              </w:rPr>
              <w:t>15 %</w:t>
            </w:r>
          </w:p>
        </w:tc>
        <w:tc>
          <w:tcPr>
            <w:tcW w:w="899" w:type="dxa"/>
          </w:tcPr>
          <w:p w14:paraId="66B8ECEA" w14:textId="1ADEE270" w:rsidR="002D5756" w:rsidRPr="006A64EE" w:rsidRDefault="009C2544" w:rsidP="004255F8">
            <w:pPr>
              <w:pStyle w:val="TableParagraph"/>
              <w:widowControl/>
              <w:suppressAutoHyphens/>
              <w:jc w:val="center"/>
              <w:rPr>
                <w:sz w:val="20"/>
                <w:szCs w:val="20"/>
              </w:rPr>
            </w:pPr>
            <w:r w:rsidRPr="006A64EE">
              <w:rPr>
                <w:sz w:val="20"/>
                <w:szCs w:val="20"/>
              </w:rPr>
              <w:t>13 %***</w:t>
            </w:r>
          </w:p>
        </w:tc>
        <w:tc>
          <w:tcPr>
            <w:tcW w:w="899" w:type="dxa"/>
          </w:tcPr>
          <w:p w14:paraId="5F65BF7F" w14:textId="77777777" w:rsidR="002D5756" w:rsidRPr="006A64EE" w:rsidRDefault="009C2544" w:rsidP="004255F8">
            <w:pPr>
              <w:pStyle w:val="TableParagraph"/>
              <w:widowControl/>
              <w:suppressAutoHyphens/>
              <w:jc w:val="center"/>
              <w:rPr>
                <w:sz w:val="20"/>
                <w:szCs w:val="20"/>
              </w:rPr>
            </w:pPr>
            <w:r w:rsidRPr="006A64EE">
              <w:rPr>
                <w:sz w:val="20"/>
                <w:szCs w:val="20"/>
              </w:rPr>
              <w:t>2 %</w:t>
            </w:r>
          </w:p>
        </w:tc>
        <w:tc>
          <w:tcPr>
            <w:tcW w:w="899" w:type="dxa"/>
          </w:tcPr>
          <w:p w14:paraId="3A37D848" w14:textId="31D373F8" w:rsidR="002D5756" w:rsidRPr="006A64EE" w:rsidRDefault="009C2544" w:rsidP="004255F8">
            <w:pPr>
              <w:pStyle w:val="TableParagraph"/>
              <w:widowControl/>
              <w:suppressAutoHyphens/>
              <w:jc w:val="center"/>
              <w:rPr>
                <w:sz w:val="20"/>
                <w:szCs w:val="20"/>
              </w:rPr>
            </w:pPr>
            <w:r w:rsidRPr="006A64EE">
              <w:rPr>
                <w:sz w:val="20"/>
                <w:szCs w:val="20"/>
              </w:rPr>
              <w:t>22 %***</w:t>
            </w:r>
          </w:p>
        </w:tc>
        <w:tc>
          <w:tcPr>
            <w:tcW w:w="899" w:type="dxa"/>
          </w:tcPr>
          <w:p w14:paraId="0B71188D" w14:textId="77777777" w:rsidR="002D5756" w:rsidRPr="006A64EE" w:rsidRDefault="009C2544" w:rsidP="004255F8">
            <w:pPr>
              <w:pStyle w:val="TableParagraph"/>
              <w:widowControl/>
              <w:suppressAutoHyphens/>
              <w:jc w:val="center"/>
              <w:rPr>
                <w:sz w:val="20"/>
                <w:szCs w:val="20"/>
              </w:rPr>
            </w:pPr>
            <w:r w:rsidRPr="006A64EE">
              <w:rPr>
                <w:sz w:val="20"/>
                <w:szCs w:val="20"/>
              </w:rPr>
              <w:t>2 %</w:t>
            </w:r>
          </w:p>
        </w:tc>
        <w:tc>
          <w:tcPr>
            <w:tcW w:w="990" w:type="dxa"/>
          </w:tcPr>
          <w:p w14:paraId="0CC79D43" w14:textId="77777777" w:rsidR="002D5756" w:rsidRPr="006A64EE" w:rsidRDefault="009C2544" w:rsidP="004255F8">
            <w:pPr>
              <w:pStyle w:val="TableParagraph"/>
              <w:widowControl/>
              <w:suppressAutoHyphens/>
              <w:jc w:val="center"/>
              <w:rPr>
                <w:sz w:val="20"/>
                <w:szCs w:val="20"/>
              </w:rPr>
            </w:pPr>
            <w:r w:rsidRPr="006A64EE">
              <w:rPr>
                <w:sz w:val="20"/>
                <w:szCs w:val="20"/>
              </w:rPr>
              <w:t>21 %***</w:t>
            </w:r>
          </w:p>
        </w:tc>
        <w:tc>
          <w:tcPr>
            <w:tcW w:w="985" w:type="dxa"/>
          </w:tcPr>
          <w:p w14:paraId="60E8C41E" w14:textId="77777777" w:rsidR="002D5756" w:rsidRPr="006A64EE" w:rsidRDefault="009C2544" w:rsidP="004255F8">
            <w:pPr>
              <w:pStyle w:val="TableParagraph"/>
              <w:widowControl/>
              <w:suppressAutoHyphens/>
              <w:jc w:val="center"/>
              <w:rPr>
                <w:sz w:val="20"/>
                <w:szCs w:val="20"/>
              </w:rPr>
            </w:pPr>
            <w:r w:rsidRPr="006A64EE">
              <w:rPr>
                <w:sz w:val="20"/>
                <w:szCs w:val="20"/>
              </w:rPr>
              <w:t>3 %</w:t>
            </w:r>
          </w:p>
        </w:tc>
        <w:tc>
          <w:tcPr>
            <w:tcW w:w="901" w:type="dxa"/>
          </w:tcPr>
          <w:p w14:paraId="5CB89640" w14:textId="77777777" w:rsidR="002D5756" w:rsidRPr="006A64EE" w:rsidRDefault="009C2544" w:rsidP="004255F8">
            <w:pPr>
              <w:pStyle w:val="TableParagraph"/>
              <w:widowControl/>
              <w:suppressAutoHyphens/>
              <w:rPr>
                <w:sz w:val="20"/>
                <w:szCs w:val="20"/>
              </w:rPr>
            </w:pPr>
            <w:r w:rsidRPr="006A64EE">
              <w:rPr>
                <w:sz w:val="20"/>
                <w:szCs w:val="20"/>
              </w:rPr>
              <w:t>12 %**</w:t>
            </w:r>
          </w:p>
        </w:tc>
        <w:tc>
          <w:tcPr>
            <w:tcW w:w="899" w:type="dxa"/>
          </w:tcPr>
          <w:p w14:paraId="30690FE9" w14:textId="77777777" w:rsidR="002D5756" w:rsidRPr="006A64EE" w:rsidRDefault="009C2544" w:rsidP="004255F8">
            <w:pPr>
              <w:pStyle w:val="TableParagraph"/>
              <w:widowControl/>
              <w:suppressAutoHyphens/>
              <w:jc w:val="center"/>
              <w:rPr>
                <w:sz w:val="20"/>
                <w:szCs w:val="20"/>
              </w:rPr>
            </w:pPr>
            <w:r w:rsidRPr="006A64EE">
              <w:rPr>
                <w:sz w:val="20"/>
                <w:szCs w:val="20"/>
              </w:rPr>
              <w:t>1 %</w:t>
            </w:r>
          </w:p>
        </w:tc>
      </w:tr>
      <w:tr w:rsidR="00593482" w:rsidRPr="006A64EE" w14:paraId="1EF3A215" w14:textId="77777777" w:rsidTr="009A058C">
        <w:tc>
          <w:tcPr>
            <w:tcW w:w="686" w:type="dxa"/>
          </w:tcPr>
          <w:p w14:paraId="525E6D0B" w14:textId="77777777" w:rsidR="002D5756" w:rsidRPr="006A64EE" w:rsidRDefault="009C2544" w:rsidP="004255F8">
            <w:pPr>
              <w:pStyle w:val="TableParagraph"/>
              <w:widowControl/>
              <w:suppressAutoHyphens/>
              <w:jc w:val="center"/>
              <w:rPr>
                <w:sz w:val="20"/>
                <w:szCs w:val="20"/>
              </w:rPr>
            </w:pPr>
            <w:r w:rsidRPr="006A64EE">
              <w:rPr>
                <w:sz w:val="20"/>
                <w:szCs w:val="20"/>
              </w:rPr>
              <w:t>52</w:t>
            </w:r>
          </w:p>
        </w:tc>
        <w:tc>
          <w:tcPr>
            <w:tcW w:w="1652" w:type="dxa"/>
            <w:gridSpan w:val="2"/>
          </w:tcPr>
          <w:p w14:paraId="0B8A17DD" w14:textId="77777777" w:rsidR="002D5756" w:rsidRPr="006A64EE" w:rsidRDefault="002D5756" w:rsidP="004255F8">
            <w:pPr>
              <w:pStyle w:val="TableParagraph"/>
              <w:widowControl/>
              <w:suppressAutoHyphens/>
              <w:rPr>
                <w:sz w:val="20"/>
                <w:szCs w:val="20"/>
              </w:rPr>
            </w:pPr>
          </w:p>
        </w:tc>
        <w:tc>
          <w:tcPr>
            <w:tcW w:w="899" w:type="dxa"/>
          </w:tcPr>
          <w:p w14:paraId="75AEAA51" w14:textId="42859CD8" w:rsidR="002D5756" w:rsidRPr="006A64EE" w:rsidRDefault="009C2544" w:rsidP="004255F8">
            <w:pPr>
              <w:pStyle w:val="TableParagraph"/>
              <w:widowControl/>
              <w:suppressAutoHyphens/>
              <w:jc w:val="center"/>
              <w:rPr>
                <w:sz w:val="20"/>
                <w:szCs w:val="20"/>
              </w:rPr>
            </w:pPr>
            <w:r w:rsidRPr="006A64EE">
              <w:rPr>
                <w:sz w:val="20"/>
                <w:szCs w:val="20"/>
              </w:rPr>
              <w:t>20 %***</w:t>
            </w:r>
          </w:p>
        </w:tc>
        <w:tc>
          <w:tcPr>
            <w:tcW w:w="899" w:type="dxa"/>
          </w:tcPr>
          <w:p w14:paraId="48C8D525" w14:textId="77777777" w:rsidR="002D5756" w:rsidRPr="006A64EE" w:rsidRDefault="009C2544" w:rsidP="004255F8">
            <w:pPr>
              <w:pStyle w:val="TableParagraph"/>
              <w:widowControl/>
              <w:suppressAutoHyphens/>
              <w:jc w:val="center"/>
              <w:rPr>
                <w:sz w:val="20"/>
                <w:szCs w:val="20"/>
              </w:rPr>
            </w:pPr>
            <w:r w:rsidRPr="006A64EE">
              <w:rPr>
                <w:sz w:val="20"/>
                <w:szCs w:val="20"/>
              </w:rPr>
              <w:t>4 %</w:t>
            </w:r>
          </w:p>
        </w:tc>
        <w:tc>
          <w:tcPr>
            <w:tcW w:w="1798" w:type="dxa"/>
            <w:gridSpan w:val="2"/>
          </w:tcPr>
          <w:p w14:paraId="5BA5BFAF" w14:textId="77777777" w:rsidR="002D5756" w:rsidRPr="006A64EE" w:rsidRDefault="002D5756" w:rsidP="004255F8">
            <w:pPr>
              <w:pStyle w:val="TableParagraph"/>
              <w:widowControl/>
              <w:suppressAutoHyphens/>
              <w:rPr>
                <w:sz w:val="20"/>
                <w:szCs w:val="20"/>
              </w:rPr>
            </w:pPr>
          </w:p>
        </w:tc>
        <w:tc>
          <w:tcPr>
            <w:tcW w:w="990" w:type="dxa"/>
          </w:tcPr>
          <w:p w14:paraId="00B79537" w14:textId="77777777" w:rsidR="002D5756" w:rsidRPr="006A64EE" w:rsidRDefault="002D5756" w:rsidP="004255F8">
            <w:pPr>
              <w:pStyle w:val="TableParagraph"/>
              <w:widowControl/>
              <w:suppressAutoHyphens/>
              <w:rPr>
                <w:sz w:val="20"/>
                <w:szCs w:val="20"/>
              </w:rPr>
            </w:pPr>
          </w:p>
        </w:tc>
        <w:tc>
          <w:tcPr>
            <w:tcW w:w="985" w:type="dxa"/>
          </w:tcPr>
          <w:p w14:paraId="1DE3FD07" w14:textId="77777777" w:rsidR="002D5756" w:rsidRPr="006A64EE" w:rsidRDefault="002D5756" w:rsidP="004255F8">
            <w:pPr>
              <w:pStyle w:val="TableParagraph"/>
              <w:widowControl/>
              <w:suppressAutoHyphens/>
              <w:rPr>
                <w:sz w:val="20"/>
                <w:szCs w:val="20"/>
              </w:rPr>
            </w:pPr>
          </w:p>
        </w:tc>
        <w:tc>
          <w:tcPr>
            <w:tcW w:w="901" w:type="dxa"/>
          </w:tcPr>
          <w:p w14:paraId="4E6EC92A" w14:textId="77777777" w:rsidR="002D5756" w:rsidRPr="006A64EE" w:rsidRDefault="002D5756" w:rsidP="004255F8">
            <w:pPr>
              <w:pStyle w:val="TableParagraph"/>
              <w:widowControl/>
              <w:suppressAutoHyphens/>
              <w:rPr>
                <w:sz w:val="20"/>
                <w:szCs w:val="20"/>
              </w:rPr>
            </w:pPr>
          </w:p>
        </w:tc>
        <w:tc>
          <w:tcPr>
            <w:tcW w:w="899" w:type="dxa"/>
          </w:tcPr>
          <w:p w14:paraId="0B282A83" w14:textId="77777777" w:rsidR="002D5756" w:rsidRPr="006A64EE" w:rsidRDefault="002D5756" w:rsidP="004255F8">
            <w:pPr>
              <w:pStyle w:val="TableParagraph"/>
              <w:widowControl/>
              <w:suppressAutoHyphens/>
              <w:rPr>
                <w:sz w:val="20"/>
                <w:szCs w:val="20"/>
              </w:rPr>
            </w:pPr>
          </w:p>
        </w:tc>
      </w:tr>
    </w:tbl>
    <w:p w14:paraId="7F2555CC" w14:textId="77777777" w:rsidR="00093A5E" w:rsidRPr="006A64EE" w:rsidRDefault="009C2544" w:rsidP="004255F8">
      <w:pPr>
        <w:widowControl/>
        <w:tabs>
          <w:tab w:val="left" w:pos="709"/>
        </w:tabs>
        <w:rPr>
          <w:i/>
          <w:sz w:val="18"/>
          <w:szCs w:val="18"/>
        </w:rPr>
      </w:pPr>
      <w:r w:rsidRPr="006A64EE">
        <w:rPr>
          <w:i/>
          <w:sz w:val="18"/>
          <w:szCs w:val="18"/>
        </w:rPr>
        <w:t>TCZ</w:t>
      </w:r>
      <w:r w:rsidRPr="006A64EE">
        <w:rPr>
          <w:i/>
          <w:sz w:val="18"/>
          <w:szCs w:val="18"/>
        </w:rPr>
        <w:tab/>
        <w:t>- Tocilizumab</w:t>
      </w:r>
    </w:p>
    <w:p w14:paraId="40B2357F" w14:textId="77777777" w:rsidR="00093A5E" w:rsidRPr="006A64EE" w:rsidRDefault="009C2544" w:rsidP="004255F8">
      <w:pPr>
        <w:widowControl/>
        <w:tabs>
          <w:tab w:val="left" w:pos="709"/>
        </w:tabs>
        <w:rPr>
          <w:i/>
          <w:sz w:val="18"/>
          <w:szCs w:val="18"/>
        </w:rPr>
      </w:pPr>
      <w:r w:rsidRPr="006A64EE">
        <w:rPr>
          <w:i/>
          <w:sz w:val="18"/>
          <w:szCs w:val="18"/>
        </w:rPr>
        <w:t>MTX</w:t>
      </w:r>
      <w:r w:rsidRPr="006A64EE">
        <w:rPr>
          <w:i/>
          <w:sz w:val="18"/>
          <w:szCs w:val="18"/>
        </w:rPr>
        <w:tab/>
        <w:t>- Methotrexat</w:t>
      </w:r>
    </w:p>
    <w:p w14:paraId="1964C08E" w14:textId="77777777" w:rsidR="00093A5E" w:rsidRPr="006A64EE" w:rsidRDefault="009C2544" w:rsidP="004255F8">
      <w:pPr>
        <w:widowControl/>
        <w:tabs>
          <w:tab w:val="left" w:pos="709"/>
        </w:tabs>
        <w:rPr>
          <w:i/>
          <w:sz w:val="18"/>
          <w:szCs w:val="18"/>
        </w:rPr>
      </w:pPr>
      <w:r w:rsidRPr="006A64EE">
        <w:rPr>
          <w:i/>
          <w:sz w:val="18"/>
          <w:szCs w:val="18"/>
        </w:rPr>
        <w:t>PBO</w:t>
      </w:r>
      <w:r w:rsidRPr="006A64EE">
        <w:rPr>
          <w:i/>
          <w:sz w:val="18"/>
          <w:szCs w:val="18"/>
        </w:rPr>
        <w:tab/>
        <w:t>- Placebo</w:t>
      </w:r>
    </w:p>
    <w:p w14:paraId="15AEED87" w14:textId="77777777" w:rsidR="00093A5E" w:rsidRPr="00B320E1" w:rsidRDefault="009C2544" w:rsidP="004255F8">
      <w:pPr>
        <w:widowControl/>
        <w:tabs>
          <w:tab w:val="left" w:pos="709"/>
        </w:tabs>
        <w:rPr>
          <w:i/>
          <w:sz w:val="18"/>
          <w:szCs w:val="18"/>
          <w:lang w:val="en-US"/>
        </w:rPr>
      </w:pPr>
      <w:r w:rsidRPr="00B320E1">
        <w:rPr>
          <w:i/>
          <w:sz w:val="18"/>
          <w:szCs w:val="18"/>
          <w:lang w:val="en-US"/>
        </w:rPr>
        <w:t>DMARD</w:t>
      </w:r>
      <w:r w:rsidR="00CE7C1B" w:rsidRPr="00B320E1">
        <w:rPr>
          <w:i/>
          <w:sz w:val="18"/>
          <w:szCs w:val="18"/>
          <w:lang w:val="en-US"/>
        </w:rPr>
        <w:tab/>
      </w:r>
      <w:r w:rsidRPr="00B320E1">
        <w:rPr>
          <w:i/>
          <w:sz w:val="18"/>
          <w:szCs w:val="18"/>
          <w:lang w:val="en-US"/>
        </w:rPr>
        <w:t>- Disease modifying anti-rheumatic drug</w:t>
      </w:r>
    </w:p>
    <w:p w14:paraId="5934DA0C" w14:textId="77777777" w:rsidR="00093A5E" w:rsidRPr="00B320E1" w:rsidRDefault="009C2544" w:rsidP="004255F8">
      <w:pPr>
        <w:widowControl/>
        <w:tabs>
          <w:tab w:val="left" w:pos="709"/>
        </w:tabs>
        <w:rPr>
          <w:i/>
          <w:sz w:val="18"/>
          <w:szCs w:val="18"/>
          <w:lang w:val="en-US"/>
        </w:rPr>
      </w:pPr>
      <w:r w:rsidRPr="00B320E1">
        <w:rPr>
          <w:i/>
          <w:sz w:val="18"/>
          <w:szCs w:val="18"/>
          <w:lang w:val="en-US"/>
        </w:rPr>
        <w:t>**</w:t>
      </w:r>
      <w:r w:rsidRPr="00B320E1">
        <w:rPr>
          <w:i/>
          <w:sz w:val="18"/>
          <w:szCs w:val="18"/>
          <w:lang w:val="en-US"/>
        </w:rPr>
        <w:tab/>
        <w:t>- p &lt; 0,01, TCZ vs. PBO + MTX/DMARD</w:t>
      </w:r>
    </w:p>
    <w:p w14:paraId="510333A1" w14:textId="77777777" w:rsidR="00093A5E" w:rsidRPr="00B320E1" w:rsidRDefault="009C2544" w:rsidP="004255F8">
      <w:pPr>
        <w:widowControl/>
        <w:tabs>
          <w:tab w:val="left" w:pos="709"/>
        </w:tabs>
        <w:rPr>
          <w:i/>
          <w:sz w:val="18"/>
          <w:szCs w:val="18"/>
          <w:lang w:val="en-US"/>
        </w:rPr>
      </w:pPr>
      <w:r w:rsidRPr="00B320E1">
        <w:rPr>
          <w:i/>
          <w:sz w:val="18"/>
          <w:szCs w:val="18"/>
          <w:lang w:val="en-US"/>
        </w:rPr>
        <w:t>***</w:t>
      </w:r>
      <w:r w:rsidRPr="00B320E1">
        <w:rPr>
          <w:i/>
          <w:sz w:val="18"/>
          <w:szCs w:val="18"/>
          <w:lang w:val="en-US"/>
        </w:rPr>
        <w:tab/>
        <w:t>- p &lt; 0,0001, TCZ vs. PBO + MTX/DMARD</w:t>
      </w:r>
    </w:p>
    <w:p w14:paraId="02E09483" w14:textId="77777777" w:rsidR="00093A5E" w:rsidRPr="00B320E1" w:rsidRDefault="00093A5E" w:rsidP="004255F8">
      <w:pPr>
        <w:pStyle w:val="a3"/>
        <w:widowControl/>
        <w:rPr>
          <w:i/>
          <w:lang w:val="en-US"/>
        </w:rPr>
      </w:pPr>
    </w:p>
    <w:p w14:paraId="3FAAFFD7" w14:textId="77777777" w:rsidR="00093A5E" w:rsidRPr="006A64EE" w:rsidRDefault="009C2544" w:rsidP="004255F8">
      <w:pPr>
        <w:widowControl/>
        <w:rPr>
          <w:i/>
        </w:rPr>
      </w:pPr>
      <w:r w:rsidRPr="006A64EE">
        <w:rPr>
          <w:i/>
        </w:rPr>
        <w:t>Bedeutendes klinisches Ansprechen</w:t>
      </w:r>
    </w:p>
    <w:p w14:paraId="2670870A" w14:textId="6702CA07" w:rsidR="00093A5E" w:rsidRPr="006A64EE" w:rsidRDefault="009C2544" w:rsidP="004255F8">
      <w:pPr>
        <w:pStyle w:val="a3"/>
        <w:widowControl/>
      </w:pPr>
      <w:r w:rsidRPr="006A64EE">
        <w:t xml:space="preserve">2 Jahre nach der Behandlung mit </w:t>
      </w:r>
      <w:r w:rsidR="006E7EAA">
        <w:t>Tocilizumab</w:t>
      </w:r>
      <w:r w:rsidRPr="006A64EE">
        <w:t xml:space="preserve"> plus MTX erreichten 14 % der Patienten ein bedeutendes klinisches Ansprechen (Erhaltung eines ACR70-Ansprechens für 24 Wochen oder länger).</w:t>
      </w:r>
    </w:p>
    <w:p w14:paraId="45F94441" w14:textId="77777777" w:rsidR="00093A5E" w:rsidRPr="006A64EE" w:rsidRDefault="00093A5E" w:rsidP="004255F8">
      <w:pPr>
        <w:pStyle w:val="a3"/>
        <w:widowControl/>
      </w:pPr>
    </w:p>
    <w:p w14:paraId="7ED2E7E4" w14:textId="77777777" w:rsidR="00093A5E" w:rsidRPr="006A64EE" w:rsidRDefault="009C2544" w:rsidP="00B320E1">
      <w:pPr>
        <w:keepNext/>
        <w:widowControl/>
        <w:rPr>
          <w:i/>
        </w:rPr>
      </w:pPr>
      <w:r w:rsidRPr="006A64EE">
        <w:rPr>
          <w:i/>
        </w:rPr>
        <w:t>Radiologisches Ansprechen</w:t>
      </w:r>
    </w:p>
    <w:p w14:paraId="19D243F8" w14:textId="48235C28" w:rsidR="00093A5E" w:rsidRPr="006A64EE" w:rsidRDefault="009C2544" w:rsidP="004255F8">
      <w:pPr>
        <w:pStyle w:val="a3"/>
        <w:widowControl/>
      </w:pPr>
      <w:r w:rsidRPr="006A64EE">
        <w:t xml:space="preserve">In Studie II wurde die Verhinderung von Gelenkschädigungen bei Patienten mit unzureichendem Ansprechen auf MTX radiologisch bewertet und anhand der Veränderung des modifizierten Sharp-Scores und seiner Komponenten, dem Ausmaß der Erosionen und der Gelenkspaltverengung dargestellt. Die Verhinderung der Gelenkstrukturschäden wurde bei Patienten, die </w:t>
      </w:r>
      <w:r w:rsidR="006E7EAA">
        <w:t>Tocilizumab</w:t>
      </w:r>
      <w:r w:rsidRPr="006A64EE">
        <w:t xml:space="preserve"> erhielten, im Vergleich zur Kontrollgruppe durch eine signifikant geringere radiologische Progression nachgewiesen (Tabelle 6).</w:t>
      </w:r>
    </w:p>
    <w:p w14:paraId="32863312" w14:textId="77777777" w:rsidR="00093A5E" w:rsidRPr="006A64EE" w:rsidRDefault="00093A5E" w:rsidP="004255F8">
      <w:pPr>
        <w:pStyle w:val="a3"/>
        <w:widowControl/>
      </w:pPr>
    </w:p>
    <w:p w14:paraId="0B7157B2" w14:textId="5C916A5A" w:rsidR="00093A5E" w:rsidRPr="006A64EE" w:rsidRDefault="009C2544" w:rsidP="004255F8">
      <w:pPr>
        <w:pStyle w:val="a3"/>
        <w:widowControl/>
      </w:pPr>
      <w:r w:rsidRPr="006A64EE">
        <w:t xml:space="preserve">In der offenen Verlängerung der Studie II wurde die Hemmung der Progression struktureller Gelenkschäden bei Patienten, die </w:t>
      </w:r>
      <w:r w:rsidR="006E7EAA">
        <w:t>Tocilizumab</w:t>
      </w:r>
      <w:r w:rsidRPr="006A64EE">
        <w:t xml:space="preserve"> plus MTX erhielten, während des 2. Behandlungsjahres aufrechterhalten. Verglichen mit dem Ausgangswert war der Mittelwert der Veränderung in Woche 104 gemäß Gesamt-Sharp-Genant-Score signifikant geringer bei Patienten, die 8 mg/kg </w:t>
      </w:r>
      <w:r w:rsidR="006E7EAA">
        <w:t>Tocilizumab</w:t>
      </w:r>
      <w:r w:rsidRPr="006A64EE">
        <w:t xml:space="preserve"> plus MTX erhalten hatten (p &lt; 0,0001), als bei Patienten, die in die Placebo plus MTX-Gruppe randomisiert worden waren.</w:t>
      </w:r>
    </w:p>
    <w:p w14:paraId="163E0E66" w14:textId="77777777" w:rsidR="00093A5E" w:rsidRPr="006A64EE" w:rsidRDefault="00093A5E" w:rsidP="004255F8">
      <w:pPr>
        <w:widowControl/>
      </w:pPr>
    </w:p>
    <w:p w14:paraId="57749E0A" w14:textId="77777777" w:rsidR="00093A5E" w:rsidRPr="006A64EE" w:rsidRDefault="007D680A" w:rsidP="004255F8">
      <w:pPr>
        <w:pStyle w:val="Tabletittle"/>
      </w:pPr>
      <w:r w:rsidRPr="006A64EE">
        <w:t>Tabelle 6:</w:t>
      </w:r>
      <w:r w:rsidR="00CE7C1B" w:rsidRPr="006A64EE">
        <w:tab/>
      </w:r>
      <w:r w:rsidRPr="006A64EE">
        <w:t>Mittelwerte der radiologischen Veränderungen während 52 Wochen in Studie II</w:t>
      </w:r>
    </w:p>
    <w:p w14:paraId="4C3E4626" w14:textId="65BB2483" w:rsidR="002D5756" w:rsidRPr="006A64EE" w:rsidRDefault="002D5756" w:rsidP="004255F8">
      <w:pPr>
        <w:pStyle w:val="a3"/>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105"/>
        <w:gridCol w:w="2907"/>
        <w:gridCol w:w="3049"/>
      </w:tblGrid>
      <w:tr w:rsidR="00593482" w:rsidRPr="006A64EE" w14:paraId="1412DFB9" w14:textId="77777777" w:rsidTr="009A058C">
        <w:trPr>
          <w:cantSplit/>
        </w:trPr>
        <w:tc>
          <w:tcPr>
            <w:tcW w:w="2659" w:type="dxa"/>
          </w:tcPr>
          <w:p w14:paraId="0C15ED36" w14:textId="77777777" w:rsidR="002D5756" w:rsidRPr="006A64EE" w:rsidRDefault="002D5756" w:rsidP="004255F8">
            <w:pPr>
              <w:pStyle w:val="TableParagraph"/>
              <w:widowControl/>
              <w:suppressAutoHyphens/>
              <w:jc w:val="center"/>
              <w:rPr>
                <w:sz w:val="20"/>
                <w:szCs w:val="20"/>
              </w:rPr>
            </w:pPr>
          </w:p>
        </w:tc>
        <w:tc>
          <w:tcPr>
            <w:tcW w:w="2489" w:type="dxa"/>
          </w:tcPr>
          <w:p w14:paraId="36F208EC" w14:textId="77777777" w:rsidR="00093A5E" w:rsidRPr="006A64EE" w:rsidRDefault="009C2544" w:rsidP="004255F8">
            <w:pPr>
              <w:pStyle w:val="TableParagraph"/>
              <w:widowControl/>
              <w:suppressAutoHyphens/>
              <w:jc w:val="center"/>
              <w:rPr>
                <w:b/>
                <w:sz w:val="20"/>
                <w:szCs w:val="20"/>
              </w:rPr>
            </w:pPr>
            <w:r w:rsidRPr="006A64EE">
              <w:rPr>
                <w:b/>
                <w:sz w:val="20"/>
                <w:szCs w:val="20"/>
              </w:rPr>
              <w:t>PBO + MTX</w:t>
            </w:r>
          </w:p>
          <w:p w14:paraId="6D76B674" w14:textId="77777777" w:rsidR="00093A5E" w:rsidRPr="006A64EE" w:rsidRDefault="009C2544" w:rsidP="004255F8">
            <w:pPr>
              <w:pStyle w:val="TableParagraph"/>
              <w:widowControl/>
              <w:suppressAutoHyphens/>
              <w:jc w:val="center"/>
              <w:rPr>
                <w:b/>
                <w:sz w:val="20"/>
                <w:szCs w:val="20"/>
              </w:rPr>
            </w:pPr>
            <w:r w:rsidRPr="006A64EE">
              <w:rPr>
                <w:b/>
                <w:sz w:val="20"/>
                <w:szCs w:val="20"/>
              </w:rPr>
              <w:t>(+ TCZ ab Woche 24)</w:t>
            </w:r>
          </w:p>
          <w:p w14:paraId="05D6B694" w14:textId="7E4D1049" w:rsidR="002D5756" w:rsidRPr="006A64EE" w:rsidRDefault="009C2544" w:rsidP="004255F8">
            <w:pPr>
              <w:pStyle w:val="TableParagraph"/>
              <w:widowControl/>
              <w:suppressAutoHyphens/>
              <w:jc w:val="center"/>
              <w:rPr>
                <w:b/>
                <w:sz w:val="20"/>
                <w:szCs w:val="20"/>
              </w:rPr>
            </w:pPr>
            <w:r w:rsidRPr="006A64EE">
              <w:rPr>
                <w:b/>
                <w:sz w:val="20"/>
                <w:szCs w:val="20"/>
              </w:rPr>
              <w:t>n = 393</w:t>
            </w:r>
          </w:p>
        </w:tc>
        <w:tc>
          <w:tcPr>
            <w:tcW w:w="2611" w:type="dxa"/>
          </w:tcPr>
          <w:p w14:paraId="57B887EC" w14:textId="77777777" w:rsidR="00093A5E" w:rsidRPr="006A64EE" w:rsidRDefault="009C2544" w:rsidP="004255F8">
            <w:pPr>
              <w:pStyle w:val="TableParagraph"/>
              <w:widowControl/>
              <w:suppressAutoHyphens/>
              <w:jc w:val="center"/>
              <w:rPr>
                <w:b/>
                <w:sz w:val="20"/>
                <w:szCs w:val="20"/>
              </w:rPr>
            </w:pPr>
            <w:r w:rsidRPr="006A64EE">
              <w:rPr>
                <w:b/>
                <w:sz w:val="20"/>
                <w:szCs w:val="20"/>
              </w:rPr>
              <w:t>TCZ 8 mg/kg + MTX</w:t>
            </w:r>
          </w:p>
          <w:p w14:paraId="5D434F29" w14:textId="77777777" w:rsidR="00093A5E" w:rsidRPr="006A64EE" w:rsidRDefault="00093A5E" w:rsidP="004255F8">
            <w:pPr>
              <w:pStyle w:val="TableParagraph"/>
              <w:widowControl/>
              <w:suppressAutoHyphens/>
              <w:jc w:val="center"/>
              <w:rPr>
                <w:i/>
                <w:sz w:val="20"/>
                <w:szCs w:val="20"/>
              </w:rPr>
            </w:pPr>
          </w:p>
          <w:p w14:paraId="51DFDC4A" w14:textId="77777777" w:rsidR="002D5756" w:rsidRPr="006A64EE" w:rsidRDefault="009C2544" w:rsidP="004255F8">
            <w:pPr>
              <w:pStyle w:val="TableParagraph"/>
              <w:widowControl/>
              <w:suppressAutoHyphens/>
              <w:jc w:val="center"/>
              <w:rPr>
                <w:b/>
                <w:sz w:val="20"/>
                <w:szCs w:val="20"/>
              </w:rPr>
            </w:pPr>
            <w:r w:rsidRPr="006A64EE">
              <w:rPr>
                <w:b/>
                <w:sz w:val="20"/>
                <w:szCs w:val="20"/>
              </w:rPr>
              <w:t>n = 398</w:t>
            </w:r>
          </w:p>
        </w:tc>
      </w:tr>
      <w:tr w:rsidR="00593482" w:rsidRPr="006A64EE" w14:paraId="1BA29C89" w14:textId="77777777" w:rsidTr="009A058C">
        <w:trPr>
          <w:cantSplit/>
        </w:trPr>
        <w:tc>
          <w:tcPr>
            <w:tcW w:w="2659" w:type="dxa"/>
          </w:tcPr>
          <w:p w14:paraId="0B9FFAC2" w14:textId="2228DFFB" w:rsidR="002D5756" w:rsidRPr="006A64EE" w:rsidRDefault="009C2544" w:rsidP="009A058C">
            <w:pPr>
              <w:pStyle w:val="TableParagraph"/>
              <w:widowControl/>
              <w:suppressAutoHyphens/>
              <w:rPr>
                <w:sz w:val="20"/>
                <w:szCs w:val="20"/>
              </w:rPr>
            </w:pPr>
            <w:r w:rsidRPr="006A64EE">
              <w:rPr>
                <w:sz w:val="20"/>
                <w:szCs w:val="20"/>
              </w:rPr>
              <w:t>Gesamt-Sharp-Genant-Score</w:t>
            </w:r>
          </w:p>
        </w:tc>
        <w:tc>
          <w:tcPr>
            <w:tcW w:w="2489" w:type="dxa"/>
          </w:tcPr>
          <w:p w14:paraId="13639B54" w14:textId="77777777" w:rsidR="002D5756" w:rsidRPr="006A64EE" w:rsidRDefault="009C2544" w:rsidP="004255F8">
            <w:pPr>
              <w:pStyle w:val="TableParagraph"/>
              <w:widowControl/>
              <w:suppressAutoHyphens/>
              <w:jc w:val="center"/>
              <w:rPr>
                <w:sz w:val="20"/>
                <w:szCs w:val="20"/>
              </w:rPr>
            </w:pPr>
            <w:r w:rsidRPr="006A64EE">
              <w:rPr>
                <w:sz w:val="20"/>
                <w:szCs w:val="20"/>
              </w:rPr>
              <w:t>1,13</w:t>
            </w:r>
          </w:p>
        </w:tc>
        <w:tc>
          <w:tcPr>
            <w:tcW w:w="2611" w:type="dxa"/>
          </w:tcPr>
          <w:p w14:paraId="6F4A977E" w14:textId="77777777" w:rsidR="002D5756" w:rsidRPr="006A64EE" w:rsidRDefault="009C2544" w:rsidP="004255F8">
            <w:pPr>
              <w:pStyle w:val="TableParagraph"/>
              <w:widowControl/>
              <w:suppressAutoHyphens/>
              <w:jc w:val="center"/>
              <w:rPr>
                <w:sz w:val="20"/>
                <w:szCs w:val="20"/>
              </w:rPr>
            </w:pPr>
            <w:r w:rsidRPr="006A64EE">
              <w:rPr>
                <w:sz w:val="20"/>
                <w:szCs w:val="20"/>
              </w:rPr>
              <w:t>0,29</w:t>
            </w:r>
            <w:r w:rsidRPr="006A64EE">
              <w:rPr>
                <w:sz w:val="20"/>
                <w:szCs w:val="20"/>
                <w:vertAlign w:val="superscript"/>
              </w:rPr>
              <w:t>*</w:t>
            </w:r>
          </w:p>
        </w:tc>
      </w:tr>
      <w:tr w:rsidR="00593482" w:rsidRPr="006A64EE" w14:paraId="0705866F" w14:textId="77777777" w:rsidTr="009A058C">
        <w:trPr>
          <w:cantSplit/>
        </w:trPr>
        <w:tc>
          <w:tcPr>
            <w:tcW w:w="2659" w:type="dxa"/>
          </w:tcPr>
          <w:p w14:paraId="485BECA4" w14:textId="77777777" w:rsidR="002D5756" w:rsidRPr="006A64EE" w:rsidRDefault="009C2544" w:rsidP="004255F8">
            <w:pPr>
              <w:pStyle w:val="TableParagraph"/>
              <w:widowControl/>
              <w:suppressAutoHyphens/>
              <w:rPr>
                <w:sz w:val="20"/>
                <w:szCs w:val="20"/>
              </w:rPr>
            </w:pPr>
            <w:r w:rsidRPr="006A64EE">
              <w:rPr>
                <w:sz w:val="20"/>
                <w:szCs w:val="20"/>
              </w:rPr>
              <w:t>Erosion Score</w:t>
            </w:r>
          </w:p>
        </w:tc>
        <w:tc>
          <w:tcPr>
            <w:tcW w:w="2489" w:type="dxa"/>
          </w:tcPr>
          <w:p w14:paraId="09922440" w14:textId="77777777" w:rsidR="002D5756" w:rsidRPr="006A64EE" w:rsidRDefault="009C2544" w:rsidP="004255F8">
            <w:pPr>
              <w:pStyle w:val="TableParagraph"/>
              <w:widowControl/>
              <w:suppressAutoHyphens/>
              <w:jc w:val="center"/>
              <w:rPr>
                <w:sz w:val="20"/>
                <w:szCs w:val="20"/>
              </w:rPr>
            </w:pPr>
            <w:r w:rsidRPr="006A64EE">
              <w:rPr>
                <w:sz w:val="20"/>
                <w:szCs w:val="20"/>
              </w:rPr>
              <w:t>0,71</w:t>
            </w:r>
          </w:p>
        </w:tc>
        <w:tc>
          <w:tcPr>
            <w:tcW w:w="2611" w:type="dxa"/>
          </w:tcPr>
          <w:p w14:paraId="46856877" w14:textId="77777777" w:rsidR="002D5756" w:rsidRPr="006A64EE" w:rsidRDefault="009C2544" w:rsidP="004255F8">
            <w:pPr>
              <w:pStyle w:val="TableParagraph"/>
              <w:widowControl/>
              <w:suppressAutoHyphens/>
              <w:jc w:val="center"/>
              <w:rPr>
                <w:sz w:val="20"/>
                <w:szCs w:val="20"/>
              </w:rPr>
            </w:pPr>
            <w:r w:rsidRPr="006A64EE">
              <w:rPr>
                <w:sz w:val="20"/>
                <w:szCs w:val="20"/>
              </w:rPr>
              <w:t>0,17</w:t>
            </w:r>
            <w:r w:rsidRPr="006A64EE">
              <w:rPr>
                <w:sz w:val="20"/>
                <w:szCs w:val="20"/>
                <w:vertAlign w:val="superscript"/>
              </w:rPr>
              <w:t>*</w:t>
            </w:r>
          </w:p>
        </w:tc>
      </w:tr>
      <w:tr w:rsidR="00593482" w:rsidRPr="006A64EE" w14:paraId="78C4F8C7" w14:textId="77777777" w:rsidTr="009A058C">
        <w:trPr>
          <w:cantSplit/>
        </w:trPr>
        <w:tc>
          <w:tcPr>
            <w:tcW w:w="2659" w:type="dxa"/>
          </w:tcPr>
          <w:p w14:paraId="7A0304B2" w14:textId="77777777" w:rsidR="002D5756" w:rsidRPr="006A64EE" w:rsidRDefault="009C2544" w:rsidP="004255F8">
            <w:pPr>
              <w:pStyle w:val="TableParagraph"/>
              <w:widowControl/>
              <w:suppressAutoHyphens/>
              <w:rPr>
                <w:sz w:val="20"/>
                <w:szCs w:val="20"/>
              </w:rPr>
            </w:pPr>
            <w:r w:rsidRPr="006A64EE">
              <w:rPr>
                <w:sz w:val="20"/>
                <w:szCs w:val="20"/>
              </w:rPr>
              <w:t>JSN Score</w:t>
            </w:r>
          </w:p>
        </w:tc>
        <w:tc>
          <w:tcPr>
            <w:tcW w:w="2489" w:type="dxa"/>
          </w:tcPr>
          <w:p w14:paraId="60D81F97" w14:textId="77777777" w:rsidR="002D5756" w:rsidRPr="006A64EE" w:rsidRDefault="009C2544" w:rsidP="004255F8">
            <w:pPr>
              <w:pStyle w:val="TableParagraph"/>
              <w:widowControl/>
              <w:suppressAutoHyphens/>
              <w:jc w:val="center"/>
              <w:rPr>
                <w:sz w:val="20"/>
                <w:szCs w:val="20"/>
              </w:rPr>
            </w:pPr>
            <w:r w:rsidRPr="006A64EE">
              <w:rPr>
                <w:sz w:val="20"/>
                <w:szCs w:val="20"/>
              </w:rPr>
              <w:t>0,42</w:t>
            </w:r>
          </w:p>
        </w:tc>
        <w:tc>
          <w:tcPr>
            <w:tcW w:w="2611" w:type="dxa"/>
          </w:tcPr>
          <w:p w14:paraId="5E40D8AB" w14:textId="77777777" w:rsidR="002D5756" w:rsidRPr="006A64EE" w:rsidRDefault="009C2544" w:rsidP="004255F8">
            <w:pPr>
              <w:pStyle w:val="TableParagraph"/>
              <w:widowControl/>
              <w:suppressAutoHyphens/>
              <w:jc w:val="center"/>
              <w:rPr>
                <w:sz w:val="20"/>
                <w:szCs w:val="20"/>
              </w:rPr>
            </w:pPr>
            <w:r w:rsidRPr="006A64EE">
              <w:rPr>
                <w:sz w:val="20"/>
                <w:szCs w:val="20"/>
              </w:rPr>
              <w:t>0,12</w:t>
            </w:r>
            <w:r w:rsidRPr="006A64EE">
              <w:rPr>
                <w:sz w:val="20"/>
                <w:szCs w:val="20"/>
                <w:vertAlign w:val="superscript"/>
              </w:rPr>
              <w:t>**</w:t>
            </w:r>
          </w:p>
        </w:tc>
      </w:tr>
    </w:tbl>
    <w:p w14:paraId="29F334A5" w14:textId="77777777" w:rsidR="00B926F4" w:rsidRDefault="009C2544" w:rsidP="009A058C">
      <w:pPr>
        <w:widowControl/>
        <w:ind w:left="284" w:hanging="284"/>
        <w:rPr>
          <w:i/>
          <w:sz w:val="18"/>
          <w:szCs w:val="18"/>
        </w:rPr>
      </w:pPr>
      <w:r w:rsidRPr="006A64EE">
        <w:rPr>
          <w:i/>
          <w:sz w:val="18"/>
          <w:szCs w:val="18"/>
        </w:rPr>
        <w:t>PBO</w:t>
      </w:r>
      <w:r w:rsidR="003F2EA4" w:rsidRPr="006A64EE">
        <w:rPr>
          <w:i/>
          <w:sz w:val="18"/>
          <w:szCs w:val="18"/>
        </w:rPr>
        <w:tab/>
      </w:r>
      <w:r w:rsidRPr="006A64EE">
        <w:rPr>
          <w:i/>
          <w:sz w:val="18"/>
          <w:szCs w:val="18"/>
        </w:rPr>
        <w:t xml:space="preserve">- Placebo </w:t>
      </w:r>
    </w:p>
    <w:p w14:paraId="1925F9E7" w14:textId="69AF041B" w:rsidR="00B926F4" w:rsidRDefault="009C2544">
      <w:pPr>
        <w:widowControl/>
        <w:ind w:left="284" w:hanging="284"/>
        <w:rPr>
          <w:i/>
          <w:sz w:val="18"/>
          <w:szCs w:val="18"/>
        </w:rPr>
      </w:pPr>
      <w:r w:rsidRPr="006A64EE">
        <w:rPr>
          <w:i/>
          <w:sz w:val="18"/>
          <w:szCs w:val="18"/>
        </w:rPr>
        <w:t xml:space="preserve">MTX </w:t>
      </w:r>
      <w:r w:rsidR="00B926F4">
        <w:rPr>
          <w:i/>
          <w:sz w:val="18"/>
          <w:szCs w:val="18"/>
        </w:rPr>
        <w:tab/>
        <w:t xml:space="preserve">- </w:t>
      </w:r>
      <w:r w:rsidRPr="006A64EE">
        <w:rPr>
          <w:i/>
          <w:sz w:val="18"/>
          <w:szCs w:val="18"/>
        </w:rPr>
        <w:t xml:space="preserve">Methotrexat </w:t>
      </w:r>
    </w:p>
    <w:p w14:paraId="11770393" w14:textId="60F0C2A5" w:rsidR="00093A5E" w:rsidRPr="006A64EE" w:rsidRDefault="009C2544" w:rsidP="009A058C">
      <w:pPr>
        <w:widowControl/>
        <w:ind w:left="284" w:hanging="284"/>
        <w:rPr>
          <w:i/>
          <w:sz w:val="18"/>
          <w:szCs w:val="18"/>
        </w:rPr>
      </w:pPr>
      <w:r w:rsidRPr="006A64EE">
        <w:rPr>
          <w:i/>
          <w:sz w:val="18"/>
          <w:szCs w:val="18"/>
        </w:rPr>
        <w:t xml:space="preserve">TCZ </w:t>
      </w:r>
      <w:r w:rsidR="00B926F4">
        <w:rPr>
          <w:i/>
          <w:sz w:val="18"/>
          <w:szCs w:val="18"/>
        </w:rPr>
        <w:tab/>
      </w:r>
      <w:r w:rsidRPr="006A64EE">
        <w:rPr>
          <w:i/>
          <w:sz w:val="18"/>
          <w:szCs w:val="18"/>
        </w:rPr>
        <w:t>- Tocilizumab</w:t>
      </w:r>
    </w:p>
    <w:p w14:paraId="70C562C0" w14:textId="7A3D7598" w:rsidR="00093A5E" w:rsidRPr="006A64EE" w:rsidRDefault="009C2544" w:rsidP="009A058C">
      <w:pPr>
        <w:widowControl/>
        <w:ind w:left="284" w:hanging="284"/>
        <w:rPr>
          <w:i/>
          <w:sz w:val="18"/>
          <w:szCs w:val="18"/>
        </w:rPr>
      </w:pPr>
      <w:r w:rsidRPr="006A64EE">
        <w:rPr>
          <w:i/>
          <w:sz w:val="18"/>
          <w:szCs w:val="18"/>
        </w:rPr>
        <w:t>JSN</w:t>
      </w:r>
      <w:r w:rsidR="003F2EA4" w:rsidRPr="006A64EE">
        <w:rPr>
          <w:i/>
          <w:sz w:val="18"/>
          <w:szCs w:val="18"/>
        </w:rPr>
        <w:tab/>
      </w:r>
      <w:r w:rsidRPr="006A64EE">
        <w:rPr>
          <w:i/>
          <w:sz w:val="18"/>
          <w:szCs w:val="18"/>
        </w:rPr>
        <w:t>- Gelenkspaltverengung (JSN = joint space narrowing)</w:t>
      </w:r>
    </w:p>
    <w:p w14:paraId="0CFBBBE5" w14:textId="77777777" w:rsidR="00093A5E" w:rsidRPr="006A64EE" w:rsidRDefault="009C2544" w:rsidP="009A058C">
      <w:pPr>
        <w:widowControl/>
        <w:ind w:left="284" w:hanging="284"/>
        <w:rPr>
          <w:i/>
          <w:sz w:val="18"/>
          <w:szCs w:val="18"/>
        </w:rPr>
      </w:pPr>
      <w:r w:rsidRPr="006A64EE">
        <w:rPr>
          <w:i/>
          <w:sz w:val="18"/>
          <w:szCs w:val="18"/>
        </w:rPr>
        <w:t>*</w:t>
      </w:r>
      <w:r w:rsidRPr="006A64EE">
        <w:rPr>
          <w:i/>
          <w:sz w:val="18"/>
          <w:szCs w:val="18"/>
        </w:rPr>
        <w:tab/>
      </w:r>
      <w:r w:rsidR="003F2EA4" w:rsidRPr="006A64EE">
        <w:rPr>
          <w:i/>
          <w:sz w:val="18"/>
          <w:szCs w:val="18"/>
        </w:rPr>
        <w:tab/>
      </w:r>
      <w:r w:rsidRPr="006A64EE">
        <w:rPr>
          <w:i/>
          <w:sz w:val="18"/>
          <w:szCs w:val="18"/>
        </w:rPr>
        <w:t>- p ≤ 0,0001, TCZ vs. PBO + MTX</w:t>
      </w:r>
    </w:p>
    <w:p w14:paraId="04BBA1FB" w14:textId="77777777" w:rsidR="00093A5E" w:rsidRPr="006A64EE" w:rsidRDefault="009C2544" w:rsidP="009A058C">
      <w:pPr>
        <w:widowControl/>
        <w:ind w:left="284" w:hanging="284"/>
        <w:rPr>
          <w:i/>
          <w:sz w:val="18"/>
          <w:szCs w:val="18"/>
        </w:rPr>
      </w:pPr>
      <w:r w:rsidRPr="006A64EE">
        <w:rPr>
          <w:i/>
          <w:sz w:val="18"/>
          <w:szCs w:val="18"/>
        </w:rPr>
        <w:t>**</w:t>
      </w:r>
      <w:r w:rsidR="003F2EA4" w:rsidRPr="006A64EE">
        <w:rPr>
          <w:i/>
          <w:sz w:val="18"/>
          <w:szCs w:val="18"/>
        </w:rPr>
        <w:tab/>
      </w:r>
      <w:r w:rsidRPr="006A64EE">
        <w:rPr>
          <w:i/>
          <w:sz w:val="18"/>
          <w:szCs w:val="18"/>
        </w:rPr>
        <w:tab/>
        <w:t>- p &lt; 0,005, TCZ vs. PBO + MTX</w:t>
      </w:r>
    </w:p>
    <w:p w14:paraId="2D41BEE6" w14:textId="77777777" w:rsidR="00093A5E" w:rsidRPr="006A64EE" w:rsidRDefault="00093A5E" w:rsidP="004255F8">
      <w:pPr>
        <w:pStyle w:val="a3"/>
        <w:widowControl/>
        <w:rPr>
          <w:i/>
        </w:rPr>
      </w:pPr>
    </w:p>
    <w:p w14:paraId="553C4F1B" w14:textId="2230E57A" w:rsidR="00093A5E" w:rsidRPr="006A64EE" w:rsidRDefault="009C2544" w:rsidP="004255F8">
      <w:pPr>
        <w:pStyle w:val="a3"/>
        <w:widowControl/>
      </w:pPr>
      <w:r w:rsidRPr="006A64EE">
        <w:t xml:space="preserve">Nach einem Jahr Behandlung mit </w:t>
      </w:r>
      <w:r w:rsidR="006E7EAA">
        <w:t>Tocilizumab</w:t>
      </w:r>
      <w:r w:rsidRPr="006A64EE">
        <w:t xml:space="preserve"> plus MTX hatten 85 % der Patienten (n = 348) keine Progression der strukturellen Gelenkschäden, definiert durch eine Veränderung des Gesamt-Sharp-Scores von null oder weniger, verglichen mit 67 % der Patienten, die mit Placebo plus MTX behandelt wurden (n = 290) (p ≤ 0,001). Dies blieb während der folgenden 2 Behandlungsjahre vergleichbar</w:t>
      </w:r>
      <w:r w:rsidR="002D69B8" w:rsidRPr="006A64EE">
        <w:t xml:space="preserve"> </w:t>
      </w:r>
      <w:r w:rsidRPr="006A64EE">
        <w:t>(83</w:t>
      </w:r>
      <w:r w:rsidR="00D84648">
        <w:t> </w:t>
      </w:r>
      <w:r w:rsidRPr="006A64EE">
        <w:t>%; n = 353). Bei 93 % (n = 271) der Patienten kam es zwischen Woche 52 und Woche 104 zu keiner Progression.</w:t>
      </w:r>
    </w:p>
    <w:p w14:paraId="05B38FF6" w14:textId="77777777" w:rsidR="00093A5E" w:rsidRPr="006A64EE" w:rsidRDefault="00093A5E" w:rsidP="004255F8">
      <w:pPr>
        <w:pStyle w:val="a3"/>
        <w:widowControl/>
      </w:pPr>
    </w:p>
    <w:p w14:paraId="117BF9E5" w14:textId="77777777" w:rsidR="00093A5E" w:rsidRPr="006A64EE" w:rsidRDefault="009C2544" w:rsidP="004255F8">
      <w:pPr>
        <w:keepNext/>
        <w:widowControl/>
        <w:rPr>
          <w:i/>
        </w:rPr>
      </w:pPr>
      <w:r w:rsidRPr="006A64EE">
        <w:rPr>
          <w:i/>
        </w:rPr>
        <w:t>Gesundheitsbezogene Ergebnisse und Lebensqualität</w:t>
      </w:r>
    </w:p>
    <w:p w14:paraId="013D216C" w14:textId="5BF25678" w:rsidR="00093A5E" w:rsidRPr="006A64EE" w:rsidRDefault="009C2544" w:rsidP="004255F8">
      <w:pPr>
        <w:pStyle w:val="a3"/>
        <w:widowControl/>
      </w:pPr>
      <w:r w:rsidRPr="006A64EE">
        <w:t xml:space="preserve">Patienten, die mit </w:t>
      </w:r>
      <w:r w:rsidR="006E7EAA">
        <w:t>Tocilizumab</w:t>
      </w:r>
      <w:r w:rsidRPr="006A64EE">
        <w:t xml:space="preserve"> behandelt wurden, zeigten eine Verbesserung bei den durch die Patienten berichteten Ergebnissen (Health Assessment Questionnaire Disability Index [HAQ-DI], Short Form-36 und Functional Assessment of Chronic Illness Therapy Fragebogen). Bei Patienten, die mit </w:t>
      </w:r>
      <w:r w:rsidR="006E7EAA">
        <w:t>Tocilizumab</w:t>
      </w:r>
      <w:r w:rsidRPr="006A64EE">
        <w:t xml:space="preserve"> behandelt wurden, wurden im Vergleich zu Patienten, die mit DMARDs behandelt wurden, statistisch signifikante Verbesserungen in Bezug auf den HAQ-DI Score beobachtet. Während der offenen Phase der Studie II blieb die Verbesserung der körperlichen Funktion bis zu 2</w:t>
      </w:r>
      <w:r w:rsidR="00DD494C">
        <w:t> </w:t>
      </w:r>
      <w:r w:rsidRPr="006A64EE">
        <w:t>Jahre erhalten. In Woche 52 lag der Mittelwert der Veränderung im HAQ-DI in der Gruppe, die 8</w:t>
      </w:r>
      <w:r w:rsidR="00DD494C">
        <w:t> </w:t>
      </w:r>
      <w:r w:rsidRPr="006A64EE">
        <w:t xml:space="preserve">mg/kg </w:t>
      </w:r>
      <w:r w:rsidR="006E7EAA">
        <w:t>Tocilizumab</w:t>
      </w:r>
      <w:r w:rsidRPr="006A64EE">
        <w:t xml:space="preserve"> plus MTX erhalten hatte, bei -0,58 verglichen mit -0,39 in der Gruppe, die Placebo plus MTX erhalten hatte. Der Mittelwert der Veränderung im HAQ-DI dauerte in Woche 104 in der Gruppe, die 8 mg/kg </w:t>
      </w:r>
      <w:r w:rsidR="00E26B13">
        <w:t>Tocilizumab</w:t>
      </w:r>
      <w:r w:rsidRPr="006A64EE">
        <w:t xml:space="preserve"> plus MTX erhalten hatte, an (-0,61).</w:t>
      </w:r>
    </w:p>
    <w:p w14:paraId="2137DD8A" w14:textId="77777777" w:rsidR="00093A5E" w:rsidRPr="006A64EE" w:rsidRDefault="00093A5E" w:rsidP="004255F8">
      <w:pPr>
        <w:pStyle w:val="a3"/>
        <w:widowControl/>
      </w:pPr>
    </w:p>
    <w:p w14:paraId="23AC9D72" w14:textId="77777777" w:rsidR="00093A5E" w:rsidRPr="006A64EE" w:rsidRDefault="009C2544" w:rsidP="004255F8">
      <w:pPr>
        <w:widowControl/>
        <w:rPr>
          <w:i/>
        </w:rPr>
      </w:pPr>
      <w:r w:rsidRPr="006A64EE">
        <w:rPr>
          <w:i/>
        </w:rPr>
        <w:t>Hämoglobinwerte</w:t>
      </w:r>
    </w:p>
    <w:p w14:paraId="5B5747DB" w14:textId="308F709B" w:rsidR="00093A5E" w:rsidRPr="006A64EE" w:rsidRDefault="009C2544" w:rsidP="004255F8">
      <w:pPr>
        <w:pStyle w:val="a3"/>
        <w:widowControl/>
      </w:pPr>
      <w:r w:rsidRPr="006A64EE">
        <w:t xml:space="preserve">Verglichen mit DMARDs wurde mit </w:t>
      </w:r>
      <w:r w:rsidR="006E7EAA">
        <w:t>Tocilizumab</w:t>
      </w:r>
      <w:r w:rsidRPr="006A64EE">
        <w:t xml:space="preserve"> in Woche</w:t>
      </w:r>
      <w:r w:rsidR="003C5089">
        <w:t> </w:t>
      </w:r>
      <w:r w:rsidRPr="006A64EE">
        <w:t>24 eine statistisch signifikante</w:t>
      </w:r>
      <w:r w:rsidR="003C5089">
        <w:t xml:space="preserve"> </w:t>
      </w:r>
      <w:r w:rsidRPr="006A64EE">
        <w:t>(p</w:t>
      </w:r>
      <w:r w:rsidR="003C5089">
        <w:t> </w:t>
      </w:r>
      <w:r w:rsidRPr="006A64EE">
        <w:t>&lt;</w:t>
      </w:r>
      <w:r w:rsidR="003C5089">
        <w:t> </w:t>
      </w:r>
      <w:r w:rsidRPr="006A64EE">
        <w:t>0,0001) Verbesserung der Hämoglobinwerte beobachtet. Die mittleren Hämoglobinwerte stiegen bis Woche</w:t>
      </w:r>
      <w:r w:rsidR="003C5089">
        <w:t> </w:t>
      </w:r>
      <w:r w:rsidRPr="006A64EE">
        <w:t>2 an und blieben dann bis Woche</w:t>
      </w:r>
      <w:r w:rsidR="003C5089">
        <w:t> </w:t>
      </w:r>
      <w:r w:rsidRPr="006A64EE">
        <w:t>24 auf einem normalen Niveau.</w:t>
      </w:r>
    </w:p>
    <w:p w14:paraId="3E6C8443" w14:textId="77777777" w:rsidR="00093A5E" w:rsidRPr="006A64EE" w:rsidRDefault="00093A5E" w:rsidP="004255F8">
      <w:pPr>
        <w:pStyle w:val="a3"/>
        <w:widowControl/>
      </w:pPr>
    </w:p>
    <w:p w14:paraId="716356BB" w14:textId="77777777" w:rsidR="00093A5E" w:rsidRPr="006A64EE" w:rsidRDefault="009C2544" w:rsidP="004255F8">
      <w:pPr>
        <w:widowControl/>
        <w:rPr>
          <w:i/>
        </w:rPr>
      </w:pPr>
      <w:r w:rsidRPr="006A64EE">
        <w:rPr>
          <w:i/>
        </w:rPr>
        <w:t>Tocilizumab versus Adalimumab in der Monotherapie</w:t>
      </w:r>
    </w:p>
    <w:p w14:paraId="147FA550" w14:textId="09DFB22B" w:rsidR="00093A5E" w:rsidRPr="006A64EE" w:rsidRDefault="009C2544" w:rsidP="004255F8">
      <w:pPr>
        <w:pStyle w:val="a3"/>
        <w:widowControl/>
      </w:pPr>
      <w:r w:rsidRPr="006A64EE">
        <w:lastRenderedPageBreak/>
        <w:t xml:space="preserve">Bei der Studie VI (WA19924) handelt es sich um eine 24-wöchige doppelblinde Studie zum Vergleich einer </w:t>
      </w:r>
      <w:r w:rsidR="006E7EAA">
        <w:t>Tocilizumab-</w:t>
      </w:r>
      <w:r w:rsidRPr="006A64EE">
        <w:t xml:space="preserve">Monotherapie mit einer Adalimumab-Monotherapie, in der 326 Patienten mit RA, bei denen eine MTX-Unverträglichkeit vorlag oder eine fortgeführte Behandlung mit MTX als unangemessen erschien (einschließlich Patienten mit unzureichendem Ansprechen auf MTX), bewertet wurden. Patienten im </w:t>
      </w:r>
      <w:r w:rsidR="006E7EAA">
        <w:t>Tocilizumab-</w:t>
      </w:r>
      <w:r w:rsidRPr="006A64EE">
        <w:t xml:space="preserve">Arm erhielten eine intravenöse </w:t>
      </w:r>
      <w:r w:rsidR="00E26B13">
        <w:t>Tocilizumab-</w:t>
      </w:r>
      <w:r w:rsidRPr="006A64EE">
        <w:t>Infusion</w:t>
      </w:r>
      <w:r w:rsidR="002D69B8" w:rsidRPr="006A64EE">
        <w:t xml:space="preserve"> </w:t>
      </w:r>
      <w:r w:rsidRPr="006A64EE">
        <w:t>(8</w:t>
      </w:r>
      <w:r w:rsidR="00462095">
        <w:t> </w:t>
      </w:r>
      <w:r w:rsidRPr="006A64EE">
        <w:t>mg/kg) alle 4 Wochen (q4w) und eine subkutane Placebo-Injektion alle 2 Wochen (q2w). Patienten im Adalimumab-Arm erhielten eine subkutane Adalimumab-Injektion (40 mg) q2w und eine intravenöse Placebo-Infusion q4w.</w:t>
      </w:r>
    </w:p>
    <w:p w14:paraId="7FF5B2FE" w14:textId="77777777" w:rsidR="00093A5E" w:rsidRPr="006A64EE" w:rsidRDefault="00093A5E" w:rsidP="004255F8">
      <w:pPr>
        <w:pStyle w:val="a3"/>
        <w:widowControl/>
      </w:pPr>
    </w:p>
    <w:p w14:paraId="3BFFA4D3" w14:textId="6376AF73" w:rsidR="00093A5E" w:rsidRPr="006A64EE" w:rsidRDefault="009C2544" w:rsidP="004255F8">
      <w:pPr>
        <w:pStyle w:val="a3"/>
        <w:widowControl/>
      </w:pPr>
      <w:r w:rsidRPr="006A64EE">
        <w:t xml:space="preserve">Eine statistisch signifikante Überlegenheit wurde zugunsten des Behandlungseffekts von </w:t>
      </w:r>
      <w:r w:rsidR="006E7EAA">
        <w:t>Tocilizumab</w:t>
      </w:r>
      <w:r w:rsidRPr="006A64EE">
        <w:t xml:space="preserve"> im Vergleich zu Adalimumab im Hinblick auf die Kontrolle der Krankheitsaktivität, ab Baseline bis Woche 24, für den primären Endpunkt der Veränderung des DAS28 und auch für alle sekundären Endpunkte (siehe Tabelle 7) beobachtet.</w:t>
      </w:r>
    </w:p>
    <w:p w14:paraId="59631269" w14:textId="77777777" w:rsidR="00093A5E" w:rsidRPr="006A64EE" w:rsidRDefault="00093A5E" w:rsidP="004255F8">
      <w:pPr>
        <w:widowControl/>
      </w:pPr>
    </w:p>
    <w:p w14:paraId="748F0F2A" w14:textId="77777777" w:rsidR="00093A5E" w:rsidRPr="006A64EE" w:rsidRDefault="007D680A" w:rsidP="00A27366">
      <w:pPr>
        <w:pStyle w:val="Tabletittle"/>
      </w:pPr>
      <w:r w:rsidRPr="006A64EE">
        <w:t>Tabelle 7:</w:t>
      </w:r>
      <w:r w:rsidR="00EC2F4A" w:rsidRPr="006A64EE">
        <w:tab/>
      </w:r>
      <w:r w:rsidRPr="006A64EE">
        <w:t>Wirksamkeitsergebnisse für Studie VI (WA19924)</w:t>
      </w:r>
    </w:p>
    <w:p w14:paraId="225F658F" w14:textId="48C6253A" w:rsidR="002D5756" w:rsidRPr="006A64EE" w:rsidRDefault="002D5756" w:rsidP="00A27366">
      <w:pPr>
        <w:pStyle w:val="a3"/>
        <w:keepNext/>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915"/>
        <w:gridCol w:w="1885"/>
        <w:gridCol w:w="1835"/>
        <w:gridCol w:w="1426"/>
      </w:tblGrid>
      <w:tr w:rsidR="00593482" w:rsidRPr="006A64EE" w14:paraId="5DD826D1" w14:textId="77777777" w:rsidTr="009A058C">
        <w:trPr>
          <w:tblHeader/>
        </w:trPr>
        <w:tc>
          <w:tcPr>
            <w:tcW w:w="3613" w:type="dxa"/>
            <w:vAlign w:val="bottom"/>
          </w:tcPr>
          <w:p w14:paraId="20D6B584" w14:textId="77777777" w:rsidR="00EC2F4A" w:rsidRPr="006A64EE" w:rsidRDefault="00EC2F4A" w:rsidP="004255F8">
            <w:pPr>
              <w:pStyle w:val="TableParagraph"/>
              <w:widowControl/>
              <w:suppressAutoHyphens/>
              <w:jc w:val="right"/>
              <w:rPr>
                <w:b/>
                <w:sz w:val="20"/>
                <w:szCs w:val="20"/>
              </w:rPr>
            </w:pPr>
          </w:p>
        </w:tc>
        <w:tc>
          <w:tcPr>
            <w:tcW w:w="1740" w:type="dxa"/>
            <w:vAlign w:val="bottom"/>
          </w:tcPr>
          <w:p w14:paraId="1E9AA9CB" w14:textId="65C2D683" w:rsidR="00093A5E" w:rsidRPr="00E303AE" w:rsidRDefault="00EC2F4A" w:rsidP="004255F8">
            <w:pPr>
              <w:pStyle w:val="TableParagraph"/>
              <w:widowControl/>
              <w:tabs>
                <w:tab w:val="left" w:pos="7424"/>
              </w:tabs>
              <w:suppressAutoHyphens/>
              <w:jc w:val="center"/>
              <w:rPr>
                <w:b/>
                <w:sz w:val="20"/>
                <w:szCs w:val="20"/>
                <w:lang w:val="en-US"/>
              </w:rPr>
            </w:pPr>
            <w:r w:rsidRPr="00E303AE">
              <w:rPr>
                <w:b/>
                <w:sz w:val="20"/>
                <w:szCs w:val="20"/>
                <w:lang w:val="en-US"/>
              </w:rPr>
              <w:t>ADA + Placebo (</w:t>
            </w:r>
            <w:proofErr w:type="spellStart"/>
            <w:r w:rsidRPr="00E303AE">
              <w:rPr>
                <w:b/>
                <w:sz w:val="20"/>
                <w:szCs w:val="20"/>
                <w:lang w:val="en-US"/>
              </w:rPr>
              <w:t>i.v.</w:t>
            </w:r>
            <w:proofErr w:type="spellEnd"/>
            <w:r w:rsidRPr="00E303AE">
              <w:rPr>
                <w:b/>
                <w:sz w:val="20"/>
                <w:szCs w:val="20"/>
                <w:lang w:val="en-US"/>
              </w:rPr>
              <w:t>)</w:t>
            </w:r>
          </w:p>
          <w:p w14:paraId="67FE5ED2" w14:textId="2F45AA15" w:rsidR="00EC2F4A" w:rsidRPr="00E303AE" w:rsidRDefault="00EC2F4A" w:rsidP="004255F8">
            <w:pPr>
              <w:pStyle w:val="TableParagraph"/>
              <w:widowControl/>
              <w:tabs>
                <w:tab w:val="left" w:pos="7424"/>
              </w:tabs>
              <w:suppressAutoHyphens/>
              <w:jc w:val="center"/>
              <w:rPr>
                <w:b/>
                <w:sz w:val="20"/>
                <w:szCs w:val="20"/>
                <w:lang w:val="en-US"/>
              </w:rPr>
            </w:pPr>
            <w:r w:rsidRPr="00E303AE">
              <w:rPr>
                <w:b/>
                <w:sz w:val="20"/>
                <w:szCs w:val="20"/>
                <w:lang w:val="en-US"/>
              </w:rPr>
              <w:t>n = 162</w:t>
            </w:r>
          </w:p>
        </w:tc>
        <w:tc>
          <w:tcPr>
            <w:tcW w:w="1694" w:type="dxa"/>
            <w:vAlign w:val="bottom"/>
          </w:tcPr>
          <w:p w14:paraId="2FC956A5" w14:textId="77777777" w:rsidR="00093A5E" w:rsidRPr="00E303AE" w:rsidRDefault="002B7747" w:rsidP="004255F8">
            <w:pPr>
              <w:pStyle w:val="TableParagraph"/>
              <w:widowControl/>
              <w:suppressAutoHyphens/>
              <w:jc w:val="center"/>
              <w:rPr>
                <w:b/>
                <w:sz w:val="20"/>
                <w:szCs w:val="20"/>
                <w:lang w:val="en-US"/>
              </w:rPr>
            </w:pPr>
            <w:r w:rsidRPr="00E303AE">
              <w:rPr>
                <w:b/>
                <w:sz w:val="20"/>
                <w:szCs w:val="20"/>
                <w:lang w:val="en-US"/>
              </w:rPr>
              <w:t>TCZ + Placebo (</w:t>
            </w:r>
            <w:proofErr w:type="spellStart"/>
            <w:r w:rsidRPr="00E303AE">
              <w:rPr>
                <w:b/>
                <w:sz w:val="20"/>
                <w:szCs w:val="20"/>
                <w:lang w:val="en-US"/>
              </w:rPr>
              <w:t>s.c.</w:t>
            </w:r>
            <w:proofErr w:type="spellEnd"/>
            <w:r w:rsidRPr="00E303AE">
              <w:rPr>
                <w:b/>
                <w:sz w:val="20"/>
                <w:szCs w:val="20"/>
                <w:lang w:val="en-US"/>
              </w:rPr>
              <w:t>)</w:t>
            </w:r>
          </w:p>
          <w:p w14:paraId="24887E46" w14:textId="2E709322" w:rsidR="00EC2F4A" w:rsidRPr="00E303AE" w:rsidRDefault="00EC2F4A" w:rsidP="004255F8">
            <w:pPr>
              <w:pStyle w:val="TableParagraph"/>
              <w:widowControl/>
              <w:suppressAutoHyphens/>
              <w:jc w:val="center"/>
              <w:rPr>
                <w:b/>
                <w:sz w:val="20"/>
                <w:szCs w:val="20"/>
                <w:lang w:val="en-US"/>
              </w:rPr>
            </w:pPr>
            <w:r w:rsidRPr="00E303AE">
              <w:rPr>
                <w:b/>
                <w:sz w:val="20"/>
                <w:szCs w:val="20"/>
                <w:lang w:val="en-US"/>
              </w:rPr>
              <w:t>n = 163</w:t>
            </w:r>
          </w:p>
        </w:tc>
        <w:tc>
          <w:tcPr>
            <w:tcW w:w="1316" w:type="dxa"/>
            <w:vAlign w:val="bottom"/>
          </w:tcPr>
          <w:p w14:paraId="2361110F" w14:textId="2C9DCEEC" w:rsidR="00EC2F4A" w:rsidRPr="006A64EE" w:rsidRDefault="00EC2F4A" w:rsidP="004255F8">
            <w:pPr>
              <w:pStyle w:val="TableParagraph"/>
              <w:widowControl/>
              <w:suppressAutoHyphens/>
              <w:jc w:val="center"/>
              <w:rPr>
                <w:b/>
                <w:sz w:val="20"/>
                <w:szCs w:val="20"/>
              </w:rPr>
            </w:pPr>
            <w:r w:rsidRPr="006A64EE">
              <w:rPr>
                <w:b/>
                <w:sz w:val="20"/>
                <w:szCs w:val="20"/>
              </w:rPr>
              <w:t xml:space="preserve">p-Wert </w:t>
            </w:r>
            <w:r w:rsidRPr="006A64EE">
              <w:rPr>
                <w:b/>
                <w:sz w:val="20"/>
                <w:szCs w:val="20"/>
                <w:vertAlign w:val="superscript"/>
              </w:rPr>
              <w:t>(a)</w:t>
            </w:r>
          </w:p>
        </w:tc>
      </w:tr>
      <w:tr w:rsidR="00593482" w:rsidRPr="006A64EE" w14:paraId="00763E73" w14:textId="77777777" w:rsidTr="009A058C">
        <w:tc>
          <w:tcPr>
            <w:tcW w:w="8363" w:type="dxa"/>
            <w:gridSpan w:val="4"/>
          </w:tcPr>
          <w:p w14:paraId="58C108AA" w14:textId="5BAE65E0" w:rsidR="00EC2F4A" w:rsidRPr="006A64EE" w:rsidRDefault="00EC2F4A" w:rsidP="004255F8">
            <w:pPr>
              <w:pStyle w:val="TableParagraph"/>
              <w:widowControl/>
              <w:suppressAutoHyphens/>
              <w:rPr>
                <w:sz w:val="20"/>
                <w:szCs w:val="20"/>
              </w:rPr>
            </w:pPr>
            <w:r w:rsidRPr="006A64EE">
              <w:rPr>
                <w:b/>
                <w:sz w:val="20"/>
                <w:szCs w:val="20"/>
              </w:rPr>
              <w:t>Primärer Endpunkt – Mittlere Veränderung ab Baseline in Woche 24</w:t>
            </w:r>
          </w:p>
        </w:tc>
      </w:tr>
      <w:tr w:rsidR="00593482" w:rsidRPr="006A64EE" w14:paraId="43182886" w14:textId="77777777" w:rsidTr="009A058C">
        <w:tc>
          <w:tcPr>
            <w:tcW w:w="3613" w:type="dxa"/>
          </w:tcPr>
          <w:p w14:paraId="1BCA1D6B" w14:textId="77777777" w:rsidR="002D5756" w:rsidRPr="006A64EE" w:rsidRDefault="009C2544" w:rsidP="004255F8">
            <w:pPr>
              <w:pStyle w:val="TableParagraph"/>
              <w:widowControl/>
              <w:suppressAutoHyphens/>
              <w:jc w:val="right"/>
              <w:rPr>
                <w:bCs/>
                <w:sz w:val="20"/>
                <w:szCs w:val="20"/>
              </w:rPr>
            </w:pPr>
            <w:r w:rsidRPr="006A64EE">
              <w:rPr>
                <w:bCs/>
                <w:sz w:val="20"/>
                <w:szCs w:val="20"/>
              </w:rPr>
              <w:t>DAS28 (bereinigter Mittelwert)</w:t>
            </w:r>
          </w:p>
        </w:tc>
        <w:tc>
          <w:tcPr>
            <w:tcW w:w="1740" w:type="dxa"/>
          </w:tcPr>
          <w:p w14:paraId="33D74C0E" w14:textId="77777777" w:rsidR="002D5756" w:rsidRPr="006A64EE" w:rsidRDefault="009C2544" w:rsidP="004255F8">
            <w:pPr>
              <w:pStyle w:val="TableParagraph"/>
              <w:widowControl/>
              <w:suppressAutoHyphens/>
              <w:jc w:val="center"/>
              <w:rPr>
                <w:bCs/>
                <w:sz w:val="20"/>
                <w:szCs w:val="20"/>
              </w:rPr>
            </w:pPr>
            <w:r w:rsidRPr="006A64EE">
              <w:rPr>
                <w:bCs/>
                <w:sz w:val="20"/>
                <w:szCs w:val="20"/>
              </w:rPr>
              <w:t>-1,8</w:t>
            </w:r>
          </w:p>
        </w:tc>
        <w:tc>
          <w:tcPr>
            <w:tcW w:w="1694" w:type="dxa"/>
          </w:tcPr>
          <w:p w14:paraId="658D7D6D" w14:textId="77777777" w:rsidR="002D5756" w:rsidRPr="006A64EE" w:rsidRDefault="009C2544" w:rsidP="004255F8">
            <w:pPr>
              <w:pStyle w:val="TableParagraph"/>
              <w:widowControl/>
              <w:suppressAutoHyphens/>
              <w:jc w:val="center"/>
              <w:rPr>
                <w:bCs/>
                <w:sz w:val="20"/>
                <w:szCs w:val="20"/>
              </w:rPr>
            </w:pPr>
            <w:r w:rsidRPr="006A64EE">
              <w:rPr>
                <w:bCs/>
                <w:sz w:val="20"/>
                <w:szCs w:val="20"/>
              </w:rPr>
              <w:t>-3,3</w:t>
            </w:r>
          </w:p>
        </w:tc>
        <w:tc>
          <w:tcPr>
            <w:tcW w:w="1316" w:type="dxa"/>
          </w:tcPr>
          <w:p w14:paraId="0011B9F9" w14:textId="77777777" w:rsidR="002D5756" w:rsidRPr="006A64EE" w:rsidRDefault="002D5756" w:rsidP="004255F8">
            <w:pPr>
              <w:pStyle w:val="TableParagraph"/>
              <w:widowControl/>
              <w:suppressAutoHyphens/>
              <w:jc w:val="center"/>
              <w:rPr>
                <w:bCs/>
                <w:sz w:val="20"/>
                <w:szCs w:val="20"/>
              </w:rPr>
            </w:pPr>
          </w:p>
        </w:tc>
      </w:tr>
      <w:tr w:rsidR="00593482" w:rsidRPr="006A64EE" w14:paraId="0ECFF6AA" w14:textId="77777777" w:rsidTr="009A058C">
        <w:tc>
          <w:tcPr>
            <w:tcW w:w="3613" w:type="dxa"/>
          </w:tcPr>
          <w:p w14:paraId="10D776D3" w14:textId="7F1FA914" w:rsidR="00AA4B48" w:rsidRPr="006A64EE" w:rsidRDefault="00AA4B48" w:rsidP="004255F8">
            <w:pPr>
              <w:pStyle w:val="TableParagraph"/>
              <w:widowControl/>
              <w:suppressAutoHyphens/>
              <w:jc w:val="right"/>
              <w:rPr>
                <w:bCs/>
                <w:sz w:val="20"/>
                <w:szCs w:val="20"/>
              </w:rPr>
            </w:pPr>
            <w:r w:rsidRPr="006A64EE">
              <w:rPr>
                <w:bCs/>
                <w:sz w:val="20"/>
                <w:szCs w:val="20"/>
              </w:rPr>
              <w:t>Unterschied im bereinigten Mittelwert (95-%-KI)</w:t>
            </w:r>
          </w:p>
        </w:tc>
        <w:tc>
          <w:tcPr>
            <w:tcW w:w="1740" w:type="dxa"/>
          </w:tcPr>
          <w:p w14:paraId="34F62B1C" w14:textId="77777777" w:rsidR="00AA4B48" w:rsidRPr="006A64EE" w:rsidRDefault="00AA4B48" w:rsidP="004255F8">
            <w:pPr>
              <w:pStyle w:val="TableParagraph"/>
              <w:widowControl/>
              <w:suppressAutoHyphens/>
              <w:jc w:val="center"/>
              <w:rPr>
                <w:bCs/>
                <w:sz w:val="20"/>
                <w:szCs w:val="20"/>
              </w:rPr>
            </w:pPr>
          </w:p>
        </w:tc>
        <w:tc>
          <w:tcPr>
            <w:tcW w:w="1694" w:type="dxa"/>
          </w:tcPr>
          <w:p w14:paraId="62E09C53" w14:textId="77777777" w:rsidR="00AA4B48" w:rsidRPr="006A64EE" w:rsidRDefault="00AA4B48" w:rsidP="004255F8">
            <w:pPr>
              <w:pStyle w:val="TableParagraph"/>
              <w:widowControl/>
              <w:suppressAutoHyphens/>
              <w:jc w:val="center"/>
              <w:rPr>
                <w:bCs/>
                <w:sz w:val="20"/>
                <w:szCs w:val="20"/>
              </w:rPr>
            </w:pPr>
            <w:r w:rsidRPr="006A64EE">
              <w:rPr>
                <w:bCs/>
                <w:sz w:val="20"/>
                <w:szCs w:val="20"/>
              </w:rPr>
              <w:t>-1,5 (-1,8; -1,1)</w:t>
            </w:r>
          </w:p>
        </w:tc>
        <w:tc>
          <w:tcPr>
            <w:tcW w:w="1316" w:type="dxa"/>
          </w:tcPr>
          <w:p w14:paraId="5DD9FD1C" w14:textId="77777777" w:rsidR="00AA4B48" w:rsidRPr="006A64EE" w:rsidRDefault="00AA4B48" w:rsidP="004255F8">
            <w:pPr>
              <w:pStyle w:val="TableParagraph"/>
              <w:widowControl/>
              <w:suppressAutoHyphens/>
              <w:jc w:val="center"/>
              <w:rPr>
                <w:bCs/>
                <w:sz w:val="20"/>
                <w:szCs w:val="20"/>
              </w:rPr>
            </w:pPr>
            <w:r w:rsidRPr="006A64EE">
              <w:rPr>
                <w:bCs/>
                <w:sz w:val="20"/>
                <w:szCs w:val="20"/>
              </w:rPr>
              <w:t>&lt; 0,0001</w:t>
            </w:r>
          </w:p>
        </w:tc>
      </w:tr>
      <w:tr w:rsidR="00593482" w:rsidRPr="006A64EE" w14:paraId="1BBA79DA" w14:textId="77777777" w:rsidTr="009A058C">
        <w:tc>
          <w:tcPr>
            <w:tcW w:w="8363" w:type="dxa"/>
            <w:gridSpan w:val="4"/>
          </w:tcPr>
          <w:p w14:paraId="578EC8CE" w14:textId="77777777" w:rsidR="002D5756" w:rsidRPr="006A64EE" w:rsidRDefault="009C2544" w:rsidP="004255F8">
            <w:pPr>
              <w:pStyle w:val="TableParagraph"/>
              <w:widowControl/>
              <w:suppressAutoHyphens/>
              <w:rPr>
                <w:b/>
                <w:sz w:val="20"/>
                <w:szCs w:val="20"/>
              </w:rPr>
            </w:pPr>
            <w:r w:rsidRPr="006A64EE">
              <w:rPr>
                <w:b/>
                <w:sz w:val="20"/>
                <w:szCs w:val="20"/>
              </w:rPr>
              <w:t xml:space="preserve">Sekundäre Endpunkte – Anteil der Patienten mit Ansprechen in Woche 24 </w:t>
            </w:r>
            <w:r w:rsidRPr="006A64EE">
              <w:rPr>
                <w:b/>
                <w:sz w:val="20"/>
                <w:szCs w:val="20"/>
                <w:vertAlign w:val="superscript"/>
              </w:rPr>
              <w:t>(b)</w:t>
            </w:r>
          </w:p>
        </w:tc>
      </w:tr>
      <w:tr w:rsidR="00593482" w:rsidRPr="006A64EE" w14:paraId="10B451BB" w14:textId="77777777" w:rsidTr="009A058C">
        <w:tc>
          <w:tcPr>
            <w:tcW w:w="3613" w:type="dxa"/>
          </w:tcPr>
          <w:p w14:paraId="5BE17311" w14:textId="77777777" w:rsidR="002D5756" w:rsidRPr="006A64EE" w:rsidRDefault="009C2544" w:rsidP="004255F8">
            <w:pPr>
              <w:pStyle w:val="TableParagraph"/>
              <w:widowControl/>
              <w:suppressAutoHyphens/>
              <w:jc w:val="right"/>
              <w:rPr>
                <w:sz w:val="20"/>
                <w:szCs w:val="20"/>
              </w:rPr>
            </w:pPr>
            <w:r w:rsidRPr="006A64EE">
              <w:rPr>
                <w:sz w:val="20"/>
                <w:szCs w:val="20"/>
              </w:rPr>
              <w:t>DAS28 &lt; 2,6; n (%)</w:t>
            </w:r>
          </w:p>
        </w:tc>
        <w:tc>
          <w:tcPr>
            <w:tcW w:w="1740" w:type="dxa"/>
          </w:tcPr>
          <w:p w14:paraId="730828F7" w14:textId="77777777" w:rsidR="002D5756" w:rsidRPr="006A64EE" w:rsidRDefault="009C2544" w:rsidP="004255F8">
            <w:pPr>
              <w:pStyle w:val="TableParagraph"/>
              <w:widowControl/>
              <w:suppressAutoHyphens/>
              <w:jc w:val="center"/>
              <w:rPr>
                <w:sz w:val="20"/>
                <w:szCs w:val="20"/>
              </w:rPr>
            </w:pPr>
            <w:r w:rsidRPr="006A64EE">
              <w:rPr>
                <w:sz w:val="20"/>
                <w:szCs w:val="20"/>
              </w:rPr>
              <w:t>17 (10,5)</w:t>
            </w:r>
          </w:p>
        </w:tc>
        <w:tc>
          <w:tcPr>
            <w:tcW w:w="1694" w:type="dxa"/>
          </w:tcPr>
          <w:p w14:paraId="1B188B1C" w14:textId="77777777" w:rsidR="002D5756" w:rsidRPr="006A64EE" w:rsidRDefault="009C2544" w:rsidP="004255F8">
            <w:pPr>
              <w:pStyle w:val="TableParagraph"/>
              <w:widowControl/>
              <w:suppressAutoHyphens/>
              <w:jc w:val="center"/>
              <w:rPr>
                <w:sz w:val="20"/>
                <w:szCs w:val="20"/>
              </w:rPr>
            </w:pPr>
            <w:r w:rsidRPr="006A64EE">
              <w:rPr>
                <w:sz w:val="20"/>
                <w:szCs w:val="20"/>
              </w:rPr>
              <w:t>65 (39,9)</w:t>
            </w:r>
          </w:p>
        </w:tc>
        <w:tc>
          <w:tcPr>
            <w:tcW w:w="1316" w:type="dxa"/>
          </w:tcPr>
          <w:p w14:paraId="179D82EC" w14:textId="77777777" w:rsidR="002D5756" w:rsidRPr="006A64EE" w:rsidRDefault="009C2544" w:rsidP="004255F8">
            <w:pPr>
              <w:pStyle w:val="TableParagraph"/>
              <w:widowControl/>
              <w:suppressAutoHyphens/>
              <w:jc w:val="center"/>
              <w:rPr>
                <w:sz w:val="20"/>
                <w:szCs w:val="20"/>
              </w:rPr>
            </w:pPr>
            <w:r w:rsidRPr="006A64EE">
              <w:rPr>
                <w:sz w:val="20"/>
                <w:szCs w:val="20"/>
              </w:rPr>
              <w:t>&lt; 0,0001</w:t>
            </w:r>
          </w:p>
        </w:tc>
      </w:tr>
      <w:tr w:rsidR="00593482" w:rsidRPr="006A64EE" w14:paraId="2AF5FADC" w14:textId="77777777" w:rsidTr="009A058C">
        <w:tc>
          <w:tcPr>
            <w:tcW w:w="3613" w:type="dxa"/>
          </w:tcPr>
          <w:p w14:paraId="70B03D09" w14:textId="77777777" w:rsidR="002D5756" w:rsidRPr="006A64EE" w:rsidRDefault="009C2544" w:rsidP="004255F8">
            <w:pPr>
              <w:pStyle w:val="TableParagraph"/>
              <w:widowControl/>
              <w:suppressAutoHyphens/>
              <w:jc w:val="right"/>
              <w:rPr>
                <w:sz w:val="20"/>
                <w:szCs w:val="20"/>
              </w:rPr>
            </w:pPr>
            <w:r w:rsidRPr="006A64EE">
              <w:rPr>
                <w:sz w:val="20"/>
                <w:szCs w:val="20"/>
              </w:rPr>
              <w:t>DAS28 ≤ 3,2; n (%)</w:t>
            </w:r>
          </w:p>
        </w:tc>
        <w:tc>
          <w:tcPr>
            <w:tcW w:w="1740" w:type="dxa"/>
          </w:tcPr>
          <w:p w14:paraId="342274C3" w14:textId="77777777" w:rsidR="002D5756" w:rsidRPr="006A64EE" w:rsidRDefault="009C2544" w:rsidP="004255F8">
            <w:pPr>
              <w:pStyle w:val="TableParagraph"/>
              <w:widowControl/>
              <w:suppressAutoHyphens/>
              <w:jc w:val="center"/>
              <w:rPr>
                <w:sz w:val="20"/>
                <w:szCs w:val="20"/>
              </w:rPr>
            </w:pPr>
            <w:r w:rsidRPr="006A64EE">
              <w:rPr>
                <w:sz w:val="20"/>
                <w:szCs w:val="20"/>
              </w:rPr>
              <w:t>32 (19,8)</w:t>
            </w:r>
          </w:p>
        </w:tc>
        <w:tc>
          <w:tcPr>
            <w:tcW w:w="1694" w:type="dxa"/>
          </w:tcPr>
          <w:p w14:paraId="28E6254C" w14:textId="77777777" w:rsidR="002D5756" w:rsidRPr="006A64EE" w:rsidRDefault="009C2544" w:rsidP="004255F8">
            <w:pPr>
              <w:pStyle w:val="TableParagraph"/>
              <w:widowControl/>
              <w:suppressAutoHyphens/>
              <w:jc w:val="center"/>
              <w:rPr>
                <w:sz w:val="20"/>
                <w:szCs w:val="20"/>
              </w:rPr>
            </w:pPr>
            <w:r w:rsidRPr="006A64EE">
              <w:rPr>
                <w:sz w:val="20"/>
                <w:szCs w:val="20"/>
              </w:rPr>
              <w:t>84 (51,5)</w:t>
            </w:r>
          </w:p>
        </w:tc>
        <w:tc>
          <w:tcPr>
            <w:tcW w:w="1316" w:type="dxa"/>
          </w:tcPr>
          <w:p w14:paraId="2031A0E3" w14:textId="77777777" w:rsidR="002D5756" w:rsidRPr="006A64EE" w:rsidRDefault="009C2544" w:rsidP="004255F8">
            <w:pPr>
              <w:pStyle w:val="TableParagraph"/>
              <w:widowControl/>
              <w:suppressAutoHyphens/>
              <w:jc w:val="center"/>
              <w:rPr>
                <w:sz w:val="20"/>
                <w:szCs w:val="20"/>
              </w:rPr>
            </w:pPr>
            <w:r w:rsidRPr="006A64EE">
              <w:rPr>
                <w:sz w:val="20"/>
                <w:szCs w:val="20"/>
              </w:rPr>
              <w:t>&lt; 0,0001</w:t>
            </w:r>
          </w:p>
        </w:tc>
      </w:tr>
      <w:tr w:rsidR="00593482" w:rsidRPr="006A64EE" w14:paraId="6E7DA584" w14:textId="77777777" w:rsidTr="009A058C">
        <w:tc>
          <w:tcPr>
            <w:tcW w:w="3613" w:type="dxa"/>
          </w:tcPr>
          <w:p w14:paraId="39A58DF5" w14:textId="77777777" w:rsidR="002D5756" w:rsidRPr="006A64EE" w:rsidRDefault="009C2544" w:rsidP="004255F8">
            <w:pPr>
              <w:pStyle w:val="TableParagraph"/>
              <w:widowControl/>
              <w:suppressAutoHyphens/>
              <w:jc w:val="right"/>
              <w:rPr>
                <w:sz w:val="20"/>
                <w:szCs w:val="20"/>
              </w:rPr>
            </w:pPr>
            <w:r w:rsidRPr="006A64EE">
              <w:rPr>
                <w:sz w:val="20"/>
                <w:szCs w:val="20"/>
              </w:rPr>
              <w:t>ACR20-Ansprechen, n (%)</w:t>
            </w:r>
          </w:p>
        </w:tc>
        <w:tc>
          <w:tcPr>
            <w:tcW w:w="1740" w:type="dxa"/>
          </w:tcPr>
          <w:p w14:paraId="1F43C726" w14:textId="77777777" w:rsidR="002D5756" w:rsidRPr="006A64EE" w:rsidRDefault="009C2544" w:rsidP="004255F8">
            <w:pPr>
              <w:pStyle w:val="TableParagraph"/>
              <w:widowControl/>
              <w:suppressAutoHyphens/>
              <w:jc w:val="center"/>
              <w:rPr>
                <w:sz w:val="20"/>
                <w:szCs w:val="20"/>
              </w:rPr>
            </w:pPr>
            <w:r w:rsidRPr="006A64EE">
              <w:rPr>
                <w:sz w:val="20"/>
                <w:szCs w:val="20"/>
              </w:rPr>
              <w:t>80 (49,4)</w:t>
            </w:r>
          </w:p>
        </w:tc>
        <w:tc>
          <w:tcPr>
            <w:tcW w:w="1694" w:type="dxa"/>
          </w:tcPr>
          <w:p w14:paraId="063BB9CD" w14:textId="77777777" w:rsidR="002D5756" w:rsidRPr="006A64EE" w:rsidRDefault="009C2544" w:rsidP="004255F8">
            <w:pPr>
              <w:pStyle w:val="TableParagraph"/>
              <w:widowControl/>
              <w:suppressAutoHyphens/>
              <w:jc w:val="center"/>
              <w:rPr>
                <w:sz w:val="20"/>
                <w:szCs w:val="20"/>
              </w:rPr>
            </w:pPr>
            <w:r w:rsidRPr="006A64EE">
              <w:rPr>
                <w:sz w:val="20"/>
                <w:szCs w:val="20"/>
              </w:rPr>
              <w:t>106 (65,0)</w:t>
            </w:r>
          </w:p>
        </w:tc>
        <w:tc>
          <w:tcPr>
            <w:tcW w:w="1316" w:type="dxa"/>
          </w:tcPr>
          <w:p w14:paraId="3C539B67" w14:textId="77777777" w:rsidR="002D5756" w:rsidRPr="006A64EE" w:rsidRDefault="009C2544" w:rsidP="004255F8">
            <w:pPr>
              <w:pStyle w:val="TableParagraph"/>
              <w:widowControl/>
              <w:suppressAutoHyphens/>
              <w:jc w:val="center"/>
              <w:rPr>
                <w:sz w:val="20"/>
                <w:szCs w:val="20"/>
              </w:rPr>
            </w:pPr>
            <w:r w:rsidRPr="006A64EE">
              <w:rPr>
                <w:sz w:val="20"/>
                <w:szCs w:val="20"/>
              </w:rPr>
              <w:t>0,0038</w:t>
            </w:r>
          </w:p>
        </w:tc>
      </w:tr>
      <w:tr w:rsidR="00593482" w:rsidRPr="006A64EE" w14:paraId="3454B491" w14:textId="77777777" w:rsidTr="009A058C">
        <w:tc>
          <w:tcPr>
            <w:tcW w:w="3613" w:type="dxa"/>
          </w:tcPr>
          <w:p w14:paraId="6543B6C1" w14:textId="77777777" w:rsidR="002D5756" w:rsidRPr="006A64EE" w:rsidRDefault="009C2544" w:rsidP="004255F8">
            <w:pPr>
              <w:pStyle w:val="TableParagraph"/>
              <w:widowControl/>
              <w:suppressAutoHyphens/>
              <w:jc w:val="right"/>
              <w:rPr>
                <w:sz w:val="20"/>
                <w:szCs w:val="20"/>
              </w:rPr>
            </w:pPr>
            <w:r w:rsidRPr="006A64EE">
              <w:rPr>
                <w:sz w:val="20"/>
                <w:szCs w:val="20"/>
              </w:rPr>
              <w:t>ACR50-Ansprechen, n (%)</w:t>
            </w:r>
          </w:p>
        </w:tc>
        <w:tc>
          <w:tcPr>
            <w:tcW w:w="1740" w:type="dxa"/>
          </w:tcPr>
          <w:p w14:paraId="71C7096A" w14:textId="77777777" w:rsidR="002D5756" w:rsidRPr="006A64EE" w:rsidRDefault="009C2544" w:rsidP="004255F8">
            <w:pPr>
              <w:pStyle w:val="TableParagraph"/>
              <w:widowControl/>
              <w:suppressAutoHyphens/>
              <w:jc w:val="center"/>
              <w:rPr>
                <w:sz w:val="20"/>
                <w:szCs w:val="20"/>
              </w:rPr>
            </w:pPr>
            <w:r w:rsidRPr="006A64EE">
              <w:rPr>
                <w:sz w:val="20"/>
                <w:szCs w:val="20"/>
              </w:rPr>
              <w:t>45 (27,8)</w:t>
            </w:r>
          </w:p>
        </w:tc>
        <w:tc>
          <w:tcPr>
            <w:tcW w:w="1694" w:type="dxa"/>
          </w:tcPr>
          <w:p w14:paraId="7BC118A5" w14:textId="77777777" w:rsidR="002D5756" w:rsidRPr="006A64EE" w:rsidRDefault="009C2544" w:rsidP="004255F8">
            <w:pPr>
              <w:pStyle w:val="TableParagraph"/>
              <w:widowControl/>
              <w:suppressAutoHyphens/>
              <w:jc w:val="center"/>
              <w:rPr>
                <w:sz w:val="20"/>
                <w:szCs w:val="20"/>
              </w:rPr>
            </w:pPr>
            <w:r w:rsidRPr="006A64EE">
              <w:rPr>
                <w:sz w:val="20"/>
                <w:szCs w:val="20"/>
              </w:rPr>
              <w:t>77 (47,2)</w:t>
            </w:r>
          </w:p>
        </w:tc>
        <w:tc>
          <w:tcPr>
            <w:tcW w:w="1316" w:type="dxa"/>
          </w:tcPr>
          <w:p w14:paraId="39DB7CEF" w14:textId="77777777" w:rsidR="002D5756" w:rsidRPr="006A64EE" w:rsidRDefault="009C2544" w:rsidP="004255F8">
            <w:pPr>
              <w:pStyle w:val="TableParagraph"/>
              <w:widowControl/>
              <w:suppressAutoHyphens/>
              <w:jc w:val="center"/>
              <w:rPr>
                <w:sz w:val="20"/>
                <w:szCs w:val="20"/>
              </w:rPr>
            </w:pPr>
            <w:r w:rsidRPr="006A64EE">
              <w:rPr>
                <w:sz w:val="20"/>
                <w:szCs w:val="20"/>
              </w:rPr>
              <w:t>0,0002</w:t>
            </w:r>
          </w:p>
        </w:tc>
      </w:tr>
      <w:tr w:rsidR="00593482" w:rsidRPr="006A64EE" w14:paraId="6C4AAE02" w14:textId="77777777" w:rsidTr="009A058C">
        <w:tc>
          <w:tcPr>
            <w:tcW w:w="3613" w:type="dxa"/>
          </w:tcPr>
          <w:p w14:paraId="309FED0D" w14:textId="77777777" w:rsidR="002D5756" w:rsidRPr="006A64EE" w:rsidRDefault="009C2544" w:rsidP="004255F8">
            <w:pPr>
              <w:pStyle w:val="TableParagraph"/>
              <w:widowControl/>
              <w:suppressAutoHyphens/>
              <w:jc w:val="right"/>
              <w:rPr>
                <w:sz w:val="20"/>
                <w:szCs w:val="20"/>
              </w:rPr>
            </w:pPr>
            <w:r w:rsidRPr="006A64EE">
              <w:rPr>
                <w:sz w:val="20"/>
                <w:szCs w:val="20"/>
              </w:rPr>
              <w:t>ACR70-Ansprechen, n (%)</w:t>
            </w:r>
          </w:p>
        </w:tc>
        <w:tc>
          <w:tcPr>
            <w:tcW w:w="1740" w:type="dxa"/>
          </w:tcPr>
          <w:p w14:paraId="0255E56A" w14:textId="77777777" w:rsidR="002D5756" w:rsidRPr="006A64EE" w:rsidRDefault="009C2544" w:rsidP="004255F8">
            <w:pPr>
              <w:pStyle w:val="TableParagraph"/>
              <w:widowControl/>
              <w:suppressAutoHyphens/>
              <w:jc w:val="center"/>
              <w:rPr>
                <w:sz w:val="20"/>
                <w:szCs w:val="20"/>
              </w:rPr>
            </w:pPr>
            <w:r w:rsidRPr="006A64EE">
              <w:rPr>
                <w:sz w:val="20"/>
                <w:szCs w:val="20"/>
              </w:rPr>
              <w:t>29 (17,9)</w:t>
            </w:r>
          </w:p>
        </w:tc>
        <w:tc>
          <w:tcPr>
            <w:tcW w:w="1694" w:type="dxa"/>
          </w:tcPr>
          <w:p w14:paraId="344ED73E" w14:textId="77777777" w:rsidR="002D5756" w:rsidRPr="006A64EE" w:rsidRDefault="009C2544" w:rsidP="004255F8">
            <w:pPr>
              <w:pStyle w:val="TableParagraph"/>
              <w:widowControl/>
              <w:suppressAutoHyphens/>
              <w:jc w:val="center"/>
              <w:rPr>
                <w:sz w:val="20"/>
                <w:szCs w:val="20"/>
              </w:rPr>
            </w:pPr>
            <w:r w:rsidRPr="006A64EE">
              <w:rPr>
                <w:sz w:val="20"/>
                <w:szCs w:val="20"/>
              </w:rPr>
              <w:t>53 (32,5)</w:t>
            </w:r>
          </w:p>
        </w:tc>
        <w:tc>
          <w:tcPr>
            <w:tcW w:w="1316" w:type="dxa"/>
          </w:tcPr>
          <w:p w14:paraId="4FA44728" w14:textId="77777777" w:rsidR="002D5756" w:rsidRPr="006A64EE" w:rsidRDefault="009C2544" w:rsidP="004255F8">
            <w:pPr>
              <w:pStyle w:val="TableParagraph"/>
              <w:widowControl/>
              <w:suppressAutoHyphens/>
              <w:jc w:val="center"/>
              <w:rPr>
                <w:sz w:val="20"/>
                <w:szCs w:val="20"/>
              </w:rPr>
            </w:pPr>
            <w:r w:rsidRPr="006A64EE">
              <w:rPr>
                <w:sz w:val="20"/>
                <w:szCs w:val="20"/>
              </w:rPr>
              <w:t>0,0023</w:t>
            </w:r>
          </w:p>
        </w:tc>
      </w:tr>
    </w:tbl>
    <w:p w14:paraId="5CF9B110" w14:textId="77777777" w:rsidR="00093A5E" w:rsidRPr="006A64EE" w:rsidRDefault="009C2544" w:rsidP="004255F8">
      <w:pPr>
        <w:widowControl/>
        <w:rPr>
          <w:i/>
          <w:sz w:val="18"/>
          <w:szCs w:val="18"/>
        </w:rPr>
      </w:pPr>
      <w:r w:rsidRPr="00E303AE">
        <w:rPr>
          <w:i/>
          <w:sz w:val="18"/>
          <w:szCs w:val="18"/>
          <w:vertAlign w:val="superscript"/>
        </w:rPr>
        <w:t>a</w:t>
      </w:r>
      <w:r w:rsidRPr="006A64EE">
        <w:rPr>
          <w:i/>
          <w:sz w:val="18"/>
          <w:szCs w:val="18"/>
        </w:rPr>
        <w:t xml:space="preserve"> p-Wert ist adjustiert in Bezug auf Region und Dauer der RA für alle Endpunkte und zusätzlich für den Baseline-Wert aller stetigen Endpunkte.</w:t>
      </w:r>
    </w:p>
    <w:p w14:paraId="1BDC3C29" w14:textId="77777777" w:rsidR="00093A5E" w:rsidRPr="006A64EE" w:rsidRDefault="009C2544" w:rsidP="004255F8">
      <w:pPr>
        <w:widowControl/>
        <w:rPr>
          <w:i/>
          <w:sz w:val="18"/>
          <w:szCs w:val="18"/>
        </w:rPr>
      </w:pPr>
      <w:r w:rsidRPr="00E303AE">
        <w:rPr>
          <w:i/>
          <w:sz w:val="18"/>
          <w:szCs w:val="18"/>
          <w:vertAlign w:val="superscript"/>
        </w:rPr>
        <w:t>b</w:t>
      </w:r>
      <w:r w:rsidRPr="006A64EE">
        <w:rPr>
          <w:i/>
          <w:sz w:val="18"/>
          <w:szCs w:val="18"/>
        </w:rPr>
        <w:t xml:space="preserve"> Patienten mit fehlenden Daten wurden als Therapie-Versager (non-responder) gewertet. Multiplizität unter Anwendung der Bonferroni-Holm-Methode kontrolliert</w:t>
      </w:r>
    </w:p>
    <w:p w14:paraId="6AFCA09F" w14:textId="77777777" w:rsidR="00093A5E" w:rsidRPr="006A64EE" w:rsidRDefault="00093A5E" w:rsidP="004255F8">
      <w:pPr>
        <w:pStyle w:val="a3"/>
        <w:widowControl/>
        <w:rPr>
          <w:i/>
        </w:rPr>
      </w:pPr>
    </w:p>
    <w:p w14:paraId="4FAC0FEE" w14:textId="7EAC56F2" w:rsidR="00093A5E" w:rsidRPr="006A64EE" w:rsidRDefault="009C2544" w:rsidP="004255F8">
      <w:pPr>
        <w:pStyle w:val="a3"/>
        <w:widowControl/>
      </w:pPr>
      <w:r w:rsidRPr="006A64EE">
        <w:t xml:space="preserve">Das gesamte klinische Nebenwirkungsprofil von </w:t>
      </w:r>
      <w:r w:rsidR="006E7EAA">
        <w:t>Tocilizumab</w:t>
      </w:r>
      <w:r w:rsidRPr="006A64EE">
        <w:t xml:space="preserve"> und Adalimumab war ähnlich. Der Anteil an Patienten mit schwerwiegenden unerwünschten Ereignissen war in beiden Behandlungsgruppen vergleichbar (</w:t>
      </w:r>
      <w:r w:rsidR="006E7EAA">
        <w:t>Tocilizumab</w:t>
      </w:r>
      <w:r w:rsidRPr="006A64EE">
        <w:t xml:space="preserve"> 11,7 % </w:t>
      </w:r>
      <w:r w:rsidRPr="006A64EE">
        <w:rPr>
          <w:i/>
        </w:rPr>
        <w:t>vs</w:t>
      </w:r>
      <w:r w:rsidRPr="006A64EE">
        <w:t xml:space="preserve">. Adalimumab 9,9 %). Die Arten von unerwünschten Arzneimittelwirkungen im Arm mit </w:t>
      </w:r>
      <w:r w:rsidR="006E7EAA">
        <w:t>Tocilizumab</w:t>
      </w:r>
      <w:r w:rsidRPr="006A64EE">
        <w:t xml:space="preserve"> entsprachen dem bekannten Sicherheitsprofil von </w:t>
      </w:r>
      <w:r w:rsidR="006E7EAA">
        <w:t>Tocilizumab</w:t>
      </w:r>
      <w:r w:rsidRPr="006A64EE">
        <w:t xml:space="preserve">, und unerwünschte Arzneimittelwirkungen wurden mit einer ähnlichen Häufigkeit im Vergleich zu Tabelle 1 berichtet. Eine höhere Inzidenz von Infektionen und parasitären Erkrankungen wurde im </w:t>
      </w:r>
      <w:r w:rsidR="006E7EAA">
        <w:t>Tocilizumab-</w:t>
      </w:r>
      <w:r w:rsidRPr="006A64EE">
        <w:t xml:space="preserve">Arm (48 % </w:t>
      </w:r>
      <w:r w:rsidRPr="006A64EE">
        <w:rPr>
          <w:i/>
        </w:rPr>
        <w:t>vs</w:t>
      </w:r>
      <w:r w:rsidRPr="006A64EE">
        <w:t xml:space="preserve">. 42 %) berichtet, wobei kein Unterschied in der Inzidenz von schwerwiegenden Infektionen (3,1 %) bestand. Beide Studienbehandlungen führten zu vergleichbaren Veränderungsmustern bei den Laborsicherheitsparametern (Verringerung der Anzahl der Neutrophilen und Thrombozyten, Erhöhung der ALAT, ASAT und Lipide). Das Ausmaß der Veränderung und die Häufigkeit starker Auffälligkeiten waren jedoch bei </w:t>
      </w:r>
      <w:r w:rsidR="006E7EAA">
        <w:t>Tocilizumab</w:t>
      </w:r>
      <w:r w:rsidRPr="006A64EE">
        <w:t xml:space="preserve"> höher als bei Adalimumab. Bei vier Patienten im </w:t>
      </w:r>
      <w:r w:rsidR="006E7EAA">
        <w:t>Tocilizumab-</w:t>
      </w:r>
      <w:r w:rsidRPr="006A64EE">
        <w:t xml:space="preserve">Arm (2,5 %) und zwei Patienten im Adalimumab-Arm (1,2 %) trat ein Abfall der Neutrophilenzahl vom CTC-Grad 3 oder 4 auf. Bei elf Patienten im </w:t>
      </w:r>
      <w:r w:rsidR="006E7EAA">
        <w:t>Tocilizumab-</w:t>
      </w:r>
      <w:r w:rsidRPr="006A64EE">
        <w:t xml:space="preserve">Arm (6,8 %) und fünf Patienten im Adalimumab-Arm (3,1 %) trat eine Erhöhung der ALAT vom CTC-Grad 2 oder höher auf. Der mittlere LDL-Anstieg ab Baseline lag bei Patienten im </w:t>
      </w:r>
      <w:r w:rsidR="006E7EAA">
        <w:t>Tocilizumab-</w:t>
      </w:r>
      <w:r w:rsidRPr="006A64EE">
        <w:t>Arm bei 0,64</w:t>
      </w:r>
      <w:r w:rsidR="00DD494C">
        <w:t> </w:t>
      </w:r>
      <w:r w:rsidRPr="006A64EE">
        <w:t>mmol/l</w:t>
      </w:r>
      <w:r w:rsidR="002D69B8" w:rsidRPr="006A64EE">
        <w:t xml:space="preserve"> </w:t>
      </w:r>
      <w:r w:rsidRPr="006A64EE">
        <w:t xml:space="preserve">(25 mg/dl) und bei Patienten im Adalimumab-Arm bei 0,19 mmol/l (7 mg/dl). Die Sicherheit, die im Arm mit </w:t>
      </w:r>
      <w:r w:rsidR="006E7EAA">
        <w:t>Tocilizumab</w:t>
      </w:r>
      <w:r w:rsidRPr="006A64EE">
        <w:t xml:space="preserve"> beobachtet wurde, stimmte mit dem bekannten Sicherheitsprofil von </w:t>
      </w:r>
      <w:r w:rsidR="006E7EAA">
        <w:t>Tocilizumab</w:t>
      </w:r>
      <w:r w:rsidRPr="006A64EE">
        <w:t xml:space="preserve"> überein, und es wurden keine neuen oder unerwarteten Nebenwirkungen beobachtet (siehe Tabelle 1).</w:t>
      </w:r>
    </w:p>
    <w:p w14:paraId="16EBFF65" w14:textId="77777777" w:rsidR="00093A5E" w:rsidRPr="006A64EE" w:rsidRDefault="00093A5E" w:rsidP="004255F8">
      <w:pPr>
        <w:pStyle w:val="a3"/>
        <w:widowControl/>
      </w:pPr>
    </w:p>
    <w:p w14:paraId="13D53D87" w14:textId="77777777" w:rsidR="00093A5E" w:rsidRPr="006A64EE" w:rsidRDefault="0059713A" w:rsidP="00891282">
      <w:pPr>
        <w:pStyle w:val="2"/>
        <w:ind w:left="0" w:firstLine="0"/>
      </w:pPr>
      <w:r w:rsidRPr="006A64EE">
        <w:lastRenderedPageBreak/>
        <w:t>5.2</w:t>
      </w:r>
      <w:r w:rsidRPr="006A64EE">
        <w:tab/>
        <w:t>Pharmakokinetische Eigenschaften</w:t>
      </w:r>
    </w:p>
    <w:p w14:paraId="76A60E13" w14:textId="77777777" w:rsidR="00093A5E" w:rsidRPr="006A64EE" w:rsidRDefault="00093A5E" w:rsidP="00B320E1">
      <w:pPr>
        <w:pStyle w:val="a3"/>
        <w:keepNext/>
        <w:widowControl/>
      </w:pPr>
    </w:p>
    <w:p w14:paraId="7C2D1713" w14:textId="72253A75" w:rsidR="00093A5E" w:rsidRPr="006A64EE" w:rsidRDefault="009C2544" w:rsidP="004255F8">
      <w:pPr>
        <w:pStyle w:val="a3"/>
        <w:widowControl/>
      </w:pPr>
      <w:r w:rsidRPr="006A64EE">
        <w:t xml:space="preserve">Die Pharmakokinetik von </w:t>
      </w:r>
      <w:r w:rsidR="00C450F6">
        <w:t>Tocilizumab</w:t>
      </w:r>
      <w:r w:rsidRPr="006A64EE">
        <w:t xml:space="preserve"> ist durch eine nicht lineare Elimination gekennzeichnet, genauer gesagt ist es eine Kombination aus linearer Clearance und Michaelis-Menten-Elimination. Der nicht lineare Teil der </w:t>
      </w:r>
      <w:r w:rsidR="00C450F6">
        <w:t>Tocilizumab</w:t>
      </w:r>
      <w:r w:rsidRPr="006A64EE">
        <w:t xml:space="preserve">-Elimination führt zu einem mehr als dosisproportionalen Anstieg der Exposition. Die pharmakokinetischen Parameter von </w:t>
      </w:r>
      <w:r w:rsidR="00C450F6">
        <w:t>Tocilizumab</w:t>
      </w:r>
      <w:r w:rsidRPr="006A64EE">
        <w:t xml:space="preserve"> verändern sich im Zeitverlauf nicht. Da die Gesamt-Clearance von der </w:t>
      </w:r>
      <w:r w:rsidR="00E26B13">
        <w:t>Tocilizumab</w:t>
      </w:r>
      <w:r w:rsidRPr="006A64EE">
        <w:t xml:space="preserve">-Konzentration im Serum abhängt, ist auch die Halbwertszeit von </w:t>
      </w:r>
      <w:r w:rsidR="00C450F6">
        <w:t>Tocilizumab</w:t>
      </w:r>
      <w:r w:rsidRPr="006A64EE">
        <w:t xml:space="preserve"> konzentrationsabhängig und schwankt je nach Konzentration im Serum. Die Analysen zur Populationspharmakokinetik aller bisher getesteten Patientenpopulationen ergaben keinen Zusammenhang zwischen der Clearance und dem Vorhandensein von Antikörpern gegen den Wirkstoff.</w:t>
      </w:r>
    </w:p>
    <w:p w14:paraId="68DB1FA6" w14:textId="77777777" w:rsidR="00093A5E" w:rsidRPr="006A64EE" w:rsidRDefault="00093A5E" w:rsidP="004255F8">
      <w:pPr>
        <w:widowControl/>
      </w:pPr>
    </w:p>
    <w:p w14:paraId="4D7C38AA" w14:textId="77777777" w:rsidR="00093A5E" w:rsidRPr="006A64EE" w:rsidRDefault="007D680A" w:rsidP="00A27366">
      <w:pPr>
        <w:keepNext/>
        <w:widowControl/>
      </w:pPr>
      <w:r w:rsidRPr="006A64EE">
        <w:rPr>
          <w:u w:val="single"/>
        </w:rPr>
        <w:t>RA</w:t>
      </w:r>
    </w:p>
    <w:p w14:paraId="7B33AA68" w14:textId="77777777" w:rsidR="00093A5E" w:rsidRPr="006A64EE" w:rsidRDefault="009C2544" w:rsidP="00A27366">
      <w:pPr>
        <w:pStyle w:val="a3"/>
        <w:keepNext/>
        <w:widowControl/>
      </w:pPr>
      <w:r w:rsidRPr="006A64EE">
        <w:rPr>
          <w:u w:val="single"/>
        </w:rPr>
        <w:t>Intravenöse Anwendung</w:t>
      </w:r>
    </w:p>
    <w:p w14:paraId="6943AA9A" w14:textId="6566A0B6" w:rsidR="00093A5E" w:rsidRPr="006A64EE" w:rsidRDefault="009C2544" w:rsidP="004255F8">
      <w:pPr>
        <w:pStyle w:val="a3"/>
        <w:widowControl/>
      </w:pPr>
      <w:r w:rsidRPr="006A64EE">
        <w:t xml:space="preserve">Die Pharmakokinetik von </w:t>
      </w:r>
      <w:r w:rsidR="00C450F6">
        <w:t>Tocilizumab</w:t>
      </w:r>
      <w:r w:rsidRPr="006A64EE">
        <w:t xml:space="preserve"> wurde anhand einer Analyse zur Populationspharmakokinetik,</w:t>
      </w:r>
      <w:r w:rsidR="002D69B8" w:rsidRPr="006A64EE">
        <w:t xml:space="preserve"> </w:t>
      </w:r>
      <w:r w:rsidRPr="006A64EE">
        <w:t>basierend auf den Daten von 3</w:t>
      </w:r>
      <w:r w:rsidR="006B2CAB">
        <w:t> </w:t>
      </w:r>
      <w:r w:rsidRPr="006A64EE">
        <w:t>552 Patienten mit RA, die während 24</w:t>
      </w:r>
      <w:r w:rsidR="006B2CAB">
        <w:t> </w:t>
      </w:r>
      <w:r w:rsidRPr="006A64EE">
        <w:t>Wochen entweder alle</w:t>
      </w:r>
      <w:r w:rsidR="002D69B8" w:rsidRPr="006A64EE">
        <w:t xml:space="preserve"> </w:t>
      </w:r>
      <w:r w:rsidRPr="006A64EE">
        <w:t>4</w:t>
      </w:r>
      <w:r w:rsidR="006B2CAB">
        <w:t> </w:t>
      </w:r>
      <w:r w:rsidRPr="006A64EE">
        <w:t>Wochen mit einer einstündigen Infusion von 4</w:t>
      </w:r>
      <w:r w:rsidR="006B2CAB">
        <w:t> </w:t>
      </w:r>
      <w:r w:rsidRPr="006A64EE">
        <w:t>mg/kg oder 8</w:t>
      </w:r>
      <w:r w:rsidR="006B2CAB">
        <w:t> </w:t>
      </w:r>
      <w:r w:rsidRPr="006A64EE">
        <w:t xml:space="preserve">mg/kg </w:t>
      </w:r>
      <w:r w:rsidR="00C450F6">
        <w:t>Tocilizumab</w:t>
      </w:r>
      <w:r w:rsidRPr="006A64EE">
        <w:t xml:space="preserve"> oder mit 162</w:t>
      </w:r>
      <w:r w:rsidR="006B2CAB">
        <w:t> </w:t>
      </w:r>
      <w:r w:rsidRPr="006A64EE">
        <w:t xml:space="preserve">mg </w:t>
      </w:r>
      <w:r w:rsidR="00C450F6">
        <w:t>Tocilizumab</w:t>
      </w:r>
      <w:r w:rsidRPr="006A64EE">
        <w:t xml:space="preserve"> subkutan einmal wöchentlich oder jede zweite Woche behandelt wurden, bestimmt.</w:t>
      </w:r>
    </w:p>
    <w:p w14:paraId="63F4C0CB" w14:textId="77777777" w:rsidR="00093A5E" w:rsidRPr="006A64EE" w:rsidRDefault="00093A5E" w:rsidP="004255F8">
      <w:pPr>
        <w:pStyle w:val="a3"/>
        <w:widowControl/>
      </w:pPr>
    </w:p>
    <w:p w14:paraId="5320DBDF" w14:textId="06D69C39" w:rsidR="00093A5E" w:rsidRPr="006A64EE" w:rsidRDefault="009C2544" w:rsidP="004255F8">
      <w:pPr>
        <w:pStyle w:val="a3"/>
        <w:widowControl/>
      </w:pPr>
      <w:r w:rsidRPr="006A64EE">
        <w:t>Die folgenden Parameter (vorausberechneter Mittelwert ± Standardabweichung [SD]) wurden für eine Dosierung von 8</w:t>
      </w:r>
      <w:r w:rsidR="006B2CAB">
        <w:t> </w:t>
      </w:r>
      <w:r w:rsidRPr="006A64EE">
        <w:t xml:space="preserve">mg/kg </w:t>
      </w:r>
      <w:r w:rsidR="00C450F6">
        <w:t>Tocilizumab</w:t>
      </w:r>
      <w:r w:rsidRPr="006A64EE">
        <w:t>, verabreicht alle 4</w:t>
      </w:r>
      <w:r w:rsidR="006B2CAB">
        <w:t> </w:t>
      </w:r>
      <w:r w:rsidRPr="006A64EE">
        <w:t>Wochen, geschätzt: Steady State Area Under the Curve (AUC) = 38</w:t>
      </w:r>
      <w:r w:rsidR="006B2CAB">
        <w:t> </w:t>
      </w:r>
      <w:r w:rsidRPr="006A64EE">
        <w:t xml:space="preserve">000 </w:t>
      </w:r>
      <w:r w:rsidR="002D69B8" w:rsidRPr="006A64EE">
        <w:t>±</w:t>
      </w:r>
      <w:r w:rsidRPr="006A64EE">
        <w:t xml:space="preserve"> 13</w:t>
      </w:r>
      <w:r w:rsidR="006B2CAB">
        <w:t> </w:t>
      </w:r>
      <w:r w:rsidRPr="006A64EE">
        <w:t>000 h • μg/ml, minimale Serumkonzentration</w:t>
      </w:r>
      <w:r w:rsidR="002D69B8" w:rsidRPr="006A64EE">
        <w:t xml:space="preserve"> </w:t>
      </w:r>
      <w:r w:rsidRPr="006A64EE">
        <w:t>(C</w:t>
      </w:r>
      <w:r w:rsidRPr="006A64EE">
        <w:rPr>
          <w:vertAlign w:val="subscript"/>
        </w:rPr>
        <w:t>min</w:t>
      </w:r>
      <w:r w:rsidRPr="006A64EE">
        <w:t xml:space="preserve">) = 15,9 </w:t>
      </w:r>
      <w:r w:rsidR="002D69B8" w:rsidRPr="006A64EE">
        <w:t>±</w:t>
      </w:r>
      <w:r w:rsidRPr="006A64EE">
        <w:t xml:space="preserve"> 13,1</w:t>
      </w:r>
      <w:r w:rsidR="00DD494C">
        <w:t> </w:t>
      </w:r>
      <w:r w:rsidRPr="006A64EE">
        <w:t>µg/ml und maximale Serumkonzentration (C</w:t>
      </w:r>
      <w:r w:rsidRPr="006A64EE">
        <w:rPr>
          <w:vertAlign w:val="subscript"/>
        </w:rPr>
        <w:t>max</w:t>
      </w:r>
      <w:r w:rsidRPr="006A64EE">
        <w:t xml:space="preserve">) = 182 </w:t>
      </w:r>
      <w:r w:rsidR="002D69B8" w:rsidRPr="006A64EE">
        <w:t>±</w:t>
      </w:r>
      <w:r w:rsidRPr="006A64EE">
        <w:t xml:space="preserve"> 50,4 µg/ml, und die Akkumulationsverhältnisse für AUC und C</w:t>
      </w:r>
      <w:r w:rsidRPr="006A64EE">
        <w:rPr>
          <w:vertAlign w:val="subscript"/>
        </w:rPr>
        <w:t>max</w:t>
      </w:r>
      <w:r w:rsidRPr="006A64EE">
        <w:t xml:space="preserve"> waren mit 1,32 bzw. 1,09 klein. Für C</w:t>
      </w:r>
      <w:r w:rsidRPr="006A64EE">
        <w:rPr>
          <w:vertAlign w:val="subscript"/>
        </w:rPr>
        <w:t>min</w:t>
      </w:r>
      <w:r w:rsidRPr="006A64EE">
        <w:t xml:space="preserve"> war das Akkumulationsverhältnis höher (2,49), was aufgrund des Beitrags der nicht linearen Clearance bei geringeren Konzentrationen zu erwarten war. Der Steady State wurde für C</w:t>
      </w:r>
      <w:r w:rsidRPr="006A64EE">
        <w:rPr>
          <w:vertAlign w:val="subscript"/>
        </w:rPr>
        <w:t>max</w:t>
      </w:r>
      <w:r w:rsidRPr="006A64EE">
        <w:t xml:space="preserve"> nach der ersten Anwendung und nach 8 und 20 Wochen für AUC bzw. C</w:t>
      </w:r>
      <w:r w:rsidRPr="006A64EE">
        <w:rPr>
          <w:vertAlign w:val="subscript"/>
        </w:rPr>
        <w:t>min</w:t>
      </w:r>
      <w:r w:rsidRPr="006A64EE">
        <w:t xml:space="preserve"> erreicht. Die AUC, C</w:t>
      </w:r>
      <w:r w:rsidRPr="006A64EE">
        <w:rPr>
          <w:vertAlign w:val="subscript"/>
        </w:rPr>
        <w:t>min</w:t>
      </w:r>
      <w:r w:rsidRPr="006A64EE">
        <w:t xml:space="preserve"> und C</w:t>
      </w:r>
      <w:r w:rsidRPr="006A64EE">
        <w:rPr>
          <w:vertAlign w:val="subscript"/>
        </w:rPr>
        <w:t>max</w:t>
      </w:r>
      <w:r w:rsidRPr="006A64EE">
        <w:t xml:space="preserve"> von </w:t>
      </w:r>
      <w:r w:rsidR="00C450F6">
        <w:t>Tocilizumab</w:t>
      </w:r>
      <w:r w:rsidRPr="006A64EE">
        <w:t xml:space="preserve"> stiegen mit steigendem Körpergewicht. Bei einem Körpergewicht von ≥ 100 kg lagen der vorausberechnete Mittelwert ± Standardabweichung (SD) der AUC, der C</w:t>
      </w:r>
      <w:r w:rsidRPr="006A64EE">
        <w:rPr>
          <w:vertAlign w:val="subscript"/>
        </w:rPr>
        <w:t>min</w:t>
      </w:r>
      <w:r w:rsidRPr="006A64EE">
        <w:t xml:space="preserve"> und der C</w:t>
      </w:r>
      <w:r w:rsidRPr="006A64EE">
        <w:rPr>
          <w:vertAlign w:val="subscript"/>
        </w:rPr>
        <w:t>max</w:t>
      </w:r>
      <w:r w:rsidRPr="006A64EE">
        <w:t xml:space="preserve"> von </w:t>
      </w:r>
      <w:r w:rsidR="00C450F6">
        <w:t>Tocilizumab</w:t>
      </w:r>
      <w:r w:rsidRPr="006A64EE">
        <w:t xml:space="preserve"> im Steady State bei 50</w:t>
      </w:r>
      <w:r w:rsidR="006B2CAB">
        <w:t> </w:t>
      </w:r>
      <w:r w:rsidRPr="006A64EE">
        <w:t>000 ± 16</w:t>
      </w:r>
      <w:r w:rsidR="006B2CAB">
        <w:t> </w:t>
      </w:r>
      <w:r w:rsidRPr="006A64EE">
        <w:t xml:space="preserve">800 h • μg/ml, beziehungsweise bei 24,4 ± 17,5 µg/ml und 226 ± 50,3 µg/ml, was höher liegt als die mittleren Expositionswerte in der oben beschriebenen Patientenpopulation (d. h. alle Körpergewichte). Die Dosis-Wirkungs-Kurve flacht bei höheren Dosierungen ab, was zu geringeren Wirksamkeitsverbesserungen für jede weitere Erhöhung der </w:t>
      </w:r>
      <w:r w:rsidR="00C450F6">
        <w:t>Tocilizumab-</w:t>
      </w:r>
      <w:r w:rsidRPr="006A64EE">
        <w:t xml:space="preserve">Konzentration führt, sodass klinisch bedeutende Verbesserungen der Wirksamkeit bei Patienten, die mit &gt; 800 mg </w:t>
      </w:r>
      <w:r w:rsidR="00C450F6">
        <w:t>Tocilizumab</w:t>
      </w:r>
      <w:r w:rsidRPr="006A64EE">
        <w:t xml:space="preserve"> behandelt wurden, nicht nachgewiesen werden konnten. Aus diesem Grund werden Dosierungen von über 800 mg </w:t>
      </w:r>
      <w:r w:rsidR="00C450F6">
        <w:t>Tocilizumab</w:t>
      </w:r>
      <w:r w:rsidRPr="006A64EE">
        <w:t xml:space="preserve"> pro Infusion nicht empfohlen (siehe Abschnitt 4.2).</w:t>
      </w:r>
    </w:p>
    <w:p w14:paraId="2E9FD08E" w14:textId="77777777" w:rsidR="00093A5E" w:rsidRPr="006A64EE" w:rsidRDefault="00093A5E" w:rsidP="004255F8">
      <w:pPr>
        <w:pStyle w:val="a3"/>
        <w:widowControl/>
      </w:pPr>
    </w:p>
    <w:p w14:paraId="4E45A1D9" w14:textId="77777777" w:rsidR="00093A5E" w:rsidRPr="006A64EE" w:rsidRDefault="009C2544" w:rsidP="004255F8">
      <w:pPr>
        <w:pStyle w:val="a3"/>
        <w:keepNext/>
        <w:widowControl/>
      </w:pPr>
      <w:r w:rsidRPr="006A64EE">
        <w:rPr>
          <w:u w:val="single"/>
        </w:rPr>
        <w:t>Verteilung</w:t>
      </w:r>
    </w:p>
    <w:p w14:paraId="33A7F571" w14:textId="77777777" w:rsidR="00093A5E" w:rsidRPr="006A64EE" w:rsidRDefault="009C2544" w:rsidP="004255F8">
      <w:pPr>
        <w:pStyle w:val="a3"/>
        <w:widowControl/>
      </w:pPr>
      <w:r w:rsidRPr="006A64EE">
        <w:t>Bei Patienten mit RA lag das zentrale Verteilungsvolumen bei 3,72 l, das periphere Verteilungsvolumen bei 3,35 l, woraus ein Verteilungsvolumen von 7,07 l im Steady State resultiert.</w:t>
      </w:r>
    </w:p>
    <w:p w14:paraId="4D7FADF1" w14:textId="77777777" w:rsidR="00093A5E" w:rsidRPr="006A64EE" w:rsidRDefault="00093A5E" w:rsidP="004255F8">
      <w:pPr>
        <w:pStyle w:val="a3"/>
        <w:widowControl/>
      </w:pPr>
    </w:p>
    <w:p w14:paraId="6FBB1BAB" w14:textId="77777777" w:rsidR="00093A5E" w:rsidRPr="006A64EE" w:rsidRDefault="009C2544" w:rsidP="004255F8">
      <w:pPr>
        <w:pStyle w:val="a3"/>
        <w:widowControl/>
      </w:pPr>
      <w:r w:rsidRPr="006A64EE">
        <w:rPr>
          <w:u w:val="single"/>
        </w:rPr>
        <w:t>Elimination</w:t>
      </w:r>
    </w:p>
    <w:p w14:paraId="36091147" w14:textId="30007C20" w:rsidR="00093A5E" w:rsidRPr="006A64EE" w:rsidRDefault="009C2544" w:rsidP="004255F8">
      <w:pPr>
        <w:pStyle w:val="a3"/>
        <w:widowControl/>
      </w:pPr>
      <w:r w:rsidRPr="006A64EE">
        <w:t xml:space="preserve">Nach intravenöser Verabreichung wird </w:t>
      </w:r>
      <w:r w:rsidR="00C450F6">
        <w:t>Tocilizumab</w:t>
      </w:r>
      <w:r w:rsidRPr="006A64EE">
        <w:t xml:space="preserve"> biphasisch aus dem Kreislauf eliminiert. Die Gesamt-Clearance von </w:t>
      </w:r>
      <w:r w:rsidR="00C450F6">
        <w:t>Tocilizumab</w:t>
      </w:r>
      <w:r w:rsidRPr="006A64EE">
        <w:t xml:space="preserve"> war abhängig von der Konzentration und entspricht der Summe der linearen und der nicht linearen Clearance. Die lineare Clearance wurde als Parameter in der Analyse zur Populationspharmakokinetik geschätzt und lag bei 9,5 ml/h. Die konzentrationsabhängige nicht lineare Clearance spielt eine wichtige Rolle bei niedrigen Konzentrationen von </w:t>
      </w:r>
      <w:r w:rsidR="00C450F6">
        <w:t>Tocilizumab</w:t>
      </w:r>
      <w:r w:rsidRPr="006A64EE">
        <w:t xml:space="preserve">. Wenn der nicht lineare Stoffwechselweg gesättigt ist, wird die Clearance bei höheren Konzentrationen von </w:t>
      </w:r>
      <w:r w:rsidR="00C450F6">
        <w:t>Tocilizumab</w:t>
      </w:r>
      <w:r w:rsidRPr="006A64EE">
        <w:t xml:space="preserve"> hauptsächlich von der linearen Clearance bestimmt.</w:t>
      </w:r>
    </w:p>
    <w:p w14:paraId="14E8B0EE" w14:textId="77777777" w:rsidR="00093A5E" w:rsidRPr="006A64EE" w:rsidRDefault="00093A5E" w:rsidP="004255F8">
      <w:pPr>
        <w:pStyle w:val="a3"/>
        <w:widowControl/>
      </w:pPr>
    </w:p>
    <w:p w14:paraId="2E74DEE3" w14:textId="1DA691C6" w:rsidR="00093A5E" w:rsidRPr="006A64EE" w:rsidRDefault="009C2544" w:rsidP="004255F8">
      <w:pPr>
        <w:pStyle w:val="a3"/>
        <w:widowControl/>
      </w:pPr>
      <w:r w:rsidRPr="006A64EE">
        <w:t>Die t</w:t>
      </w:r>
      <w:r w:rsidRPr="00901DE4">
        <w:rPr>
          <w:vertAlign w:val="subscript"/>
        </w:rPr>
        <w:t>1/2</w:t>
      </w:r>
      <w:r w:rsidRPr="006A64EE">
        <w:t xml:space="preserve"> von </w:t>
      </w:r>
      <w:r w:rsidR="00C450F6">
        <w:t>Tocilizumab</w:t>
      </w:r>
      <w:r w:rsidRPr="006A64EE">
        <w:t xml:space="preserve"> war konzentrationsabhängig. Im Steady State reduzierte sich die tatsächliche t</w:t>
      </w:r>
      <w:r w:rsidRPr="00901DE4">
        <w:rPr>
          <w:vertAlign w:val="subscript"/>
        </w:rPr>
        <w:t>1/2</w:t>
      </w:r>
      <w:r w:rsidRPr="006A64EE">
        <w:t xml:space="preserve"> nach Gabe einer Dosis von 8 mg/kg alle 4 Wochen mit abnehmender Konzentration innerhalb eines Dosierungsintervalls von 18 auf 6 Tage.</w:t>
      </w:r>
    </w:p>
    <w:p w14:paraId="549771CC" w14:textId="77777777" w:rsidR="00093A5E" w:rsidRPr="006A64EE" w:rsidRDefault="00093A5E" w:rsidP="004255F8">
      <w:pPr>
        <w:pStyle w:val="a3"/>
        <w:widowControl/>
      </w:pPr>
    </w:p>
    <w:p w14:paraId="73BAD91F" w14:textId="77777777" w:rsidR="00093A5E" w:rsidRPr="006A64EE" w:rsidRDefault="009C2544" w:rsidP="00B320E1">
      <w:pPr>
        <w:pStyle w:val="a3"/>
        <w:keepNext/>
        <w:widowControl/>
      </w:pPr>
      <w:r w:rsidRPr="006A64EE">
        <w:rPr>
          <w:u w:val="single"/>
        </w:rPr>
        <w:lastRenderedPageBreak/>
        <w:t>Linearität/Nicht-Linearität</w:t>
      </w:r>
    </w:p>
    <w:p w14:paraId="41D2E850" w14:textId="1A330A9C" w:rsidR="00093A5E" w:rsidRPr="006A64EE" w:rsidRDefault="009C2544" w:rsidP="004255F8">
      <w:pPr>
        <w:pStyle w:val="a3"/>
        <w:widowControl/>
      </w:pPr>
      <w:r w:rsidRPr="006A64EE">
        <w:t xml:space="preserve">Die pharmakokinetischen Parameter von </w:t>
      </w:r>
      <w:r w:rsidR="00C450F6">
        <w:t>Tocilizumab</w:t>
      </w:r>
      <w:r w:rsidRPr="006A64EE">
        <w:t xml:space="preserve"> veränderten sich im Zeitverlauf nicht. Bei einer Dosis von 4 mg/kg bzw. 8 mg/kg alle 4 Wochen wurde ein mehr als dosisproportionaler Anstieg der AUC und C</w:t>
      </w:r>
      <w:r w:rsidRPr="006A64EE">
        <w:rPr>
          <w:vertAlign w:val="subscript"/>
        </w:rPr>
        <w:t>min</w:t>
      </w:r>
      <w:r w:rsidRPr="006A64EE">
        <w:t xml:space="preserve"> beobachtet. C</w:t>
      </w:r>
      <w:r w:rsidRPr="006A64EE">
        <w:rPr>
          <w:vertAlign w:val="subscript"/>
        </w:rPr>
        <w:t>max</w:t>
      </w:r>
      <w:r w:rsidRPr="006A64EE">
        <w:t xml:space="preserve"> erhöhte sich dosisproportional. Im Steady State lagen die prognostizierte AUC und C</w:t>
      </w:r>
      <w:r w:rsidRPr="006A64EE">
        <w:rPr>
          <w:vertAlign w:val="subscript"/>
        </w:rPr>
        <w:t>min</w:t>
      </w:r>
      <w:r w:rsidRPr="006A64EE">
        <w:t xml:space="preserve"> mit 8 mg/kg um das 3,2- bzw. 30-Fache höher verglichen mit 4 mg/kg.</w:t>
      </w:r>
    </w:p>
    <w:p w14:paraId="53270B32" w14:textId="77777777" w:rsidR="00093A5E" w:rsidRPr="006A64EE" w:rsidRDefault="00093A5E" w:rsidP="004255F8">
      <w:pPr>
        <w:pStyle w:val="a3"/>
        <w:widowControl/>
      </w:pPr>
    </w:p>
    <w:p w14:paraId="485E9200" w14:textId="77777777" w:rsidR="00093A5E" w:rsidRPr="006A64EE" w:rsidRDefault="009C2544" w:rsidP="004255F8">
      <w:pPr>
        <w:pStyle w:val="a3"/>
        <w:widowControl/>
      </w:pPr>
      <w:r w:rsidRPr="006A64EE">
        <w:rPr>
          <w:u w:val="single"/>
        </w:rPr>
        <w:t>Subkutane Anwendung</w:t>
      </w:r>
    </w:p>
    <w:p w14:paraId="69D6383D" w14:textId="6283EB84" w:rsidR="00093A5E" w:rsidRPr="006A64EE" w:rsidRDefault="009C2544" w:rsidP="004255F8">
      <w:pPr>
        <w:pStyle w:val="a3"/>
        <w:widowControl/>
      </w:pPr>
      <w:r w:rsidRPr="006A64EE">
        <w:t xml:space="preserve">Die Pharmakokinetik von </w:t>
      </w:r>
      <w:r w:rsidR="00C450F6">
        <w:t>Tocilizumab</w:t>
      </w:r>
      <w:r w:rsidRPr="006A64EE">
        <w:t xml:space="preserve"> wurde anhand einer Analyse zur Populationspharmakokinetik basierend auf den Daten von 3</w:t>
      </w:r>
      <w:r w:rsidR="006B2CAB">
        <w:t> </w:t>
      </w:r>
      <w:r w:rsidRPr="006A64EE">
        <w:t>552 Patienten mit RA, die einmal pro Woche mit 162</w:t>
      </w:r>
      <w:r w:rsidR="006B2CAB">
        <w:t> </w:t>
      </w:r>
      <w:r w:rsidRPr="006A64EE">
        <w:t>mg subkutan, alle 2</w:t>
      </w:r>
      <w:r w:rsidR="006B2CAB">
        <w:t> </w:t>
      </w:r>
      <w:r w:rsidRPr="006A64EE">
        <w:t>Wochen mit 162</w:t>
      </w:r>
      <w:r w:rsidR="006B2CAB">
        <w:t> </w:t>
      </w:r>
      <w:r w:rsidRPr="006A64EE">
        <w:t>mg subkutan oder einmal alle 4</w:t>
      </w:r>
      <w:r w:rsidR="006B2CAB">
        <w:t> </w:t>
      </w:r>
      <w:r w:rsidRPr="006A64EE">
        <w:t>Wochen mit entweder 4</w:t>
      </w:r>
      <w:r w:rsidR="006B2CAB">
        <w:t> </w:t>
      </w:r>
      <w:r w:rsidRPr="006A64EE">
        <w:t>mg/kg oder 8</w:t>
      </w:r>
      <w:r w:rsidR="006B2CAB">
        <w:t> </w:t>
      </w:r>
      <w:r w:rsidRPr="006A64EE">
        <w:t>mg/kg intravenös über 24</w:t>
      </w:r>
      <w:r w:rsidR="006B2CAB">
        <w:t> </w:t>
      </w:r>
      <w:r w:rsidRPr="006A64EE">
        <w:t>Wochen behandelt wurden, bestimmt.</w:t>
      </w:r>
    </w:p>
    <w:p w14:paraId="5A387877" w14:textId="77777777" w:rsidR="00093A5E" w:rsidRPr="006A64EE" w:rsidRDefault="00093A5E" w:rsidP="004255F8">
      <w:pPr>
        <w:widowControl/>
      </w:pPr>
    </w:p>
    <w:p w14:paraId="14145895" w14:textId="618B2E15" w:rsidR="00093A5E" w:rsidRPr="006A64EE" w:rsidRDefault="007D680A" w:rsidP="004255F8">
      <w:pPr>
        <w:widowControl/>
      </w:pPr>
      <w:r w:rsidRPr="006A64EE">
        <w:t xml:space="preserve">Die pharmakokinetischen Parameter von </w:t>
      </w:r>
      <w:r w:rsidR="00C450F6">
        <w:t>Tocilizumab</w:t>
      </w:r>
      <w:r w:rsidRPr="006A64EE">
        <w:t xml:space="preserve"> veränderten sich im Zeitverlauf nicht. Der vorausberechnete Mittelwert </w:t>
      </w:r>
      <w:r w:rsidR="002D69B8" w:rsidRPr="006A64EE">
        <w:t>±</w:t>
      </w:r>
      <w:r w:rsidRPr="006A64EE">
        <w:t xml:space="preserve"> Standardabweichung (SD) der AUC</w:t>
      </w:r>
      <w:r w:rsidRPr="00B436C7">
        <w:rPr>
          <w:vertAlign w:val="subscript"/>
        </w:rPr>
        <w:t>1Woche</w:t>
      </w:r>
      <w:r w:rsidRPr="006A64EE">
        <w:t xml:space="preserve"> im Steady State, von C</w:t>
      </w:r>
      <w:r w:rsidRPr="006A64EE">
        <w:rPr>
          <w:vertAlign w:val="subscript"/>
        </w:rPr>
        <w:t>min</w:t>
      </w:r>
      <w:r w:rsidRPr="006A64EE">
        <w:t xml:space="preserve"> und von C</w:t>
      </w:r>
      <w:r w:rsidRPr="006A64EE">
        <w:rPr>
          <w:vertAlign w:val="subscript"/>
        </w:rPr>
        <w:t>max</w:t>
      </w:r>
      <w:r w:rsidRPr="006A64EE">
        <w:t xml:space="preserve"> von </w:t>
      </w:r>
      <w:r w:rsidR="00C450F6">
        <w:t>Tocilizumab</w:t>
      </w:r>
      <w:r w:rsidRPr="006A64EE">
        <w:t xml:space="preserve"> 162 mg wöchentlich subkutan lagen bei jeweils 7</w:t>
      </w:r>
      <w:r w:rsidR="006B2CAB">
        <w:t> </w:t>
      </w:r>
      <w:r w:rsidRPr="006A64EE">
        <w:t>970 ± 3</w:t>
      </w:r>
      <w:r w:rsidR="006B2CAB">
        <w:t> </w:t>
      </w:r>
      <w:r w:rsidRPr="006A64EE">
        <w:t xml:space="preserve">432 h • µg/ml, 43,0 </w:t>
      </w:r>
      <w:r w:rsidR="002D69B8" w:rsidRPr="006A64EE">
        <w:t>±</w:t>
      </w:r>
      <w:r w:rsidRPr="006A64EE">
        <w:t xml:space="preserve"> 19,8 µg/ml und 49,8 ± 21,0 µg/ml. Für AUC, C</w:t>
      </w:r>
      <w:r w:rsidRPr="006A64EE">
        <w:rPr>
          <w:vertAlign w:val="subscript"/>
        </w:rPr>
        <w:t>min</w:t>
      </w:r>
      <w:r w:rsidRPr="006A64EE">
        <w:t xml:space="preserve"> und C</w:t>
      </w:r>
      <w:r w:rsidRPr="006A64EE">
        <w:rPr>
          <w:vertAlign w:val="subscript"/>
        </w:rPr>
        <w:t>max</w:t>
      </w:r>
      <w:r w:rsidRPr="006A64EE">
        <w:t xml:space="preserve"> lag das Akkumulationsverhältnis bei jeweils 6,32, 6,30 und 5,27. Für AUC, C</w:t>
      </w:r>
      <w:r w:rsidRPr="006A64EE">
        <w:rPr>
          <w:vertAlign w:val="subscript"/>
        </w:rPr>
        <w:t>min</w:t>
      </w:r>
      <w:r w:rsidRPr="006A64EE">
        <w:t xml:space="preserve"> und C</w:t>
      </w:r>
      <w:r w:rsidRPr="006A64EE">
        <w:rPr>
          <w:vertAlign w:val="subscript"/>
        </w:rPr>
        <w:t>max</w:t>
      </w:r>
      <w:r w:rsidRPr="006A64EE">
        <w:t xml:space="preserve"> wurde Steady-State nach 12 Wochen erreicht.</w:t>
      </w:r>
    </w:p>
    <w:p w14:paraId="6B9706DF" w14:textId="77777777" w:rsidR="00093A5E" w:rsidRPr="006A64EE" w:rsidRDefault="00093A5E" w:rsidP="004255F8">
      <w:pPr>
        <w:pStyle w:val="a3"/>
        <w:widowControl/>
      </w:pPr>
    </w:p>
    <w:p w14:paraId="4E6BCC0B" w14:textId="61259E99" w:rsidR="00093A5E" w:rsidRPr="006A64EE" w:rsidRDefault="009C2544" w:rsidP="004255F8">
      <w:pPr>
        <w:pStyle w:val="a3"/>
        <w:widowControl/>
      </w:pPr>
      <w:r w:rsidRPr="006A64EE">
        <w:t>Für die Dosis von 162</w:t>
      </w:r>
      <w:r w:rsidR="006B5972">
        <w:t> </w:t>
      </w:r>
      <w:r w:rsidRPr="006A64EE">
        <w:t>mg alle zwei Wochen lag der vorausberechnete Mittelwert</w:t>
      </w:r>
      <w:r w:rsidR="002D69B8" w:rsidRPr="006A64EE">
        <w:t xml:space="preserve"> ±</w:t>
      </w:r>
      <w:r w:rsidRPr="006A64EE">
        <w:t xml:space="preserve"> Standardabweichung (SD) der AUC</w:t>
      </w:r>
      <w:r w:rsidRPr="00B436C7">
        <w:rPr>
          <w:vertAlign w:val="subscript"/>
        </w:rPr>
        <w:t>2Wochen</w:t>
      </w:r>
      <w:r w:rsidRPr="006A64EE">
        <w:t xml:space="preserve"> im Steady State, für C</w:t>
      </w:r>
      <w:r w:rsidRPr="006A64EE">
        <w:rPr>
          <w:vertAlign w:val="subscript"/>
        </w:rPr>
        <w:t>min</w:t>
      </w:r>
      <w:r w:rsidRPr="006A64EE">
        <w:t xml:space="preserve"> und für C</w:t>
      </w:r>
      <w:r w:rsidRPr="006A64EE">
        <w:rPr>
          <w:vertAlign w:val="subscript"/>
        </w:rPr>
        <w:t>max</w:t>
      </w:r>
      <w:r w:rsidRPr="006A64EE">
        <w:t xml:space="preserve"> von </w:t>
      </w:r>
      <w:r w:rsidR="00C450F6">
        <w:t>Tocilizumab</w:t>
      </w:r>
      <w:r w:rsidRPr="006A64EE">
        <w:t xml:space="preserve"> bei jeweils 3</w:t>
      </w:r>
      <w:r w:rsidR="006B5972">
        <w:t> </w:t>
      </w:r>
      <w:r w:rsidRPr="006A64EE">
        <w:t>430 ± 2</w:t>
      </w:r>
      <w:r w:rsidR="006B5972">
        <w:t> </w:t>
      </w:r>
      <w:r w:rsidRPr="006A64EE">
        <w:t>660 h • µg/ml, 5,7 ± 6,8 µg/ml und 13,2 ± 8,8 µg/ml. Für AUC, C</w:t>
      </w:r>
      <w:r w:rsidRPr="006A64EE">
        <w:rPr>
          <w:vertAlign w:val="subscript"/>
        </w:rPr>
        <w:t>min</w:t>
      </w:r>
      <w:r w:rsidRPr="006A64EE">
        <w:t xml:space="preserve"> und C</w:t>
      </w:r>
      <w:r w:rsidRPr="006A64EE">
        <w:rPr>
          <w:vertAlign w:val="subscript"/>
        </w:rPr>
        <w:t>max</w:t>
      </w:r>
      <w:r w:rsidRPr="006A64EE">
        <w:t xml:space="preserve"> lag das Akkumulationsverhältnis bei jeweils 2,67, 6,02 und 2,12. Steady State wurde für AUC und C</w:t>
      </w:r>
      <w:r w:rsidRPr="006A64EE">
        <w:rPr>
          <w:vertAlign w:val="subscript"/>
        </w:rPr>
        <w:t>min</w:t>
      </w:r>
      <w:r w:rsidRPr="006A64EE">
        <w:t xml:space="preserve"> nach 12</w:t>
      </w:r>
      <w:r w:rsidR="006B5972">
        <w:t> </w:t>
      </w:r>
      <w:r w:rsidRPr="006A64EE">
        <w:t>Wochen und für C</w:t>
      </w:r>
      <w:r w:rsidRPr="006A64EE">
        <w:rPr>
          <w:vertAlign w:val="subscript"/>
        </w:rPr>
        <w:t>max</w:t>
      </w:r>
      <w:r w:rsidRPr="006A64EE">
        <w:t xml:space="preserve"> nach 10</w:t>
      </w:r>
      <w:r w:rsidR="006B5972">
        <w:t> </w:t>
      </w:r>
      <w:r w:rsidRPr="006A64EE">
        <w:t>Wochen erreicht.</w:t>
      </w:r>
    </w:p>
    <w:p w14:paraId="187F952B" w14:textId="77777777" w:rsidR="00093A5E" w:rsidRPr="006A64EE" w:rsidRDefault="00093A5E" w:rsidP="004255F8">
      <w:pPr>
        <w:pStyle w:val="a3"/>
        <w:widowControl/>
      </w:pPr>
    </w:p>
    <w:p w14:paraId="644215A0" w14:textId="77777777" w:rsidR="00093A5E" w:rsidRPr="006A64EE" w:rsidRDefault="009C2544" w:rsidP="004255F8">
      <w:pPr>
        <w:pStyle w:val="a3"/>
        <w:widowControl/>
      </w:pPr>
      <w:r w:rsidRPr="006A64EE">
        <w:rPr>
          <w:u w:val="single"/>
        </w:rPr>
        <w:t>Resorption</w:t>
      </w:r>
    </w:p>
    <w:p w14:paraId="200AC292" w14:textId="28D48B88" w:rsidR="00093A5E" w:rsidRPr="006A64EE" w:rsidRDefault="009C2544" w:rsidP="004255F8">
      <w:pPr>
        <w:pStyle w:val="a3"/>
        <w:widowControl/>
      </w:pPr>
      <w:r w:rsidRPr="006A64EE">
        <w:t>Nach subkutaner Anwendung bei Patienten mit RA lag der Zeitpunkt des Auftretens des Spitzenplasmaspiegels t</w:t>
      </w:r>
      <w:r w:rsidRPr="00B436C7">
        <w:rPr>
          <w:vertAlign w:val="subscript"/>
        </w:rPr>
        <w:t>max</w:t>
      </w:r>
      <w:r w:rsidRPr="006A64EE">
        <w:t xml:space="preserve"> von </w:t>
      </w:r>
      <w:r w:rsidR="00C450F6">
        <w:t>Tocilizumab</w:t>
      </w:r>
      <w:r w:rsidRPr="006A64EE">
        <w:t xml:space="preserve"> bei 2,8 Tagen. Die Bioverfügbarkeit der subkutanen Darreichungsform betrug 79 %.</w:t>
      </w:r>
    </w:p>
    <w:p w14:paraId="57D71F73" w14:textId="77777777" w:rsidR="00093A5E" w:rsidRPr="006A64EE" w:rsidRDefault="00093A5E" w:rsidP="004255F8">
      <w:pPr>
        <w:pStyle w:val="a3"/>
        <w:widowControl/>
      </w:pPr>
    </w:p>
    <w:p w14:paraId="560BE1CE" w14:textId="77777777" w:rsidR="00093A5E" w:rsidRPr="006A64EE" w:rsidRDefault="009C2544" w:rsidP="004255F8">
      <w:pPr>
        <w:pStyle w:val="a3"/>
        <w:widowControl/>
      </w:pPr>
      <w:r w:rsidRPr="006A64EE">
        <w:rPr>
          <w:u w:val="single"/>
        </w:rPr>
        <w:t>Elimination</w:t>
      </w:r>
    </w:p>
    <w:p w14:paraId="2A3F45BB" w14:textId="77777777" w:rsidR="00093A5E" w:rsidRPr="006A64EE" w:rsidRDefault="009C2544" w:rsidP="004255F8">
      <w:pPr>
        <w:pStyle w:val="a3"/>
        <w:widowControl/>
      </w:pPr>
      <w:r w:rsidRPr="006A64EE">
        <w:t>Für Patienten mit RA beträgt die konzentrationsabhängige Eliminationshalbwertszeit t</w:t>
      </w:r>
      <w:r w:rsidRPr="00901DE4">
        <w:rPr>
          <w:vertAlign w:val="subscript"/>
        </w:rPr>
        <w:t>1/2</w:t>
      </w:r>
      <w:r w:rsidRPr="006A64EE">
        <w:t xml:space="preserve"> bei wöchentlicher Anwendung von 162 mg subkutan bis zu 12 Tage und bei Anwendung von 162 mg subkutan alle zwei Wochen 5 Tage im Steady State.</w:t>
      </w:r>
    </w:p>
    <w:p w14:paraId="5862CFF4" w14:textId="77777777" w:rsidR="00093A5E" w:rsidRPr="006A64EE" w:rsidRDefault="00093A5E" w:rsidP="004255F8">
      <w:pPr>
        <w:pStyle w:val="a3"/>
        <w:widowControl/>
      </w:pPr>
    </w:p>
    <w:p w14:paraId="1C869A3A" w14:textId="77777777" w:rsidR="00093A5E" w:rsidRPr="006A64EE" w:rsidRDefault="009C2544" w:rsidP="004255F8">
      <w:pPr>
        <w:pStyle w:val="a3"/>
        <w:keepNext/>
        <w:widowControl/>
      </w:pPr>
      <w:r w:rsidRPr="006A64EE">
        <w:rPr>
          <w:u w:val="single"/>
        </w:rPr>
        <w:t>sJIA</w:t>
      </w:r>
    </w:p>
    <w:p w14:paraId="4C8A0EBA" w14:textId="77777777" w:rsidR="00093A5E" w:rsidRPr="006A64EE" w:rsidRDefault="009C2544" w:rsidP="004255F8">
      <w:pPr>
        <w:pStyle w:val="a3"/>
        <w:keepNext/>
        <w:widowControl/>
      </w:pPr>
      <w:r w:rsidRPr="006A64EE">
        <w:rPr>
          <w:u w:val="single"/>
        </w:rPr>
        <w:t>Subkutane Anwendung</w:t>
      </w:r>
    </w:p>
    <w:p w14:paraId="029C65C8" w14:textId="28C97885" w:rsidR="00093A5E" w:rsidRPr="006A64EE" w:rsidRDefault="009C2544" w:rsidP="003B1343">
      <w:pPr>
        <w:pStyle w:val="a3"/>
        <w:widowControl/>
      </w:pPr>
      <w:r w:rsidRPr="006A64EE">
        <w:t xml:space="preserve">Die Pharmakokinetik von </w:t>
      </w:r>
      <w:r w:rsidR="00C450F6">
        <w:t>Tocilizumab</w:t>
      </w:r>
      <w:r w:rsidRPr="006A64EE">
        <w:t xml:space="preserve"> wurde anhand einer Analyse zur Populationspharmakokinetik basierend auf den Daten von 140 Patienten mit sJIA bestimmt, die mit 8 mg/kg i.v. alle 2 Wochen (Patienten mit einem Körpergewicht von ≥ 30 kg), 12 mg/kg i.v. alle 2 Wochen (Patienten mit einem Körpergewicht von &lt; 30 kg), 162 mg s.c. einmal pro Woche (Patienten mit einem Körpergewicht von</w:t>
      </w:r>
      <w:r w:rsidR="003B1343">
        <w:t xml:space="preserve"> </w:t>
      </w:r>
      <w:r w:rsidRPr="006A64EE">
        <w:t>≥</w:t>
      </w:r>
      <w:r w:rsidR="003B1343">
        <w:t> </w:t>
      </w:r>
      <w:r w:rsidRPr="006A64EE">
        <w:t>30</w:t>
      </w:r>
      <w:r w:rsidR="003B1343">
        <w:t> </w:t>
      </w:r>
      <w:r w:rsidRPr="006A64EE">
        <w:t>kg) oder 162 mg s.c. alle 10 Tage oder alle 2 Wochen (Patienten mit einem Körpergewicht unter 30 kg) behandelt wurden.</w:t>
      </w:r>
    </w:p>
    <w:p w14:paraId="6179AF7C" w14:textId="77777777" w:rsidR="00C450F6" w:rsidRDefault="00C450F6" w:rsidP="004255F8">
      <w:pPr>
        <w:pStyle w:val="a3"/>
        <w:widowControl/>
      </w:pPr>
    </w:p>
    <w:p w14:paraId="2C266229" w14:textId="1381D387" w:rsidR="00093A5E" w:rsidRPr="006A64EE" w:rsidRDefault="009C2544" w:rsidP="004255F8">
      <w:pPr>
        <w:pStyle w:val="a3"/>
        <w:widowControl/>
      </w:pPr>
      <w:r w:rsidRPr="006A64EE">
        <w:t xml:space="preserve">Es liegen nur begrenzte Daten zu Expositionen nach subkutaner Verabreichung von </w:t>
      </w:r>
      <w:r w:rsidR="00C450F6">
        <w:t>Tocilizumab</w:t>
      </w:r>
      <w:r w:rsidRPr="006A64EE">
        <w:t xml:space="preserve"> bei sJIA-Patienten unter 2 Jahren mit einem Körpergewicht unter 10 kg vor.</w:t>
      </w:r>
    </w:p>
    <w:p w14:paraId="2E097587" w14:textId="77777777" w:rsidR="00C450F6" w:rsidRDefault="00C450F6" w:rsidP="004255F8">
      <w:pPr>
        <w:pStyle w:val="a3"/>
        <w:widowControl/>
      </w:pPr>
    </w:p>
    <w:p w14:paraId="5C666DD6" w14:textId="769C9A9C" w:rsidR="00093A5E" w:rsidRPr="006A64EE" w:rsidRDefault="009C2544" w:rsidP="004255F8">
      <w:pPr>
        <w:pStyle w:val="a3"/>
        <w:widowControl/>
      </w:pPr>
      <w:r w:rsidRPr="006A64EE">
        <w:t xml:space="preserve">Patienten mit sJIA müssen ein Mindestkörpergewicht von 10 kg haben, wenn sie </w:t>
      </w:r>
      <w:r w:rsidR="00C450F6">
        <w:t>Tocilizumab</w:t>
      </w:r>
      <w:r w:rsidRPr="006A64EE">
        <w:t xml:space="preserve"> subkutan erhalten (siehe Abschnitt 4.2).</w:t>
      </w:r>
    </w:p>
    <w:p w14:paraId="609093B7" w14:textId="77777777" w:rsidR="00093A5E" w:rsidRPr="006A64EE" w:rsidRDefault="00093A5E" w:rsidP="004255F8">
      <w:pPr>
        <w:pStyle w:val="a3"/>
        <w:widowControl/>
      </w:pPr>
    </w:p>
    <w:p w14:paraId="30E934C7" w14:textId="77777777" w:rsidR="00093A5E" w:rsidRPr="006A64EE" w:rsidRDefault="009C2544" w:rsidP="004255F8">
      <w:pPr>
        <w:pStyle w:val="Tabletittle"/>
      </w:pPr>
      <w:r w:rsidRPr="006A64EE">
        <w:t>Tabelle 8:</w:t>
      </w:r>
      <w:r w:rsidR="00B776A9" w:rsidRPr="006A64EE">
        <w:tab/>
      </w:r>
      <w:r w:rsidRPr="006A64EE">
        <w:t>Vorausberechneter Mittelwert ± SD der PK-Parameter bei Steady State nach subkutaner Anwendung bei sJIA</w:t>
      </w:r>
    </w:p>
    <w:p w14:paraId="56FFC1EB" w14:textId="257FBFAE" w:rsidR="002D5756" w:rsidRPr="006A64EE" w:rsidRDefault="002D5756" w:rsidP="004255F8">
      <w:pPr>
        <w:pStyle w:val="a3"/>
        <w:widowControl/>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120"/>
        <w:gridCol w:w="2693"/>
        <w:gridCol w:w="2976"/>
      </w:tblGrid>
      <w:tr w:rsidR="00593482" w:rsidRPr="006A64EE" w14:paraId="2E4E399B" w14:textId="77777777" w:rsidTr="00CA074F">
        <w:trPr>
          <w:tblHeader/>
        </w:trPr>
        <w:tc>
          <w:tcPr>
            <w:tcW w:w="3120" w:type="dxa"/>
          </w:tcPr>
          <w:p w14:paraId="2CBF4284" w14:textId="70E45831" w:rsidR="002D5756" w:rsidRPr="006A64EE" w:rsidRDefault="00C450F6" w:rsidP="004255F8">
            <w:pPr>
              <w:pStyle w:val="TableParagraph"/>
              <w:widowControl/>
              <w:suppressAutoHyphens/>
              <w:rPr>
                <w:b/>
                <w:sz w:val="20"/>
                <w:szCs w:val="20"/>
              </w:rPr>
            </w:pPr>
            <w:r w:rsidRPr="00B320E1">
              <w:rPr>
                <w:b/>
                <w:bCs/>
              </w:rPr>
              <w:t>Tocilizumab</w:t>
            </w:r>
            <w:r w:rsidRPr="00C450F6">
              <w:rPr>
                <w:b/>
                <w:bCs/>
                <w:sz w:val="20"/>
                <w:szCs w:val="20"/>
              </w:rPr>
              <w:t>-</w:t>
            </w:r>
            <w:r w:rsidR="009C2544" w:rsidRPr="006A64EE">
              <w:rPr>
                <w:b/>
                <w:sz w:val="20"/>
                <w:szCs w:val="20"/>
              </w:rPr>
              <w:t>PK-Parameter</w:t>
            </w:r>
          </w:p>
        </w:tc>
        <w:tc>
          <w:tcPr>
            <w:tcW w:w="2693" w:type="dxa"/>
          </w:tcPr>
          <w:p w14:paraId="40679C3E" w14:textId="77777777" w:rsidR="002D5756" w:rsidRPr="006A64EE" w:rsidRDefault="009C2544" w:rsidP="004255F8">
            <w:pPr>
              <w:pStyle w:val="TableParagraph"/>
              <w:widowControl/>
              <w:suppressAutoHyphens/>
              <w:jc w:val="center"/>
              <w:rPr>
                <w:b/>
                <w:sz w:val="20"/>
                <w:szCs w:val="20"/>
              </w:rPr>
            </w:pPr>
            <w:r w:rsidRPr="006A64EE">
              <w:rPr>
                <w:b/>
                <w:sz w:val="20"/>
                <w:szCs w:val="20"/>
              </w:rPr>
              <w:t>162 mg qw ≥ 30 kg</w:t>
            </w:r>
          </w:p>
        </w:tc>
        <w:tc>
          <w:tcPr>
            <w:tcW w:w="2976" w:type="dxa"/>
          </w:tcPr>
          <w:p w14:paraId="61E1CBA4" w14:textId="77777777" w:rsidR="002D5756" w:rsidRPr="006A64EE" w:rsidRDefault="009C2544" w:rsidP="004255F8">
            <w:pPr>
              <w:pStyle w:val="TableParagraph"/>
              <w:widowControl/>
              <w:suppressAutoHyphens/>
              <w:jc w:val="center"/>
              <w:rPr>
                <w:b/>
                <w:sz w:val="20"/>
                <w:szCs w:val="20"/>
              </w:rPr>
            </w:pPr>
            <w:r w:rsidRPr="006A64EE">
              <w:rPr>
                <w:b/>
                <w:sz w:val="20"/>
                <w:szCs w:val="20"/>
              </w:rPr>
              <w:t>162 mg q2w unter 30 kg</w:t>
            </w:r>
          </w:p>
        </w:tc>
      </w:tr>
      <w:tr w:rsidR="00593482" w:rsidRPr="006A64EE" w14:paraId="3B79AFFF" w14:textId="77777777" w:rsidTr="00B776A9">
        <w:trPr>
          <w:cantSplit/>
        </w:trPr>
        <w:tc>
          <w:tcPr>
            <w:tcW w:w="3120" w:type="dxa"/>
          </w:tcPr>
          <w:p w14:paraId="0A04BFC9"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max</w:t>
            </w:r>
            <w:r w:rsidRPr="006A64EE">
              <w:rPr>
                <w:sz w:val="20"/>
                <w:szCs w:val="20"/>
              </w:rPr>
              <w:t xml:space="preserve"> (µg/ml)</w:t>
            </w:r>
          </w:p>
        </w:tc>
        <w:tc>
          <w:tcPr>
            <w:tcW w:w="2693" w:type="dxa"/>
          </w:tcPr>
          <w:p w14:paraId="733E38A4" w14:textId="77777777" w:rsidR="002D5756" w:rsidRPr="006A64EE" w:rsidRDefault="009C2544" w:rsidP="004255F8">
            <w:pPr>
              <w:pStyle w:val="TableParagraph"/>
              <w:widowControl/>
              <w:suppressAutoHyphens/>
              <w:jc w:val="center"/>
              <w:rPr>
                <w:sz w:val="20"/>
                <w:szCs w:val="20"/>
              </w:rPr>
            </w:pPr>
            <w:r w:rsidRPr="006A64EE">
              <w:rPr>
                <w:sz w:val="20"/>
                <w:szCs w:val="20"/>
              </w:rPr>
              <w:t>99,8 ± 46,2</w:t>
            </w:r>
          </w:p>
        </w:tc>
        <w:tc>
          <w:tcPr>
            <w:tcW w:w="2976" w:type="dxa"/>
          </w:tcPr>
          <w:p w14:paraId="350FD561" w14:textId="77777777" w:rsidR="002D5756" w:rsidRPr="006A64EE" w:rsidRDefault="009C2544" w:rsidP="004255F8">
            <w:pPr>
              <w:pStyle w:val="TableParagraph"/>
              <w:widowControl/>
              <w:suppressAutoHyphens/>
              <w:jc w:val="center"/>
              <w:rPr>
                <w:sz w:val="20"/>
                <w:szCs w:val="20"/>
              </w:rPr>
            </w:pPr>
            <w:r w:rsidRPr="006A64EE">
              <w:rPr>
                <w:sz w:val="20"/>
                <w:szCs w:val="20"/>
              </w:rPr>
              <w:t>134 ± 58,6</w:t>
            </w:r>
          </w:p>
        </w:tc>
      </w:tr>
      <w:tr w:rsidR="00593482" w:rsidRPr="006A64EE" w14:paraId="28BFF823" w14:textId="77777777" w:rsidTr="00B776A9">
        <w:trPr>
          <w:cantSplit/>
        </w:trPr>
        <w:tc>
          <w:tcPr>
            <w:tcW w:w="3120" w:type="dxa"/>
          </w:tcPr>
          <w:p w14:paraId="4661A799" w14:textId="77777777" w:rsidR="002D5756" w:rsidRPr="006A64EE" w:rsidRDefault="009C2544" w:rsidP="004255F8">
            <w:pPr>
              <w:pStyle w:val="TableParagraph"/>
              <w:widowControl/>
              <w:suppressAutoHyphens/>
              <w:rPr>
                <w:sz w:val="20"/>
                <w:szCs w:val="20"/>
              </w:rPr>
            </w:pPr>
            <w:r w:rsidRPr="006A64EE">
              <w:rPr>
                <w:sz w:val="20"/>
                <w:szCs w:val="20"/>
              </w:rPr>
              <w:lastRenderedPageBreak/>
              <w:t>C</w:t>
            </w:r>
            <w:r w:rsidRPr="006A64EE">
              <w:rPr>
                <w:sz w:val="20"/>
                <w:szCs w:val="20"/>
                <w:vertAlign w:val="subscript"/>
              </w:rPr>
              <w:t>min</w:t>
            </w:r>
            <w:r w:rsidRPr="006A64EE">
              <w:rPr>
                <w:sz w:val="20"/>
                <w:szCs w:val="20"/>
              </w:rPr>
              <w:t xml:space="preserve"> (µg/ml)</w:t>
            </w:r>
          </w:p>
        </w:tc>
        <w:tc>
          <w:tcPr>
            <w:tcW w:w="2693" w:type="dxa"/>
          </w:tcPr>
          <w:p w14:paraId="2B6769E1" w14:textId="77777777" w:rsidR="002D5756" w:rsidRPr="006A64EE" w:rsidRDefault="009C2544" w:rsidP="004255F8">
            <w:pPr>
              <w:pStyle w:val="TableParagraph"/>
              <w:widowControl/>
              <w:suppressAutoHyphens/>
              <w:jc w:val="center"/>
              <w:rPr>
                <w:sz w:val="20"/>
                <w:szCs w:val="20"/>
              </w:rPr>
            </w:pPr>
            <w:r w:rsidRPr="006A64EE">
              <w:rPr>
                <w:sz w:val="20"/>
                <w:szCs w:val="20"/>
              </w:rPr>
              <w:t>79,2 ± 35,6</w:t>
            </w:r>
          </w:p>
        </w:tc>
        <w:tc>
          <w:tcPr>
            <w:tcW w:w="2976" w:type="dxa"/>
          </w:tcPr>
          <w:p w14:paraId="3955B9A6" w14:textId="77777777" w:rsidR="002D5756" w:rsidRPr="006A64EE" w:rsidRDefault="009C2544" w:rsidP="004255F8">
            <w:pPr>
              <w:pStyle w:val="TableParagraph"/>
              <w:widowControl/>
              <w:suppressAutoHyphens/>
              <w:jc w:val="center"/>
              <w:rPr>
                <w:sz w:val="20"/>
                <w:szCs w:val="20"/>
              </w:rPr>
            </w:pPr>
            <w:r w:rsidRPr="006A64EE">
              <w:rPr>
                <w:sz w:val="20"/>
                <w:szCs w:val="20"/>
              </w:rPr>
              <w:t>65,9 ± 31,3</w:t>
            </w:r>
          </w:p>
        </w:tc>
      </w:tr>
      <w:tr w:rsidR="00593482" w:rsidRPr="006A64EE" w14:paraId="28C36330" w14:textId="77777777" w:rsidTr="00B776A9">
        <w:trPr>
          <w:cantSplit/>
        </w:trPr>
        <w:tc>
          <w:tcPr>
            <w:tcW w:w="3120" w:type="dxa"/>
          </w:tcPr>
          <w:p w14:paraId="679F2098" w14:textId="77777777" w:rsidR="002D5756" w:rsidRPr="006A64EE" w:rsidRDefault="009C2544" w:rsidP="004255F8">
            <w:pPr>
              <w:pStyle w:val="TableParagraph"/>
              <w:widowControl/>
              <w:suppressAutoHyphens/>
              <w:rPr>
                <w:sz w:val="20"/>
                <w:szCs w:val="20"/>
              </w:rPr>
            </w:pPr>
            <w:r w:rsidRPr="006A64EE">
              <w:rPr>
                <w:sz w:val="20"/>
                <w:szCs w:val="20"/>
              </w:rPr>
              <w:t>C</w:t>
            </w:r>
            <w:r w:rsidRPr="006A64EE">
              <w:rPr>
                <w:sz w:val="20"/>
                <w:szCs w:val="20"/>
                <w:vertAlign w:val="subscript"/>
              </w:rPr>
              <w:t>mittel</w:t>
            </w:r>
            <w:r w:rsidRPr="006A64EE">
              <w:rPr>
                <w:sz w:val="20"/>
                <w:szCs w:val="20"/>
              </w:rPr>
              <w:t xml:space="preserve"> (µg/ml)</w:t>
            </w:r>
          </w:p>
        </w:tc>
        <w:tc>
          <w:tcPr>
            <w:tcW w:w="2693" w:type="dxa"/>
          </w:tcPr>
          <w:p w14:paraId="5EB244CD" w14:textId="77777777" w:rsidR="002D5756" w:rsidRPr="006A64EE" w:rsidRDefault="009C2544" w:rsidP="004255F8">
            <w:pPr>
              <w:pStyle w:val="TableParagraph"/>
              <w:widowControl/>
              <w:suppressAutoHyphens/>
              <w:jc w:val="center"/>
              <w:rPr>
                <w:sz w:val="20"/>
                <w:szCs w:val="20"/>
              </w:rPr>
            </w:pPr>
            <w:r w:rsidRPr="006A64EE">
              <w:rPr>
                <w:sz w:val="20"/>
                <w:szCs w:val="20"/>
              </w:rPr>
              <w:t>91,3 ± 40,4</w:t>
            </w:r>
          </w:p>
        </w:tc>
        <w:tc>
          <w:tcPr>
            <w:tcW w:w="2976" w:type="dxa"/>
          </w:tcPr>
          <w:p w14:paraId="780667A7" w14:textId="77777777" w:rsidR="002D5756" w:rsidRPr="006A64EE" w:rsidRDefault="009C2544" w:rsidP="004255F8">
            <w:pPr>
              <w:pStyle w:val="TableParagraph"/>
              <w:widowControl/>
              <w:suppressAutoHyphens/>
              <w:jc w:val="center"/>
              <w:rPr>
                <w:sz w:val="20"/>
                <w:szCs w:val="20"/>
              </w:rPr>
            </w:pPr>
            <w:r w:rsidRPr="006A64EE">
              <w:rPr>
                <w:sz w:val="20"/>
                <w:szCs w:val="20"/>
              </w:rPr>
              <w:t>101 ± 43,2</w:t>
            </w:r>
          </w:p>
        </w:tc>
      </w:tr>
      <w:tr w:rsidR="00593482" w:rsidRPr="006A64EE" w14:paraId="0E3C6AA4" w14:textId="77777777" w:rsidTr="00B776A9">
        <w:trPr>
          <w:cantSplit/>
        </w:trPr>
        <w:tc>
          <w:tcPr>
            <w:tcW w:w="3120" w:type="dxa"/>
          </w:tcPr>
          <w:p w14:paraId="6AC0E31B"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max</w:t>
            </w:r>
          </w:p>
        </w:tc>
        <w:tc>
          <w:tcPr>
            <w:tcW w:w="2693" w:type="dxa"/>
          </w:tcPr>
          <w:p w14:paraId="04D56545" w14:textId="77777777" w:rsidR="002D5756" w:rsidRPr="006A64EE" w:rsidRDefault="009C2544" w:rsidP="004255F8">
            <w:pPr>
              <w:pStyle w:val="TableParagraph"/>
              <w:widowControl/>
              <w:suppressAutoHyphens/>
              <w:jc w:val="center"/>
              <w:rPr>
                <w:sz w:val="20"/>
                <w:szCs w:val="20"/>
              </w:rPr>
            </w:pPr>
            <w:r w:rsidRPr="006A64EE">
              <w:rPr>
                <w:sz w:val="20"/>
                <w:szCs w:val="20"/>
              </w:rPr>
              <w:t>3,66</w:t>
            </w:r>
          </w:p>
        </w:tc>
        <w:tc>
          <w:tcPr>
            <w:tcW w:w="2976" w:type="dxa"/>
          </w:tcPr>
          <w:p w14:paraId="099AAF1C" w14:textId="77777777" w:rsidR="002D5756" w:rsidRPr="006A64EE" w:rsidRDefault="009C2544" w:rsidP="004255F8">
            <w:pPr>
              <w:pStyle w:val="TableParagraph"/>
              <w:widowControl/>
              <w:suppressAutoHyphens/>
              <w:jc w:val="center"/>
              <w:rPr>
                <w:sz w:val="20"/>
                <w:szCs w:val="20"/>
              </w:rPr>
            </w:pPr>
            <w:r w:rsidRPr="006A64EE">
              <w:rPr>
                <w:sz w:val="20"/>
                <w:szCs w:val="20"/>
              </w:rPr>
              <w:t>1,88</w:t>
            </w:r>
          </w:p>
        </w:tc>
      </w:tr>
      <w:tr w:rsidR="00593482" w:rsidRPr="006A64EE" w14:paraId="34804638" w14:textId="77777777" w:rsidTr="00B776A9">
        <w:trPr>
          <w:cantSplit/>
        </w:trPr>
        <w:tc>
          <w:tcPr>
            <w:tcW w:w="3120" w:type="dxa"/>
          </w:tcPr>
          <w:p w14:paraId="3ED3C229"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min</w:t>
            </w:r>
          </w:p>
        </w:tc>
        <w:tc>
          <w:tcPr>
            <w:tcW w:w="2693" w:type="dxa"/>
          </w:tcPr>
          <w:p w14:paraId="5CCC7BA8" w14:textId="77777777" w:rsidR="002D5756" w:rsidRPr="006A64EE" w:rsidRDefault="009C2544" w:rsidP="004255F8">
            <w:pPr>
              <w:pStyle w:val="TableParagraph"/>
              <w:widowControl/>
              <w:suppressAutoHyphens/>
              <w:jc w:val="center"/>
              <w:rPr>
                <w:sz w:val="20"/>
                <w:szCs w:val="20"/>
              </w:rPr>
            </w:pPr>
            <w:r w:rsidRPr="006A64EE">
              <w:rPr>
                <w:sz w:val="20"/>
                <w:szCs w:val="20"/>
              </w:rPr>
              <w:t>4,39</w:t>
            </w:r>
          </w:p>
        </w:tc>
        <w:tc>
          <w:tcPr>
            <w:tcW w:w="2976" w:type="dxa"/>
          </w:tcPr>
          <w:p w14:paraId="2BB0B0ED" w14:textId="77777777" w:rsidR="002D5756" w:rsidRPr="006A64EE" w:rsidRDefault="009C2544" w:rsidP="004255F8">
            <w:pPr>
              <w:pStyle w:val="TableParagraph"/>
              <w:widowControl/>
              <w:suppressAutoHyphens/>
              <w:jc w:val="center"/>
              <w:rPr>
                <w:sz w:val="20"/>
                <w:szCs w:val="20"/>
              </w:rPr>
            </w:pPr>
            <w:r w:rsidRPr="006A64EE">
              <w:rPr>
                <w:sz w:val="20"/>
                <w:szCs w:val="20"/>
              </w:rPr>
              <w:t>3,21</w:t>
            </w:r>
          </w:p>
        </w:tc>
      </w:tr>
      <w:tr w:rsidR="00593482" w:rsidRPr="006A64EE" w14:paraId="27B8D8A1" w14:textId="77777777" w:rsidTr="00B776A9">
        <w:trPr>
          <w:cantSplit/>
        </w:trPr>
        <w:tc>
          <w:tcPr>
            <w:tcW w:w="3120" w:type="dxa"/>
          </w:tcPr>
          <w:p w14:paraId="3812AF2E" w14:textId="77777777" w:rsidR="002D5756" w:rsidRPr="006A64EE" w:rsidRDefault="009C2544" w:rsidP="004255F8">
            <w:pPr>
              <w:pStyle w:val="TableParagraph"/>
              <w:widowControl/>
              <w:suppressAutoHyphens/>
              <w:rPr>
                <w:sz w:val="20"/>
                <w:szCs w:val="20"/>
              </w:rPr>
            </w:pPr>
            <w:r w:rsidRPr="006A64EE">
              <w:rPr>
                <w:sz w:val="20"/>
                <w:szCs w:val="20"/>
              </w:rPr>
              <w:t>Akkumulation C</w:t>
            </w:r>
            <w:r w:rsidRPr="006A64EE">
              <w:rPr>
                <w:sz w:val="20"/>
                <w:szCs w:val="20"/>
                <w:vertAlign w:val="subscript"/>
              </w:rPr>
              <w:t>mittel</w:t>
            </w:r>
            <w:r w:rsidRPr="006A64EE">
              <w:rPr>
                <w:sz w:val="20"/>
                <w:szCs w:val="20"/>
              </w:rPr>
              <w:t xml:space="preserve"> oder AUC</w:t>
            </w:r>
            <w:r w:rsidRPr="006A64EE">
              <w:rPr>
                <w:sz w:val="20"/>
                <w:szCs w:val="20"/>
                <w:vertAlign w:val="subscript"/>
              </w:rPr>
              <w:t>τ</w:t>
            </w:r>
            <w:r w:rsidRPr="006A64EE">
              <w:rPr>
                <w:sz w:val="20"/>
                <w:szCs w:val="20"/>
              </w:rPr>
              <w:t>*</w:t>
            </w:r>
          </w:p>
        </w:tc>
        <w:tc>
          <w:tcPr>
            <w:tcW w:w="2693" w:type="dxa"/>
          </w:tcPr>
          <w:p w14:paraId="3FD75393" w14:textId="77777777" w:rsidR="002D5756" w:rsidRPr="006A64EE" w:rsidRDefault="009C2544" w:rsidP="004255F8">
            <w:pPr>
              <w:pStyle w:val="TableParagraph"/>
              <w:widowControl/>
              <w:suppressAutoHyphens/>
              <w:jc w:val="center"/>
              <w:rPr>
                <w:sz w:val="20"/>
                <w:szCs w:val="20"/>
              </w:rPr>
            </w:pPr>
            <w:r w:rsidRPr="006A64EE">
              <w:rPr>
                <w:sz w:val="20"/>
                <w:szCs w:val="20"/>
              </w:rPr>
              <w:t>4,28</w:t>
            </w:r>
          </w:p>
        </w:tc>
        <w:tc>
          <w:tcPr>
            <w:tcW w:w="2976" w:type="dxa"/>
          </w:tcPr>
          <w:p w14:paraId="42ADFC67" w14:textId="77777777" w:rsidR="002D5756" w:rsidRPr="006A64EE" w:rsidRDefault="009C2544" w:rsidP="004255F8">
            <w:pPr>
              <w:pStyle w:val="TableParagraph"/>
              <w:widowControl/>
              <w:suppressAutoHyphens/>
              <w:jc w:val="center"/>
              <w:rPr>
                <w:sz w:val="20"/>
                <w:szCs w:val="20"/>
              </w:rPr>
            </w:pPr>
            <w:r w:rsidRPr="006A64EE">
              <w:rPr>
                <w:sz w:val="20"/>
                <w:szCs w:val="20"/>
              </w:rPr>
              <w:t>2,27</w:t>
            </w:r>
          </w:p>
        </w:tc>
      </w:tr>
    </w:tbl>
    <w:p w14:paraId="2BB26FE2" w14:textId="77777777" w:rsidR="00093A5E" w:rsidRPr="006A64EE" w:rsidRDefault="009C2544" w:rsidP="004255F8">
      <w:pPr>
        <w:widowControl/>
        <w:rPr>
          <w:sz w:val="18"/>
          <w:szCs w:val="18"/>
        </w:rPr>
      </w:pPr>
      <w:r w:rsidRPr="006A64EE">
        <w:rPr>
          <w:sz w:val="18"/>
          <w:szCs w:val="18"/>
        </w:rPr>
        <w:t>*τ = 1 oder 2 Wochen für die beiden subkutanen Schemata</w:t>
      </w:r>
    </w:p>
    <w:p w14:paraId="777AEA1E" w14:textId="77777777" w:rsidR="00093A5E" w:rsidRPr="006A64EE" w:rsidRDefault="00093A5E" w:rsidP="004255F8">
      <w:pPr>
        <w:pStyle w:val="a3"/>
        <w:widowControl/>
      </w:pPr>
    </w:p>
    <w:p w14:paraId="2ED9E4FD" w14:textId="77777777" w:rsidR="00093A5E" w:rsidRPr="006A64EE" w:rsidRDefault="009C2544" w:rsidP="004255F8">
      <w:pPr>
        <w:pStyle w:val="a3"/>
        <w:widowControl/>
      </w:pPr>
      <w:r w:rsidRPr="006A64EE">
        <w:t>Nach subkutaner Anwendung waren bei beiden Dosierungen von 162 mg subkutan qw und q2w bis Woche 12 etwa 90 % des Steady States erreicht.</w:t>
      </w:r>
    </w:p>
    <w:p w14:paraId="7832817E" w14:textId="77777777" w:rsidR="00093A5E" w:rsidRPr="006A64EE" w:rsidRDefault="00093A5E" w:rsidP="004255F8">
      <w:pPr>
        <w:widowControl/>
      </w:pPr>
    </w:p>
    <w:p w14:paraId="1825992D" w14:textId="77777777" w:rsidR="00093A5E" w:rsidRPr="006A64EE" w:rsidRDefault="007D680A" w:rsidP="004255F8">
      <w:pPr>
        <w:keepNext/>
        <w:widowControl/>
      </w:pPr>
      <w:r w:rsidRPr="006A64EE">
        <w:rPr>
          <w:u w:val="single"/>
        </w:rPr>
        <w:t>Resorption</w:t>
      </w:r>
    </w:p>
    <w:p w14:paraId="325CFFBF" w14:textId="77777777" w:rsidR="00093A5E" w:rsidRPr="006A64EE" w:rsidRDefault="009C2544" w:rsidP="004255F8">
      <w:pPr>
        <w:pStyle w:val="a3"/>
        <w:keepNext/>
        <w:widowControl/>
      </w:pPr>
      <w:r w:rsidRPr="006A64EE">
        <w:t>Nach subkutaner Anwendung bei Patienten mit sJIA betrug die Resorptionshalbwertszeit etwa 2 Tage und die Bioverfügbarkeit der subkutanen Darreichungsform bei Patienten mit sJIA 95 %.</w:t>
      </w:r>
    </w:p>
    <w:p w14:paraId="34CC22D2" w14:textId="77777777" w:rsidR="00093A5E" w:rsidRPr="006A64EE" w:rsidRDefault="00093A5E" w:rsidP="004255F8">
      <w:pPr>
        <w:pStyle w:val="a3"/>
        <w:widowControl/>
      </w:pPr>
    </w:p>
    <w:p w14:paraId="1467EECB" w14:textId="77777777" w:rsidR="00093A5E" w:rsidRPr="006A64EE" w:rsidRDefault="009C2544" w:rsidP="004255F8">
      <w:pPr>
        <w:pStyle w:val="a3"/>
        <w:widowControl/>
      </w:pPr>
      <w:r w:rsidRPr="006A64EE">
        <w:rPr>
          <w:u w:val="single"/>
        </w:rPr>
        <w:t>Verteilung</w:t>
      </w:r>
    </w:p>
    <w:p w14:paraId="35DCB886" w14:textId="77777777" w:rsidR="00093A5E" w:rsidRPr="006A64EE" w:rsidRDefault="009C2544" w:rsidP="004255F8">
      <w:pPr>
        <w:pStyle w:val="a3"/>
        <w:widowControl/>
      </w:pPr>
      <w:r w:rsidRPr="006A64EE">
        <w:t>Bei pädiatrischen Patienten mit sJIA lag das zentrale Verteilungsvolumen bei 1,87 l, das periphere Verteilungsvolumen bei 2,14 l, woraus ein Verteilungsvolumen von 4,01 l im Steady State resultiert.</w:t>
      </w:r>
    </w:p>
    <w:p w14:paraId="6F9FAE8A" w14:textId="77777777" w:rsidR="00093A5E" w:rsidRPr="006A64EE" w:rsidRDefault="00093A5E" w:rsidP="004255F8">
      <w:pPr>
        <w:pStyle w:val="a3"/>
        <w:widowControl/>
      </w:pPr>
    </w:p>
    <w:p w14:paraId="4E0E3F70" w14:textId="77777777" w:rsidR="00093A5E" w:rsidRPr="006A64EE" w:rsidRDefault="009C2544" w:rsidP="004255F8">
      <w:pPr>
        <w:pStyle w:val="a3"/>
        <w:widowControl/>
      </w:pPr>
      <w:r w:rsidRPr="006A64EE">
        <w:rPr>
          <w:u w:val="single"/>
        </w:rPr>
        <w:t>Elimination</w:t>
      </w:r>
    </w:p>
    <w:p w14:paraId="294481FC" w14:textId="03184405" w:rsidR="00093A5E" w:rsidRPr="006A64EE" w:rsidRDefault="009C2544" w:rsidP="004255F8">
      <w:pPr>
        <w:pStyle w:val="a3"/>
        <w:widowControl/>
      </w:pPr>
      <w:r w:rsidRPr="006A64EE">
        <w:t>Die Gesamt-Clearance von Tocilizumab war abhängig von der Konzentration und entspricht der Summe der linearen und der nicht-linearen Clearance. Die lineare Clearance wurde als Parameter in der Analyse zur Populationspharmakokinetik geschätzt und lag bei 5,7 ml/h bei pädiatrischen Patienten mit sJIA. Bei Patienten mit sJIA beträgt die tatsächliche t</w:t>
      </w:r>
      <w:r w:rsidRPr="00901DE4">
        <w:rPr>
          <w:vertAlign w:val="subscript"/>
        </w:rPr>
        <w:t>1/2</w:t>
      </w:r>
      <w:r w:rsidRPr="006A64EE">
        <w:t xml:space="preserve"> von </w:t>
      </w:r>
      <w:r w:rsidR="00E26B13">
        <w:t>Tocilizumab</w:t>
      </w:r>
      <w:r w:rsidRPr="006A64EE">
        <w:t xml:space="preserve"> innerhalb eines Dosierungsintervalls im Steady State nach subkutaner Anwendung bis zu 14 Tage bei beiden Dosierungsschemata mit 162 mg subkutan qw oder 162 mg subkutan q2w.</w:t>
      </w:r>
    </w:p>
    <w:p w14:paraId="443B687A" w14:textId="77777777" w:rsidR="00093A5E" w:rsidRPr="006A64EE" w:rsidRDefault="00093A5E" w:rsidP="004255F8">
      <w:pPr>
        <w:pStyle w:val="a3"/>
        <w:widowControl/>
      </w:pPr>
    </w:p>
    <w:p w14:paraId="1D02DFBD" w14:textId="77777777" w:rsidR="00093A5E" w:rsidRPr="006A64EE" w:rsidRDefault="009C2544" w:rsidP="004255F8">
      <w:pPr>
        <w:pStyle w:val="a3"/>
        <w:widowControl/>
      </w:pPr>
      <w:r w:rsidRPr="006A64EE">
        <w:rPr>
          <w:u w:val="single"/>
        </w:rPr>
        <w:t>pJIA</w:t>
      </w:r>
    </w:p>
    <w:p w14:paraId="58D7FD55" w14:textId="77777777" w:rsidR="00093A5E" w:rsidRPr="006A64EE" w:rsidRDefault="009C2544" w:rsidP="004255F8">
      <w:pPr>
        <w:pStyle w:val="a3"/>
        <w:widowControl/>
      </w:pPr>
      <w:r w:rsidRPr="006A64EE">
        <w:rPr>
          <w:u w:val="single"/>
        </w:rPr>
        <w:t>Subkutane Anwendung</w:t>
      </w:r>
    </w:p>
    <w:p w14:paraId="516C7ABF" w14:textId="1DA3E507" w:rsidR="00093A5E" w:rsidRPr="006A64EE" w:rsidRDefault="009C2544" w:rsidP="004255F8">
      <w:pPr>
        <w:pStyle w:val="a3"/>
        <w:widowControl/>
      </w:pPr>
      <w:r w:rsidRPr="006A64EE">
        <w:t xml:space="preserve">Die Pharmakokinetik von </w:t>
      </w:r>
      <w:r w:rsidR="00C450F6">
        <w:t>Tocilizumab</w:t>
      </w:r>
      <w:r w:rsidRPr="006A64EE">
        <w:t xml:space="preserve"> bei Patienten mit pJIA wurde durch eine populationspharmakokinetische Analyse bestimmt, bei der die 237 eingeschlossenen Patienten mit 8</w:t>
      </w:r>
      <w:r w:rsidR="005F4183">
        <w:t> </w:t>
      </w:r>
      <w:r w:rsidRPr="006A64EE">
        <w:t>mg/kg intravenös alle 4 Wochen (Patienten mit einem Körpergewicht von ≥ 30 kg), 10 mg/kg intravenös alle 4 Wochen (Patienten mit einem Körpergewicht von weniger als 30 kg), 162 mg</w:t>
      </w:r>
      <w:r w:rsidR="000B1FEC">
        <w:t xml:space="preserve"> </w:t>
      </w:r>
      <w:r w:rsidRPr="006A64EE">
        <w:t>subkutan alle 2 Wochen (Patienten mit einem Körpergewicht von ≥ 30 kg) oder 162 mg subkutan alle 3 Wochen (Patienten mit einem Körpergewicht von weniger als 30 kg) behandelt wurden.</w:t>
      </w:r>
    </w:p>
    <w:p w14:paraId="49ADCD2C" w14:textId="77777777" w:rsidR="00093A5E" w:rsidRPr="006A64EE" w:rsidRDefault="00093A5E" w:rsidP="004255F8">
      <w:pPr>
        <w:pStyle w:val="a3"/>
        <w:widowControl/>
      </w:pPr>
    </w:p>
    <w:p w14:paraId="73BFB091" w14:textId="77777777" w:rsidR="00093A5E" w:rsidRPr="006A64EE" w:rsidRDefault="009C2544" w:rsidP="004255F8">
      <w:pPr>
        <w:pStyle w:val="Tabletittle"/>
      </w:pPr>
      <w:r w:rsidRPr="006A64EE">
        <w:t>Tabelle 9:</w:t>
      </w:r>
      <w:r w:rsidR="00CA074F" w:rsidRPr="006A64EE">
        <w:tab/>
      </w:r>
      <w:r w:rsidRPr="006A64EE">
        <w:t>Vorausberechneter Mittelwert ± SD der PK-Parameter bei Steady State nach subkutaner Anwendung bei pJIA</w:t>
      </w:r>
    </w:p>
    <w:p w14:paraId="4FBFFA21" w14:textId="2BA4FE62" w:rsidR="002D5756" w:rsidRPr="006A64EE" w:rsidRDefault="002D5756" w:rsidP="004255F8">
      <w:pPr>
        <w:pStyle w:val="a3"/>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021"/>
        <w:gridCol w:w="3020"/>
        <w:gridCol w:w="3020"/>
      </w:tblGrid>
      <w:tr w:rsidR="00593482" w:rsidRPr="006A64EE" w14:paraId="19AC2568" w14:textId="77777777" w:rsidTr="00C801B5">
        <w:trPr>
          <w:cantSplit/>
          <w:tblHeader/>
        </w:trPr>
        <w:tc>
          <w:tcPr>
            <w:tcW w:w="3060" w:type="dxa"/>
          </w:tcPr>
          <w:p w14:paraId="12EB9F8E" w14:textId="3395FBE2" w:rsidR="002D5756" w:rsidRPr="006A64EE" w:rsidRDefault="00C450F6" w:rsidP="00C801B5">
            <w:pPr>
              <w:pStyle w:val="TableParagraph"/>
              <w:widowControl/>
              <w:suppressAutoHyphens/>
              <w:rPr>
                <w:b/>
                <w:sz w:val="20"/>
                <w:szCs w:val="20"/>
              </w:rPr>
            </w:pPr>
            <w:r w:rsidRPr="00B320E1">
              <w:rPr>
                <w:b/>
                <w:bCs/>
              </w:rPr>
              <w:t>Tocilizumab</w:t>
            </w:r>
            <w:r>
              <w:rPr>
                <w:b/>
                <w:bCs/>
                <w:sz w:val="20"/>
                <w:szCs w:val="20"/>
              </w:rPr>
              <w:t>-</w:t>
            </w:r>
            <w:r w:rsidR="009C2544" w:rsidRPr="006A64EE">
              <w:rPr>
                <w:b/>
                <w:sz w:val="20"/>
                <w:szCs w:val="20"/>
              </w:rPr>
              <w:t>PK-Parameter</w:t>
            </w:r>
          </w:p>
        </w:tc>
        <w:tc>
          <w:tcPr>
            <w:tcW w:w="3060" w:type="dxa"/>
          </w:tcPr>
          <w:p w14:paraId="7454BCB6" w14:textId="77777777" w:rsidR="002D5756" w:rsidRPr="006A64EE" w:rsidRDefault="009C2544" w:rsidP="00C801B5">
            <w:pPr>
              <w:pStyle w:val="TableParagraph"/>
              <w:widowControl/>
              <w:suppressAutoHyphens/>
              <w:jc w:val="center"/>
              <w:rPr>
                <w:b/>
                <w:sz w:val="20"/>
                <w:szCs w:val="20"/>
              </w:rPr>
            </w:pPr>
            <w:r w:rsidRPr="006A64EE">
              <w:rPr>
                <w:b/>
                <w:sz w:val="20"/>
                <w:szCs w:val="20"/>
              </w:rPr>
              <w:t>162 mg q2w ≥ 30 kg</w:t>
            </w:r>
          </w:p>
        </w:tc>
        <w:tc>
          <w:tcPr>
            <w:tcW w:w="3060" w:type="dxa"/>
          </w:tcPr>
          <w:p w14:paraId="71D87FCF" w14:textId="77777777" w:rsidR="002D5756" w:rsidRPr="006A64EE" w:rsidRDefault="009C2544" w:rsidP="00C801B5">
            <w:pPr>
              <w:pStyle w:val="TableParagraph"/>
              <w:widowControl/>
              <w:suppressAutoHyphens/>
              <w:jc w:val="center"/>
              <w:rPr>
                <w:b/>
                <w:sz w:val="20"/>
                <w:szCs w:val="20"/>
              </w:rPr>
            </w:pPr>
            <w:r w:rsidRPr="006A64EE">
              <w:rPr>
                <w:b/>
                <w:sz w:val="20"/>
                <w:szCs w:val="20"/>
              </w:rPr>
              <w:t>162 mg q3w weniger als 30 kg</w:t>
            </w:r>
          </w:p>
        </w:tc>
      </w:tr>
      <w:tr w:rsidR="00593482" w:rsidRPr="006A64EE" w14:paraId="3CB324F9" w14:textId="77777777" w:rsidTr="00C801B5">
        <w:trPr>
          <w:cantSplit/>
        </w:trPr>
        <w:tc>
          <w:tcPr>
            <w:tcW w:w="3060" w:type="dxa"/>
          </w:tcPr>
          <w:p w14:paraId="7C23CE56" w14:textId="77777777" w:rsidR="002D5756" w:rsidRPr="006A64EE" w:rsidRDefault="009C2544" w:rsidP="00C801B5">
            <w:pPr>
              <w:pStyle w:val="TableParagraph"/>
              <w:widowControl/>
              <w:suppressAutoHyphens/>
              <w:rPr>
                <w:sz w:val="20"/>
                <w:szCs w:val="20"/>
              </w:rPr>
            </w:pPr>
            <w:r w:rsidRPr="006A64EE">
              <w:rPr>
                <w:sz w:val="20"/>
                <w:szCs w:val="20"/>
              </w:rPr>
              <w:t>C</w:t>
            </w:r>
            <w:r w:rsidRPr="006A64EE">
              <w:rPr>
                <w:sz w:val="20"/>
                <w:szCs w:val="20"/>
                <w:vertAlign w:val="subscript"/>
              </w:rPr>
              <w:t>max</w:t>
            </w:r>
            <w:r w:rsidRPr="006A64EE">
              <w:rPr>
                <w:sz w:val="20"/>
                <w:szCs w:val="20"/>
              </w:rPr>
              <w:t xml:space="preserve"> (µg/ml)</w:t>
            </w:r>
          </w:p>
        </w:tc>
        <w:tc>
          <w:tcPr>
            <w:tcW w:w="3060" w:type="dxa"/>
          </w:tcPr>
          <w:p w14:paraId="04AFA4FE" w14:textId="77777777" w:rsidR="002D5756" w:rsidRPr="006A64EE" w:rsidRDefault="009C2544" w:rsidP="00C801B5">
            <w:pPr>
              <w:pStyle w:val="TableParagraph"/>
              <w:widowControl/>
              <w:suppressAutoHyphens/>
              <w:jc w:val="center"/>
              <w:rPr>
                <w:sz w:val="20"/>
                <w:szCs w:val="20"/>
              </w:rPr>
            </w:pPr>
            <w:r w:rsidRPr="006A64EE">
              <w:rPr>
                <w:sz w:val="20"/>
                <w:szCs w:val="20"/>
              </w:rPr>
              <w:t>29,4 ± 13,5</w:t>
            </w:r>
          </w:p>
        </w:tc>
        <w:tc>
          <w:tcPr>
            <w:tcW w:w="3060" w:type="dxa"/>
          </w:tcPr>
          <w:p w14:paraId="61595F8A" w14:textId="77777777" w:rsidR="002D5756" w:rsidRPr="006A64EE" w:rsidRDefault="009C2544" w:rsidP="00C801B5">
            <w:pPr>
              <w:pStyle w:val="TableParagraph"/>
              <w:widowControl/>
              <w:suppressAutoHyphens/>
              <w:jc w:val="center"/>
              <w:rPr>
                <w:sz w:val="20"/>
                <w:szCs w:val="20"/>
              </w:rPr>
            </w:pPr>
            <w:r w:rsidRPr="006A64EE">
              <w:rPr>
                <w:sz w:val="20"/>
                <w:szCs w:val="20"/>
              </w:rPr>
              <w:t>75,5 ± 24,1</w:t>
            </w:r>
          </w:p>
        </w:tc>
      </w:tr>
      <w:tr w:rsidR="00593482" w:rsidRPr="006A64EE" w14:paraId="678E6006" w14:textId="77777777" w:rsidTr="00C801B5">
        <w:trPr>
          <w:cantSplit/>
        </w:trPr>
        <w:tc>
          <w:tcPr>
            <w:tcW w:w="3060" w:type="dxa"/>
          </w:tcPr>
          <w:p w14:paraId="3F9E3741" w14:textId="77777777" w:rsidR="002D5756" w:rsidRPr="006A64EE" w:rsidRDefault="009C2544" w:rsidP="00C801B5">
            <w:pPr>
              <w:pStyle w:val="TableParagraph"/>
              <w:widowControl/>
              <w:suppressAutoHyphens/>
              <w:rPr>
                <w:sz w:val="20"/>
                <w:szCs w:val="20"/>
              </w:rPr>
            </w:pPr>
            <w:r w:rsidRPr="006A64EE">
              <w:rPr>
                <w:sz w:val="20"/>
                <w:szCs w:val="20"/>
              </w:rPr>
              <w:t>C</w:t>
            </w:r>
            <w:r w:rsidRPr="006A64EE">
              <w:rPr>
                <w:sz w:val="20"/>
                <w:szCs w:val="20"/>
                <w:vertAlign w:val="subscript"/>
              </w:rPr>
              <w:t>min</w:t>
            </w:r>
            <w:r w:rsidRPr="006A64EE">
              <w:rPr>
                <w:sz w:val="20"/>
                <w:szCs w:val="20"/>
              </w:rPr>
              <w:t xml:space="preserve"> (µg/ml)</w:t>
            </w:r>
          </w:p>
        </w:tc>
        <w:tc>
          <w:tcPr>
            <w:tcW w:w="3060" w:type="dxa"/>
          </w:tcPr>
          <w:p w14:paraId="33BA8770" w14:textId="77777777" w:rsidR="002D5756" w:rsidRPr="006A64EE" w:rsidRDefault="009C2544" w:rsidP="00C801B5">
            <w:pPr>
              <w:pStyle w:val="TableParagraph"/>
              <w:widowControl/>
              <w:suppressAutoHyphens/>
              <w:jc w:val="center"/>
              <w:rPr>
                <w:sz w:val="20"/>
                <w:szCs w:val="20"/>
              </w:rPr>
            </w:pPr>
            <w:r w:rsidRPr="006A64EE">
              <w:rPr>
                <w:sz w:val="20"/>
                <w:szCs w:val="20"/>
              </w:rPr>
              <w:t>11,8 ± 7,08</w:t>
            </w:r>
          </w:p>
        </w:tc>
        <w:tc>
          <w:tcPr>
            <w:tcW w:w="3060" w:type="dxa"/>
          </w:tcPr>
          <w:p w14:paraId="15EAB0D4" w14:textId="77777777" w:rsidR="002D5756" w:rsidRPr="006A64EE" w:rsidRDefault="009C2544" w:rsidP="00C801B5">
            <w:pPr>
              <w:pStyle w:val="TableParagraph"/>
              <w:widowControl/>
              <w:suppressAutoHyphens/>
              <w:jc w:val="center"/>
              <w:rPr>
                <w:sz w:val="20"/>
                <w:szCs w:val="20"/>
              </w:rPr>
            </w:pPr>
            <w:r w:rsidRPr="006A64EE">
              <w:rPr>
                <w:sz w:val="20"/>
                <w:szCs w:val="20"/>
              </w:rPr>
              <w:t>18,4 ± 12,9</w:t>
            </w:r>
          </w:p>
        </w:tc>
      </w:tr>
      <w:tr w:rsidR="00593482" w:rsidRPr="006A64EE" w14:paraId="29633EDF" w14:textId="77777777" w:rsidTr="00C801B5">
        <w:trPr>
          <w:cantSplit/>
        </w:trPr>
        <w:tc>
          <w:tcPr>
            <w:tcW w:w="3060" w:type="dxa"/>
          </w:tcPr>
          <w:p w14:paraId="5C06AA0F" w14:textId="77777777" w:rsidR="002D5756" w:rsidRPr="006A64EE" w:rsidRDefault="009C2544" w:rsidP="00C801B5">
            <w:pPr>
              <w:pStyle w:val="TableParagraph"/>
              <w:widowControl/>
              <w:suppressAutoHyphens/>
              <w:rPr>
                <w:sz w:val="20"/>
                <w:szCs w:val="20"/>
              </w:rPr>
            </w:pPr>
            <w:r w:rsidRPr="006A64EE">
              <w:rPr>
                <w:sz w:val="20"/>
                <w:szCs w:val="20"/>
              </w:rPr>
              <w:t>C</w:t>
            </w:r>
            <w:r w:rsidRPr="006A64EE">
              <w:rPr>
                <w:sz w:val="20"/>
                <w:szCs w:val="20"/>
                <w:vertAlign w:val="subscript"/>
              </w:rPr>
              <w:t>mittel</w:t>
            </w:r>
            <w:r w:rsidRPr="006A64EE">
              <w:rPr>
                <w:sz w:val="20"/>
                <w:szCs w:val="20"/>
              </w:rPr>
              <w:t xml:space="preserve"> (µg/ml)</w:t>
            </w:r>
          </w:p>
        </w:tc>
        <w:tc>
          <w:tcPr>
            <w:tcW w:w="3060" w:type="dxa"/>
          </w:tcPr>
          <w:p w14:paraId="06B6E02A" w14:textId="77777777" w:rsidR="002D5756" w:rsidRPr="006A64EE" w:rsidRDefault="009C2544" w:rsidP="00C801B5">
            <w:pPr>
              <w:pStyle w:val="TableParagraph"/>
              <w:widowControl/>
              <w:suppressAutoHyphens/>
              <w:jc w:val="center"/>
              <w:rPr>
                <w:sz w:val="20"/>
                <w:szCs w:val="20"/>
              </w:rPr>
            </w:pPr>
            <w:r w:rsidRPr="006A64EE">
              <w:rPr>
                <w:sz w:val="20"/>
                <w:szCs w:val="20"/>
              </w:rPr>
              <w:t>21,7 ± 10,4</w:t>
            </w:r>
          </w:p>
        </w:tc>
        <w:tc>
          <w:tcPr>
            <w:tcW w:w="3060" w:type="dxa"/>
          </w:tcPr>
          <w:p w14:paraId="30C24F26" w14:textId="77777777" w:rsidR="002D5756" w:rsidRPr="006A64EE" w:rsidRDefault="009C2544" w:rsidP="00C801B5">
            <w:pPr>
              <w:pStyle w:val="TableParagraph"/>
              <w:widowControl/>
              <w:suppressAutoHyphens/>
              <w:jc w:val="center"/>
              <w:rPr>
                <w:sz w:val="20"/>
                <w:szCs w:val="20"/>
              </w:rPr>
            </w:pPr>
            <w:r w:rsidRPr="006A64EE">
              <w:rPr>
                <w:sz w:val="20"/>
                <w:szCs w:val="20"/>
              </w:rPr>
              <w:t>45,5 ± 19,8</w:t>
            </w:r>
          </w:p>
        </w:tc>
      </w:tr>
      <w:tr w:rsidR="00593482" w:rsidRPr="006A64EE" w14:paraId="0B915C84" w14:textId="77777777" w:rsidTr="00C801B5">
        <w:trPr>
          <w:cantSplit/>
        </w:trPr>
        <w:tc>
          <w:tcPr>
            <w:tcW w:w="3060" w:type="dxa"/>
          </w:tcPr>
          <w:p w14:paraId="5F6FB139" w14:textId="77777777" w:rsidR="002D5756" w:rsidRPr="006A64EE" w:rsidRDefault="009C2544" w:rsidP="00C801B5">
            <w:pPr>
              <w:pStyle w:val="TableParagraph"/>
              <w:widowControl/>
              <w:suppressAutoHyphens/>
              <w:rPr>
                <w:sz w:val="20"/>
                <w:szCs w:val="20"/>
              </w:rPr>
            </w:pPr>
            <w:r w:rsidRPr="006A64EE">
              <w:rPr>
                <w:sz w:val="20"/>
                <w:szCs w:val="20"/>
              </w:rPr>
              <w:t>Akkumulation C</w:t>
            </w:r>
            <w:r w:rsidRPr="006A64EE">
              <w:rPr>
                <w:sz w:val="20"/>
                <w:szCs w:val="20"/>
                <w:vertAlign w:val="subscript"/>
              </w:rPr>
              <w:t>max</w:t>
            </w:r>
          </w:p>
        </w:tc>
        <w:tc>
          <w:tcPr>
            <w:tcW w:w="3060" w:type="dxa"/>
          </w:tcPr>
          <w:p w14:paraId="5AEECB18" w14:textId="77777777" w:rsidR="002D5756" w:rsidRPr="006A64EE" w:rsidRDefault="009C2544" w:rsidP="00C801B5">
            <w:pPr>
              <w:pStyle w:val="TableParagraph"/>
              <w:widowControl/>
              <w:suppressAutoHyphens/>
              <w:jc w:val="center"/>
              <w:rPr>
                <w:sz w:val="20"/>
                <w:szCs w:val="20"/>
              </w:rPr>
            </w:pPr>
            <w:r w:rsidRPr="006A64EE">
              <w:rPr>
                <w:sz w:val="20"/>
                <w:szCs w:val="20"/>
              </w:rPr>
              <w:t>1,72</w:t>
            </w:r>
          </w:p>
        </w:tc>
        <w:tc>
          <w:tcPr>
            <w:tcW w:w="3060" w:type="dxa"/>
          </w:tcPr>
          <w:p w14:paraId="15F24D6F" w14:textId="77777777" w:rsidR="002D5756" w:rsidRPr="006A64EE" w:rsidRDefault="009C2544" w:rsidP="00C801B5">
            <w:pPr>
              <w:pStyle w:val="TableParagraph"/>
              <w:widowControl/>
              <w:suppressAutoHyphens/>
              <w:jc w:val="center"/>
              <w:rPr>
                <w:sz w:val="20"/>
                <w:szCs w:val="20"/>
              </w:rPr>
            </w:pPr>
            <w:r w:rsidRPr="006A64EE">
              <w:rPr>
                <w:sz w:val="20"/>
                <w:szCs w:val="20"/>
              </w:rPr>
              <w:t>1,32</w:t>
            </w:r>
          </w:p>
        </w:tc>
      </w:tr>
      <w:tr w:rsidR="00593482" w:rsidRPr="006A64EE" w14:paraId="3DC41396" w14:textId="77777777" w:rsidTr="00C801B5">
        <w:trPr>
          <w:cantSplit/>
        </w:trPr>
        <w:tc>
          <w:tcPr>
            <w:tcW w:w="3060" w:type="dxa"/>
          </w:tcPr>
          <w:p w14:paraId="6296E87A" w14:textId="77777777" w:rsidR="002D5756" w:rsidRPr="006A64EE" w:rsidRDefault="009C2544" w:rsidP="00C801B5">
            <w:pPr>
              <w:pStyle w:val="TableParagraph"/>
              <w:widowControl/>
              <w:suppressAutoHyphens/>
              <w:rPr>
                <w:sz w:val="20"/>
                <w:szCs w:val="20"/>
              </w:rPr>
            </w:pPr>
            <w:r w:rsidRPr="006A64EE">
              <w:rPr>
                <w:sz w:val="20"/>
                <w:szCs w:val="20"/>
              </w:rPr>
              <w:t>Akkumulation C</w:t>
            </w:r>
            <w:r w:rsidRPr="006A64EE">
              <w:rPr>
                <w:sz w:val="20"/>
                <w:szCs w:val="20"/>
                <w:vertAlign w:val="subscript"/>
              </w:rPr>
              <w:t>min</w:t>
            </w:r>
          </w:p>
        </w:tc>
        <w:tc>
          <w:tcPr>
            <w:tcW w:w="3060" w:type="dxa"/>
          </w:tcPr>
          <w:p w14:paraId="526176D2" w14:textId="77777777" w:rsidR="002D5756" w:rsidRPr="006A64EE" w:rsidRDefault="009C2544" w:rsidP="00C801B5">
            <w:pPr>
              <w:pStyle w:val="TableParagraph"/>
              <w:widowControl/>
              <w:suppressAutoHyphens/>
              <w:jc w:val="center"/>
              <w:rPr>
                <w:sz w:val="20"/>
                <w:szCs w:val="20"/>
              </w:rPr>
            </w:pPr>
            <w:r w:rsidRPr="006A64EE">
              <w:rPr>
                <w:sz w:val="20"/>
                <w:szCs w:val="20"/>
              </w:rPr>
              <w:t>3,58</w:t>
            </w:r>
          </w:p>
        </w:tc>
        <w:tc>
          <w:tcPr>
            <w:tcW w:w="3060" w:type="dxa"/>
          </w:tcPr>
          <w:p w14:paraId="001842B7" w14:textId="77777777" w:rsidR="002D5756" w:rsidRPr="006A64EE" w:rsidRDefault="009C2544" w:rsidP="00C801B5">
            <w:pPr>
              <w:pStyle w:val="TableParagraph"/>
              <w:widowControl/>
              <w:suppressAutoHyphens/>
              <w:jc w:val="center"/>
              <w:rPr>
                <w:sz w:val="20"/>
                <w:szCs w:val="20"/>
              </w:rPr>
            </w:pPr>
            <w:r w:rsidRPr="006A64EE">
              <w:rPr>
                <w:sz w:val="20"/>
                <w:szCs w:val="20"/>
              </w:rPr>
              <w:t>2,08</w:t>
            </w:r>
          </w:p>
        </w:tc>
      </w:tr>
      <w:tr w:rsidR="00593482" w:rsidRPr="006A64EE" w14:paraId="57A6D874" w14:textId="77777777" w:rsidTr="00C801B5">
        <w:trPr>
          <w:cantSplit/>
        </w:trPr>
        <w:tc>
          <w:tcPr>
            <w:tcW w:w="3060" w:type="dxa"/>
          </w:tcPr>
          <w:p w14:paraId="263048AC" w14:textId="77777777" w:rsidR="002D5756" w:rsidRPr="006A64EE" w:rsidRDefault="009C2544" w:rsidP="00C801B5">
            <w:pPr>
              <w:pStyle w:val="TableParagraph"/>
              <w:widowControl/>
              <w:suppressAutoHyphens/>
              <w:rPr>
                <w:sz w:val="20"/>
                <w:szCs w:val="20"/>
              </w:rPr>
            </w:pPr>
            <w:r w:rsidRPr="006A64EE">
              <w:rPr>
                <w:sz w:val="20"/>
                <w:szCs w:val="20"/>
              </w:rPr>
              <w:t>Akkumulation C</w:t>
            </w:r>
            <w:r w:rsidRPr="006A64EE">
              <w:rPr>
                <w:sz w:val="20"/>
                <w:szCs w:val="20"/>
                <w:vertAlign w:val="subscript"/>
              </w:rPr>
              <w:t>mittel</w:t>
            </w:r>
            <w:r w:rsidRPr="006A64EE">
              <w:rPr>
                <w:sz w:val="20"/>
                <w:szCs w:val="20"/>
              </w:rPr>
              <w:t xml:space="preserve"> oder AUC</w:t>
            </w:r>
            <w:r w:rsidRPr="006A64EE">
              <w:rPr>
                <w:sz w:val="20"/>
                <w:szCs w:val="20"/>
                <w:vertAlign w:val="subscript"/>
              </w:rPr>
              <w:t>τ</w:t>
            </w:r>
            <w:r w:rsidRPr="006A64EE">
              <w:rPr>
                <w:sz w:val="20"/>
                <w:szCs w:val="20"/>
              </w:rPr>
              <w:t>*</w:t>
            </w:r>
          </w:p>
        </w:tc>
        <w:tc>
          <w:tcPr>
            <w:tcW w:w="3060" w:type="dxa"/>
          </w:tcPr>
          <w:p w14:paraId="2560B42B" w14:textId="77777777" w:rsidR="002D5756" w:rsidRPr="006A64EE" w:rsidRDefault="009C2544" w:rsidP="00C801B5">
            <w:pPr>
              <w:pStyle w:val="TableParagraph"/>
              <w:widowControl/>
              <w:suppressAutoHyphens/>
              <w:jc w:val="center"/>
              <w:rPr>
                <w:sz w:val="20"/>
                <w:szCs w:val="20"/>
              </w:rPr>
            </w:pPr>
            <w:r w:rsidRPr="006A64EE">
              <w:rPr>
                <w:sz w:val="20"/>
                <w:szCs w:val="20"/>
              </w:rPr>
              <w:t>2,04</w:t>
            </w:r>
          </w:p>
        </w:tc>
        <w:tc>
          <w:tcPr>
            <w:tcW w:w="3060" w:type="dxa"/>
          </w:tcPr>
          <w:p w14:paraId="09ECAC9E" w14:textId="77777777" w:rsidR="002D5756" w:rsidRPr="006A64EE" w:rsidRDefault="009C2544" w:rsidP="00C801B5">
            <w:pPr>
              <w:pStyle w:val="TableParagraph"/>
              <w:widowControl/>
              <w:suppressAutoHyphens/>
              <w:jc w:val="center"/>
              <w:rPr>
                <w:sz w:val="20"/>
                <w:szCs w:val="20"/>
              </w:rPr>
            </w:pPr>
            <w:r w:rsidRPr="006A64EE">
              <w:rPr>
                <w:sz w:val="20"/>
                <w:szCs w:val="20"/>
              </w:rPr>
              <w:t>1,46</w:t>
            </w:r>
          </w:p>
        </w:tc>
      </w:tr>
    </w:tbl>
    <w:p w14:paraId="54916ECB" w14:textId="77777777" w:rsidR="00093A5E" w:rsidRPr="006A64EE" w:rsidRDefault="009C2544" w:rsidP="004255F8">
      <w:pPr>
        <w:widowControl/>
        <w:rPr>
          <w:sz w:val="18"/>
          <w:szCs w:val="18"/>
        </w:rPr>
      </w:pPr>
      <w:r w:rsidRPr="006A64EE">
        <w:rPr>
          <w:sz w:val="18"/>
          <w:szCs w:val="18"/>
        </w:rPr>
        <w:t>*τ = 2 Wochen bzw. 3 Wochen bei den beiden subkutanen Schemata</w:t>
      </w:r>
    </w:p>
    <w:p w14:paraId="6A543D02" w14:textId="77777777" w:rsidR="00093A5E" w:rsidRPr="006A64EE" w:rsidRDefault="00093A5E" w:rsidP="004255F8">
      <w:pPr>
        <w:widowControl/>
      </w:pPr>
    </w:p>
    <w:p w14:paraId="1418EF93" w14:textId="68A1C780" w:rsidR="00093A5E" w:rsidRPr="006A64EE" w:rsidRDefault="009C2544" w:rsidP="004255F8">
      <w:pPr>
        <w:pStyle w:val="a3"/>
        <w:widowControl/>
      </w:pPr>
      <w:r w:rsidRPr="006A64EE">
        <w:t>Nach intravenöser Anwendung waren bei der Dosierung von 10 mg/kg (</w:t>
      </w:r>
      <w:r w:rsidR="00C53C1B" w:rsidRPr="009204B8">
        <w:t>Körpergewicht</w:t>
      </w:r>
      <w:r w:rsidR="00C53C1B" w:rsidRPr="009204B8" w:rsidDel="009204B8">
        <w:t xml:space="preserve"> </w:t>
      </w:r>
      <w:r w:rsidRPr="006A64EE">
        <w:t>&lt; 30 kg) bis Woche 12 und bei der Dosierung von 8 mg/kg (</w:t>
      </w:r>
      <w:r w:rsidR="00C53C1B" w:rsidRPr="009204B8">
        <w:t>Körpergewicht</w:t>
      </w:r>
      <w:r w:rsidR="00C53C1B" w:rsidRPr="009204B8" w:rsidDel="009204B8">
        <w:t xml:space="preserve"> </w:t>
      </w:r>
      <w:r w:rsidRPr="006A64EE">
        <w:t>≥ 30 kg) bis Woche 16 etwa 90 % des Steady States erreicht. Nach subkutaner Anwendung waren bei beiden Dosierungen von 162 mg subkutan q2w und q3w bis Woche 12 etwa 90 % des Steady States erreicht.</w:t>
      </w:r>
    </w:p>
    <w:p w14:paraId="1BAB8963" w14:textId="77777777" w:rsidR="00093A5E" w:rsidRPr="006A64EE" w:rsidRDefault="00093A5E" w:rsidP="004255F8">
      <w:pPr>
        <w:pStyle w:val="a3"/>
        <w:widowControl/>
      </w:pPr>
    </w:p>
    <w:p w14:paraId="1EA43E19" w14:textId="77777777" w:rsidR="00093A5E" w:rsidRPr="006A64EE" w:rsidRDefault="009C2544" w:rsidP="00B320E1">
      <w:pPr>
        <w:pStyle w:val="a3"/>
        <w:keepNext/>
        <w:widowControl/>
      </w:pPr>
      <w:r w:rsidRPr="006A64EE">
        <w:rPr>
          <w:u w:val="single"/>
        </w:rPr>
        <w:lastRenderedPageBreak/>
        <w:t>Resorption</w:t>
      </w:r>
    </w:p>
    <w:p w14:paraId="7466303F" w14:textId="77777777" w:rsidR="00093A5E" w:rsidRPr="006A64EE" w:rsidRDefault="009C2544" w:rsidP="004255F8">
      <w:pPr>
        <w:pStyle w:val="a3"/>
        <w:widowControl/>
      </w:pPr>
      <w:r w:rsidRPr="006A64EE">
        <w:t>Nach subkutaner Anwendung bei Patienten mit pJIA betrug die Resorptionshalbwertszeit etwa 2 Tage und die Bioverfügbarkeit der subkutanen Darreichungsform bei Patienten mit pJIA 96 %.</w:t>
      </w:r>
    </w:p>
    <w:p w14:paraId="0F55DBEC" w14:textId="77777777" w:rsidR="00093A5E" w:rsidRPr="006A64EE" w:rsidRDefault="00093A5E" w:rsidP="004255F8">
      <w:pPr>
        <w:pStyle w:val="a3"/>
        <w:widowControl/>
      </w:pPr>
    </w:p>
    <w:p w14:paraId="71A47837" w14:textId="77777777" w:rsidR="00093A5E" w:rsidRPr="006A64EE" w:rsidRDefault="009C2544" w:rsidP="004255F8">
      <w:pPr>
        <w:pStyle w:val="a3"/>
        <w:widowControl/>
      </w:pPr>
      <w:r w:rsidRPr="006A64EE">
        <w:rPr>
          <w:u w:val="single"/>
        </w:rPr>
        <w:t>Verteilung</w:t>
      </w:r>
    </w:p>
    <w:p w14:paraId="46A5A73C" w14:textId="77777777" w:rsidR="00093A5E" w:rsidRPr="006A64EE" w:rsidRDefault="009C2544" w:rsidP="004255F8">
      <w:pPr>
        <w:pStyle w:val="a3"/>
        <w:widowControl/>
      </w:pPr>
      <w:r w:rsidRPr="006A64EE">
        <w:t>Bei pädiatrischen Patienten mit pJIA lag das zentrale Verteilungsvolumen bei 1,97 l, das periphere Verteilungsvolumen bei 2,03 l, woraus ein Verteilungsvolumen von 4,0 l im Steady State resultiert.</w:t>
      </w:r>
    </w:p>
    <w:p w14:paraId="5C0D9524" w14:textId="77777777" w:rsidR="00093A5E" w:rsidRPr="006A64EE" w:rsidRDefault="00093A5E" w:rsidP="004255F8">
      <w:pPr>
        <w:widowControl/>
      </w:pPr>
    </w:p>
    <w:p w14:paraId="226FA0DA" w14:textId="77777777" w:rsidR="00093A5E" w:rsidRPr="006A64EE" w:rsidRDefault="007D680A" w:rsidP="004255F8">
      <w:pPr>
        <w:keepNext/>
        <w:widowControl/>
      </w:pPr>
      <w:r w:rsidRPr="006A64EE">
        <w:rPr>
          <w:u w:val="single"/>
        </w:rPr>
        <w:t>Elimination</w:t>
      </w:r>
    </w:p>
    <w:p w14:paraId="09FB56EB" w14:textId="77777777" w:rsidR="00093A5E" w:rsidRPr="006A64EE" w:rsidRDefault="009C2544" w:rsidP="004255F8">
      <w:pPr>
        <w:pStyle w:val="a3"/>
        <w:widowControl/>
      </w:pPr>
      <w:r w:rsidRPr="006A64EE">
        <w:t>Eine Analyse zur Populationspharmakokinetik bei Patienten mit pJIA zeigte einen Einfluss der Körpergröße auf die lineare Clearance, so dass eine körpergewichtsabhängige Dosierung in Betracht gezogen werden sollte (siehe Tabelle 9).</w:t>
      </w:r>
    </w:p>
    <w:p w14:paraId="0A4227CD" w14:textId="77777777" w:rsidR="00093A5E" w:rsidRPr="006A64EE" w:rsidRDefault="00093A5E" w:rsidP="004255F8">
      <w:pPr>
        <w:pStyle w:val="a3"/>
        <w:widowControl/>
      </w:pPr>
    </w:p>
    <w:p w14:paraId="6AFC09C8" w14:textId="6B1C74F2" w:rsidR="00093A5E" w:rsidRPr="006A64EE" w:rsidRDefault="009C2544" w:rsidP="004255F8">
      <w:pPr>
        <w:pStyle w:val="a3"/>
        <w:widowControl/>
      </w:pPr>
      <w:r w:rsidRPr="006A64EE">
        <w:t>Bei Patienten mit pJIA beträgt die tatsächliche t</w:t>
      </w:r>
      <w:r w:rsidRPr="00901DE4">
        <w:rPr>
          <w:vertAlign w:val="subscript"/>
        </w:rPr>
        <w:t>1/2</w:t>
      </w:r>
      <w:r w:rsidRPr="006A64EE">
        <w:t xml:space="preserve"> von </w:t>
      </w:r>
      <w:r w:rsidR="00C450F6">
        <w:t>Tocilizumab</w:t>
      </w:r>
      <w:r w:rsidRPr="006A64EE">
        <w:t xml:space="preserve"> innerhalb eines Dosierungsintervalls im Steady State nach subkutaner Anwendung bis zu 10 Tage bei Patienten</w:t>
      </w:r>
      <w:r w:rsidR="002C03F6" w:rsidRPr="006A64EE">
        <w:t xml:space="preserve"> </w:t>
      </w:r>
      <w:r w:rsidRPr="006A64EE">
        <w:t>&lt;</w:t>
      </w:r>
      <w:r w:rsidR="00DD494C">
        <w:t> </w:t>
      </w:r>
      <w:r w:rsidRPr="006A64EE">
        <w:t>30</w:t>
      </w:r>
      <w:r w:rsidR="00DD494C">
        <w:t> </w:t>
      </w:r>
      <w:r w:rsidRPr="006A64EE">
        <w:t>kg (162 mg subkutan q3w) und bis zu 7 Tage bei Patienten ≥ 30 kg (162 mg subkutan q2w). Nach intravenöser Verabreichung wird Tocilizumab biphasisch aus dem Kreislauf eliminiert. Die Gesamt-Clearance von Tocilizumab war abhängig von der Konzentration und entspricht der Summe der linearen und der nicht-linearen Clearance. Die lineare Clearance wurde als Parameter in der Analyse zur Populationspharmakokinetik geschätzt und lag bei 6,25 ml/h. Die konzentrationsabhängige nicht-lineare Clearance spielt eine wichtige Rolle bei niedrigen Konzentrationen von Tocilizumab. Wenn der nicht-lineare Stoffwechselweg gesättigt ist, wird die Clearance bei höheren Konzentrationen von Tocilizumab hauptsächlich von der linearen Clearance bestimmt.</w:t>
      </w:r>
    </w:p>
    <w:p w14:paraId="62102CFF" w14:textId="77777777" w:rsidR="00093A5E" w:rsidRPr="006A64EE" w:rsidRDefault="00093A5E" w:rsidP="004255F8">
      <w:pPr>
        <w:pStyle w:val="a3"/>
        <w:widowControl/>
      </w:pPr>
    </w:p>
    <w:p w14:paraId="598738F3" w14:textId="77777777" w:rsidR="00093A5E" w:rsidRPr="006A64EE" w:rsidRDefault="009C2544" w:rsidP="004255F8">
      <w:pPr>
        <w:pStyle w:val="a3"/>
        <w:widowControl/>
      </w:pPr>
      <w:r w:rsidRPr="006A64EE">
        <w:rPr>
          <w:u w:val="single"/>
        </w:rPr>
        <w:t>RZA</w:t>
      </w:r>
    </w:p>
    <w:p w14:paraId="3535A9B1" w14:textId="77777777" w:rsidR="00093A5E" w:rsidRPr="006A64EE" w:rsidRDefault="009C2544" w:rsidP="004255F8">
      <w:pPr>
        <w:pStyle w:val="a3"/>
        <w:widowControl/>
      </w:pPr>
      <w:r w:rsidRPr="006A64EE">
        <w:rPr>
          <w:u w:val="single"/>
        </w:rPr>
        <w:t>Subkutane Anwendung</w:t>
      </w:r>
    </w:p>
    <w:p w14:paraId="488775CA" w14:textId="3C74D02B" w:rsidR="00093A5E" w:rsidRPr="006A64EE" w:rsidRDefault="009C2544" w:rsidP="004255F8">
      <w:pPr>
        <w:pStyle w:val="a3"/>
        <w:widowControl/>
      </w:pPr>
      <w:r w:rsidRPr="006A64EE">
        <w:t xml:space="preserve">Die Pharmakokinetik von </w:t>
      </w:r>
      <w:r w:rsidR="00C450F6">
        <w:t>Tocilizumab</w:t>
      </w:r>
      <w:r w:rsidRPr="006A64EE">
        <w:t xml:space="preserve"> bei Patienten mit RZA wurde anhand eines Modells der Populationspharmakokinetik bestimmt, das aus den Daten eines Analysensets von 149 RZA-Patienten bestand, die 162 mg subkutan wöchentlich oder 162 mg subkutan alle 2 Wochen erhielten. Das Modell hatte die gleiche Struktur wie das bereits vorher entwickelte Modell der Populationspharmakokinetik aus Daten von RA-Patienten (siehe Tabelle 10).</w:t>
      </w:r>
    </w:p>
    <w:p w14:paraId="0FBEA911" w14:textId="77777777" w:rsidR="00093A5E" w:rsidRPr="006A64EE" w:rsidRDefault="00093A5E" w:rsidP="004255F8">
      <w:pPr>
        <w:pStyle w:val="a3"/>
        <w:widowControl/>
      </w:pPr>
    </w:p>
    <w:p w14:paraId="6AC63DB9" w14:textId="77777777" w:rsidR="00093A5E" w:rsidRPr="006A64EE" w:rsidRDefault="009C2544" w:rsidP="004255F8">
      <w:pPr>
        <w:pStyle w:val="Tabletittle"/>
      </w:pPr>
      <w:r w:rsidRPr="006A64EE">
        <w:t>Tabelle 10:</w:t>
      </w:r>
      <w:r w:rsidR="00CA074F" w:rsidRPr="006A64EE">
        <w:tab/>
      </w:r>
      <w:r w:rsidRPr="006A64EE">
        <w:t>Vorausberechneter Mittelwert ± SD der PK-Parameter bei Steady State nach subkutaner Gabe bei RZA</w:t>
      </w:r>
    </w:p>
    <w:p w14:paraId="3A3281F8" w14:textId="2068AD1F" w:rsidR="002D5756" w:rsidRPr="006A64EE" w:rsidRDefault="002D5756" w:rsidP="00E36F2A">
      <w:pPr>
        <w:pStyle w:val="a3"/>
        <w:keepNext/>
        <w:keepLines/>
        <w:widowControl/>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4865"/>
        <w:gridCol w:w="2142"/>
        <w:gridCol w:w="2054"/>
      </w:tblGrid>
      <w:tr w:rsidR="00593482" w:rsidRPr="006A64EE" w14:paraId="18942736" w14:textId="77777777" w:rsidTr="00E36F2A">
        <w:trPr>
          <w:cantSplit/>
          <w:tblHeader/>
        </w:trPr>
        <w:tc>
          <w:tcPr>
            <w:tcW w:w="4735" w:type="dxa"/>
          </w:tcPr>
          <w:p w14:paraId="3EB0D372" w14:textId="77777777" w:rsidR="002D5756" w:rsidRPr="006A64EE" w:rsidRDefault="002D5756" w:rsidP="00E36F2A">
            <w:pPr>
              <w:pStyle w:val="TableParagraph"/>
              <w:keepNext/>
              <w:keepLines/>
              <w:widowControl/>
              <w:suppressAutoHyphens/>
            </w:pPr>
          </w:p>
        </w:tc>
        <w:tc>
          <w:tcPr>
            <w:tcW w:w="4084" w:type="dxa"/>
            <w:gridSpan w:val="2"/>
          </w:tcPr>
          <w:p w14:paraId="20AC99C7" w14:textId="77777777" w:rsidR="002D5756" w:rsidRPr="006A64EE" w:rsidRDefault="009C2544" w:rsidP="00E36F2A">
            <w:pPr>
              <w:pStyle w:val="TableParagraph"/>
              <w:keepNext/>
              <w:keepLines/>
              <w:widowControl/>
              <w:suppressAutoHyphens/>
              <w:jc w:val="center"/>
              <w:rPr>
                <w:b/>
              </w:rPr>
            </w:pPr>
            <w:r w:rsidRPr="006A64EE">
              <w:rPr>
                <w:b/>
              </w:rPr>
              <w:t>Subkutan</w:t>
            </w:r>
          </w:p>
        </w:tc>
      </w:tr>
      <w:tr w:rsidR="00593482" w:rsidRPr="006A64EE" w14:paraId="0B56CBEE" w14:textId="77777777" w:rsidTr="00E36F2A">
        <w:trPr>
          <w:cantSplit/>
          <w:tblHeader/>
        </w:trPr>
        <w:tc>
          <w:tcPr>
            <w:tcW w:w="4735" w:type="dxa"/>
          </w:tcPr>
          <w:p w14:paraId="06B0F3C6" w14:textId="77777777" w:rsidR="002D5756" w:rsidRPr="006A64EE" w:rsidRDefault="009C2544" w:rsidP="00E36F2A">
            <w:pPr>
              <w:pStyle w:val="TableParagraph"/>
              <w:widowControl/>
              <w:suppressAutoHyphens/>
              <w:rPr>
                <w:b/>
              </w:rPr>
            </w:pPr>
            <w:r w:rsidRPr="006A64EE">
              <w:rPr>
                <w:b/>
              </w:rPr>
              <w:t>Tocilizumab PK-Parameter</w:t>
            </w:r>
          </w:p>
        </w:tc>
        <w:tc>
          <w:tcPr>
            <w:tcW w:w="2085" w:type="dxa"/>
          </w:tcPr>
          <w:p w14:paraId="372F51ED" w14:textId="77777777" w:rsidR="00093A5E" w:rsidRPr="006A64EE" w:rsidRDefault="009C2544" w:rsidP="00E36F2A">
            <w:pPr>
              <w:pStyle w:val="TableParagraph"/>
              <w:widowControl/>
              <w:suppressAutoHyphens/>
              <w:jc w:val="center"/>
              <w:rPr>
                <w:b/>
              </w:rPr>
            </w:pPr>
            <w:r w:rsidRPr="006A64EE">
              <w:rPr>
                <w:b/>
              </w:rPr>
              <w:t>162 mg</w:t>
            </w:r>
          </w:p>
          <w:p w14:paraId="75D6AB1B" w14:textId="523ADCA4" w:rsidR="002D5756" w:rsidRPr="006A64EE" w:rsidRDefault="009C2544" w:rsidP="00E36F2A">
            <w:pPr>
              <w:pStyle w:val="TableParagraph"/>
              <w:widowControl/>
              <w:suppressAutoHyphens/>
              <w:jc w:val="center"/>
              <w:rPr>
                <w:b/>
              </w:rPr>
            </w:pPr>
            <w:r w:rsidRPr="006A64EE">
              <w:rPr>
                <w:b/>
              </w:rPr>
              <w:t>alle 2 Wochen</w:t>
            </w:r>
          </w:p>
        </w:tc>
        <w:tc>
          <w:tcPr>
            <w:tcW w:w="1999" w:type="dxa"/>
          </w:tcPr>
          <w:p w14:paraId="476F13C8" w14:textId="77777777" w:rsidR="002D5756" w:rsidRPr="006A64EE" w:rsidRDefault="009C2544" w:rsidP="00E36F2A">
            <w:pPr>
              <w:pStyle w:val="TableParagraph"/>
              <w:widowControl/>
              <w:suppressAutoHyphens/>
              <w:jc w:val="center"/>
              <w:rPr>
                <w:b/>
              </w:rPr>
            </w:pPr>
            <w:r w:rsidRPr="006A64EE">
              <w:rPr>
                <w:b/>
              </w:rPr>
              <w:t>162 mg wöchentlich</w:t>
            </w:r>
          </w:p>
        </w:tc>
      </w:tr>
      <w:tr w:rsidR="00593482" w:rsidRPr="006A64EE" w14:paraId="7CB2CD27" w14:textId="77777777" w:rsidTr="00E36F2A">
        <w:trPr>
          <w:cantSplit/>
        </w:trPr>
        <w:tc>
          <w:tcPr>
            <w:tcW w:w="4735" w:type="dxa"/>
          </w:tcPr>
          <w:p w14:paraId="1BDA2EFF" w14:textId="77777777" w:rsidR="002D5756" w:rsidRPr="006A64EE" w:rsidRDefault="009C2544" w:rsidP="00E36F2A">
            <w:pPr>
              <w:pStyle w:val="TableParagraph"/>
              <w:widowControl/>
              <w:suppressAutoHyphens/>
            </w:pPr>
            <w:r w:rsidRPr="006A64EE">
              <w:t>C</w:t>
            </w:r>
            <w:r w:rsidRPr="006A64EE">
              <w:rPr>
                <w:vertAlign w:val="subscript"/>
              </w:rPr>
              <w:t>max</w:t>
            </w:r>
            <w:r w:rsidRPr="006A64EE">
              <w:t xml:space="preserve"> (µg/ml)</w:t>
            </w:r>
          </w:p>
        </w:tc>
        <w:tc>
          <w:tcPr>
            <w:tcW w:w="2085" w:type="dxa"/>
          </w:tcPr>
          <w:p w14:paraId="1C49B5B2" w14:textId="77777777" w:rsidR="002D5756" w:rsidRPr="006A64EE" w:rsidRDefault="009C2544" w:rsidP="00E36F2A">
            <w:pPr>
              <w:pStyle w:val="TableParagraph"/>
              <w:widowControl/>
              <w:suppressAutoHyphens/>
              <w:jc w:val="center"/>
            </w:pPr>
            <w:r w:rsidRPr="006A64EE">
              <w:t>19,3 ± 12,8</w:t>
            </w:r>
          </w:p>
        </w:tc>
        <w:tc>
          <w:tcPr>
            <w:tcW w:w="1999" w:type="dxa"/>
          </w:tcPr>
          <w:p w14:paraId="52CC24F6" w14:textId="77777777" w:rsidR="002D5756" w:rsidRPr="006A64EE" w:rsidRDefault="009C2544" w:rsidP="00E36F2A">
            <w:pPr>
              <w:pStyle w:val="TableParagraph"/>
              <w:widowControl/>
              <w:suppressAutoHyphens/>
              <w:jc w:val="center"/>
            </w:pPr>
            <w:r w:rsidRPr="006A64EE">
              <w:t>73 ± 30,4</w:t>
            </w:r>
          </w:p>
        </w:tc>
      </w:tr>
      <w:tr w:rsidR="00593482" w:rsidRPr="006A64EE" w14:paraId="03874770" w14:textId="77777777" w:rsidTr="00E36F2A">
        <w:trPr>
          <w:cantSplit/>
        </w:trPr>
        <w:tc>
          <w:tcPr>
            <w:tcW w:w="4735" w:type="dxa"/>
          </w:tcPr>
          <w:p w14:paraId="72753E8F" w14:textId="77777777" w:rsidR="002D5756" w:rsidRPr="006A64EE" w:rsidRDefault="009C2544" w:rsidP="00E36F2A">
            <w:pPr>
              <w:pStyle w:val="TableParagraph"/>
              <w:widowControl/>
              <w:suppressAutoHyphens/>
            </w:pPr>
            <w:r w:rsidRPr="006A64EE">
              <w:t>C</w:t>
            </w:r>
            <w:r w:rsidRPr="006A64EE">
              <w:rPr>
                <w:vertAlign w:val="subscript"/>
              </w:rPr>
              <w:t>min</w:t>
            </w:r>
            <w:r w:rsidRPr="006A64EE">
              <w:t xml:space="preserve"> (µg/ml)</w:t>
            </w:r>
          </w:p>
        </w:tc>
        <w:tc>
          <w:tcPr>
            <w:tcW w:w="2085" w:type="dxa"/>
          </w:tcPr>
          <w:p w14:paraId="16EDFBA6" w14:textId="77777777" w:rsidR="002D5756" w:rsidRPr="006A64EE" w:rsidRDefault="009C2544" w:rsidP="00E36F2A">
            <w:pPr>
              <w:pStyle w:val="TableParagraph"/>
              <w:widowControl/>
              <w:suppressAutoHyphens/>
              <w:jc w:val="center"/>
            </w:pPr>
            <w:r w:rsidRPr="006A64EE">
              <w:t>11,1 ± 10,3</w:t>
            </w:r>
          </w:p>
        </w:tc>
        <w:tc>
          <w:tcPr>
            <w:tcW w:w="1999" w:type="dxa"/>
          </w:tcPr>
          <w:p w14:paraId="42DBC0FB" w14:textId="77777777" w:rsidR="002D5756" w:rsidRPr="006A64EE" w:rsidRDefault="009C2544" w:rsidP="00E36F2A">
            <w:pPr>
              <w:pStyle w:val="TableParagraph"/>
              <w:widowControl/>
              <w:suppressAutoHyphens/>
              <w:jc w:val="center"/>
            </w:pPr>
            <w:r w:rsidRPr="006A64EE">
              <w:t>68,1 ± 29,5</w:t>
            </w:r>
          </w:p>
        </w:tc>
      </w:tr>
      <w:tr w:rsidR="00593482" w:rsidRPr="006A64EE" w14:paraId="0833E27C" w14:textId="77777777" w:rsidTr="00E36F2A">
        <w:trPr>
          <w:cantSplit/>
        </w:trPr>
        <w:tc>
          <w:tcPr>
            <w:tcW w:w="4735" w:type="dxa"/>
          </w:tcPr>
          <w:p w14:paraId="77CC3687" w14:textId="77777777" w:rsidR="002D5756" w:rsidRPr="006A64EE" w:rsidRDefault="009C2544" w:rsidP="00E36F2A">
            <w:pPr>
              <w:pStyle w:val="TableParagraph"/>
              <w:widowControl/>
              <w:suppressAutoHyphens/>
            </w:pPr>
            <w:r w:rsidRPr="006A64EE">
              <w:t>C</w:t>
            </w:r>
            <w:r w:rsidRPr="006A64EE">
              <w:rPr>
                <w:vertAlign w:val="subscript"/>
              </w:rPr>
              <w:t>mittel</w:t>
            </w:r>
            <w:r w:rsidRPr="006A64EE">
              <w:t xml:space="preserve"> (µg/ml)</w:t>
            </w:r>
          </w:p>
        </w:tc>
        <w:tc>
          <w:tcPr>
            <w:tcW w:w="2085" w:type="dxa"/>
          </w:tcPr>
          <w:p w14:paraId="7054C4A3" w14:textId="77777777" w:rsidR="002D5756" w:rsidRPr="006A64EE" w:rsidRDefault="009C2544" w:rsidP="00E36F2A">
            <w:pPr>
              <w:pStyle w:val="TableParagraph"/>
              <w:widowControl/>
              <w:suppressAutoHyphens/>
              <w:jc w:val="center"/>
            </w:pPr>
            <w:r w:rsidRPr="006A64EE">
              <w:t>16,2 ± 11,8</w:t>
            </w:r>
          </w:p>
        </w:tc>
        <w:tc>
          <w:tcPr>
            <w:tcW w:w="1999" w:type="dxa"/>
          </w:tcPr>
          <w:p w14:paraId="7F089B1F" w14:textId="77777777" w:rsidR="002D5756" w:rsidRPr="006A64EE" w:rsidRDefault="009C2544" w:rsidP="00E36F2A">
            <w:pPr>
              <w:pStyle w:val="TableParagraph"/>
              <w:widowControl/>
              <w:suppressAutoHyphens/>
              <w:jc w:val="center"/>
            </w:pPr>
            <w:r w:rsidRPr="006A64EE">
              <w:t>71,3 ± 30,1</w:t>
            </w:r>
          </w:p>
        </w:tc>
      </w:tr>
      <w:tr w:rsidR="00593482" w:rsidRPr="006A64EE" w14:paraId="78FD2C91" w14:textId="77777777" w:rsidTr="00E36F2A">
        <w:trPr>
          <w:cantSplit/>
        </w:trPr>
        <w:tc>
          <w:tcPr>
            <w:tcW w:w="4735" w:type="dxa"/>
          </w:tcPr>
          <w:p w14:paraId="49846A04" w14:textId="77777777" w:rsidR="002D5756" w:rsidRPr="006A64EE" w:rsidRDefault="009C2544" w:rsidP="00E36F2A">
            <w:pPr>
              <w:pStyle w:val="TableParagraph"/>
              <w:widowControl/>
              <w:suppressAutoHyphens/>
            </w:pPr>
            <w:r w:rsidRPr="006A64EE">
              <w:t>Akkumulation C</w:t>
            </w:r>
            <w:r w:rsidRPr="006A64EE">
              <w:rPr>
                <w:vertAlign w:val="subscript"/>
              </w:rPr>
              <w:t>max</w:t>
            </w:r>
          </w:p>
        </w:tc>
        <w:tc>
          <w:tcPr>
            <w:tcW w:w="2085" w:type="dxa"/>
          </w:tcPr>
          <w:p w14:paraId="77E3F36A" w14:textId="77777777" w:rsidR="002D5756" w:rsidRPr="006A64EE" w:rsidRDefault="009C2544" w:rsidP="00E36F2A">
            <w:pPr>
              <w:pStyle w:val="TableParagraph"/>
              <w:widowControl/>
              <w:suppressAutoHyphens/>
              <w:jc w:val="center"/>
            </w:pPr>
            <w:r w:rsidRPr="006A64EE">
              <w:t>2,18</w:t>
            </w:r>
          </w:p>
        </w:tc>
        <w:tc>
          <w:tcPr>
            <w:tcW w:w="1999" w:type="dxa"/>
          </w:tcPr>
          <w:p w14:paraId="7EFE3326" w14:textId="77777777" w:rsidR="002D5756" w:rsidRPr="006A64EE" w:rsidRDefault="009C2544" w:rsidP="00E36F2A">
            <w:pPr>
              <w:pStyle w:val="TableParagraph"/>
              <w:widowControl/>
              <w:suppressAutoHyphens/>
              <w:jc w:val="center"/>
            </w:pPr>
            <w:r w:rsidRPr="006A64EE">
              <w:t>8,88</w:t>
            </w:r>
          </w:p>
        </w:tc>
      </w:tr>
      <w:tr w:rsidR="00593482" w:rsidRPr="006A64EE" w14:paraId="3F86BA2C" w14:textId="77777777" w:rsidTr="00E36F2A">
        <w:trPr>
          <w:cantSplit/>
        </w:trPr>
        <w:tc>
          <w:tcPr>
            <w:tcW w:w="4735" w:type="dxa"/>
          </w:tcPr>
          <w:p w14:paraId="23A3A8F2" w14:textId="77777777" w:rsidR="002D5756" w:rsidRPr="006A64EE" w:rsidRDefault="009C2544" w:rsidP="00E36F2A">
            <w:pPr>
              <w:pStyle w:val="TableParagraph"/>
              <w:widowControl/>
              <w:suppressAutoHyphens/>
            </w:pPr>
            <w:r w:rsidRPr="006A64EE">
              <w:t>Akkumulation C</w:t>
            </w:r>
            <w:r w:rsidRPr="006A64EE">
              <w:rPr>
                <w:vertAlign w:val="subscript"/>
              </w:rPr>
              <w:t>min</w:t>
            </w:r>
          </w:p>
        </w:tc>
        <w:tc>
          <w:tcPr>
            <w:tcW w:w="2085" w:type="dxa"/>
          </w:tcPr>
          <w:p w14:paraId="5894FF8A" w14:textId="77777777" w:rsidR="002D5756" w:rsidRPr="006A64EE" w:rsidRDefault="009C2544" w:rsidP="00E36F2A">
            <w:pPr>
              <w:pStyle w:val="TableParagraph"/>
              <w:widowControl/>
              <w:suppressAutoHyphens/>
              <w:jc w:val="center"/>
            </w:pPr>
            <w:r w:rsidRPr="006A64EE">
              <w:t>5,61</w:t>
            </w:r>
          </w:p>
        </w:tc>
        <w:tc>
          <w:tcPr>
            <w:tcW w:w="1999" w:type="dxa"/>
          </w:tcPr>
          <w:p w14:paraId="671C30BD" w14:textId="77777777" w:rsidR="002D5756" w:rsidRPr="006A64EE" w:rsidRDefault="009C2544" w:rsidP="00E36F2A">
            <w:pPr>
              <w:pStyle w:val="TableParagraph"/>
              <w:widowControl/>
              <w:suppressAutoHyphens/>
              <w:jc w:val="center"/>
            </w:pPr>
            <w:r w:rsidRPr="006A64EE">
              <w:t>9,59</w:t>
            </w:r>
          </w:p>
        </w:tc>
      </w:tr>
      <w:tr w:rsidR="00593482" w:rsidRPr="006A64EE" w14:paraId="36FEB952" w14:textId="77777777" w:rsidTr="00E36F2A">
        <w:trPr>
          <w:cantSplit/>
        </w:trPr>
        <w:tc>
          <w:tcPr>
            <w:tcW w:w="4735" w:type="dxa"/>
          </w:tcPr>
          <w:p w14:paraId="2EA0F8F6" w14:textId="77777777" w:rsidR="002D5756" w:rsidRPr="006A64EE" w:rsidRDefault="009C2544" w:rsidP="00E36F2A">
            <w:pPr>
              <w:pStyle w:val="TableParagraph"/>
              <w:widowControl/>
              <w:suppressAutoHyphens/>
            </w:pPr>
            <w:r w:rsidRPr="006A64EE">
              <w:t>Akkumulation C</w:t>
            </w:r>
            <w:r w:rsidRPr="006A64EE">
              <w:rPr>
                <w:vertAlign w:val="subscript"/>
              </w:rPr>
              <w:t>mittel</w:t>
            </w:r>
            <w:r w:rsidRPr="006A64EE">
              <w:t xml:space="preserve"> oder AUC</w:t>
            </w:r>
            <w:r w:rsidRPr="006A64EE">
              <w:rPr>
                <w:vertAlign w:val="subscript"/>
              </w:rPr>
              <w:t>τ</w:t>
            </w:r>
            <w:r w:rsidRPr="006A64EE">
              <w:t>*</w:t>
            </w:r>
          </w:p>
        </w:tc>
        <w:tc>
          <w:tcPr>
            <w:tcW w:w="2085" w:type="dxa"/>
          </w:tcPr>
          <w:p w14:paraId="707BBA13" w14:textId="77777777" w:rsidR="002D5756" w:rsidRPr="006A64EE" w:rsidRDefault="009C2544" w:rsidP="00E36F2A">
            <w:pPr>
              <w:pStyle w:val="TableParagraph"/>
              <w:widowControl/>
              <w:suppressAutoHyphens/>
              <w:jc w:val="center"/>
            </w:pPr>
            <w:r w:rsidRPr="006A64EE">
              <w:t>2,81</w:t>
            </w:r>
          </w:p>
        </w:tc>
        <w:tc>
          <w:tcPr>
            <w:tcW w:w="1999" w:type="dxa"/>
          </w:tcPr>
          <w:p w14:paraId="559E5A65" w14:textId="77777777" w:rsidR="002D5756" w:rsidRPr="006A64EE" w:rsidRDefault="009C2544" w:rsidP="00E36F2A">
            <w:pPr>
              <w:pStyle w:val="TableParagraph"/>
              <w:widowControl/>
              <w:suppressAutoHyphens/>
              <w:jc w:val="center"/>
            </w:pPr>
            <w:r w:rsidRPr="006A64EE">
              <w:t>10,91</w:t>
            </w:r>
          </w:p>
        </w:tc>
      </w:tr>
    </w:tbl>
    <w:p w14:paraId="595963D1" w14:textId="77777777" w:rsidR="00093A5E" w:rsidRPr="006A64EE" w:rsidRDefault="009C2544" w:rsidP="004255F8">
      <w:pPr>
        <w:widowControl/>
        <w:rPr>
          <w:sz w:val="18"/>
          <w:szCs w:val="18"/>
        </w:rPr>
      </w:pPr>
      <w:r w:rsidRPr="006A64EE">
        <w:rPr>
          <w:sz w:val="18"/>
          <w:szCs w:val="18"/>
        </w:rPr>
        <w:t>*τ = 2 Wochen oder 1 Woche für die beiden subkutanen Schemata</w:t>
      </w:r>
    </w:p>
    <w:p w14:paraId="55573E6A" w14:textId="77777777" w:rsidR="00093A5E" w:rsidRPr="006A64EE" w:rsidRDefault="00093A5E" w:rsidP="004255F8">
      <w:pPr>
        <w:pStyle w:val="a3"/>
        <w:widowControl/>
      </w:pPr>
    </w:p>
    <w:p w14:paraId="63A42E6B" w14:textId="315F4880" w:rsidR="00093A5E" w:rsidRPr="006A64EE" w:rsidRDefault="009C2544" w:rsidP="004255F8">
      <w:pPr>
        <w:pStyle w:val="a3"/>
        <w:widowControl/>
      </w:pPr>
      <w:r w:rsidRPr="006A64EE">
        <w:t xml:space="preserve">Das Steady-State-Profil nach der wöchentlichen </w:t>
      </w:r>
      <w:r w:rsidR="00C450F6">
        <w:t>Tocilizumab</w:t>
      </w:r>
      <w:r w:rsidRPr="006A64EE">
        <w:t xml:space="preserve">-Dosierung war fast flach mit nur sehr geringen Fluktuationen zwischen Minimal- und Maximalwerten, während die </w:t>
      </w:r>
      <w:r w:rsidR="00C450F6">
        <w:t>Tocilizumab-</w:t>
      </w:r>
      <w:r w:rsidRPr="006A64EE">
        <w:t>Dosierung alle 2 Wochen erheblich mehr Fluktuationen aufwies. Etwa 90 % des Steady State (AUCτ) waren in der Gruppe mit Dosierung alle 2 Wochen in Woche 14 erreicht, während dies in der Gruppe mit wöchentlicher Dosierung bis Woche 17 dauerte.</w:t>
      </w:r>
    </w:p>
    <w:p w14:paraId="2C95A440" w14:textId="77777777" w:rsidR="00093A5E" w:rsidRPr="006A64EE" w:rsidRDefault="00093A5E" w:rsidP="004255F8">
      <w:pPr>
        <w:pStyle w:val="a3"/>
        <w:widowControl/>
      </w:pPr>
    </w:p>
    <w:p w14:paraId="1D2D84F0" w14:textId="2F6D25A0" w:rsidR="00093A5E" w:rsidRPr="006A64EE" w:rsidRDefault="009C2544" w:rsidP="004255F8">
      <w:pPr>
        <w:pStyle w:val="a3"/>
        <w:widowControl/>
      </w:pPr>
      <w:r w:rsidRPr="006A64EE">
        <w:lastRenderedPageBreak/>
        <w:t xml:space="preserve">Basierend auf den bisherigen pharmakokinetischen Eigenschaften sind die </w:t>
      </w:r>
      <w:r w:rsidR="00C450F6">
        <w:t>Tocilizumab-</w:t>
      </w:r>
      <w:r w:rsidRPr="006A64EE">
        <w:t>Minimalkonzentrationen im Steady State in dieser Population um 50 % höher im Verhältnis zu den durchschnittlichen Konzentrationen in einem großen Datenset aus der RA-Population. Die Ursache für diesen Unterschied ist nicht bekannt. Die Unterschiede in der Pharmakokinetik werden nicht von merklichen Unterschieden in den Pharmakodynamik-Parametern begleitet, sodass die klinische Relevanz unbekannt ist.</w:t>
      </w:r>
    </w:p>
    <w:p w14:paraId="7651A661" w14:textId="77777777" w:rsidR="00093A5E" w:rsidRPr="006A64EE" w:rsidRDefault="00093A5E" w:rsidP="004255F8">
      <w:pPr>
        <w:widowControl/>
      </w:pPr>
    </w:p>
    <w:p w14:paraId="0F383D2B" w14:textId="77777777" w:rsidR="00093A5E" w:rsidRPr="006A64EE" w:rsidRDefault="007D680A" w:rsidP="004255F8">
      <w:pPr>
        <w:widowControl/>
      </w:pPr>
      <w:r w:rsidRPr="006A64EE">
        <w:t>Bei RZA-Patienten wurde bei Patienten mit geringerem Körpergewicht eine höhere Exposition beobachtet. Für die Dosierung mit 162 mg wöchentlich war die Steady-State-C</w:t>
      </w:r>
      <w:r w:rsidRPr="00B436C7">
        <w:rPr>
          <w:vertAlign w:val="subscript"/>
        </w:rPr>
        <w:t>avg</w:t>
      </w:r>
      <w:r w:rsidRPr="006A64EE">
        <w:t xml:space="preserve"> 51 % höher bei Patienten mit einem Körpergewicht von weniger als 60 kg im Vergleich zu Patienten mit einem Gewicht zwischen 60 kg und 100 kg. Für die Dosierung mit 162 mg jede zweite Woche war die stationäre C</w:t>
      </w:r>
      <w:r w:rsidRPr="00B436C7">
        <w:rPr>
          <w:vertAlign w:val="subscript"/>
        </w:rPr>
        <w:t>avg</w:t>
      </w:r>
      <w:r w:rsidRPr="006A64EE">
        <w:t xml:space="preserve"> 129 % höher bei Patienten mit einem Körpergewicht von weniger als 60 kg im Vergleich zu Patienten mit einem Gewicht zwischen 60 kg und 100 kg. Es gibt begrenzte Daten für Patienten über 100 kg (n = 7).</w:t>
      </w:r>
    </w:p>
    <w:p w14:paraId="7B8F49AC" w14:textId="77777777" w:rsidR="00093A5E" w:rsidRPr="006A64EE" w:rsidRDefault="00093A5E" w:rsidP="004255F8">
      <w:pPr>
        <w:pStyle w:val="a3"/>
        <w:widowControl/>
      </w:pPr>
    </w:p>
    <w:p w14:paraId="7D6DEC06" w14:textId="77777777" w:rsidR="00093A5E" w:rsidRPr="006A64EE" w:rsidRDefault="009C2544" w:rsidP="004255F8">
      <w:pPr>
        <w:pStyle w:val="a3"/>
        <w:widowControl/>
      </w:pPr>
      <w:r w:rsidRPr="006A64EE">
        <w:rPr>
          <w:u w:val="single"/>
        </w:rPr>
        <w:t>Resorption</w:t>
      </w:r>
    </w:p>
    <w:p w14:paraId="3793E761" w14:textId="3DBF4619" w:rsidR="00093A5E" w:rsidRPr="006A64EE" w:rsidRDefault="009C2544" w:rsidP="004255F8">
      <w:pPr>
        <w:pStyle w:val="a3"/>
        <w:widowControl/>
      </w:pPr>
      <w:r w:rsidRPr="006A64EE">
        <w:t>Nach subkutaner Anwendung bei Patienten mit RZA betrug die Resorptionshalbwertszeit etwa 4 Tage. Die Bioverfügbarkeit für die subkutane Darreichungsform lag bei 0,8. Der Median für T</w:t>
      </w:r>
      <w:r w:rsidRPr="00B436C7">
        <w:rPr>
          <w:vertAlign w:val="subscript"/>
        </w:rPr>
        <w:t>max</w:t>
      </w:r>
      <w:r w:rsidRPr="006A64EE">
        <w:t xml:space="preserve"> betrug</w:t>
      </w:r>
      <w:r w:rsidR="002C03F6" w:rsidRPr="006A64EE">
        <w:t xml:space="preserve"> </w:t>
      </w:r>
      <w:r w:rsidRPr="006A64EE">
        <w:t>3</w:t>
      </w:r>
      <w:r w:rsidR="00DD494C">
        <w:t> </w:t>
      </w:r>
      <w:r w:rsidRPr="006A64EE">
        <w:t xml:space="preserve">Tage nach der wöchentlichen Gabe von </w:t>
      </w:r>
      <w:r w:rsidR="00C450F6">
        <w:t>Tocilizumab</w:t>
      </w:r>
      <w:r w:rsidRPr="006A64EE">
        <w:t xml:space="preserve"> und 4,5 Tage nach der Gabe von </w:t>
      </w:r>
      <w:r w:rsidR="00C450F6">
        <w:t>Tocilizumab</w:t>
      </w:r>
      <w:r w:rsidRPr="006A64EE">
        <w:t xml:space="preserve"> alle 2 Wochen.</w:t>
      </w:r>
    </w:p>
    <w:p w14:paraId="402042B0" w14:textId="77777777" w:rsidR="00093A5E" w:rsidRPr="006A64EE" w:rsidRDefault="00093A5E" w:rsidP="004255F8">
      <w:pPr>
        <w:pStyle w:val="a3"/>
        <w:widowControl/>
      </w:pPr>
    </w:p>
    <w:p w14:paraId="33F3BF32" w14:textId="77777777" w:rsidR="00093A5E" w:rsidRPr="006A64EE" w:rsidRDefault="009C2544" w:rsidP="004255F8">
      <w:pPr>
        <w:pStyle w:val="a3"/>
        <w:widowControl/>
      </w:pPr>
      <w:r w:rsidRPr="006A64EE">
        <w:rPr>
          <w:u w:val="single"/>
        </w:rPr>
        <w:t>Verteilung</w:t>
      </w:r>
    </w:p>
    <w:p w14:paraId="371E38F1" w14:textId="77777777" w:rsidR="00093A5E" w:rsidRPr="006A64EE" w:rsidRDefault="009C2544" w:rsidP="004255F8">
      <w:pPr>
        <w:pStyle w:val="a3"/>
        <w:widowControl/>
      </w:pPr>
      <w:r w:rsidRPr="006A64EE">
        <w:t>Bei Patienten mit RZA lag das zentrale Verteilungsvolumen bei 4,09 l und das periphere Verteilungsvolumen bei 3,37 l, woraus ein Verteilungsvolumen von 7,46 l im Steady State resultiert.</w:t>
      </w:r>
    </w:p>
    <w:p w14:paraId="1D7B33BE" w14:textId="77777777" w:rsidR="00093A5E" w:rsidRPr="006A64EE" w:rsidRDefault="00093A5E" w:rsidP="004255F8">
      <w:pPr>
        <w:pStyle w:val="a3"/>
        <w:widowControl/>
      </w:pPr>
    </w:p>
    <w:p w14:paraId="416014BC" w14:textId="77777777" w:rsidR="00093A5E" w:rsidRPr="006A64EE" w:rsidRDefault="009C2544" w:rsidP="004255F8">
      <w:pPr>
        <w:pStyle w:val="a3"/>
        <w:widowControl/>
      </w:pPr>
      <w:r w:rsidRPr="006A64EE">
        <w:rPr>
          <w:u w:val="single"/>
        </w:rPr>
        <w:t>Elimination</w:t>
      </w:r>
    </w:p>
    <w:p w14:paraId="3F9AEC2E" w14:textId="2527584E" w:rsidR="00093A5E" w:rsidRPr="006A64EE" w:rsidRDefault="009C2544" w:rsidP="004255F8">
      <w:pPr>
        <w:pStyle w:val="a3"/>
        <w:widowControl/>
      </w:pPr>
      <w:r w:rsidRPr="006A64EE">
        <w:t xml:space="preserve">Die Gesamt-Clearance von </w:t>
      </w:r>
      <w:r w:rsidR="00C450F6">
        <w:t>Tocilizumab</w:t>
      </w:r>
      <w:r w:rsidRPr="006A64EE">
        <w:t xml:space="preserve"> war konzentrationsabhängig und entspricht der Summe der linearen und der nicht linearen Clearance. Die lineare Clearance wurde als Parameter in der Analyse zur Populationspharmakokinetik geschätzt und lag bei RZA-Patienten bei 6,7 ml/h.</w:t>
      </w:r>
    </w:p>
    <w:p w14:paraId="3563741B" w14:textId="77777777" w:rsidR="00093A5E" w:rsidRPr="006A64EE" w:rsidRDefault="00093A5E" w:rsidP="004255F8">
      <w:pPr>
        <w:pStyle w:val="a3"/>
        <w:widowControl/>
      </w:pPr>
    </w:p>
    <w:p w14:paraId="56F54BFC" w14:textId="75F439EC" w:rsidR="00093A5E" w:rsidRPr="006A64EE" w:rsidRDefault="009C2544" w:rsidP="004255F8">
      <w:pPr>
        <w:pStyle w:val="a3"/>
        <w:widowControl/>
      </w:pPr>
      <w:r w:rsidRPr="006A64EE">
        <w:t xml:space="preserve">Bei RZA-Patienten schwankte die effektive t½ von </w:t>
      </w:r>
      <w:r w:rsidR="00C450F6">
        <w:t>Tocilizumab</w:t>
      </w:r>
      <w:r w:rsidRPr="006A64EE">
        <w:t xml:space="preserve"> im Steady State zwischen 18,3 und 18,9 Tagen bei einer Dosierung von 162 mg wöchentlich sowie zwischen 4,2 und 7,9 Tagen bei einer Dosierung von 162 mg alle 2 Wochen. Bei hohen Serumkonzentrationen wird die Gesamt-Clearance von </w:t>
      </w:r>
      <w:r w:rsidR="00C450F6">
        <w:t>Tocilizumab</w:t>
      </w:r>
      <w:r w:rsidRPr="006A64EE">
        <w:t xml:space="preserve"> von der linearen Clearance dominiert, und aus den Schätzungen der Populationsparameter wurde eine effektive t½ von etwa 32 Tagen abgeleitet.</w:t>
      </w:r>
    </w:p>
    <w:p w14:paraId="1B70D6EB" w14:textId="77777777" w:rsidR="00093A5E" w:rsidRPr="006A64EE" w:rsidRDefault="00093A5E" w:rsidP="004255F8">
      <w:pPr>
        <w:pStyle w:val="a3"/>
        <w:widowControl/>
      </w:pPr>
    </w:p>
    <w:p w14:paraId="1EEF7B97" w14:textId="77777777" w:rsidR="00093A5E" w:rsidRPr="006A64EE" w:rsidRDefault="009C2544" w:rsidP="004255F8">
      <w:pPr>
        <w:pStyle w:val="a3"/>
        <w:keepNext/>
        <w:widowControl/>
      </w:pPr>
      <w:r w:rsidRPr="006A64EE">
        <w:rPr>
          <w:u w:val="single"/>
        </w:rPr>
        <w:t>Spezielle Populationen</w:t>
      </w:r>
    </w:p>
    <w:p w14:paraId="1226A697" w14:textId="1C91457D" w:rsidR="00093A5E" w:rsidRPr="006A64EE" w:rsidRDefault="009C2544" w:rsidP="004255F8">
      <w:pPr>
        <w:pStyle w:val="a3"/>
        <w:widowControl/>
      </w:pPr>
      <w:r w:rsidRPr="006A64EE">
        <w:rPr>
          <w:i/>
        </w:rPr>
        <w:t xml:space="preserve">Nierenfunktionsstörungen: </w:t>
      </w:r>
      <w:r w:rsidRPr="006A64EE">
        <w:t xml:space="preserve">Es wurden keine Studien zur Auswirkung einer Nierenfunktionsstörung auf die Pharmakokinetik von </w:t>
      </w:r>
      <w:r w:rsidR="00C450F6">
        <w:t>Tocilizumab</w:t>
      </w:r>
      <w:r w:rsidRPr="006A64EE">
        <w:t xml:space="preserve"> durchgeführt. In der Analyse zur Populationspharmakokinetik hatten die meisten Patienten in den RA- und RZA-Studien eine normale Nierenfunktion oder eine leichte Nierenfunktionsstörung. Eine leichte Nierenfunktionsstörung (geschätzte Kreatinin-Clearance basierend auf der Cockcroft-Gault-Formel) hatte keine Auswirkungen auf die Pharmakokinetik von </w:t>
      </w:r>
      <w:r w:rsidR="00C450F6">
        <w:t>Tocilizumab</w:t>
      </w:r>
      <w:r w:rsidRPr="006A64EE">
        <w:t>.</w:t>
      </w:r>
    </w:p>
    <w:p w14:paraId="6FD19C7C" w14:textId="77777777" w:rsidR="00093A5E" w:rsidRPr="006A64EE" w:rsidRDefault="00093A5E" w:rsidP="004255F8">
      <w:pPr>
        <w:pStyle w:val="a3"/>
        <w:widowControl/>
      </w:pPr>
    </w:p>
    <w:p w14:paraId="133C7F25" w14:textId="0C237FD1" w:rsidR="00093A5E" w:rsidRPr="006A64EE" w:rsidRDefault="009C2544" w:rsidP="004255F8">
      <w:pPr>
        <w:pStyle w:val="a3"/>
        <w:widowControl/>
      </w:pPr>
      <w:r w:rsidRPr="006A64EE">
        <w:t xml:space="preserve">Etwa ein Drittel der Patienten in der RZA-Studie hatte zu Studienbeginn eine mäßige Nierenfunktionsstörung (geschätzte Kreatinin-Clearance von 30 ml/min bis 59 ml/min). Bei diesen Patienten wurde kein Einfluss auf die </w:t>
      </w:r>
      <w:r w:rsidR="00C450F6">
        <w:t>Tocilizumab-</w:t>
      </w:r>
      <w:r w:rsidRPr="006A64EE">
        <w:t>Exposition festgestellt.</w:t>
      </w:r>
    </w:p>
    <w:p w14:paraId="12E65F73" w14:textId="77777777" w:rsidR="00093A5E" w:rsidRPr="006A64EE" w:rsidRDefault="00093A5E" w:rsidP="004255F8">
      <w:pPr>
        <w:pStyle w:val="a3"/>
        <w:widowControl/>
      </w:pPr>
    </w:p>
    <w:p w14:paraId="314346FF" w14:textId="77777777" w:rsidR="00093A5E" w:rsidRPr="006A64EE" w:rsidRDefault="009C2544" w:rsidP="004255F8">
      <w:pPr>
        <w:pStyle w:val="a3"/>
        <w:widowControl/>
      </w:pPr>
      <w:r w:rsidRPr="006A64EE">
        <w:t>Bei Patienten mit leichter bis mäßiger Nierenfunktionsstörung ist keine Dosisanpassung erforderlich.</w:t>
      </w:r>
    </w:p>
    <w:p w14:paraId="7D07667F" w14:textId="77777777" w:rsidR="00093A5E" w:rsidRPr="006A64EE" w:rsidRDefault="00093A5E" w:rsidP="004255F8">
      <w:pPr>
        <w:pStyle w:val="a3"/>
        <w:widowControl/>
      </w:pPr>
    </w:p>
    <w:p w14:paraId="70188FCC" w14:textId="48EB1944" w:rsidR="00093A5E" w:rsidRPr="006A64EE" w:rsidRDefault="009C2544" w:rsidP="004255F8">
      <w:pPr>
        <w:pStyle w:val="a3"/>
        <w:widowControl/>
      </w:pPr>
      <w:r w:rsidRPr="006A64EE">
        <w:rPr>
          <w:i/>
        </w:rPr>
        <w:t xml:space="preserve">Leberfunktionsstörungen: </w:t>
      </w:r>
      <w:r w:rsidRPr="006A64EE">
        <w:t xml:space="preserve">Es wurden keine Studien zur Auswirkung einer Leberfunktionsstörung auf die Pharmakokinetik von </w:t>
      </w:r>
      <w:r w:rsidR="00C450F6">
        <w:t>Tocilizumab</w:t>
      </w:r>
      <w:r w:rsidRPr="006A64EE">
        <w:t xml:space="preserve"> durchgeführt.</w:t>
      </w:r>
    </w:p>
    <w:p w14:paraId="795182D6" w14:textId="77777777" w:rsidR="00093A5E" w:rsidRPr="006A64EE" w:rsidRDefault="00093A5E" w:rsidP="004255F8">
      <w:pPr>
        <w:pStyle w:val="a3"/>
        <w:widowControl/>
      </w:pPr>
    </w:p>
    <w:p w14:paraId="15E4621D" w14:textId="7E352336" w:rsidR="00093A5E" w:rsidRPr="006A64EE" w:rsidRDefault="009C2544" w:rsidP="004255F8">
      <w:pPr>
        <w:pStyle w:val="a3"/>
        <w:widowControl/>
      </w:pPr>
      <w:r w:rsidRPr="006A64EE">
        <w:rPr>
          <w:i/>
        </w:rPr>
        <w:t xml:space="preserve">Alter, Geschlecht und ethnische Abstammung: </w:t>
      </w:r>
      <w:r w:rsidRPr="006A64EE">
        <w:t xml:space="preserve">Analysen zur Populationspharmakokinetik bei Patienten mit RA und RZA zeigten, dass Alter, Geschlecht und ethnische Abstammung die Pharmakokinetik von </w:t>
      </w:r>
      <w:r w:rsidR="00C450F6">
        <w:t>Tocilizumab</w:t>
      </w:r>
      <w:r w:rsidRPr="006A64EE">
        <w:t xml:space="preserve"> nicht beeinflussen.</w:t>
      </w:r>
    </w:p>
    <w:p w14:paraId="7594B31F" w14:textId="77777777" w:rsidR="00093A5E" w:rsidRPr="006A64EE" w:rsidRDefault="00093A5E" w:rsidP="004255F8">
      <w:pPr>
        <w:pStyle w:val="a3"/>
        <w:widowControl/>
      </w:pPr>
    </w:p>
    <w:p w14:paraId="337A7F2C" w14:textId="5794C2D4" w:rsidR="00093A5E" w:rsidRPr="006A64EE" w:rsidRDefault="009C2544" w:rsidP="004255F8">
      <w:pPr>
        <w:pStyle w:val="a3"/>
        <w:widowControl/>
      </w:pPr>
      <w:r w:rsidRPr="006A64EE">
        <w:t xml:space="preserve">Ergebnisse der populationspharmakokinetischen Analyse bei Patienten mit sJIA und pJIA bestätigten, dass die Körpergröße die einzige Kovariate ist, die eine nennenswerte Wirkung auf die Pharmakokinetik von </w:t>
      </w:r>
      <w:r w:rsidR="00C450F6">
        <w:t>Tocilizumab</w:t>
      </w:r>
      <w:r w:rsidRPr="006A64EE">
        <w:t xml:space="preserve"> hat, einschließlich der Elimination und Resorption, sodass eine körpergewichtsabhängige Dosierung in Betracht gezogen werden sollte (siehe Tabellen 8 und 9).</w:t>
      </w:r>
    </w:p>
    <w:p w14:paraId="7D6D8503" w14:textId="77777777" w:rsidR="00093A5E" w:rsidRPr="006A64EE" w:rsidRDefault="00093A5E" w:rsidP="004255F8">
      <w:pPr>
        <w:widowControl/>
      </w:pPr>
    </w:p>
    <w:p w14:paraId="7C21E6AF" w14:textId="77777777" w:rsidR="00093A5E" w:rsidRPr="006A64EE" w:rsidRDefault="0059713A" w:rsidP="004255F8">
      <w:pPr>
        <w:pStyle w:val="2"/>
        <w:ind w:left="0" w:firstLine="0"/>
      </w:pPr>
      <w:r w:rsidRPr="006A64EE">
        <w:t>5.3</w:t>
      </w:r>
      <w:r w:rsidRPr="006A64EE">
        <w:tab/>
      </w:r>
      <w:r w:rsidR="007D680A" w:rsidRPr="006A64EE">
        <w:t>Präklinische Daten zur Sicherheit</w:t>
      </w:r>
    </w:p>
    <w:p w14:paraId="3B9BC0E2" w14:textId="77777777" w:rsidR="00093A5E" w:rsidRPr="006A64EE" w:rsidRDefault="00093A5E" w:rsidP="00121CB7"/>
    <w:p w14:paraId="74D0250C" w14:textId="77777777" w:rsidR="00093A5E" w:rsidRPr="006A64EE" w:rsidRDefault="009C2544" w:rsidP="004255F8">
      <w:pPr>
        <w:pStyle w:val="a3"/>
        <w:widowControl/>
      </w:pPr>
      <w:r w:rsidRPr="006A64EE">
        <w:t>Basierend auf den konventionellen Studien zur Sicherheitspharmakologie, Toxizität bei wiederholter Gabe, Genotoxizität und Reproduktions- und Entwicklungstoxizität lassen die präklinischen Daten keine besonderen Gefahren für den Menschen erkennen.</w:t>
      </w:r>
    </w:p>
    <w:p w14:paraId="702A31B8" w14:textId="77777777" w:rsidR="00093A5E" w:rsidRPr="006A64EE" w:rsidRDefault="00093A5E" w:rsidP="004255F8">
      <w:pPr>
        <w:pStyle w:val="a3"/>
        <w:widowControl/>
      </w:pPr>
    </w:p>
    <w:p w14:paraId="456FB828" w14:textId="77777777" w:rsidR="00093A5E" w:rsidRPr="006A64EE" w:rsidRDefault="009C2544" w:rsidP="004255F8">
      <w:pPr>
        <w:pStyle w:val="a3"/>
        <w:widowControl/>
      </w:pPr>
      <w:r w:rsidRPr="006A64EE">
        <w:t>Karzinogenitätsstudien wurden nicht durchgeführt, da mit monoklonalen IgG1-Antikörpern kein intrinsisches karzinogenes Potenzial in Verbindung gebracht wird.</w:t>
      </w:r>
    </w:p>
    <w:p w14:paraId="69F8B922" w14:textId="77777777" w:rsidR="00093A5E" w:rsidRPr="006A64EE" w:rsidRDefault="00093A5E" w:rsidP="004255F8">
      <w:pPr>
        <w:pStyle w:val="a3"/>
        <w:widowControl/>
      </w:pPr>
    </w:p>
    <w:p w14:paraId="7C5C8FAB" w14:textId="010334BB" w:rsidR="00093A5E" w:rsidRPr="006A64EE" w:rsidRDefault="009C2544" w:rsidP="004255F8">
      <w:pPr>
        <w:pStyle w:val="a3"/>
        <w:widowControl/>
      </w:pPr>
      <w:r w:rsidRPr="006A64EE">
        <w:t xml:space="preserve">Die verfügbaren präklinischen Daten zeigen die Wirkung von IL-6 auf die maligne Progression und die Apoptoseresistenz gegen verschiedene Krebsarten. Diese Daten deuten nicht auf ein relevantes Risiko für die Krebsentstehung und Progression unter einer Therapie mit </w:t>
      </w:r>
      <w:r w:rsidR="00C450F6">
        <w:t>Tocilizumab</w:t>
      </w:r>
      <w:r w:rsidRPr="006A64EE">
        <w:t xml:space="preserve"> hin. Außerdem wurden in einer Studie zur Langzeittoxizität über 6 Monate bei Cynomolgus-Affen oder bei Mäusen mit IL-6-Mangel keine proliferativen Läsionen beobachtet.</w:t>
      </w:r>
    </w:p>
    <w:p w14:paraId="06008D2F" w14:textId="77777777" w:rsidR="00093A5E" w:rsidRPr="006A64EE" w:rsidRDefault="00093A5E" w:rsidP="004255F8">
      <w:pPr>
        <w:pStyle w:val="a3"/>
        <w:widowControl/>
      </w:pPr>
    </w:p>
    <w:p w14:paraId="306E74E1" w14:textId="6DF1135B" w:rsidR="00093A5E" w:rsidRPr="006A64EE" w:rsidRDefault="009C2544" w:rsidP="004255F8">
      <w:pPr>
        <w:pStyle w:val="a3"/>
        <w:widowControl/>
      </w:pPr>
      <w:r w:rsidRPr="006A64EE">
        <w:t xml:space="preserve">Verfügbare präklinische Daten weisen nicht auf eine Auswirkung einer Behandlung mit </w:t>
      </w:r>
      <w:r w:rsidR="00C450F6">
        <w:t>Tocilizumab</w:t>
      </w:r>
      <w:r w:rsidRPr="006A64EE">
        <w:t xml:space="preserve"> auf die Fruchtbarkeit hin. In einer Langzeit-Toxizitätsstudie bei Cynomolgus-Affen wurde keine Auswirkung auf die endokrine Aktivität und die Organe des Reproduktionssystems beobachtet, und die Reproduktionsaktivität IL-6-defizienter Mäuse war nicht beeinträchtigt. Wenn Cynomolgus-Affen </w:t>
      </w:r>
      <w:r w:rsidR="00C450F6">
        <w:t>Tocilizumab</w:t>
      </w:r>
      <w:r w:rsidRPr="006A64EE">
        <w:t xml:space="preserve"> während der frühen Trächtigkeit verabreicht wurde, wurde keine direkte oder indirekte schädigende Auswirkung auf die Trächtigkeit oder die embryonale/fetale Entwicklung beobachtet.</w:t>
      </w:r>
      <w:r w:rsidR="002C03F6" w:rsidRPr="006A64EE">
        <w:t xml:space="preserve"> </w:t>
      </w:r>
      <w:r w:rsidRPr="006A64EE">
        <w:t>Unter hoher systemischer Exposition (&gt; 100 x Dosierung beim Menschen) wurde in der</w:t>
      </w:r>
      <w:r w:rsidR="002C03F6" w:rsidRPr="006A64EE">
        <w:t xml:space="preserve"> </w:t>
      </w:r>
      <w:r w:rsidRPr="006A64EE">
        <w:t xml:space="preserve">50-mg/kg/Tag-Hochdosisgruppe, verglichen mit Placebo oder anderen Niedrigdosisgruppen, jedoch eine leichte Erhöhung der Fehlgeburten/embryofetalen Todesfälle beobachtet. Auch wenn IL-6 kein entscheidendes Zytokin für das fetale Wachstum oder die immunologische Kontrolle der maternal-fetalen Schnittstelle zu sein scheint, kann ein Zusammenhang dieser Ergebnisse mit </w:t>
      </w:r>
      <w:r w:rsidR="00C450F6">
        <w:t>Tocilizumab</w:t>
      </w:r>
      <w:r w:rsidRPr="006A64EE">
        <w:t xml:space="preserve"> nicht ausgeschlossen werden.</w:t>
      </w:r>
    </w:p>
    <w:p w14:paraId="1886AD7D" w14:textId="77777777" w:rsidR="00093A5E" w:rsidRPr="006A64EE" w:rsidRDefault="00093A5E" w:rsidP="004255F8">
      <w:pPr>
        <w:pStyle w:val="a3"/>
        <w:widowControl/>
      </w:pPr>
    </w:p>
    <w:p w14:paraId="635EB5E2" w14:textId="77777777" w:rsidR="00093A5E" w:rsidRPr="006A64EE" w:rsidRDefault="009C2544" w:rsidP="004255F8">
      <w:pPr>
        <w:pStyle w:val="a3"/>
        <w:widowControl/>
      </w:pPr>
      <w:r w:rsidRPr="006A64EE">
        <w:t>Die Behandlung mit einem murinen Analogon löste bei juvenilen Mäusen keine Toxizität aus. Insbesondere ergab sich keine Beeinträchtigung des Knochenwachstums, der Immunfunktion und der Geschlechtsreife.</w:t>
      </w:r>
    </w:p>
    <w:p w14:paraId="43749198" w14:textId="77777777" w:rsidR="00093A5E" w:rsidRPr="006A64EE" w:rsidRDefault="00093A5E" w:rsidP="004255F8">
      <w:pPr>
        <w:pStyle w:val="a3"/>
        <w:widowControl/>
      </w:pPr>
    </w:p>
    <w:p w14:paraId="7650FD6B" w14:textId="673237C9" w:rsidR="00093A5E" w:rsidRPr="006A64EE" w:rsidRDefault="009C2544" w:rsidP="004255F8">
      <w:pPr>
        <w:pStyle w:val="a3"/>
        <w:widowControl/>
      </w:pPr>
      <w:r w:rsidRPr="006A64EE">
        <w:t xml:space="preserve">Bei Cynomolgus-Affen deutet das nicht-klinische Sicherheitsprofil von </w:t>
      </w:r>
      <w:r w:rsidR="00C450F6">
        <w:t>Tocilizumab</w:t>
      </w:r>
      <w:r w:rsidRPr="006A64EE">
        <w:t xml:space="preserve"> nicht auf einen Unterschied zwischen der intravenösen und der subkutanen Art der Anwendung hin.</w:t>
      </w:r>
    </w:p>
    <w:p w14:paraId="1C16EF74" w14:textId="77777777" w:rsidR="00093A5E" w:rsidRPr="006A64EE" w:rsidRDefault="00093A5E" w:rsidP="004255F8">
      <w:pPr>
        <w:pStyle w:val="a3"/>
        <w:widowControl/>
      </w:pPr>
    </w:p>
    <w:p w14:paraId="36ECF91A" w14:textId="77777777" w:rsidR="00093A5E" w:rsidRPr="006A64EE" w:rsidRDefault="00093A5E" w:rsidP="004255F8">
      <w:pPr>
        <w:pStyle w:val="a3"/>
        <w:widowControl/>
      </w:pPr>
    </w:p>
    <w:p w14:paraId="45F8D6E0" w14:textId="77777777" w:rsidR="00093A5E" w:rsidRPr="006A64EE" w:rsidRDefault="0059713A" w:rsidP="004255F8">
      <w:pPr>
        <w:pStyle w:val="1"/>
      </w:pPr>
      <w:r w:rsidRPr="006A64EE">
        <w:t>6.</w:t>
      </w:r>
      <w:r w:rsidRPr="006A64EE">
        <w:tab/>
        <w:t>PHARMAZEUTISCHE ANGABEN</w:t>
      </w:r>
    </w:p>
    <w:p w14:paraId="7658234B" w14:textId="77777777" w:rsidR="00093A5E" w:rsidRPr="006A64EE" w:rsidRDefault="00093A5E" w:rsidP="004255F8">
      <w:pPr>
        <w:pStyle w:val="a3"/>
        <w:widowControl/>
        <w:rPr>
          <w:b/>
        </w:rPr>
      </w:pPr>
    </w:p>
    <w:p w14:paraId="22C8D6C6" w14:textId="77777777" w:rsidR="00093A5E" w:rsidRPr="006A64EE" w:rsidRDefault="0059713A" w:rsidP="004255F8">
      <w:pPr>
        <w:pStyle w:val="2"/>
        <w:ind w:left="0" w:firstLine="0"/>
      </w:pPr>
      <w:r w:rsidRPr="006A64EE">
        <w:t>6.1</w:t>
      </w:r>
      <w:r w:rsidRPr="006A64EE">
        <w:tab/>
        <w:t>Liste der sonstigen Bestandteile</w:t>
      </w:r>
    </w:p>
    <w:p w14:paraId="0DE42188" w14:textId="77777777" w:rsidR="00093A5E" w:rsidRPr="006A64EE" w:rsidRDefault="00093A5E" w:rsidP="004255F8">
      <w:pPr>
        <w:pStyle w:val="a3"/>
        <w:widowControl/>
      </w:pPr>
    </w:p>
    <w:p w14:paraId="515E2B84" w14:textId="77777777" w:rsidR="00093A5E" w:rsidRDefault="009C2544" w:rsidP="004255F8">
      <w:pPr>
        <w:pStyle w:val="a3"/>
        <w:widowControl/>
        <w:rPr>
          <w:rFonts w:eastAsia="맑은 고딕"/>
          <w:lang w:val="en-US" w:eastAsia="ko-KR"/>
        </w:rPr>
      </w:pPr>
      <w:r w:rsidRPr="003452D3">
        <w:rPr>
          <w:lang w:val="en-US"/>
        </w:rPr>
        <w:t>L-</w:t>
      </w:r>
      <w:proofErr w:type="spellStart"/>
      <w:r w:rsidRPr="003452D3">
        <w:rPr>
          <w:lang w:val="en-US"/>
        </w:rPr>
        <w:t>Histidin</w:t>
      </w:r>
      <w:proofErr w:type="spellEnd"/>
    </w:p>
    <w:p w14:paraId="4AE85B46" w14:textId="1BAF90A0" w:rsidR="003670BB" w:rsidRPr="00B436C7" w:rsidRDefault="003670BB" w:rsidP="004255F8">
      <w:pPr>
        <w:pStyle w:val="a3"/>
        <w:widowControl/>
        <w:rPr>
          <w:rFonts w:eastAsia="맑은 고딕"/>
          <w:lang w:val="en-US" w:eastAsia="ko-KR"/>
        </w:rPr>
      </w:pPr>
      <w:r>
        <w:rPr>
          <w:rFonts w:eastAsia="맑은 고딕" w:hint="eastAsia"/>
          <w:lang w:eastAsia="ko-KR"/>
        </w:rPr>
        <w:t>L-</w:t>
      </w:r>
      <w:r w:rsidRPr="003670BB">
        <w:rPr>
          <w:rFonts w:eastAsia="맑은 고딕" w:hint="eastAsia"/>
          <w:lang w:eastAsia="ko-KR"/>
        </w:rPr>
        <w:t>Histidinmonohydrochlorid-Monohydrat</w:t>
      </w:r>
    </w:p>
    <w:p w14:paraId="0C1F325A" w14:textId="100F34BF" w:rsidR="00C450F6" w:rsidRPr="00B320E1" w:rsidRDefault="00C450F6" w:rsidP="004255F8">
      <w:pPr>
        <w:pStyle w:val="a3"/>
        <w:widowControl/>
        <w:rPr>
          <w:lang w:val="en-US"/>
        </w:rPr>
      </w:pPr>
      <w:r w:rsidRPr="00B320E1">
        <w:rPr>
          <w:lang w:val="en-US"/>
        </w:rPr>
        <w:t>L-</w:t>
      </w:r>
      <w:proofErr w:type="spellStart"/>
      <w:r w:rsidRPr="00B320E1">
        <w:rPr>
          <w:lang w:val="en-US"/>
        </w:rPr>
        <w:t>Th</w:t>
      </w:r>
      <w:r>
        <w:rPr>
          <w:lang w:val="en-US"/>
        </w:rPr>
        <w:t>reonin</w:t>
      </w:r>
      <w:proofErr w:type="spellEnd"/>
    </w:p>
    <w:p w14:paraId="306E61CA" w14:textId="77777777" w:rsidR="00093A5E" w:rsidRPr="003452D3" w:rsidRDefault="009C2544" w:rsidP="004255F8">
      <w:pPr>
        <w:pStyle w:val="a3"/>
        <w:widowControl/>
        <w:rPr>
          <w:lang w:val="en-US"/>
        </w:rPr>
      </w:pPr>
      <w:r w:rsidRPr="003452D3">
        <w:rPr>
          <w:lang w:val="en-US"/>
        </w:rPr>
        <w:t>L-</w:t>
      </w:r>
      <w:proofErr w:type="spellStart"/>
      <w:r w:rsidRPr="003452D3">
        <w:rPr>
          <w:lang w:val="en-US"/>
        </w:rPr>
        <w:t>Methionin</w:t>
      </w:r>
      <w:proofErr w:type="spellEnd"/>
      <w:r w:rsidRPr="003452D3">
        <w:rPr>
          <w:lang w:val="en-US"/>
        </w:rPr>
        <w:t xml:space="preserve"> </w:t>
      </w:r>
    </w:p>
    <w:p w14:paraId="3F2B9BB9" w14:textId="77777777" w:rsidR="00093A5E" w:rsidRPr="00B436C7" w:rsidRDefault="009C2544" w:rsidP="004255F8">
      <w:pPr>
        <w:pStyle w:val="a3"/>
        <w:widowControl/>
        <w:rPr>
          <w:lang w:val="en-US"/>
        </w:rPr>
      </w:pPr>
      <w:proofErr w:type="spellStart"/>
      <w:r w:rsidRPr="00B436C7">
        <w:rPr>
          <w:lang w:val="en-US"/>
        </w:rPr>
        <w:t>Polysorbat</w:t>
      </w:r>
      <w:proofErr w:type="spellEnd"/>
      <w:r w:rsidRPr="00B436C7">
        <w:rPr>
          <w:lang w:val="en-US"/>
        </w:rPr>
        <w:t xml:space="preserve"> 80</w:t>
      </w:r>
    </w:p>
    <w:p w14:paraId="6C303036" w14:textId="77777777" w:rsidR="00093A5E" w:rsidRPr="006A64EE" w:rsidRDefault="009C2544" w:rsidP="004255F8">
      <w:pPr>
        <w:pStyle w:val="a3"/>
        <w:widowControl/>
      </w:pPr>
      <w:r w:rsidRPr="006A64EE">
        <w:t>Wasser für Injektionszwecke</w:t>
      </w:r>
    </w:p>
    <w:p w14:paraId="0FB68ABF" w14:textId="77777777" w:rsidR="00093A5E" w:rsidRPr="006A64EE" w:rsidRDefault="00093A5E" w:rsidP="004255F8">
      <w:pPr>
        <w:pStyle w:val="a3"/>
        <w:widowControl/>
      </w:pPr>
    </w:p>
    <w:p w14:paraId="2AD91C3C" w14:textId="77777777" w:rsidR="00093A5E" w:rsidRPr="006A64EE" w:rsidRDefault="0059713A" w:rsidP="004255F8">
      <w:pPr>
        <w:pStyle w:val="2"/>
        <w:ind w:left="0" w:firstLine="0"/>
      </w:pPr>
      <w:r w:rsidRPr="006A64EE">
        <w:t>6.2</w:t>
      </w:r>
      <w:r w:rsidRPr="006A64EE">
        <w:tab/>
        <w:t>Inkompatibilitäten</w:t>
      </w:r>
    </w:p>
    <w:p w14:paraId="661CFE64" w14:textId="77777777" w:rsidR="00093A5E" w:rsidRPr="006A64EE" w:rsidRDefault="00093A5E" w:rsidP="004255F8">
      <w:pPr>
        <w:pStyle w:val="a3"/>
        <w:widowControl/>
      </w:pPr>
    </w:p>
    <w:p w14:paraId="2CA7CA82" w14:textId="77777777" w:rsidR="00093A5E" w:rsidRPr="006A64EE" w:rsidRDefault="009C2544" w:rsidP="004255F8">
      <w:pPr>
        <w:pStyle w:val="a3"/>
        <w:widowControl/>
      </w:pPr>
      <w:r w:rsidRPr="006A64EE">
        <w:lastRenderedPageBreak/>
        <w:t>Da keine Kompatibilitätsstudien durchgeführt wurden, darf dieses Arzneimittel nicht mit anderen Arzneimitteln gemischt werden.</w:t>
      </w:r>
    </w:p>
    <w:p w14:paraId="3C10B798" w14:textId="77777777" w:rsidR="00093A5E" w:rsidRPr="006A64EE" w:rsidRDefault="00093A5E" w:rsidP="00121CB7"/>
    <w:p w14:paraId="4670F7A4" w14:textId="77777777" w:rsidR="00093A5E" w:rsidRPr="006A64EE" w:rsidRDefault="0059713A" w:rsidP="004255F8">
      <w:pPr>
        <w:pStyle w:val="2"/>
        <w:ind w:left="0" w:firstLine="0"/>
      </w:pPr>
      <w:r w:rsidRPr="006A64EE">
        <w:t>6.3</w:t>
      </w:r>
      <w:r w:rsidRPr="006A64EE">
        <w:tab/>
      </w:r>
      <w:r w:rsidR="007D680A" w:rsidRPr="006A64EE">
        <w:t>Dauer der Haltbarkeit</w:t>
      </w:r>
    </w:p>
    <w:p w14:paraId="76D93680" w14:textId="77777777" w:rsidR="00093A5E" w:rsidRPr="006A64EE" w:rsidRDefault="00093A5E" w:rsidP="004255F8">
      <w:pPr>
        <w:pStyle w:val="a3"/>
        <w:widowControl/>
      </w:pPr>
    </w:p>
    <w:p w14:paraId="33B70B7B" w14:textId="394C0FF5" w:rsidR="00093A5E" w:rsidRPr="006A64EE" w:rsidRDefault="00AA60C5" w:rsidP="004255F8">
      <w:pPr>
        <w:pStyle w:val="a3"/>
        <w:widowControl/>
      </w:pPr>
      <w:r>
        <w:rPr>
          <w:rFonts w:eastAsia="맑은 고딕" w:hint="eastAsia"/>
          <w:lang w:eastAsia="ko-KR"/>
        </w:rPr>
        <w:t>42</w:t>
      </w:r>
      <w:r w:rsidRPr="006A64EE">
        <w:t xml:space="preserve"> </w:t>
      </w:r>
      <w:r w:rsidR="009C2544" w:rsidRPr="006A64EE">
        <w:t>Monate.</w:t>
      </w:r>
    </w:p>
    <w:p w14:paraId="1040438E" w14:textId="77777777" w:rsidR="00093A5E" w:rsidRPr="006A64EE" w:rsidRDefault="00093A5E" w:rsidP="004255F8">
      <w:pPr>
        <w:pStyle w:val="a3"/>
        <w:widowControl/>
      </w:pPr>
    </w:p>
    <w:p w14:paraId="3380B6E1" w14:textId="77777777" w:rsidR="00093A5E" w:rsidRPr="006A64EE" w:rsidRDefault="0059713A" w:rsidP="004255F8">
      <w:pPr>
        <w:pStyle w:val="2"/>
        <w:ind w:left="0" w:firstLine="0"/>
      </w:pPr>
      <w:r w:rsidRPr="006A64EE">
        <w:t>6.4</w:t>
      </w:r>
      <w:r w:rsidRPr="006A64EE">
        <w:tab/>
        <w:t>Besondere Vorsichtsmaßnahmen für die Aufbewahrung</w:t>
      </w:r>
    </w:p>
    <w:p w14:paraId="6BF4B678" w14:textId="77777777" w:rsidR="00093A5E" w:rsidRPr="006A64EE" w:rsidRDefault="00093A5E" w:rsidP="004255F8">
      <w:pPr>
        <w:pStyle w:val="a3"/>
        <w:keepNext/>
        <w:widowControl/>
      </w:pPr>
    </w:p>
    <w:p w14:paraId="434CBA2B" w14:textId="1AA274D1" w:rsidR="00093A5E" w:rsidRPr="006A64EE" w:rsidRDefault="009C2544" w:rsidP="004255F8">
      <w:pPr>
        <w:pStyle w:val="a3"/>
        <w:keepNext/>
        <w:widowControl/>
      </w:pPr>
      <w:r w:rsidRPr="006A64EE">
        <w:t xml:space="preserve">Im Kühlschrank lagern (2 °C – 8 °C). Nicht einfrieren. Nach Entnahme aus dem Kühlschrank kann der Fertigpen bis zu </w:t>
      </w:r>
      <w:r w:rsidR="00B2309A">
        <w:t>3 </w:t>
      </w:r>
      <w:r w:rsidRPr="006A64EE">
        <w:t>Wochen bei maximal 30 °C aufbewahrt werden.</w:t>
      </w:r>
    </w:p>
    <w:p w14:paraId="718EDBE2" w14:textId="77777777" w:rsidR="00093A5E" w:rsidRPr="006A64EE" w:rsidRDefault="00093A5E" w:rsidP="004255F8">
      <w:pPr>
        <w:pStyle w:val="a3"/>
        <w:widowControl/>
      </w:pPr>
    </w:p>
    <w:p w14:paraId="75C3DCE4" w14:textId="77777777" w:rsidR="00093A5E" w:rsidRPr="006A64EE" w:rsidRDefault="009C2544" w:rsidP="004255F8">
      <w:pPr>
        <w:pStyle w:val="a3"/>
        <w:widowControl/>
      </w:pPr>
      <w:r w:rsidRPr="006A64EE">
        <w:t>Den Fertigpen im Umkarton aufbewahren, um den Inhalt vor Licht und Feuchtigkeit zu schützen.</w:t>
      </w:r>
    </w:p>
    <w:p w14:paraId="75FE0A84" w14:textId="77777777" w:rsidR="00093A5E" w:rsidRPr="006A64EE" w:rsidRDefault="00093A5E" w:rsidP="004255F8">
      <w:pPr>
        <w:pStyle w:val="a3"/>
        <w:widowControl/>
      </w:pPr>
    </w:p>
    <w:p w14:paraId="785E767C" w14:textId="77777777" w:rsidR="00093A5E" w:rsidRPr="006A64EE" w:rsidRDefault="0059713A" w:rsidP="00A27366">
      <w:pPr>
        <w:pStyle w:val="2"/>
        <w:ind w:left="0" w:firstLine="0"/>
      </w:pPr>
      <w:r w:rsidRPr="006A64EE">
        <w:t>6.5</w:t>
      </w:r>
      <w:r w:rsidRPr="006A64EE">
        <w:tab/>
        <w:t>Art und Inhalt des Behältnisses</w:t>
      </w:r>
    </w:p>
    <w:p w14:paraId="5AF47CC4" w14:textId="77777777" w:rsidR="00093A5E" w:rsidRPr="006A64EE" w:rsidRDefault="00093A5E" w:rsidP="00A27366">
      <w:pPr>
        <w:pStyle w:val="a3"/>
        <w:keepNext/>
        <w:widowControl/>
      </w:pPr>
    </w:p>
    <w:p w14:paraId="2A8D91FB" w14:textId="6ABB070D" w:rsidR="00093A5E" w:rsidRPr="006A64EE" w:rsidRDefault="009C2544" w:rsidP="004255F8">
      <w:pPr>
        <w:pStyle w:val="a3"/>
        <w:widowControl/>
      </w:pPr>
      <w:r w:rsidRPr="006A64EE">
        <w:t xml:space="preserve">0,9 ml Lösung in einer Fertigspritze (Glasart I) mit fester Nadel mit 162 mg </w:t>
      </w:r>
      <w:r w:rsidR="00B2309A">
        <w:t>Avtozma</w:t>
      </w:r>
      <w:r w:rsidRPr="006A64EE">
        <w:t>, eingebaut in einen Fertigpen. Die Spritze wird mit einem festen Nadelschutz (</w:t>
      </w:r>
      <w:r w:rsidR="00B2309A" w:rsidRPr="00890245">
        <w:t>Polyisopren-Kautschuk und Polypropylen) und einem sterilen, mit FluroTec-beschichteten Kolbenstopper aus Elastomer (mit Silikon</w:t>
      </w:r>
      <w:r w:rsidRPr="006A64EE">
        <w:t>) verschlossen.</w:t>
      </w:r>
    </w:p>
    <w:p w14:paraId="36073711" w14:textId="77777777" w:rsidR="004C15FC" w:rsidRPr="00890245" w:rsidRDefault="004C15FC" w:rsidP="004C15FC"/>
    <w:p w14:paraId="4DD844B1" w14:textId="64B828D0" w:rsidR="004C15FC" w:rsidRPr="00890245" w:rsidRDefault="004C15FC" w:rsidP="004C15FC">
      <w:r w:rsidRPr="00890245">
        <w:t>Der Avtozma</w:t>
      </w:r>
      <w:r>
        <w:t>-</w:t>
      </w:r>
      <w:r w:rsidRPr="00890245">
        <w:t>Fertigpen für die Verwendung durch den Patienten ist erhältlich in Packungen mit:</w:t>
      </w:r>
    </w:p>
    <w:p w14:paraId="7CD01902" w14:textId="77777777" w:rsidR="004C15FC" w:rsidRPr="00890245" w:rsidRDefault="004C15FC" w:rsidP="004C15FC">
      <w:pPr>
        <w:pStyle w:val="a4"/>
        <w:widowControl/>
        <w:numPr>
          <w:ilvl w:val="0"/>
          <w:numId w:val="5"/>
        </w:numPr>
        <w:autoSpaceDE/>
        <w:autoSpaceDN/>
        <w:ind w:left="567" w:hanging="567"/>
        <w:contextualSpacing/>
      </w:pPr>
      <w:r w:rsidRPr="00890245">
        <w:t>1 Fertigpen</w:t>
      </w:r>
    </w:p>
    <w:p w14:paraId="2F134D2F" w14:textId="791DF96C" w:rsidR="00387ABD" w:rsidRPr="00890245" w:rsidRDefault="00387ABD" w:rsidP="00387ABD">
      <w:pPr>
        <w:pStyle w:val="a4"/>
        <w:widowControl/>
        <w:numPr>
          <w:ilvl w:val="0"/>
          <w:numId w:val="5"/>
        </w:numPr>
        <w:autoSpaceDE/>
        <w:autoSpaceDN/>
        <w:ind w:left="567" w:hanging="567"/>
        <w:contextualSpacing/>
        <w:rPr>
          <w:ins w:id="17" w:author="만든 이"/>
        </w:rPr>
      </w:pPr>
      <w:ins w:id="18" w:author="만든 이">
        <w:r>
          <w:rPr>
            <w:rFonts w:eastAsia="맑은 고딕" w:hint="eastAsia"/>
            <w:lang w:eastAsia="ko-KR"/>
          </w:rPr>
          <w:t>2</w:t>
        </w:r>
        <w:r w:rsidRPr="00890245">
          <w:t> Fertigpens</w:t>
        </w:r>
      </w:ins>
    </w:p>
    <w:p w14:paraId="565C5258" w14:textId="77777777" w:rsidR="004C15FC" w:rsidRPr="00890245" w:rsidRDefault="004C15FC" w:rsidP="004C15FC">
      <w:pPr>
        <w:pStyle w:val="a4"/>
        <w:widowControl/>
        <w:numPr>
          <w:ilvl w:val="0"/>
          <w:numId w:val="5"/>
        </w:numPr>
        <w:autoSpaceDE/>
        <w:autoSpaceDN/>
        <w:ind w:left="567" w:hanging="567"/>
        <w:contextualSpacing/>
      </w:pPr>
      <w:r w:rsidRPr="00890245">
        <w:t>4 Fertigpens</w:t>
      </w:r>
    </w:p>
    <w:p w14:paraId="2ECFD41C" w14:textId="77777777" w:rsidR="004C15FC" w:rsidRPr="00890245" w:rsidRDefault="004C15FC" w:rsidP="004C15FC">
      <w:pPr>
        <w:pStyle w:val="a4"/>
        <w:widowControl/>
        <w:numPr>
          <w:ilvl w:val="0"/>
          <w:numId w:val="5"/>
        </w:numPr>
        <w:autoSpaceDE/>
        <w:autoSpaceDN/>
        <w:ind w:left="567" w:hanging="567"/>
        <w:contextualSpacing/>
      </w:pPr>
      <w:r w:rsidRPr="00890245">
        <w:t>12 (3 Packungen mit 4) Fertigpens (Bündelpackungen)</w:t>
      </w:r>
    </w:p>
    <w:p w14:paraId="14261989" w14:textId="77777777" w:rsidR="00093A5E" w:rsidRPr="006A64EE" w:rsidRDefault="00093A5E" w:rsidP="004255F8">
      <w:pPr>
        <w:pStyle w:val="a3"/>
        <w:widowControl/>
      </w:pPr>
    </w:p>
    <w:p w14:paraId="00575AE5" w14:textId="240A5F82" w:rsidR="00093A5E" w:rsidRPr="006A64EE" w:rsidRDefault="009C2544" w:rsidP="004255F8">
      <w:pPr>
        <w:pStyle w:val="a3"/>
        <w:widowControl/>
      </w:pPr>
      <w:r w:rsidRPr="006A64EE">
        <w:t>Es werden möglicherweise nicht alle Packungsgrößen in den Verkehr gebracht.</w:t>
      </w:r>
    </w:p>
    <w:p w14:paraId="3246C355" w14:textId="77777777" w:rsidR="00093A5E" w:rsidRPr="006A64EE" w:rsidRDefault="00093A5E" w:rsidP="004255F8">
      <w:pPr>
        <w:pStyle w:val="a3"/>
        <w:widowControl/>
      </w:pPr>
    </w:p>
    <w:p w14:paraId="71472E0B" w14:textId="77777777" w:rsidR="00093A5E" w:rsidRPr="006A64EE" w:rsidRDefault="0059713A" w:rsidP="00A27366">
      <w:pPr>
        <w:pStyle w:val="2"/>
      </w:pPr>
      <w:r w:rsidRPr="006A64EE">
        <w:t>6.6</w:t>
      </w:r>
      <w:r w:rsidRPr="006A64EE">
        <w:tab/>
        <w:t>Besondere Vorsichtsmaßnahmen für die Beseitigung und sonstige Hinweise zur Handhabung</w:t>
      </w:r>
    </w:p>
    <w:p w14:paraId="52BE3E60" w14:textId="77777777" w:rsidR="00093A5E" w:rsidRPr="006A64EE" w:rsidRDefault="00093A5E" w:rsidP="004255F8">
      <w:pPr>
        <w:pStyle w:val="a3"/>
        <w:widowControl/>
      </w:pPr>
    </w:p>
    <w:p w14:paraId="61F394AD" w14:textId="1717C010" w:rsidR="00093A5E" w:rsidRPr="006A64EE" w:rsidRDefault="005873A0" w:rsidP="004255F8">
      <w:pPr>
        <w:pStyle w:val="a3"/>
        <w:widowControl/>
      </w:pPr>
      <w:r>
        <w:t>Avtozma</w:t>
      </w:r>
      <w:r w:rsidRPr="006A64EE">
        <w:t xml:space="preserve"> </w:t>
      </w:r>
      <w:r w:rsidR="009C2544" w:rsidRPr="006A64EE">
        <w:t>wird in einem Fertigpen zur einmaligen Anwendung abgegeben. Nachdem der Fertigpen aus dem Kühlschrank entnommen wurde, soll er 45 Minuten zur Erwärmung bei Raumtemperatur</w:t>
      </w:r>
      <w:r>
        <w:t xml:space="preserve"> </w:t>
      </w:r>
      <w:r w:rsidR="009C2544" w:rsidRPr="006A64EE">
        <w:t>(</w:t>
      </w:r>
      <w:r w:rsidR="00575C67">
        <w:rPr>
          <w:rFonts w:eastAsia="맑은 고딕" w:hint="eastAsia"/>
          <w:lang w:eastAsia="ko-KR"/>
        </w:rPr>
        <w:t>18</w:t>
      </w:r>
      <w:r w:rsidR="00575C67">
        <w:t> </w:t>
      </w:r>
      <w:r>
        <w:t xml:space="preserve">°C bis </w:t>
      </w:r>
      <w:r w:rsidR="00575C67">
        <w:t>2</w:t>
      </w:r>
      <w:r w:rsidR="00575C67">
        <w:rPr>
          <w:rFonts w:eastAsia="맑은 고딕" w:hint="eastAsia"/>
          <w:lang w:eastAsia="ko-KR"/>
        </w:rPr>
        <w:t>8</w:t>
      </w:r>
      <w:r w:rsidR="00575C67">
        <w:t> </w:t>
      </w:r>
      <w:r>
        <w:t>°C</w:t>
      </w:r>
      <w:r w:rsidR="009C2544" w:rsidRPr="006A64EE">
        <w:t xml:space="preserve">) liegen, bevor </w:t>
      </w:r>
      <w:r>
        <w:t>Avtozma</w:t>
      </w:r>
      <w:r w:rsidR="009C2544" w:rsidRPr="006A64EE">
        <w:t xml:space="preserve"> injiziert wird. Der Fertigpen darf nicht geschüttelt werden. Nachdem die Schutzkappe entfernt wurde, muss die Injektion innerhalb von 3 Minuten erfolgen, um zu verhindern, dass das Arzneimittel austrocknet und die Nadel verstopft. Wenn der Fertigpen nicht innerhalb von 3 Minuten nach Entfernen der Kappe verwendet wird, müssen Sie ihn in einem durchstichsicheren Behälter entsorgen und einen neuen Fertigpen verwenden.</w:t>
      </w:r>
    </w:p>
    <w:p w14:paraId="589B96D3" w14:textId="77777777" w:rsidR="00093A5E" w:rsidRPr="006A64EE" w:rsidRDefault="00093A5E" w:rsidP="004255F8">
      <w:pPr>
        <w:pStyle w:val="a3"/>
        <w:widowControl/>
      </w:pPr>
    </w:p>
    <w:p w14:paraId="0A569343" w14:textId="2E02B400" w:rsidR="00511568" w:rsidRPr="00890245" w:rsidRDefault="009C2544" w:rsidP="00511568">
      <w:r w:rsidRPr="006A64EE">
        <w:t xml:space="preserve">Wenn sich nach dem Drücken des </w:t>
      </w:r>
      <w:r w:rsidR="005873A0">
        <w:t>Nadelschutzes</w:t>
      </w:r>
      <w:r w:rsidR="005873A0" w:rsidRPr="006A64EE">
        <w:t xml:space="preserve"> </w:t>
      </w:r>
      <w:r w:rsidRPr="006A64EE">
        <w:t xml:space="preserve">der </w:t>
      </w:r>
      <w:r w:rsidR="005873A0">
        <w:t>orange</w:t>
      </w:r>
      <w:r w:rsidR="005873A0" w:rsidRPr="006A64EE">
        <w:t xml:space="preserve">farbene </w:t>
      </w:r>
      <w:r w:rsidRPr="006A64EE">
        <w:t xml:space="preserve">Indikator nicht bewegt, müssen Sie den Fertigpen in einem durchstichsicheren Behälter entsorgen. </w:t>
      </w:r>
      <w:r w:rsidRPr="00B320E1">
        <w:rPr>
          <w:bCs/>
        </w:rPr>
        <w:t>Versuchen Sie nicht</w:t>
      </w:r>
      <w:r w:rsidRPr="006A64EE">
        <w:t xml:space="preserve">, den Fertigpen erneut zu verwenden. </w:t>
      </w:r>
      <w:r w:rsidR="00511568" w:rsidRPr="00890245">
        <w:t>Der Fertigpen ist verriegelt, und beim Versuch einer erneuten Verwendung ist die Nadel durch de</w:t>
      </w:r>
      <w:r w:rsidR="007F5797">
        <w:t>n</w:t>
      </w:r>
      <w:r w:rsidR="00511568" w:rsidRPr="00890245">
        <w:t xml:space="preserve"> innere</w:t>
      </w:r>
      <w:r w:rsidR="007F5797">
        <w:t>n</w:t>
      </w:r>
      <w:r w:rsidR="00511568" w:rsidRPr="00890245">
        <w:t xml:space="preserve"> Nadelschutz abgedeckt.</w:t>
      </w:r>
      <w:r w:rsidR="00511568">
        <w:t xml:space="preserve"> </w:t>
      </w:r>
    </w:p>
    <w:p w14:paraId="6F376359" w14:textId="365C3154" w:rsidR="00093A5E" w:rsidRPr="006A64EE" w:rsidRDefault="009C2544" w:rsidP="004255F8">
      <w:pPr>
        <w:pStyle w:val="a3"/>
        <w:widowControl/>
      </w:pPr>
      <w:r w:rsidRPr="006A64EE">
        <w:t>Wiederholen Sie die Injektion nicht mit einem anderen Fertigpen. Fragen Sie das medizinische Fachpersonal um Rat.</w:t>
      </w:r>
    </w:p>
    <w:p w14:paraId="3AEB31E3" w14:textId="77777777" w:rsidR="00093A5E" w:rsidRPr="006A64EE" w:rsidRDefault="00093A5E" w:rsidP="004255F8">
      <w:pPr>
        <w:pStyle w:val="a3"/>
        <w:widowControl/>
      </w:pPr>
    </w:p>
    <w:p w14:paraId="6390B086" w14:textId="6C4C6611" w:rsidR="00093A5E" w:rsidRPr="006A64EE" w:rsidRDefault="009C2544" w:rsidP="004255F8">
      <w:pPr>
        <w:pStyle w:val="a3"/>
        <w:widowControl/>
      </w:pPr>
      <w:r w:rsidRPr="006A64EE">
        <w:t>Nicht verwenden, wenn das Arzneimittel trüb ist oder Partikel enthält, eine andere Farbe als farblos oder gelb hat oder ein Teil des Fertigpens beschädigt aussieht.</w:t>
      </w:r>
    </w:p>
    <w:p w14:paraId="40D10063" w14:textId="77777777" w:rsidR="00093A5E" w:rsidRPr="006A64EE" w:rsidRDefault="00093A5E" w:rsidP="004255F8">
      <w:pPr>
        <w:pStyle w:val="a3"/>
        <w:widowControl/>
      </w:pPr>
    </w:p>
    <w:p w14:paraId="40A96AE1" w14:textId="49F47C8E" w:rsidR="00093A5E" w:rsidRPr="006A64EE" w:rsidRDefault="009C2544" w:rsidP="004255F8">
      <w:pPr>
        <w:pStyle w:val="a3"/>
        <w:widowControl/>
      </w:pPr>
      <w:r w:rsidRPr="006A64EE">
        <w:t xml:space="preserve">Eine vollständige Anleitung zur Anwendung von </w:t>
      </w:r>
      <w:r w:rsidR="000A4CE8">
        <w:t>Avtozma</w:t>
      </w:r>
      <w:r w:rsidR="000A4CE8" w:rsidRPr="006A64EE">
        <w:t xml:space="preserve"> </w:t>
      </w:r>
      <w:r w:rsidRPr="006A64EE">
        <w:t>in einem Fertigpen ist in der Packungsbeilage enthalten.</w:t>
      </w:r>
    </w:p>
    <w:p w14:paraId="3E7617D9" w14:textId="77777777" w:rsidR="00093A5E" w:rsidRPr="006A64EE" w:rsidRDefault="00093A5E" w:rsidP="004255F8">
      <w:pPr>
        <w:pStyle w:val="a3"/>
        <w:widowControl/>
      </w:pPr>
    </w:p>
    <w:p w14:paraId="1A17C3D9" w14:textId="77777777" w:rsidR="00093A5E" w:rsidRPr="006A64EE" w:rsidRDefault="009C2544" w:rsidP="004255F8">
      <w:pPr>
        <w:pStyle w:val="a3"/>
        <w:widowControl/>
      </w:pPr>
      <w:r w:rsidRPr="006A64EE">
        <w:t>Nicht verwendetes Arzneimittel oder Abfallmaterial ist entsprechend den nationalen Anforderungen zu beseitigen.</w:t>
      </w:r>
    </w:p>
    <w:p w14:paraId="1CC1190D" w14:textId="77777777" w:rsidR="00093A5E" w:rsidRPr="006A64EE" w:rsidRDefault="00093A5E" w:rsidP="004255F8">
      <w:pPr>
        <w:pStyle w:val="a3"/>
        <w:widowControl/>
      </w:pPr>
    </w:p>
    <w:p w14:paraId="36EACA8F" w14:textId="77777777" w:rsidR="00093A5E" w:rsidRPr="006A64EE" w:rsidRDefault="00093A5E" w:rsidP="004255F8">
      <w:pPr>
        <w:pStyle w:val="a3"/>
        <w:widowControl/>
      </w:pPr>
    </w:p>
    <w:p w14:paraId="38C5FA81" w14:textId="77777777" w:rsidR="00093A5E" w:rsidRPr="006A64EE" w:rsidRDefault="0059713A" w:rsidP="00891282">
      <w:pPr>
        <w:pStyle w:val="1"/>
      </w:pPr>
      <w:r w:rsidRPr="006A64EE">
        <w:t>7.</w:t>
      </w:r>
      <w:r w:rsidRPr="006A64EE">
        <w:tab/>
        <w:t>INHABER DER ZULASSUNG</w:t>
      </w:r>
    </w:p>
    <w:p w14:paraId="1E27F52A" w14:textId="77777777" w:rsidR="00093A5E" w:rsidRPr="006A64EE" w:rsidRDefault="00093A5E" w:rsidP="00B320E1">
      <w:pPr>
        <w:pStyle w:val="a3"/>
        <w:keepNext/>
        <w:widowControl/>
      </w:pPr>
    </w:p>
    <w:p w14:paraId="4719C7AC" w14:textId="77777777" w:rsidR="000A4CE8" w:rsidRPr="00806547" w:rsidRDefault="000A4CE8" w:rsidP="000A4CE8">
      <w:pPr>
        <w:keepNext/>
      </w:pPr>
      <w:r w:rsidRPr="00806547">
        <w:t xml:space="preserve">Celltrion Healthcare Hungary Kft. </w:t>
      </w:r>
    </w:p>
    <w:p w14:paraId="430DF703" w14:textId="77777777" w:rsidR="000A4CE8" w:rsidRPr="00B320E1" w:rsidRDefault="000A4CE8" w:rsidP="000A4CE8">
      <w:pPr>
        <w:keepNext/>
        <w:rPr>
          <w:lang w:val="en-US"/>
        </w:rPr>
      </w:pPr>
      <w:r w:rsidRPr="00B320E1">
        <w:rPr>
          <w:lang w:val="en-US"/>
        </w:rPr>
        <w:t>1062 Budapest</w:t>
      </w:r>
    </w:p>
    <w:p w14:paraId="09CA0CA7" w14:textId="77777777" w:rsidR="000A4CE8" w:rsidRPr="00B320E1" w:rsidRDefault="000A4CE8" w:rsidP="000A4CE8">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27541EFD" w14:textId="72D0725B" w:rsidR="000A4CE8" w:rsidRPr="00806547" w:rsidRDefault="000A4CE8" w:rsidP="000A4CE8">
      <w:r w:rsidRPr="00806547">
        <w:t>Ungarn</w:t>
      </w:r>
    </w:p>
    <w:p w14:paraId="33A94B82" w14:textId="77777777" w:rsidR="00093A5E" w:rsidRPr="00806547" w:rsidRDefault="00093A5E" w:rsidP="004255F8">
      <w:pPr>
        <w:widowControl/>
      </w:pPr>
    </w:p>
    <w:p w14:paraId="00C292A5" w14:textId="77777777" w:rsidR="00093A5E" w:rsidRPr="00806547" w:rsidRDefault="00093A5E" w:rsidP="004255F8">
      <w:pPr>
        <w:widowControl/>
      </w:pPr>
    </w:p>
    <w:p w14:paraId="34607F4D" w14:textId="77777777" w:rsidR="00093A5E" w:rsidRPr="006A64EE" w:rsidRDefault="0059713A" w:rsidP="004255F8">
      <w:pPr>
        <w:pStyle w:val="1"/>
      </w:pPr>
      <w:r w:rsidRPr="006A64EE">
        <w:t>8.</w:t>
      </w:r>
      <w:r w:rsidRPr="006A64EE">
        <w:tab/>
      </w:r>
      <w:r w:rsidR="007D680A" w:rsidRPr="006A64EE">
        <w:t>ZULASSUNGSNUMMER(N)</w:t>
      </w:r>
    </w:p>
    <w:p w14:paraId="75007F8A" w14:textId="77777777" w:rsidR="00093A5E" w:rsidRPr="006A64EE" w:rsidRDefault="00093A5E" w:rsidP="004255F8">
      <w:pPr>
        <w:pStyle w:val="a3"/>
        <w:keepNext/>
        <w:widowControl/>
      </w:pPr>
    </w:p>
    <w:p w14:paraId="6AB577BA" w14:textId="0D4C400A" w:rsidR="00F74890" w:rsidRPr="00C61A9B" w:rsidRDefault="00F74890" w:rsidP="00F74890">
      <w:pPr>
        <w:keepNext/>
      </w:pPr>
      <w:r w:rsidRPr="00C61A9B">
        <w:t>EU/</w:t>
      </w:r>
      <w:r w:rsidRPr="00F458BB">
        <w:rPr>
          <w:spacing w:val="-1"/>
          <w:lang w:val="pt-BR"/>
        </w:rPr>
        <w:t>1/24/1896/010</w:t>
      </w:r>
    </w:p>
    <w:p w14:paraId="4EBF04D1" w14:textId="41416998" w:rsidR="00F74890" w:rsidRPr="00C61A9B" w:rsidRDefault="00F74890" w:rsidP="00F74890">
      <w:pPr>
        <w:keepNext/>
      </w:pPr>
      <w:r w:rsidRPr="00C61A9B">
        <w:t>EU/</w:t>
      </w:r>
      <w:r w:rsidRPr="00F458BB">
        <w:rPr>
          <w:spacing w:val="-1"/>
          <w:lang w:val="pt-BR"/>
        </w:rPr>
        <w:t>1/24/1896/01</w:t>
      </w:r>
      <w:r>
        <w:rPr>
          <w:rFonts w:eastAsia="맑은 고딕" w:hint="eastAsia"/>
          <w:spacing w:val="-1"/>
          <w:lang w:val="pt-BR" w:eastAsia="ko-KR"/>
        </w:rPr>
        <w:t>1</w:t>
      </w:r>
    </w:p>
    <w:p w14:paraId="1128B57F" w14:textId="15673C85" w:rsidR="00F74890" w:rsidRPr="00C61A9B" w:rsidRDefault="00F74890" w:rsidP="00F74890">
      <w:r w:rsidRPr="00C61A9B">
        <w:t>EU/</w:t>
      </w:r>
      <w:r w:rsidRPr="00F458BB">
        <w:rPr>
          <w:spacing w:val="-1"/>
          <w:lang w:val="pt-BR"/>
        </w:rPr>
        <w:t>1/24/1896/01</w:t>
      </w:r>
      <w:r>
        <w:rPr>
          <w:spacing w:val="-1"/>
          <w:lang w:val="pt-BR"/>
        </w:rPr>
        <w:t>2</w:t>
      </w:r>
    </w:p>
    <w:p w14:paraId="111CE277" w14:textId="62C739CF" w:rsidR="00387ABD" w:rsidRPr="00387ABD" w:rsidRDefault="00387ABD" w:rsidP="00387ABD">
      <w:pPr>
        <w:rPr>
          <w:ins w:id="19" w:author="만든 이"/>
          <w:rFonts w:eastAsia="맑은 고딕"/>
          <w:lang w:eastAsia="ko-KR"/>
          <w:rPrChange w:id="20" w:author="만든 이">
            <w:rPr>
              <w:ins w:id="21" w:author="만든 이"/>
            </w:rPr>
          </w:rPrChange>
        </w:rPr>
      </w:pPr>
      <w:ins w:id="22" w:author="만든 이">
        <w:r w:rsidRPr="00C61A9B">
          <w:t>EU/</w:t>
        </w:r>
        <w:r w:rsidRPr="00F458BB">
          <w:rPr>
            <w:spacing w:val="-1"/>
            <w:lang w:val="pt-BR"/>
          </w:rPr>
          <w:t>1/24/1896/</w:t>
        </w:r>
        <w:r w:rsidR="002D1677">
          <w:rPr>
            <w:rFonts w:eastAsia="맑은 고딕" w:hint="eastAsia"/>
            <w:spacing w:val="-1"/>
            <w:lang w:val="pt-BR" w:eastAsia="ko-KR"/>
          </w:rPr>
          <w:t>014</w:t>
        </w:r>
      </w:ins>
    </w:p>
    <w:p w14:paraId="17C679D9" w14:textId="77777777" w:rsidR="00093A5E" w:rsidRPr="00B320E1" w:rsidRDefault="00093A5E" w:rsidP="004255F8">
      <w:pPr>
        <w:pStyle w:val="a3"/>
        <w:widowControl/>
        <w:rPr>
          <w:lang w:val="fr-FR"/>
        </w:rPr>
      </w:pPr>
    </w:p>
    <w:p w14:paraId="343D3AF2" w14:textId="77777777" w:rsidR="00093A5E" w:rsidRPr="00B320E1" w:rsidRDefault="00093A5E" w:rsidP="004255F8">
      <w:pPr>
        <w:pStyle w:val="a3"/>
        <w:widowControl/>
        <w:rPr>
          <w:lang w:val="fr-FR"/>
        </w:rPr>
      </w:pPr>
    </w:p>
    <w:p w14:paraId="4350BB01" w14:textId="77777777" w:rsidR="00093A5E" w:rsidRPr="006A64EE" w:rsidRDefault="0059713A" w:rsidP="004255F8">
      <w:pPr>
        <w:pStyle w:val="1"/>
      </w:pPr>
      <w:r w:rsidRPr="006A64EE">
        <w:t>9.</w:t>
      </w:r>
      <w:r w:rsidRPr="006A64EE">
        <w:tab/>
        <w:t>DATUM DER ERTEILUNG DER ZULASSUNG/VERLÄNGERUNG DER ZULASSUNG</w:t>
      </w:r>
    </w:p>
    <w:p w14:paraId="0B22DB0D" w14:textId="77777777" w:rsidR="00093A5E" w:rsidRPr="006A64EE" w:rsidRDefault="00093A5E" w:rsidP="00121CB7"/>
    <w:p w14:paraId="7AAA7C1C" w14:textId="7EA2AEE9" w:rsidR="00093A5E" w:rsidRPr="006A64EE" w:rsidRDefault="009C2544" w:rsidP="004255F8">
      <w:pPr>
        <w:pStyle w:val="a3"/>
        <w:widowControl/>
      </w:pPr>
      <w:r w:rsidRPr="006A64EE">
        <w:t>Datum der Erteilung der Zulassung:</w:t>
      </w:r>
      <w:r w:rsidR="00115ACE">
        <w:rPr>
          <w:rFonts w:eastAsia="맑은 고딕" w:hint="eastAsia"/>
          <w:lang w:eastAsia="ko-KR"/>
        </w:rPr>
        <w:t xml:space="preserve"> 14</w:t>
      </w:r>
      <w:r w:rsidR="00984917">
        <w:rPr>
          <w:rFonts w:eastAsia="맑은 고딕"/>
          <w:lang w:eastAsia="ko-KR"/>
        </w:rPr>
        <w:t>.</w:t>
      </w:r>
      <w:r w:rsidRPr="006A64EE">
        <w:t xml:space="preserve"> </w:t>
      </w:r>
      <w:r w:rsidR="009A42E9" w:rsidRPr="004C41FF">
        <w:t>Februar</w:t>
      </w:r>
      <w:r w:rsidR="009A42E9">
        <w:rPr>
          <w:rFonts w:eastAsia="맑은 고딕" w:hint="eastAsia"/>
          <w:lang w:eastAsia="ko-KR"/>
        </w:rPr>
        <w:t xml:space="preserve"> 2025</w:t>
      </w:r>
    </w:p>
    <w:p w14:paraId="0A442A43" w14:textId="77777777" w:rsidR="00093A5E" w:rsidRPr="008A14FC" w:rsidRDefault="00093A5E" w:rsidP="004255F8">
      <w:pPr>
        <w:pStyle w:val="a3"/>
        <w:widowControl/>
      </w:pPr>
    </w:p>
    <w:p w14:paraId="74160489" w14:textId="77777777" w:rsidR="00093A5E" w:rsidRPr="006A64EE" w:rsidRDefault="00093A5E" w:rsidP="004255F8">
      <w:pPr>
        <w:pStyle w:val="a3"/>
        <w:widowControl/>
      </w:pPr>
    </w:p>
    <w:p w14:paraId="4E3AC428" w14:textId="77777777" w:rsidR="00093A5E" w:rsidRPr="006A64EE" w:rsidRDefault="0059713A" w:rsidP="004255F8">
      <w:pPr>
        <w:pStyle w:val="1"/>
      </w:pPr>
      <w:r w:rsidRPr="006A64EE">
        <w:t>10.</w:t>
      </w:r>
      <w:r w:rsidRPr="006A64EE">
        <w:tab/>
        <w:t>STAND DER INFORMATION</w:t>
      </w:r>
    </w:p>
    <w:p w14:paraId="3F841F54" w14:textId="77777777" w:rsidR="00093A5E" w:rsidRPr="006A64EE" w:rsidRDefault="00093A5E" w:rsidP="00121CB7"/>
    <w:p w14:paraId="431C0CCD" w14:textId="25C3B05D" w:rsidR="00093A5E" w:rsidRPr="006A64EE" w:rsidRDefault="009C2544" w:rsidP="004255F8">
      <w:pPr>
        <w:pStyle w:val="a3"/>
        <w:widowControl/>
      </w:pPr>
      <w:r w:rsidRPr="006A64EE">
        <w:t xml:space="preserve">Ausführliche Informationen zu diesem Arzneimittel sind auf den Internetseiten der Europäischen Arzneimittel-Agentur </w:t>
      </w:r>
      <w:r w:rsidR="005A173B">
        <w:fldChar w:fldCharType="begin"/>
      </w:r>
      <w:r w:rsidR="005A173B">
        <w:instrText>HYPERLINK "https://www.ema.europa.eu/"</w:instrText>
      </w:r>
      <w:r w:rsidR="005A173B">
        <w:fldChar w:fldCharType="separate"/>
      </w:r>
      <w:r w:rsidR="005A173B" w:rsidRPr="005A173B">
        <w:rPr>
          <w:rStyle w:val="a8"/>
        </w:rPr>
        <w:t>http</w:t>
      </w:r>
      <w:r w:rsidR="005A173B" w:rsidRPr="005A173B">
        <w:rPr>
          <w:rStyle w:val="a8"/>
          <w:rFonts w:eastAsia="맑은 고딕" w:hint="eastAsia"/>
          <w:lang w:eastAsia="ko-KR"/>
        </w:rPr>
        <w:t>s</w:t>
      </w:r>
      <w:r w:rsidR="005A173B" w:rsidRPr="005A173B">
        <w:rPr>
          <w:rStyle w:val="a8"/>
        </w:rPr>
        <w:t>://www.ema.europa.eu/</w:t>
      </w:r>
      <w:r w:rsidR="005A173B">
        <w:fldChar w:fldCharType="end"/>
      </w:r>
      <w:r w:rsidR="00AE1DE7" w:rsidRPr="006A64EE">
        <w:t xml:space="preserve"> </w:t>
      </w:r>
      <w:r w:rsidRPr="006A64EE">
        <w:t>verfügbar.</w:t>
      </w:r>
    </w:p>
    <w:p w14:paraId="4C71799D" w14:textId="77777777" w:rsidR="00093A5E" w:rsidRPr="006A64EE" w:rsidRDefault="007D680A" w:rsidP="004255F8">
      <w:pPr>
        <w:widowControl/>
      </w:pPr>
      <w:r w:rsidRPr="006A64EE">
        <w:br w:type="page"/>
      </w:r>
    </w:p>
    <w:p w14:paraId="38534C49" w14:textId="77777777" w:rsidR="00093A5E" w:rsidRPr="006A64EE" w:rsidRDefault="00093A5E" w:rsidP="004255F8">
      <w:pPr>
        <w:pStyle w:val="a3"/>
        <w:widowControl/>
      </w:pPr>
    </w:p>
    <w:p w14:paraId="6EA25499" w14:textId="77777777" w:rsidR="00093A5E" w:rsidRPr="006A64EE" w:rsidRDefault="00093A5E" w:rsidP="004255F8">
      <w:pPr>
        <w:pStyle w:val="a3"/>
        <w:widowControl/>
      </w:pPr>
    </w:p>
    <w:p w14:paraId="649467BE" w14:textId="77777777" w:rsidR="00093A5E" w:rsidRPr="006A64EE" w:rsidRDefault="00093A5E" w:rsidP="004255F8">
      <w:pPr>
        <w:pStyle w:val="a3"/>
        <w:widowControl/>
      </w:pPr>
    </w:p>
    <w:p w14:paraId="2C5CCF19" w14:textId="77777777" w:rsidR="00093A5E" w:rsidRPr="006A64EE" w:rsidRDefault="00093A5E" w:rsidP="004255F8">
      <w:pPr>
        <w:pStyle w:val="a3"/>
        <w:widowControl/>
      </w:pPr>
    </w:p>
    <w:p w14:paraId="7F81BB35" w14:textId="77777777" w:rsidR="00093A5E" w:rsidRPr="006A64EE" w:rsidRDefault="00093A5E" w:rsidP="004255F8">
      <w:pPr>
        <w:pStyle w:val="a3"/>
        <w:widowControl/>
      </w:pPr>
    </w:p>
    <w:p w14:paraId="2EF7EB3F" w14:textId="77777777" w:rsidR="00093A5E" w:rsidRPr="006A64EE" w:rsidRDefault="00093A5E" w:rsidP="004255F8">
      <w:pPr>
        <w:pStyle w:val="a3"/>
        <w:widowControl/>
      </w:pPr>
    </w:p>
    <w:p w14:paraId="7808A7A0" w14:textId="77777777" w:rsidR="00093A5E" w:rsidRPr="006A64EE" w:rsidRDefault="00093A5E" w:rsidP="004255F8">
      <w:pPr>
        <w:pStyle w:val="a3"/>
        <w:widowControl/>
      </w:pPr>
    </w:p>
    <w:p w14:paraId="7F1399DC" w14:textId="77777777" w:rsidR="00093A5E" w:rsidRPr="006A64EE" w:rsidRDefault="00093A5E" w:rsidP="004255F8">
      <w:pPr>
        <w:pStyle w:val="a3"/>
        <w:widowControl/>
      </w:pPr>
    </w:p>
    <w:p w14:paraId="2E028D20" w14:textId="77777777" w:rsidR="00093A5E" w:rsidRPr="006A64EE" w:rsidRDefault="00093A5E" w:rsidP="004255F8">
      <w:pPr>
        <w:pStyle w:val="a3"/>
        <w:widowControl/>
      </w:pPr>
    </w:p>
    <w:p w14:paraId="32ECD65F" w14:textId="77777777" w:rsidR="00093A5E" w:rsidRPr="006A64EE" w:rsidRDefault="00093A5E" w:rsidP="004255F8">
      <w:pPr>
        <w:pStyle w:val="a3"/>
        <w:widowControl/>
      </w:pPr>
    </w:p>
    <w:p w14:paraId="42E8DADF" w14:textId="77777777" w:rsidR="00093A5E" w:rsidRPr="006A64EE" w:rsidRDefault="00093A5E" w:rsidP="004255F8">
      <w:pPr>
        <w:pStyle w:val="a3"/>
        <w:widowControl/>
      </w:pPr>
    </w:p>
    <w:p w14:paraId="7A21671D" w14:textId="77777777" w:rsidR="00093A5E" w:rsidRPr="006A64EE" w:rsidRDefault="00093A5E" w:rsidP="004255F8">
      <w:pPr>
        <w:pStyle w:val="a3"/>
        <w:widowControl/>
      </w:pPr>
    </w:p>
    <w:p w14:paraId="6E7DB606" w14:textId="77777777" w:rsidR="00093A5E" w:rsidRPr="006A64EE" w:rsidRDefault="00093A5E" w:rsidP="004255F8">
      <w:pPr>
        <w:pStyle w:val="a3"/>
        <w:widowControl/>
      </w:pPr>
    </w:p>
    <w:p w14:paraId="67BCF2FF" w14:textId="77777777" w:rsidR="00093A5E" w:rsidRPr="006A64EE" w:rsidRDefault="00093A5E" w:rsidP="004255F8">
      <w:pPr>
        <w:pStyle w:val="a3"/>
        <w:widowControl/>
      </w:pPr>
    </w:p>
    <w:p w14:paraId="56C3135A" w14:textId="77777777" w:rsidR="00093A5E" w:rsidRPr="006A64EE" w:rsidRDefault="00093A5E" w:rsidP="004255F8">
      <w:pPr>
        <w:pStyle w:val="a3"/>
        <w:widowControl/>
      </w:pPr>
    </w:p>
    <w:p w14:paraId="14CA410F" w14:textId="77777777" w:rsidR="00093A5E" w:rsidRPr="006A64EE" w:rsidRDefault="00093A5E" w:rsidP="004255F8">
      <w:pPr>
        <w:pStyle w:val="a3"/>
        <w:widowControl/>
      </w:pPr>
    </w:p>
    <w:p w14:paraId="4D31734D" w14:textId="77777777" w:rsidR="00093A5E" w:rsidRPr="006A64EE" w:rsidRDefault="00093A5E" w:rsidP="004255F8">
      <w:pPr>
        <w:pStyle w:val="a3"/>
        <w:widowControl/>
      </w:pPr>
    </w:p>
    <w:p w14:paraId="7D2130CD" w14:textId="77777777" w:rsidR="00093A5E" w:rsidRPr="006A64EE" w:rsidRDefault="00093A5E" w:rsidP="004255F8">
      <w:pPr>
        <w:pStyle w:val="a3"/>
        <w:widowControl/>
      </w:pPr>
    </w:p>
    <w:p w14:paraId="7D5A34E3" w14:textId="77777777" w:rsidR="00093A5E" w:rsidRPr="006A64EE" w:rsidRDefault="00093A5E" w:rsidP="004255F8">
      <w:pPr>
        <w:pStyle w:val="a3"/>
        <w:widowControl/>
      </w:pPr>
    </w:p>
    <w:p w14:paraId="08ABD198" w14:textId="77777777" w:rsidR="00093A5E" w:rsidRPr="006A64EE" w:rsidRDefault="00093A5E" w:rsidP="004255F8">
      <w:pPr>
        <w:pStyle w:val="a3"/>
        <w:widowControl/>
      </w:pPr>
    </w:p>
    <w:p w14:paraId="429461B3" w14:textId="77777777" w:rsidR="00093A5E" w:rsidRPr="006A64EE" w:rsidRDefault="00093A5E" w:rsidP="004255F8">
      <w:pPr>
        <w:pStyle w:val="a3"/>
        <w:widowControl/>
      </w:pPr>
    </w:p>
    <w:p w14:paraId="5174F3AE" w14:textId="77777777" w:rsidR="00093A5E" w:rsidRPr="006A64EE" w:rsidRDefault="00093A5E" w:rsidP="004255F8">
      <w:pPr>
        <w:pStyle w:val="a3"/>
        <w:widowControl/>
      </w:pPr>
    </w:p>
    <w:p w14:paraId="5BF341DB" w14:textId="77777777" w:rsidR="00093A5E" w:rsidRPr="006A64EE" w:rsidRDefault="009C2544" w:rsidP="004255F8">
      <w:pPr>
        <w:widowControl/>
        <w:jc w:val="center"/>
        <w:rPr>
          <w:b/>
        </w:rPr>
      </w:pPr>
      <w:r w:rsidRPr="006A64EE">
        <w:rPr>
          <w:b/>
        </w:rPr>
        <w:t>ANHANG II</w:t>
      </w:r>
    </w:p>
    <w:p w14:paraId="1E324780" w14:textId="77777777" w:rsidR="00093A5E" w:rsidRPr="006A64EE" w:rsidRDefault="00093A5E" w:rsidP="004255F8">
      <w:pPr>
        <w:pStyle w:val="a3"/>
        <w:widowControl/>
        <w:rPr>
          <w:b/>
        </w:rPr>
      </w:pPr>
    </w:p>
    <w:p w14:paraId="018FBC47" w14:textId="77777777" w:rsidR="00093A5E" w:rsidRPr="006A64EE" w:rsidRDefault="0059713A" w:rsidP="004255F8">
      <w:pPr>
        <w:widowControl/>
        <w:ind w:left="1701" w:right="1418" w:hanging="709"/>
        <w:rPr>
          <w:b/>
        </w:rPr>
      </w:pPr>
      <w:r w:rsidRPr="006A64EE">
        <w:rPr>
          <w:b/>
          <w:bCs/>
          <w:spacing w:val="-2"/>
        </w:rPr>
        <w:t>A.</w:t>
      </w:r>
      <w:r w:rsidRPr="006A64EE">
        <w:rPr>
          <w:b/>
          <w:bCs/>
          <w:spacing w:val="-2"/>
        </w:rPr>
        <w:tab/>
      </w:r>
      <w:r w:rsidRPr="006A64EE">
        <w:rPr>
          <w:b/>
        </w:rPr>
        <w:t>HERSTELLER DES WIRKSTOFFS/DER WIRKSTOFFE BIOLOGISCHEN URSPRUNGS UND HERSTELLER, DER (DIE) FÜR DIE CHARGENFREIGABE VERANTWORTLICH IST (SIND)</w:t>
      </w:r>
    </w:p>
    <w:p w14:paraId="0236932A" w14:textId="77777777" w:rsidR="00093A5E" w:rsidRPr="006A64EE" w:rsidRDefault="00093A5E" w:rsidP="004255F8">
      <w:pPr>
        <w:widowControl/>
        <w:ind w:left="1701" w:right="1418" w:hanging="709"/>
        <w:rPr>
          <w:b/>
        </w:rPr>
      </w:pPr>
    </w:p>
    <w:p w14:paraId="759CCC0E" w14:textId="77777777" w:rsidR="00093A5E" w:rsidRPr="006A64EE" w:rsidRDefault="0059713A" w:rsidP="004255F8">
      <w:pPr>
        <w:widowControl/>
        <w:ind w:left="1701" w:right="1418" w:hanging="709"/>
        <w:rPr>
          <w:b/>
        </w:rPr>
      </w:pPr>
      <w:r w:rsidRPr="006A64EE">
        <w:rPr>
          <w:b/>
          <w:bCs/>
          <w:spacing w:val="-2"/>
        </w:rPr>
        <w:t>B.</w:t>
      </w:r>
      <w:r w:rsidRPr="006A64EE">
        <w:rPr>
          <w:b/>
          <w:bCs/>
          <w:spacing w:val="-2"/>
        </w:rPr>
        <w:tab/>
      </w:r>
      <w:r w:rsidRPr="006A64EE">
        <w:rPr>
          <w:b/>
        </w:rPr>
        <w:t>BEDINGUNGEN ODER EINSCHRÄNKUNGEN FÜR DIE ABGABE UND DEN GEBRAUCH</w:t>
      </w:r>
    </w:p>
    <w:p w14:paraId="7871DEA9" w14:textId="77777777" w:rsidR="00093A5E" w:rsidRPr="006A64EE" w:rsidRDefault="00093A5E" w:rsidP="004255F8">
      <w:pPr>
        <w:widowControl/>
        <w:ind w:left="1701" w:right="1418" w:hanging="709"/>
        <w:rPr>
          <w:b/>
        </w:rPr>
      </w:pPr>
    </w:p>
    <w:p w14:paraId="6E10C47F" w14:textId="77777777" w:rsidR="00093A5E" w:rsidRPr="006A64EE" w:rsidRDefault="0059713A" w:rsidP="004255F8">
      <w:pPr>
        <w:widowControl/>
        <w:ind w:left="1701" w:right="1418" w:hanging="709"/>
        <w:rPr>
          <w:b/>
        </w:rPr>
      </w:pPr>
      <w:r w:rsidRPr="006A64EE">
        <w:rPr>
          <w:b/>
          <w:bCs/>
          <w:spacing w:val="-2"/>
        </w:rPr>
        <w:t>C.</w:t>
      </w:r>
      <w:r w:rsidRPr="006A64EE">
        <w:rPr>
          <w:b/>
          <w:bCs/>
          <w:spacing w:val="-2"/>
        </w:rPr>
        <w:tab/>
      </w:r>
      <w:r w:rsidRPr="006A64EE">
        <w:rPr>
          <w:b/>
        </w:rPr>
        <w:t>SONSTIGE BEDINGUNGEN UND AUFLAGEN DER GENEHMIGUNG FÜR DAS INVERKEHRBRINGEN</w:t>
      </w:r>
    </w:p>
    <w:p w14:paraId="144F1B4C" w14:textId="77777777" w:rsidR="00093A5E" w:rsidRPr="006A64EE" w:rsidRDefault="00093A5E" w:rsidP="004255F8">
      <w:pPr>
        <w:widowControl/>
        <w:ind w:left="1701" w:right="1418" w:hanging="709"/>
        <w:rPr>
          <w:b/>
        </w:rPr>
      </w:pPr>
    </w:p>
    <w:p w14:paraId="08397E25" w14:textId="77777777" w:rsidR="00093A5E" w:rsidRPr="006A64EE" w:rsidRDefault="0059713A" w:rsidP="004255F8">
      <w:pPr>
        <w:widowControl/>
        <w:ind w:left="1701" w:right="1418" w:hanging="709"/>
        <w:rPr>
          <w:b/>
        </w:rPr>
      </w:pPr>
      <w:r w:rsidRPr="006A64EE">
        <w:rPr>
          <w:b/>
          <w:bCs/>
          <w:spacing w:val="-2"/>
        </w:rPr>
        <w:t>D.</w:t>
      </w:r>
      <w:r w:rsidRPr="006A64EE">
        <w:rPr>
          <w:b/>
          <w:bCs/>
          <w:spacing w:val="-2"/>
        </w:rPr>
        <w:tab/>
      </w:r>
      <w:r w:rsidRPr="006A64EE">
        <w:rPr>
          <w:b/>
        </w:rPr>
        <w:t>BEDINGUNGEN ODER EINSCHRÄNKUNGEN FÜR DIE SICHERE UND WIRKSAME ANWENDUNG DES ARZNEIMITTELS</w:t>
      </w:r>
    </w:p>
    <w:p w14:paraId="3FD71E70" w14:textId="5131130E" w:rsidR="00093A5E" w:rsidRPr="00A27366" w:rsidRDefault="00CA074F" w:rsidP="00F378C7">
      <w:pPr>
        <w:pStyle w:val="1"/>
        <w:rPr>
          <w:b w:val="0"/>
          <w:bCs w:val="0"/>
        </w:rPr>
      </w:pPr>
      <w:bookmarkStart w:id="23" w:name="A._HERSTELLER_DES_WIRKSTOFFS/DER_WIRKSTO"/>
      <w:bookmarkEnd w:id="23"/>
      <w:r w:rsidRPr="006A64EE">
        <w:rPr>
          <w:spacing w:val="-2"/>
        </w:rPr>
        <w:br w:type="page"/>
      </w:r>
      <w:r w:rsidR="00D47682" w:rsidRPr="00A27366">
        <w:lastRenderedPageBreak/>
        <w:t>A.</w:t>
      </w:r>
      <w:r w:rsidR="00D47682" w:rsidRPr="00A27366">
        <w:tab/>
      </w:r>
      <w:r w:rsidR="007D680A" w:rsidRPr="00A27366">
        <w:t>HERSTELLER DES WIRKSTOFFS/DER WIRKSTOFFE BIOLOGISCHEN URSPRUNGS UND HERSTELLER, DER (DIE) FÜR DIE CHARGENFREIGABE VERANTWORTLICH IST (SIND)</w:t>
      </w:r>
    </w:p>
    <w:p w14:paraId="3AB796C3" w14:textId="77777777" w:rsidR="00093A5E" w:rsidRPr="006A64EE" w:rsidRDefault="00093A5E" w:rsidP="004255F8">
      <w:pPr>
        <w:pStyle w:val="a3"/>
        <w:widowControl/>
        <w:rPr>
          <w:u w:val="single"/>
        </w:rPr>
      </w:pPr>
    </w:p>
    <w:p w14:paraId="47B60119" w14:textId="77777777" w:rsidR="00093A5E" w:rsidRPr="006A64EE" w:rsidRDefault="009C2544" w:rsidP="004255F8">
      <w:pPr>
        <w:pStyle w:val="a3"/>
        <w:widowControl/>
      </w:pPr>
      <w:r w:rsidRPr="006A64EE">
        <w:rPr>
          <w:u w:val="single"/>
        </w:rPr>
        <w:t>Name und Anschrift des Herstellers des Wirkstoffs biologischen Ursprungs</w:t>
      </w:r>
    </w:p>
    <w:p w14:paraId="2C54E4C4" w14:textId="77777777" w:rsidR="00093A5E" w:rsidRPr="006A64EE" w:rsidRDefault="00093A5E" w:rsidP="004255F8">
      <w:pPr>
        <w:pStyle w:val="a3"/>
        <w:widowControl/>
      </w:pPr>
    </w:p>
    <w:p w14:paraId="0FD5E5B9" w14:textId="77777777" w:rsidR="00940BBA" w:rsidRPr="00C61A9B" w:rsidRDefault="00940BBA" w:rsidP="00940BBA">
      <w:pPr>
        <w:keepNext/>
      </w:pPr>
      <w:r w:rsidRPr="00C61A9B">
        <w:t>Binex, Ltd,</w:t>
      </w:r>
    </w:p>
    <w:p w14:paraId="1BDA9F7C" w14:textId="77777777" w:rsidR="00940BBA" w:rsidRPr="00C61A9B" w:rsidRDefault="00940BBA" w:rsidP="00940BBA">
      <w:pPr>
        <w:keepNext/>
      </w:pPr>
      <w:r w:rsidRPr="00C61A9B">
        <w:t>3, Gaetbeol-ro, Yeonsu-gu,</w:t>
      </w:r>
    </w:p>
    <w:p w14:paraId="2D251125" w14:textId="5E68392A" w:rsidR="00940BBA" w:rsidRPr="00C61A9B" w:rsidRDefault="00940BBA" w:rsidP="00940BBA">
      <w:r w:rsidRPr="00C61A9B">
        <w:t xml:space="preserve">Incheon, </w:t>
      </w:r>
      <w:r>
        <w:t>Republik Korea</w:t>
      </w:r>
    </w:p>
    <w:p w14:paraId="7E7E8DC4" w14:textId="77777777" w:rsidR="00093A5E" w:rsidRPr="006A64EE" w:rsidRDefault="00093A5E" w:rsidP="004255F8">
      <w:pPr>
        <w:pStyle w:val="a3"/>
        <w:widowControl/>
      </w:pPr>
    </w:p>
    <w:p w14:paraId="3794AE25" w14:textId="77777777" w:rsidR="00093A5E" w:rsidRPr="006A64EE" w:rsidRDefault="009C2544" w:rsidP="004255F8">
      <w:pPr>
        <w:pStyle w:val="a3"/>
        <w:widowControl/>
        <w:rPr>
          <w:u w:val="single"/>
        </w:rPr>
      </w:pPr>
      <w:r w:rsidRPr="006A64EE">
        <w:rPr>
          <w:u w:val="single"/>
        </w:rPr>
        <w:t>Name und Anschrift des Herstellers, der für die Chargenfreigabe verantwortlich ist</w:t>
      </w:r>
    </w:p>
    <w:p w14:paraId="5DE99582" w14:textId="77777777" w:rsidR="00093A5E" w:rsidRPr="006A64EE" w:rsidRDefault="00093A5E" w:rsidP="004255F8">
      <w:pPr>
        <w:pStyle w:val="a3"/>
        <w:widowControl/>
      </w:pPr>
    </w:p>
    <w:p w14:paraId="4505A61F" w14:textId="77777777" w:rsidR="00940BBA" w:rsidRPr="00F66463" w:rsidRDefault="00940BBA" w:rsidP="00940BBA">
      <w:pPr>
        <w:keepNext/>
        <w:rPr>
          <w:lang w:val="fr-FR"/>
        </w:rPr>
      </w:pPr>
      <w:r w:rsidRPr="00F66463">
        <w:rPr>
          <w:lang w:val="fr-FR"/>
        </w:rPr>
        <w:t>Nuvisan France SARL</w:t>
      </w:r>
    </w:p>
    <w:p w14:paraId="04C2D7AB" w14:textId="4256353F" w:rsidR="00940BBA" w:rsidRPr="00F66463" w:rsidRDefault="00940BBA" w:rsidP="00940BBA">
      <w:pPr>
        <w:keepNext/>
        <w:rPr>
          <w:lang w:val="fr-FR"/>
        </w:rPr>
      </w:pPr>
      <w:r w:rsidRPr="00F66463">
        <w:rPr>
          <w:lang w:val="fr-FR"/>
        </w:rPr>
        <w:t>2400</w:t>
      </w:r>
      <w:del w:id="24" w:author="만든 이">
        <w:r w:rsidRPr="00F66463" w:rsidDel="00352D0A">
          <w:rPr>
            <w:lang w:val="fr-FR"/>
          </w:rPr>
          <w:delText>,</w:delText>
        </w:r>
      </w:del>
      <w:r w:rsidRPr="00F66463">
        <w:rPr>
          <w:lang w:val="fr-FR"/>
        </w:rPr>
        <w:t xml:space="preserve"> Route des Colles </w:t>
      </w:r>
    </w:p>
    <w:p w14:paraId="41D87DE2" w14:textId="19F6F1E2" w:rsidR="00940BBA" w:rsidRPr="00F66463" w:rsidRDefault="00940BBA" w:rsidP="00940BBA">
      <w:pPr>
        <w:keepNext/>
      </w:pPr>
      <w:r w:rsidRPr="00F66463">
        <w:t>06410</w:t>
      </w:r>
      <w:del w:id="25" w:author="만든 이">
        <w:r w:rsidRPr="00F66463" w:rsidDel="00352D0A">
          <w:delText>,</w:delText>
        </w:r>
      </w:del>
      <w:r w:rsidRPr="00F66463">
        <w:t xml:space="preserve"> Biot </w:t>
      </w:r>
    </w:p>
    <w:p w14:paraId="29621AE0" w14:textId="45F5816D" w:rsidR="00940BBA" w:rsidRPr="00F66463" w:rsidRDefault="00940BBA" w:rsidP="00940BBA">
      <w:r w:rsidRPr="00F66463">
        <w:t>Fran</w:t>
      </w:r>
      <w:r>
        <w:t>kreich</w:t>
      </w:r>
    </w:p>
    <w:p w14:paraId="33ADB9B3" w14:textId="77777777" w:rsidR="00940BBA" w:rsidRPr="00F66463" w:rsidRDefault="00940BBA" w:rsidP="00940BBA"/>
    <w:p w14:paraId="2AB9D5F4" w14:textId="77777777" w:rsidR="00940BBA" w:rsidRPr="00F66463" w:rsidRDefault="00940BBA" w:rsidP="00940BBA">
      <w:pPr>
        <w:keepNext/>
      </w:pPr>
      <w:r w:rsidRPr="00F66463">
        <w:t>Midas Pharma GmbH</w:t>
      </w:r>
    </w:p>
    <w:p w14:paraId="3651C7E2" w14:textId="1226537B" w:rsidR="00940BBA" w:rsidRPr="00C61A9B" w:rsidRDefault="00940BBA" w:rsidP="00940BBA">
      <w:pPr>
        <w:keepNext/>
      </w:pPr>
      <w:r w:rsidRPr="00F66463">
        <w:t xml:space="preserve">Rheinstr. </w:t>
      </w:r>
      <w:r w:rsidRPr="00C61A9B">
        <w:t xml:space="preserve">49 </w:t>
      </w:r>
    </w:p>
    <w:p w14:paraId="7A6E058F" w14:textId="3B5CC011" w:rsidR="00940BBA" w:rsidRPr="00F66463" w:rsidRDefault="00940BBA" w:rsidP="00940BBA">
      <w:pPr>
        <w:keepNext/>
      </w:pPr>
      <w:r w:rsidRPr="00F66463">
        <w:t>55218 Ingelheim</w:t>
      </w:r>
    </w:p>
    <w:p w14:paraId="69D844B2" w14:textId="487C3AA1" w:rsidR="00940BBA" w:rsidRPr="00F66463" w:rsidRDefault="00940BBA" w:rsidP="00940BBA">
      <w:r>
        <w:t>Deutschland</w:t>
      </w:r>
    </w:p>
    <w:p w14:paraId="28D04359" w14:textId="77777777" w:rsidR="00940BBA" w:rsidRPr="00F66463" w:rsidRDefault="00940BBA" w:rsidP="00940BBA"/>
    <w:p w14:paraId="58B46946" w14:textId="77777777" w:rsidR="00940BBA" w:rsidRPr="00F66463" w:rsidRDefault="00940BBA" w:rsidP="00940BBA">
      <w:pPr>
        <w:keepNext/>
      </w:pPr>
      <w:r w:rsidRPr="00F66463">
        <w:t xml:space="preserve">KYMOS S.L. </w:t>
      </w:r>
    </w:p>
    <w:p w14:paraId="1C378842" w14:textId="7A0E235F" w:rsidR="00940BBA" w:rsidRPr="00F66463" w:rsidRDefault="00940BBA" w:rsidP="00940BBA">
      <w:pPr>
        <w:keepNext/>
        <w:rPr>
          <w:lang w:val="es-ES"/>
        </w:rPr>
      </w:pPr>
      <w:r w:rsidRPr="00F66463">
        <w:rPr>
          <w:lang w:val="es-ES"/>
        </w:rPr>
        <w:t xml:space="preserve">Ronda Can Fatjó, 7B </w:t>
      </w:r>
    </w:p>
    <w:p w14:paraId="1973200C" w14:textId="57C1FE69" w:rsidR="00940BBA" w:rsidRPr="00F66463" w:rsidRDefault="00940BBA" w:rsidP="00940BBA">
      <w:pPr>
        <w:keepNext/>
        <w:rPr>
          <w:lang w:val="es-ES"/>
        </w:rPr>
      </w:pPr>
      <w:r w:rsidRPr="00F66463">
        <w:rPr>
          <w:lang w:val="es-ES"/>
        </w:rPr>
        <w:t xml:space="preserve">08290 Cerdanyola del Vallès </w:t>
      </w:r>
    </w:p>
    <w:p w14:paraId="70A13E8E" w14:textId="77777777" w:rsidR="00940BBA" w:rsidRPr="00F66463" w:rsidRDefault="00940BBA" w:rsidP="00940BBA">
      <w:pPr>
        <w:keepNext/>
        <w:rPr>
          <w:lang w:val="es-ES"/>
        </w:rPr>
      </w:pPr>
      <w:r w:rsidRPr="00F66463">
        <w:rPr>
          <w:lang w:val="es-ES"/>
        </w:rPr>
        <w:t xml:space="preserve">Barcelona, </w:t>
      </w:r>
    </w:p>
    <w:p w14:paraId="74E9B163" w14:textId="47A18DC6" w:rsidR="00940BBA" w:rsidRPr="00C61A9B" w:rsidRDefault="00940BBA" w:rsidP="00940BBA">
      <w:r w:rsidRPr="00C61A9B">
        <w:t>Span</w:t>
      </w:r>
      <w:r>
        <w:t>ien</w:t>
      </w:r>
    </w:p>
    <w:p w14:paraId="1E5D663A" w14:textId="77777777" w:rsidR="00093A5E" w:rsidRPr="006A64EE" w:rsidRDefault="00093A5E" w:rsidP="004255F8">
      <w:pPr>
        <w:pStyle w:val="a3"/>
        <w:widowControl/>
      </w:pPr>
    </w:p>
    <w:p w14:paraId="00278DF9" w14:textId="77777777" w:rsidR="00093A5E" w:rsidRPr="006A64EE" w:rsidRDefault="00093A5E" w:rsidP="004255F8">
      <w:pPr>
        <w:pStyle w:val="a3"/>
        <w:widowControl/>
      </w:pPr>
    </w:p>
    <w:p w14:paraId="6F7E3CC7" w14:textId="77777777" w:rsidR="00093A5E" w:rsidRPr="006A64EE" w:rsidRDefault="0059713A" w:rsidP="00F378C7">
      <w:pPr>
        <w:pStyle w:val="1"/>
      </w:pPr>
      <w:bookmarkStart w:id="26" w:name="B._BEDINGUNGEN_ODER_EINSCHRÄNKUNGEN_FÜR_"/>
      <w:bookmarkEnd w:id="26"/>
      <w:r w:rsidRPr="006A64EE">
        <w:rPr>
          <w:spacing w:val="-2"/>
        </w:rPr>
        <w:t>B.</w:t>
      </w:r>
      <w:r w:rsidRPr="006A64EE">
        <w:rPr>
          <w:spacing w:val="-2"/>
        </w:rPr>
        <w:tab/>
      </w:r>
      <w:r w:rsidRPr="006A64EE">
        <w:t>BEDINGUNGEN ODER EINSCHRÄNKUNGEN FÜR DIE ABGABE UND DEN GEBRAUCH</w:t>
      </w:r>
    </w:p>
    <w:p w14:paraId="58EE90EC" w14:textId="77777777" w:rsidR="00093A5E" w:rsidRPr="006A64EE" w:rsidRDefault="00093A5E" w:rsidP="004255F8">
      <w:pPr>
        <w:pStyle w:val="a3"/>
        <w:widowControl/>
      </w:pPr>
    </w:p>
    <w:p w14:paraId="0A66C1F0" w14:textId="77777777" w:rsidR="00093A5E" w:rsidRPr="006A64EE" w:rsidRDefault="009C2544" w:rsidP="004255F8">
      <w:pPr>
        <w:pStyle w:val="a3"/>
        <w:widowControl/>
      </w:pPr>
      <w:r w:rsidRPr="006A64EE">
        <w:t>Arzneimittel auf eingeschränkte ärztliche Verschreibung (siehe Anhang I: Zusammenfassung der Merkmale des Arzneimittels, Abschnitt 4.2).</w:t>
      </w:r>
    </w:p>
    <w:p w14:paraId="232AB96E" w14:textId="77777777" w:rsidR="00093A5E" w:rsidRPr="006A64EE" w:rsidRDefault="00093A5E" w:rsidP="004255F8">
      <w:pPr>
        <w:pStyle w:val="a3"/>
        <w:widowControl/>
      </w:pPr>
    </w:p>
    <w:p w14:paraId="39186F01" w14:textId="77777777" w:rsidR="00093A5E" w:rsidRPr="006A64EE" w:rsidRDefault="00093A5E" w:rsidP="004255F8">
      <w:pPr>
        <w:pStyle w:val="a3"/>
        <w:widowControl/>
      </w:pPr>
    </w:p>
    <w:p w14:paraId="087A6B66" w14:textId="77777777" w:rsidR="00093A5E" w:rsidRPr="006A64EE" w:rsidRDefault="0059713A" w:rsidP="00F378C7">
      <w:pPr>
        <w:pStyle w:val="1"/>
      </w:pPr>
      <w:bookmarkStart w:id="27" w:name="C._SONSTIGE_BEDINGUNGEN_UND_AUFLAGEN_DER"/>
      <w:bookmarkEnd w:id="27"/>
      <w:r w:rsidRPr="006A64EE">
        <w:rPr>
          <w:rStyle w:val="Char3"/>
          <w:b/>
        </w:rPr>
        <w:t>C.</w:t>
      </w:r>
      <w:r w:rsidRPr="006A64EE">
        <w:rPr>
          <w:rStyle w:val="Char3"/>
          <w:b/>
        </w:rPr>
        <w:tab/>
      </w:r>
      <w:r w:rsidRPr="00F378C7">
        <w:t>SONSTIGE</w:t>
      </w:r>
      <w:r w:rsidRPr="006A64EE">
        <w:rPr>
          <w:rStyle w:val="Char3"/>
          <w:b/>
        </w:rPr>
        <w:t xml:space="preserve"> BEDINGUNGEN UND AUFLAGEN DER GENEHMIGUNG FÜR DAS</w:t>
      </w:r>
      <w:r w:rsidRPr="006A64EE">
        <w:t xml:space="preserve"> INVERKEHRBRINGEN</w:t>
      </w:r>
    </w:p>
    <w:p w14:paraId="5B76DE87" w14:textId="77777777" w:rsidR="00093A5E" w:rsidRPr="006A64EE" w:rsidRDefault="00093A5E" w:rsidP="00121CB7"/>
    <w:p w14:paraId="13B2DE49"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Regelmäßig aktualisierte Unbedenklichkeitsberichte [Periodic Safety Update Reports (PSURs)]</w:t>
      </w:r>
    </w:p>
    <w:p w14:paraId="50064D71" w14:textId="77777777" w:rsidR="00093A5E" w:rsidRPr="006A64EE" w:rsidRDefault="00093A5E" w:rsidP="004255F8">
      <w:pPr>
        <w:pStyle w:val="a3"/>
        <w:widowControl/>
      </w:pPr>
    </w:p>
    <w:p w14:paraId="504DF00F" w14:textId="77777777" w:rsidR="00093A5E" w:rsidRPr="006A64EE" w:rsidRDefault="009C2544" w:rsidP="004255F8">
      <w:pPr>
        <w:pStyle w:val="a3"/>
        <w:widowControl/>
      </w:pPr>
      <w:r w:rsidRPr="006A64EE">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58FF4EE8" w14:textId="77777777" w:rsidR="00093A5E" w:rsidRPr="006A64EE" w:rsidRDefault="00093A5E" w:rsidP="004255F8">
      <w:pPr>
        <w:widowControl/>
      </w:pPr>
      <w:bookmarkStart w:id="28" w:name="D._BEDINGUNGEN_ODER_EINSCHRÄNKUNGEN_FÜR_"/>
      <w:bookmarkEnd w:id="28"/>
    </w:p>
    <w:p w14:paraId="558303DB" w14:textId="77777777" w:rsidR="00093A5E" w:rsidRPr="006A64EE" w:rsidRDefault="00093A5E" w:rsidP="004255F8">
      <w:pPr>
        <w:widowControl/>
      </w:pPr>
    </w:p>
    <w:p w14:paraId="5BC4F940" w14:textId="77777777" w:rsidR="00093A5E" w:rsidRPr="006A64EE" w:rsidRDefault="0059713A" w:rsidP="00F378C7">
      <w:pPr>
        <w:pStyle w:val="1"/>
      </w:pPr>
      <w:r w:rsidRPr="006A64EE">
        <w:rPr>
          <w:spacing w:val="-2"/>
        </w:rPr>
        <w:t>D.</w:t>
      </w:r>
      <w:r w:rsidRPr="006A64EE">
        <w:rPr>
          <w:spacing w:val="-2"/>
        </w:rPr>
        <w:tab/>
      </w:r>
      <w:r w:rsidR="007D680A" w:rsidRPr="006A64EE">
        <w:t>BEDINGUNGEN ODER EINSCHRÄNKUNGEN FÜR DIE SICHERE UND WIRKSAME ANWENDUNG DES ARZNEIMITTELS</w:t>
      </w:r>
    </w:p>
    <w:p w14:paraId="2E9B02CA" w14:textId="77777777" w:rsidR="00093A5E" w:rsidRPr="006A64EE" w:rsidRDefault="00093A5E" w:rsidP="004255F8">
      <w:pPr>
        <w:widowControl/>
      </w:pPr>
    </w:p>
    <w:p w14:paraId="62D39C0E" w14:textId="77777777" w:rsidR="00093A5E" w:rsidRPr="006A64EE" w:rsidRDefault="0059713A" w:rsidP="00AB4192">
      <w:pPr>
        <w:pStyle w:val="bullet"/>
        <w:numPr>
          <w:ilvl w:val="0"/>
          <w:numId w:val="3"/>
        </w:numPr>
        <w:ind w:left="567" w:hanging="567"/>
        <w:rPr>
          <w:b/>
          <w:bCs/>
        </w:rPr>
      </w:pPr>
      <w:r w:rsidRPr="006A64EE">
        <w:rPr>
          <w:b/>
          <w:bCs/>
        </w:rPr>
        <w:t>Risikomanagement-Plan (RMP)</w:t>
      </w:r>
    </w:p>
    <w:p w14:paraId="6B16AFB5" w14:textId="77777777" w:rsidR="00093A5E" w:rsidRPr="006A64EE" w:rsidRDefault="00093A5E" w:rsidP="004255F8">
      <w:pPr>
        <w:pStyle w:val="bullet"/>
        <w:rPr>
          <w:b/>
          <w:bCs/>
        </w:rPr>
      </w:pPr>
    </w:p>
    <w:p w14:paraId="4F5BF59D" w14:textId="77777777" w:rsidR="00093A5E" w:rsidRPr="006A64EE" w:rsidRDefault="009C2544" w:rsidP="004255F8">
      <w:pPr>
        <w:pStyle w:val="a3"/>
        <w:widowControl/>
      </w:pPr>
      <w:r w:rsidRPr="006A64EE">
        <w:t>Der Inhaber der Genehmigung für das Inverkehrbringen (MAH) führt die notwendigen, im vereinbarten RMP beschriebenen und in Modul 1.8.2 der Zulassung dargelegten Pharmakovigilanzaktivitäten und Maßnahmen sowie alle künftigen vom Ausschuss für Humanarzneimittel (CHMP) vereinbarten Aktualisierungen des RMP durch.</w:t>
      </w:r>
    </w:p>
    <w:p w14:paraId="15EA6B65" w14:textId="77777777" w:rsidR="00093A5E" w:rsidRPr="006A64EE" w:rsidRDefault="00093A5E" w:rsidP="004255F8">
      <w:pPr>
        <w:pStyle w:val="a3"/>
        <w:widowControl/>
      </w:pPr>
    </w:p>
    <w:p w14:paraId="302C4DDD" w14:textId="77777777" w:rsidR="00093A5E" w:rsidRPr="006A64EE" w:rsidRDefault="009C2544" w:rsidP="004255F8">
      <w:pPr>
        <w:pStyle w:val="a3"/>
        <w:widowControl/>
      </w:pPr>
      <w:r w:rsidRPr="006A64EE">
        <w:t>Ein aktualisierter RMP ist einzureichen:</w:t>
      </w:r>
    </w:p>
    <w:p w14:paraId="47DA2E6F"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nach Aufforderung durch die Europäische Arzneimittel-Agentur;</w:t>
      </w:r>
    </w:p>
    <w:p w14:paraId="27E7EABD" w14:textId="38C04149" w:rsidR="00093A5E" w:rsidRPr="006A64EE" w:rsidRDefault="0059713A" w:rsidP="004255F8">
      <w:pPr>
        <w:pStyle w:val="bullet"/>
      </w:pPr>
      <w:r w:rsidRPr="006A64EE">
        <w:rPr>
          <w:rFonts w:ascii="Symbol" w:hAnsi="Symbol"/>
        </w:rPr>
        <w:t></w:t>
      </w:r>
      <w:r w:rsidRPr="006A64EE">
        <w:rPr>
          <w:rFonts w:ascii="Symbol" w:hAnsi="Symbol"/>
        </w:rPr>
        <w:tab/>
      </w:r>
      <w:r w:rsidRPr="006A64EE">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07251E05" w14:textId="77777777" w:rsidR="00093A5E" w:rsidRPr="006A64EE" w:rsidRDefault="00093A5E" w:rsidP="004255F8">
      <w:pPr>
        <w:widowControl/>
        <w:tabs>
          <w:tab w:val="left" w:pos="1045"/>
          <w:tab w:val="left" w:pos="1107"/>
        </w:tabs>
      </w:pPr>
    </w:p>
    <w:p w14:paraId="52578F6D" w14:textId="77777777" w:rsidR="00093A5E" w:rsidRPr="006A64EE" w:rsidRDefault="009C2544" w:rsidP="004255F8">
      <w:pPr>
        <w:pStyle w:val="a3"/>
        <w:widowControl/>
      </w:pPr>
      <w:r w:rsidRPr="006A64EE">
        <w:t>Fallen die Vorlage eines PSUR und die Aktualisierung eines RMP zeitlich zusammen, können beide gleichzeitig vorgelegt werden.</w:t>
      </w:r>
    </w:p>
    <w:p w14:paraId="0426377F" w14:textId="77777777" w:rsidR="00093A5E" w:rsidRPr="006A64EE" w:rsidRDefault="00093A5E" w:rsidP="004255F8">
      <w:pPr>
        <w:pStyle w:val="a3"/>
        <w:widowControl/>
      </w:pPr>
    </w:p>
    <w:p w14:paraId="2C0C8217" w14:textId="77777777" w:rsidR="00093A5E" w:rsidRPr="006A64EE" w:rsidRDefault="0059713A" w:rsidP="00AB4192">
      <w:pPr>
        <w:pStyle w:val="bullet"/>
        <w:numPr>
          <w:ilvl w:val="0"/>
          <w:numId w:val="3"/>
        </w:numPr>
        <w:ind w:left="567" w:hanging="567"/>
        <w:rPr>
          <w:b/>
          <w:bCs/>
        </w:rPr>
      </w:pPr>
      <w:r w:rsidRPr="006A64EE">
        <w:rPr>
          <w:b/>
          <w:bCs/>
        </w:rPr>
        <w:t>Zusätzliche Maßnahmen zur Risikominimierung</w:t>
      </w:r>
    </w:p>
    <w:p w14:paraId="76E770C3" w14:textId="77777777" w:rsidR="00093A5E" w:rsidRPr="006A64EE" w:rsidRDefault="00093A5E" w:rsidP="004255F8">
      <w:pPr>
        <w:pStyle w:val="a3"/>
        <w:widowControl/>
        <w:rPr>
          <w:b/>
        </w:rPr>
      </w:pPr>
    </w:p>
    <w:p w14:paraId="06538768" w14:textId="40C9A876" w:rsidR="00093A5E" w:rsidRPr="006A64EE" w:rsidRDefault="009C2544" w:rsidP="004255F8">
      <w:pPr>
        <w:pStyle w:val="a3"/>
        <w:widowControl/>
      </w:pPr>
      <w:r w:rsidRPr="006A64EE">
        <w:t xml:space="preserve">Der Inhaber der Genehmigung für das Inverkehrbringen muss für die therapeutischen Indikationen RA, sJIA, pJIA und RZA ein Paket mit Trainingsmaterialien zur Verfügung stellen, dessen Zielgruppe alle Ärzte sind, die </w:t>
      </w:r>
      <w:r w:rsidR="00940BBA">
        <w:t>Avtozma</w:t>
      </w:r>
      <w:r w:rsidR="00940BBA" w:rsidRPr="006A64EE">
        <w:t xml:space="preserve"> </w:t>
      </w:r>
      <w:r w:rsidRPr="006A64EE">
        <w:t>voraussichtlich verschreiben/anwenden werden, und das die folgenden Komponenten enthält:</w:t>
      </w:r>
    </w:p>
    <w:p w14:paraId="4D7E5096" w14:textId="77777777" w:rsidR="00093A5E" w:rsidRPr="006A64EE" w:rsidRDefault="00093A5E" w:rsidP="004255F8">
      <w:pPr>
        <w:pStyle w:val="a3"/>
        <w:widowControl/>
      </w:pPr>
    </w:p>
    <w:p w14:paraId="7DFD2A0C"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Informationspaket für Ärzte</w:t>
      </w:r>
    </w:p>
    <w:p w14:paraId="4CD48481"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Informationspaket für medizinisches Personal</w:t>
      </w:r>
    </w:p>
    <w:p w14:paraId="6F63F76D"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Informationspaket für Patienten</w:t>
      </w:r>
    </w:p>
    <w:p w14:paraId="6917F3BA" w14:textId="77777777" w:rsidR="00093A5E" w:rsidRPr="006A64EE" w:rsidRDefault="00093A5E" w:rsidP="004255F8">
      <w:pPr>
        <w:pStyle w:val="a3"/>
        <w:widowControl/>
      </w:pPr>
    </w:p>
    <w:p w14:paraId="055E7921" w14:textId="77777777" w:rsidR="00093A5E" w:rsidRPr="006A64EE" w:rsidRDefault="009C2544" w:rsidP="004255F8">
      <w:pPr>
        <w:pStyle w:val="a3"/>
        <w:widowControl/>
      </w:pPr>
      <w:r w:rsidRPr="006A64EE">
        <w:t>Der Inhaber der Genehmigung für das Inverkehrbringen muss vor Versand der Trainingsmaterialien den Inhalt und das Format der Trainingsmaterialien, zusammen mit einem Kommunikationsplan (mit Angaben zur Art der Verteilung), mit der zuständigen nationalen Behörde absprechen.</w:t>
      </w:r>
    </w:p>
    <w:p w14:paraId="145992D3" w14:textId="77777777" w:rsidR="00093A5E" w:rsidRPr="006A64EE" w:rsidRDefault="00093A5E" w:rsidP="004255F8">
      <w:pPr>
        <w:pStyle w:val="a3"/>
        <w:widowControl/>
      </w:pPr>
    </w:p>
    <w:p w14:paraId="18F37E76" w14:textId="77777777" w:rsidR="00093A5E" w:rsidRPr="006A64EE" w:rsidRDefault="009C2544" w:rsidP="004255F8">
      <w:pPr>
        <w:pStyle w:val="a3"/>
        <w:widowControl/>
      </w:pPr>
      <w:r w:rsidRPr="006A64EE">
        <w:t>Das Informationspaket für Ärzte sollte folgende Elemente enthalten:</w:t>
      </w:r>
    </w:p>
    <w:p w14:paraId="58EB7B36"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Verweis auf die Zusammenfassung der Merkmale des Arzneimittels (z. B. Link auf die EMA Webseite)</w:t>
      </w:r>
    </w:p>
    <w:p w14:paraId="7FA23E1C"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Dosierungsanleitung (bei Patienten mit RA, sJIA oder pJIA), Vorbereitung der Infusion und Infusionsgeschwindigkeit</w:t>
      </w:r>
    </w:p>
    <w:p w14:paraId="3C14C209"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Risiko schwerwiegender Infektionen</w:t>
      </w:r>
    </w:p>
    <w:p w14:paraId="48C1F7CD" w14:textId="77777777" w:rsidR="00093A5E" w:rsidRPr="006A64EE" w:rsidRDefault="0059713A" w:rsidP="004255F8">
      <w:pPr>
        <w:pStyle w:val="bullet"/>
        <w:ind w:left="1134"/>
      </w:pPr>
      <w:r w:rsidRPr="006A64EE">
        <w:rPr>
          <w:rFonts w:ascii="Symbol" w:hAnsi="Symbol"/>
        </w:rPr>
        <w:t></w:t>
      </w:r>
      <w:r w:rsidRPr="006A64EE">
        <w:rPr>
          <w:rFonts w:ascii="Symbol" w:hAnsi="Symbol"/>
        </w:rPr>
        <w:tab/>
      </w:r>
      <w:r w:rsidRPr="006A64EE">
        <w:t>Das Arzneimittel darf nicht an Patienten mit aktiver oder vermuteter Infektion verabreicht werden.</w:t>
      </w:r>
    </w:p>
    <w:p w14:paraId="0D16B50F" w14:textId="77777777" w:rsidR="00093A5E" w:rsidRPr="006A64EE" w:rsidRDefault="0059713A" w:rsidP="004255F8">
      <w:pPr>
        <w:pStyle w:val="bullet"/>
        <w:ind w:left="1134"/>
      </w:pPr>
      <w:r w:rsidRPr="006A64EE">
        <w:rPr>
          <w:rFonts w:ascii="Symbol" w:hAnsi="Symbol"/>
        </w:rPr>
        <w:t></w:t>
      </w:r>
      <w:r w:rsidRPr="006A64EE">
        <w:rPr>
          <w:rFonts w:ascii="Symbol" w:hAnsi="Symbol"/>
        </w:rPr>
        <w:tab/>
      </w:r>
      <w:r w:rsidRPr="006A64EE">
        <w:t>Das Arzneimittel kann Anzeichen und Symptome akuter Infektionen abschwächen und so die Diagnose verzögern.</w:t>
      </w:r>
    </w:p>
    <w:p w14:paraId="3D4CF947"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Risiko von Hepatotoxizität</w:t>
      </w:r>
    </w:p>
    <w:p w14:paraId="2C015CB5" w14:textId="77777777" w:rsidR="00093A5E" w:rsidRPr="006A64EE" w:rsidRDefault="0059713A" w:rsidP="004255F8">
      <w:pPr>
        <w:pStyle w:val="bullet"/>
        <w:ind w:left="1134"/>
      </w:pPr>
      <w:r w:rsidRPr="006A64EE">
        <w:rPr>
          <w:rFonts w:ascii="Symbol" w:hAnsi="Symbol"/>
        </w:rPr>
        <w:t></w:t>
      </w:r>
      <w:r w:rsidRPr="006A64EE">
        <w:rPr>
          <w:rFonts w:ascii="Symbol" w:hAnsi="Symbol"/>
        </w:rPr>
        <w:tab/>
      </w:r>
      <w:r w:rsidRPr="006A64EE">
        <w:t>Vorsicht ist geboten, wenn der Beginn einer Behandlung mit Tocilizumab bei Patienten mit ALAT oder ASAT oberhalb des 1,5-fachen des Normalwertes in Betracht gezogen wird. Bei Patienten mit erhöhter ALAT oder ASAT oberhalb des 5-fachen Normalwertes (ULN) ist von einer Behandlung abzuraten.</w:t>
      </w:r>
    </w:p>
    <w:p w14:paraId="14BFA1E4" w14:textId="77777777" w:rsidR="00093A5E" w:rsidRPr="006A64EE" w:rsidRDefault="0059713A" w:rsidP="004255F8">
      <w:pPr>
        <w:pStyle w:val="bullet"/>
        <w:ind w:left="1134"/>
      </w:pPr>
      <w:r w:rsidRPr="006A64EE">
        <w:rPr>
          <w:rFonts w:ascii="Symbol" w:hAnsi="Symbol"/>
        </w:rPr>
        <w:t></w:t>
      </w:r>
      <w:r w:rsidRPr="006A64EE">
        <w:rPr>
          <w:rFonts w:ascii="Symbol" w:hAnsi="Symbol"/>
        </w:rPr>
        <w:tab/>
      </w:r>
      <w:r w:rsidRPr="006A64EE">
        <w:t>Bei RA, RZA, pJIA und sJIA sollten ALAT/ASAT in den ersten 6 Monaten der Behandlung alle vier bis acht Wochen und anschließend alle 12 Wochen überwacht werden. Die empfohlenen Dosisanpassungen, einschließlich Absetzen von Tocilizumab, auf Basis der Transaminasenwerte entsprechend Abschnitt 4.2 der Zusammenfassung der</w:t>
      </w:r>
      <w:r w:rsidR="00285DDD" w:rsidRPr="006A64EE">
        <w:t xml:space="preserve"> </w:t>
      </w:r>
      <w:r w:rsidR="007D680A" w:rsidRPr="006A64EE">
        <w:t>Merkmale des Arzneimittels.</w:t>
      </w:r>
    </w:p>
    <w:p w14:paraId="56484FC5"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Risiko gastrointestinaler Perforationen, vor allem bei Patienten mit Divertikulitis oder intestinalen Geschwüren in der Anamnese</w:t>
      </w:r>
    </w:p>
    <w:p w14:paraId="57E4783C"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Angaben zur Meldung von schwerwiegenden Arzneimittelnebenwirkungen</w:t>
      </w:r>
    </w:p>
    <w:p w14:paraId="6734EF2B"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Das Informationspaket für Patienten (das dem Patienten vom Arzt überreicht werden muss)</w:t>
      </w:r>
    </w:p>
    <w:p w14:paraId="407E35EA"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Anleitung zur Diagnose eines Makrophagenaktivierungssyndroms bei Patienten mit sJIA</w:t>
      </w:r>
    </w:p>
    <w:p w14:paraId="713F8FE2"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Empfehlungen für eine Unterbrechung der Anwendung bei Patienten mit sJIA und pJIA</w:t>
      </w:r>
    </w:p>
    <w:p w14:paraId="2E7FCD8F" w14:textId="77777777" w:rsidR="00093A5E" w:rsidRPr="006A64EE" w:rsidRDefault="00093A5E" w:rsidP="004255F8">
      <w:pPr>
        <w:pStyle w:val="a3"/>
        <w:widowControl/>
      </w:pPr>
    </w:p>
    <w:p w14:paraId="5B2AAA74" w14:textId="77777777" w:rsidR="00093A5E" w:rsidRPr="006A64EE" w:rsidRDefault="009C2544" w:rsidP="004255F8">
      <w:pPr>
        <w:pStyle w:val="a3"/>
        <w:widowControl/>
      </w:pPr>
      <w:r w:rsidRPr="006A64EE">
        <w:t>Das Informationspaket für medizinisches Personal sollte folgende Elemente enthalten:</w:t>
      </w:r>
    </w:p>
    <w:p w14:paraId="0EDA01E1" w14:textId="77777777" w:rsidR="00093A5E" w:rsidRPr="006A64EE" w:rsidRDefault="00093A5E" w:rsidP="004255F8">
      <w:pPr>
        <w:pStyle w:val="a3"/>
        <w:widowControl/>
      </w:pPr>
    </w:p>
    <w:p w14:paraId="3B11C843" w14:textId="77777777" w:rsidR="00093A5E" w:rsidRPr="006A64EE" w:rsidRDefault="0059713A" w:rsidP="004255F8">
      <w:pPr>
        <w:pStyle w:val="bullet"/>
      </w:pPr>
      <w:r w:rsidRPr="006A64EE">
        <w:rPr>
          <w:rFonts w:ascii="Symbol" w:hAnsi="Symbol"/>
        </w:rPr>
        <w:lastRenderedPageBreak/>
        <w:t></w:t>
      </w:r>
      <w:r w:rsidRPr="006A64EE">
        <w:rPr>
          <w:rFonts w:ascii="Symbol" w:hAnsi="Symbol"/>
        </w:rPr>
        <w:tab/>
      </w:r>
      <w:r w:rsidRPr="006A64EE">
        <w:t>Vermeidung medizinischer Fehler und injektionsbedingter/infusionsbedingter Reaktionen</w:t>
      </w:r>
    </w:p>
    <w:p w14:paraId="130864CE" w14:textId="77777777" w:rsidR="00093A5E" w:rsidRPr="006A64EE" w:rsidRDefault="0059713A" w:rsidP="004255F8">
      <w:pPr>
        <w:pStyle w:val="bullet"/>
        <w:ind w:left="1134"/>
      </w:pPr>
      <w:r w:rsidRPr="006A64EE">
        <w:rPr>
          <w:rFonts w:ascii="Symbol" w:hAnsi="Symbol"/>
        </w:rPr>
        <w:t></w:t>
      </w:r>
      <w:r w:rsidRPr="006A64EE">
        <w:rPr>
          <w:rFonts w:ascii="Symbol" w:hAnsi="Symbol"/>
        </w:rPr>
        <w:tab/>
      </w:r>
      <w:r w:rsidRPr="006A64EE">
        <w:t>Vorbereitung der Injektion/ Infusion</w:t>
      </w:r>
    </w:p>
    <w:p w14:paraId="3516CDCA" w14:textId="77777777" w:rsidR="00093A5E" w:rsidRPr="006A64EE" w:rsidRDefault="0059713A" w:rsidP="004255F8">
      <w:pPr>
        <w:pStyle w:val="bullet"/>
        <w:ind w:left="1134"/>
      </w:pPr>
      <w:r w:rsidRPr="006A64EE">
        <w:rPr>
          <w:rFonts w:ascii="Symbol" w:hAnsi="Symbol"/>
        </w:rPr>
        <w:t></w:t>
      </w:r>
      <w:r w:rsidRPr="006A64EE">
        <w:rPr>
          <w:rFonts w:ascii="Symbol" w:hAnsi="Symbol"/>
        </w:rPr>
        <w:tab/>
      </w:r>
      <w:r w:rsidRPr="006A64EE">
        <w:t>Infusionsgeschwindigkeit</w:t>
      </w:r>
    </w:p>
    <w:p w14:paraId="5790F4C4" w14:textId="77777777" w:rsidR="00093A5E" w:rsidRPr="006A64EE" w:rsidRDefault="0059713A" w:rsidP="004255F8">
      <w:pPr>
        <w:widowControl/>
        <w:tabs>
          <w:tab w:val="left" w:pos="1041"/>
        </w:tabs>
      </w:pPr>
      <w:r w:rsidRPr="006A64EE">
        <w:rPr>
          <w:rFonts w:ascii="Symbol" w:hAnsi="Symbol"/>
        </w:rPr>
        <w:t></w:t>
      </w:r>
      <w:r w:rsidRPr="006A64EE">
        <w:rPr>
          <w:rFonts w:ascii="Symbol" w:hAnsi="Symbol"/>
        </w:rPr>
        <w:tab/>
      </w:r>
      <w:r w:rsidRPr="006A64EE">
        <w:t>Überwachung der Patienten auf injektionsbedingte/infusionsbedingte Reaktionen</w:t>
      </w:r>
    </w:p>
    <w:p w14:paraId="1097CC1C" w14:textId="77777777" w:rsidR="00093A5E" w:rsidRPr="006A64EE" w:rsidRDefault="0059713A" w:rsidP="004255F8">
      <w:pPr>
        <w:widowControl/>
        <w:tabs>
          <w:tab w:val="left" w:pos="1041"/>
        </w:tabs>
      </w:pPr>
      <w:r w:rsidRPr="006A64EE">
        <w:rPr>
          <w:rFonts w:ascii="Symbol" w:hAnsi="Symbol"/>
        </w:rPr>
        <w:t></w:t>
      </w:r>
      <w:r w:rsidRPr="006A64EE">
        <w:rPr>
          <w:rFonts w:ascii="Symbol" w:hAnsi="Symbol"/>
        </w:rPr>
        <w:tab/>
      </w:r>
      <w:r w:rsidRPr="006A64EE">
        <w:t>Angaben zur Meldung von schwerwiegenden Nebenwirkungen</w:t>
      </w:r>
    </w:p>
    <w:p w14:paraId="2A7DFE34" w14:textId="77777777" w:rsidR="00093A5E" w:rsidRPr="006A64EE" w:rsidRDefault="00093A5E" w:rsidP="004255F8">
      <w:pPr>
        <w:pStyle w:val="a3"/>
        <w:widowControl/>
      </w:pPr>
    </w:p>
    <w:p w14:paraId="622E5F3D" w14:textId="77777777" w:rsidR="00093A5E" w:rsidRPr="006A64EE" w:rsidRDefault="009C2544" w:rsidP="004255F8">
      <w:pPr>
        <w:pStyle w:val="a3"/>
        <w:widowControl/>
      </w:pPr>
      <w:r w:rsidRPr="006A64EE">
        <w:t>Das Informationspaket für Patienten sollte folgende Elemente enthalten:</w:t>
      </w:r>
    </w:p>
    <w:p w14:paraId="6AB6BE3F"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Packungsbeilage (mit Anleitung zur subkutanen Anwendung) (z.B. Link zur Webseite der EMA)</w:t>
      </w:r>
    </w:p>
    <w:p w14:paraId="38FB8A5A"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Patientenpass</w:t>
      </w:r>
    </w:p>
    <w:p w14:paraId="24F777A3" w14:textId="77777777" w:rsidR="00093A5E" w:rsidRPr="006A64EE" w:rsidRDefault="00093A5E" w:rsidP="004255F8">
      <w:pPr>
        <w:widowControl/>
        <w:tabs>
          <w:tab w:val="left" w:pos="1041"/>
        </w:tabs>
      </w:pPr>
    </w:p>
    <w:p w14:paraId="00095EC2" w14:textId="13508D1D" w:rsidR="00093A5E" w:rsidRPr="006A64EE" w:rsidRDefault="0059713A" w:rsidP="004255F8">
      <w:pPr>
        <w:widowControl/>
        <w:tabs>
          <w:tab w:val="left" w:pos="1046"/>
        </w:tabs>
        <w:ind w:left="567" w:hanging="567"/>
      </w:pPr>
      <w:r w:rsidRPr="006A64EE">
        <w:t>-</w:t>
      </w:r>
      <w:r w:rsidRPr="006A64EE">
        <w:tab/>
        <w:t xml:space="preserve">um das Risiko aufzuzeigen, dass </w:t>
      </w:r>
      <w:r w:rsidR="00940BBA">
        <w:t>Avtozma</w:t>
      </w:r>
      <w:r w:rsidR="00940BBA" w:rsidRPr="006A64EE">
        <w:t xml:space="preserve"> </w:t>
      </w:r>
      <w:r w:rsidRPr="006A64EE">
        <w:t>das Risiko erhöht, Infektionen zu bekommen, die schwerwiegend werden können, wenn sie nicht behandelt werden. Außerdem können frühere Infektionen wieder auftreten.</w:t>
      </w:r>
    </w:p>
    <w:p w14:paraId="3DF2BD1F" w14:textId="144247A3" w:rsidR="00093A5E" w:rsidRPr="006A64EE" w:rsidRDefault="0059713A" w:rsidP="004255F8">
      <w:pPr>
        <w:widowControl/>
        <w:tabs>
          <w:tab w:val="left" w:pos="1046"/>
        </w:tabs>
        <w:ind w:left="567" w:hanging="567"/>
      </w:pPr>
      <w:r w:rsidRPr="006A64EE">
        <w:t>-</w:t>
      </w:r>
      <w:r w:rsidRPr="006A64EE">
        <w:tab/>
        <w:t xml:space="preserve">um das Risiko aufzuzeigen, dass Patienten, die </w:t>
      </w:r>
      <w:r w:rsidR="00E26B13">
        <w:t>Avtozma</w:t>
      </w:r>
      <w:r w:rsidRPr="006A64EE">
        <w:t xml:space="preserve"> anwenden, Komplikationen einer Divertikulitis entwickeln können, die schwerwiegend werden können, wenn sie nicht behandelt werden.</w:t>
      </w:r>
    </w:p>
    <w:p w14:paraId="622CFC2E" w14:textId="4DC2F13C" w:rsidR="00093A5E" w:rsidRPr="006A64EE" w:rsidRDefault="0059713A" w:rsidP="004255F8">
      <w:pPr>
        <w:widowControl/>
        <w:tabs>
          <w:tab w:val="left" w:pos="1046"/>
        </w:tabs>
        <w:ind w:left="567" w:hanging="567"/>
      </w:pPr>
      <w:r w:rsidRPr="006A64EE">
        <w:t>-</w:t>
      </w:r>
      <w:r w:rsidRPr="006A64EE">
        <w:tab/>
        <w:t xml:space="preserve">um das Risiko aufzuzeigen, dass Patienten, die </w:t>
      </w:r>
      <w:r w:rsidR="00940BBA">
        <w:t>Avtozma</w:t>
      </w:r>
      <w:r w:rsidR="00940BBA" w:rsidRPr="006A64EE">
        <w:t xml:space="preserve"> </w:t>
      </w:r>
      <w:r w:rsidRPr="006A64EE">
        <w:t>anwenden, schwerwiegende Leberschäden entwickeln können. Leberfunktionstests der Patienten werden überwacht. Patienten sollen ihren Arzt umgehend informieren, wenn sie Anzeichen und Symptome einer Lebertoxizität einschließlich Müdigkeit, Bauchschmerzen und Gelbsucht bemerken.</w:t>
      </w:r>
    </w:p>
    <w:p w14:paraId="3329E37E" w14:textId="77777777" w:rsidR="00093A5E" w:rsidRPr="006A64EE" w:rsidRDefault="007D680A" w:rsidP="004255F8">
      <w:pPr>
        <w:widowControl/>
      </w:pPr>
      <w:r w:rsidRPr="006A64EE">
        <w:br w:type="page"/>
      </w:r>
    </w:p>
    <w:p w14:paraId="690930D0" w14:textId="77777777" w:rsidR="00093A5E" w:rsidRPr="006A64EE" w:rsidRDefault="00093A5E" w:rsidP="004255F8">
      <w:pPr>
        <w:pStyle w:val="a3"/>
        <w:widowControl/>
      </w:pPr>
    </w:p>
    <w:p w14:paraId="20A285D0" w14:textId="77777777" w:rsidR="00093A5E" w:rsidRPr="006A64EE" w:rsidRDefault="00093A5E" w:rsidP="004255F8">
      <w:pPr>
        <w:pStyle w:val="a3"/>
        <w:widowControl/>
      </w:pPr>
    </w:p>
    <w:p w14:paraId="15F445C5" w14:textId="77777777" w:rsidR="00093A5E" w:rsidRPr="006A64EE" w:rsidRDefault="00093A5E" w:rsidP="004255F8">
      <w:pPr>
        <w:pStyle w:val="a3"/>
        <w:widowControl/>
      </w:pPr>
    </w:p>
    <w:p w14:paraId="57255BCD" w14:textId="77777777" w:rsidR="00093A5E" w:rsidRPr="006A64EE" w:rsidRDefault="00093A5E" w:rsidP="004255F8">
      <w:pPr>
        <w:pStyle w:val="a3"/>
        <w:widowControl/>
      </w:pPr>
    </w:p>
    <w:p w14:paraId="4F3F9B04" w14:textId="77777777" w:rsidR="00093A5E" w:rsidRPr="006A64EE" w:rsidRDefault="00093A5E" w:rsidP="004255F8">
      <w:pPr>
        <w:pStyle w:val="a3"/>
        <w:widowControl/>
      </w:pPr>
    </w:p>
    <w:p w14:paraId="562AD699" w14:textId="77777777" w:rsidR="00093A5E" w:rsidRPr="006A64EE" w:rsidRDefault="00093A5E" w:rsidP="004255F8">
      <w:pPr>
        <w:pStyle w:val="a3"/>
        <w:widowControl/>
      </w:pPr>
    </w:p>
    <w:p w14:paraId="447785DF" w14:textId="77777777" w:rsidR="00093A5E" w:rsidRPr="006A64EE" w:rsidRDefault="00093A5E" w:rsidP="004255F8">
      <w:pPr>
        <w:pStyle w:val="a3"/>
        <w:widowControl/>
      </w:pPr>
    </w:p>
    <w:p w14:paraId="38579122" w14:textId="77777777" w:rsidR="00093A5E" w:rsidRPr="006A64EE" w:rsidRDefault="00093A5E" w:rsidP="004255F8">
      <w:pPr>
        <w:pStyle w:val="a3"/>
        <w:widowControl/>
      </w:pPr>
    </w:p>
    <w:p w14:paraId="12678605" w14:textId="77777777" w:rsidR="00093A5E" w:rsidRPr="006A64EE" w:rsidRDefault="00093A5E" w:rsidP="004255F8">
      <w:pPr>
        <w:pStyle w:val="a3"/>
        <w:widowControl/>
      </w:pPr>
    </w:p>
    <w:p w14:paraId="288D17EE" w14:textId="77777777" w:rsidR="00093A5E" w:rsidRPr="006A64EE" w:rsidRDefault="00093A5E" w:rsidP="004255F8">
      <w:pPr>
        <w:pStyle w:val="a3"/>
        <w:widowControl/>
      </w:pPr>
    </w:p>
    <w:p w14:paraId="47DBBC15" w14:textId="77777777" w:rsidR="00093A5E" w:rsidRPr="006A64EE" w:rsidRDefault="00093A5E" w:rsidP="004255F8">
      <w:pPr>
        <w:pStyle w:val="a3"/>
        <w:widowControl/>
      </w:pPr>
    </w:p>
    <w:p w14:paraId="53CB5B6D" w14:textId="77777777" w:rsidR="00093A5E" w:rsidRPr="006A64EE" w:rsidRDefault="00093A5E" w:rsidP="004255F8">
      <w:pPr>
        <w:pStyle w:val="a3"/>
        <w:widowControl/>
      </w:pPr>
    </w:p>
    <w:p w14:paraId="3B7F50B8" w14:textId="77777777" w:rsidR="00093A5E" w:rsidRPr="006A64EE" w:rsidRDefault="00093A5E" w:rsidP="004255F8">
      <w:pPr>
        <w:pStyle w:val="a3"/>
        <w:widowControl/>
      </w:pPr>
    </w:p>
    <w:p w14:paraId="1E4880CE" w14:textId="77777777" w:rsidR="00093A5E" w:rsidRPr="006A64EE" w:rsidRDefault="00093A5E" w:rsidP="004255F8">
      <w:pPr>
        <w:pStyle w:val="a3"/>
        <w:widowControl/>
      </w:pPr>
    </w:p>
    <w:p w14:paraId="5E823022" w14:textId="77777777" w:rsidR="00093A5E" w:rsidRPr="006A64EE" w:rsidRDefault="00093A5E" w:rsidP="004255F8">
      <w:pPr>
        <w:pStyle w:val="a3"/>
        <w:widowControl/>
      </w:pPr>
    </w:p>
    <w:p w14:paraId="3CA29E2C" w14:textId="77777777" w:rsidR="00093A5E" w:rsidRPr="006A64EE" w:rsidRDefault="00093A5E" w:rsidP="004255F8">
      <w:pPr>
        <w:pStyle w:val="a3"/>
        <w:widowControl/>
      </w:pPr>
    </w:p>
    <w:p w14:paraId="459AC7DD" w14:textId="77777777" w:rsidR="00093A5E" w:rsidRPr="006A64EE" w:rsidRDefault="00093A5E" w:rsidP="004255F8">
      <w:pPr>
        <w:pStyle w:val="a3"/>
        <w:widowControl/>
      </w:pPr>
    </w:p>
    <w:p w14:paraId="5DF246DE" w14:textId="77777777" w:rsidR="00093A5E" w:rsidRPr="006A64EE" w:rsidRDefault="00093A5E" w:rsidP="004255F8">
      <w:pPr>
        <w:pStyle w:val="a3"/>
        <w:widowControl/>
      </w:pPr>
    </w:p>
    <w:p w14:paraId="3295ADD5" w14:textId="77777777" w:rsidR="00093A5E" w:rsidRPr="006A64EE" w:rsidRDefault="00093A5E" w:rsidP="004255F8">
      <w:pPr>
        <w:pStyle w:val="a3"/>
        <w:widowControl/>
      </w:pPr>
    </w:p>
    <w:p w14:paraId="333A8F88" w14:textId="77777777" w:rsidR="00093A5E" w:rsidRPr="006A64EE" w:rsidRDefault="00093A5E" w:rsidP="004255F8">
      <w:pPr>
        <w:pStyle w:val="a3"/>
        <w:widowControl/>
      </w:pPr>
    </w:p>
    <w:p w14:paraId="68A1355C" w14:textId="77777777" w:rsidR="00093A5E" w:rsidRPr="006A64EE" w:rsidRDefault="00093A5E" w:rsidP="004255F8">
      <w:pPr>
        <w:pStyle w:val="a3"/>
        <w:widowControl/>
      </w:pPr>
    </w:p>
    <w:p w14:paraId="0B890C47" w14:textId="77777777" w:rsidR="00093A5E" w:rsidRPr="006A64EE" w:rsidRDefault="00093A5E" w:rsidP="004255F8">
      <w:pPr>
        <w:pStyle w:val="a3"/>
        <w:widowControl/>
      </w:pPr>
    </w:p>
    <w:p w14:paraId="18B31E19" w14:textId="77777777" w:rsidR="00093A5E" w:rsidRPr="006A64EE" w:rsidRDefault="009C2544" w:rsidP="004255F8">
      <w:pPr>
        <w:pStyle w:val="1"/>
        <w:ind w:left="0"/>
        <w:jc w:val="center"/>
      </w:pPr>
      <w:r w:rsidRPr="006A64EE">
        <w:t>ANHANG III</w:t>
      </w:r>
    </w:p>
    <w:p w14:paraId="2A965530" w14:textId="77777777" w:rsidR="00093A5E" w:rsidRPr="006A64EE" w:rsidRDefault="00093A5E" w:rsidP="00121CB7"/>
    <w:p w14:paraId="40920B12" w14:textId="77777777" w:rsidR="00093A5E" w:rsidRPr="006A64EE" w:rsidRDefault="009C2544" w:rsidP="004255F8">
      <w:pPr>
        <w:pStyle w:val="1"/>
        <w:ind w:left="0"/>
        <w:jc w:val="center"/>
      </w:pPr>
      <w:r w:rsidRPr="006A64EE">
        <w:t>ETIKETTIERUNG UND PACKUNGSBEILAGE</w:t>
      </w:r>
    </w:p>
    <w:p w14:paraId="79CE48D6" w14:textId="77777777" w:rsidR="00093A5E" w:rsidRPr="006A64EE" w:rsidRDefault="007D680A" w:rsidP="004255F8">
      <w:pPr>
        <w:widowControl/>
      </w:pPr>
      <w:r w:rsidRPr="006A64EE">
        <w:br w:type="page"/>
      </w:r>
    </w:p>
    <w:p w14:paraId="79CD3299" w14:textId="77777777" w:rsidR="00093A5E" w:rsidRPr="006A64EE" w:rsidRDefault="00093A5E" w:rsidP="004255F8">
      <w:pPr>
        <w:pStyle w:val="a3"/>
        <w:widowControl/>
        <w:rPr>
          <w:b/>
        </w:rPr>
      </w:pPr>
    </w:p>
    <w:p w14:paraId="501B1756" w14:textId="77777777" w:rsidR="00093A5E" w:rsidRPr="006A64EE" w:rsidRDefault="00093A5E" w:rsidP="004255F8">
      <w:pPr>
        <w:pStyle w:val="a3"/>
        <w:widowControl/>
        <w:rPr>
          <w:b/>
        </w:rPr>
      </w:pPr>
    </w:p>
    <w:p w14:paraId="3A5B0C8B" w14:textId="77777777" w:rsidR="00093A5E" w:rsidRPr="006A64EE" w:rsidRDefault="00093A5E" w:rsidP="004255F8">
      <w:pPr>
        <w:pStyle w:val="a3"/>
        <w:widowControl/>
        <w:rPr>
          <w:b/>
        </w:rPr>
      </w:pPr>
    </w:p>
    <w:p w14:paraId="51FD0337" w14:textId="77777777" w:rsidR="00093A5E" w:rsidRPr="006A64EE" w:rsidRDefault="00093A5E" w:rsidP="004255F8">
      <w:pPr>
        <w:pStyle w:val="a3"/>
        <w:widowControl/>
        <w:rPr>
          <w:b/>
        </w:rPr>
      </w:pPr>
    </w:p>
    <w:p w14:paraId="72714332" w14:textId="77777777" w:rsidR="00093A5E" w:rsidRPr="006A64EE" w:rsidRDefault="00093A5E" w:rsidP="004255F8">
      <w:pPr>
        <w:pStyle w:val="a3"/>
        <w:widowControl/>
        <w:rPr>
          <w:b/>
        </w:rPr>
      </w:pPr>
    </w:p>
    <w:p w14:paraId="7E2BDCC8" w14:textId="77777777" w:rsidR="00093A5E" w:rsidRPr="006A64EE" w:rsidRDefault="00093A5E" w:rsidP="004255F8">
      <w:pPr>
        <w:pStyle w:val="a3"/>
        <w:widowControl/>
        <w:rPr>
          <w:b/>
        </w:rPr>
      </w:pPr>
    </w:p>
    <w:p w14:paraId="73C1DC2A" w14:textId="77777777" w:rsidR="00093A5E" w:rsidRPr="006A64EE" w:rsidRDefault="00093A5E" w:rsidP="004255F8">
      <w:pPr>
        <w:pStyle w:val="a3"/>
        <w:widowControl/>
        <w:rPr>
          <w:b/>
        </w:rPr>
      </w:pPr>
    </w:p>
    <w:p w14:paraId="6F282CAB" w14:textId="77777777" w:rsidR="00093A5E" w:rsidRPr="006A64EE" w:rsidRDefault="00093A5E" w:rsidP="004255F8">
      <w:pPr>
        <w:pStyle w:val="a3"/>
        <w:widowControl/>
        <w:rPr>
          <w:b/>
        </w:rPr>
      </w:pPr>
    </w:p>
    <w:p w14:paraId="73468E3C" w14:textId="77777777" w:rsidR="00093A5E" w:rsidRPr="006A64EE" w:rsidRDefault="00093A5E" w:rsidP="004255F8">
      <w:pPr>
        <w:pStyle w:val="a3"/>
        <w:widowControl/>
        <w:rPr>
          <w:b/>
        </w:rPr>
      </w:pPr>
    </w:p>
    <w:p w14:paraId="74CB8636" w14:textId="77777777" w:rsidR="00093A5E" w:rsidRPr="006A64EE" w:rsidRDefault="00093A5E" w:rsidP="004255F8">
      <w:pPr>
        <w:pStyle w:val="a3"/>
        <w:widowControl/>
        <w:rPr>
          <w:b/>
        </w:rPr>
      </w:pPr>
    </w:p>
    <w:p w14:paraId="3EE8AD8B" w14:textId="77777777" w:rsidR="00093A5E" w:rsidRPr="006A64EE" w:rsidRDefault="00093A5E" w:rsidP="004255F8">
      <w:pPr>
        <w:pStyle w:val="a3"/>
        <w:widowControl/>
        <w:rPr>
          <w:b/>
        </w:rPr>
      </w:pPr>
    </w:p>
    <w:p w14:paraId="7F5684EF" w14:textId="77777777" w:rsidR="00093A5E" w:rsidRPr="006A64EE" w:rsidRDefault="00093A5E" w:rsidP="004255F8">
      <w:pPr>
        <w:pStyle w:val="a3"/>
        <w:widowControl/>
        <w:rPr>
          <w:b/>
        </w:rPr>
      </w:pPr>
    </w:p>
    <w:p w14:paraId="110C110D" w14:textId="77777777" w:rsidR="00093A5E" w:rsidRPr="006A64EE" w:rsidRDefault="00093A5E" w:rsidP="004255F8">
      <w:pPr>
        <w:pStyle w:val="a3"/>
        <w:widowControl/>
        <w:rPr>
          <w:b/>
        </w:rPr>
      </w:pPr>
    </w:p>
    <w:p w14:paraId="16F6C989" w14:textId="77777777" w:rsidR="00093A5E" w:rsidRPr="006A64EE" w:rsidRDefault="00093A5E" w:rsidP="004255F8">
      <w:pPr>
        <w:pStyle w:val="a3"/>
        <w:widowControl/>
        <w:rPr>
          <w:b/>
        </w:rPr>
      </w:pPr>
    </w:p>
    <w:p w14:paraId="149E4DE3" w14:textId="77777777" w:rsidR="00093A5E" w:rsidRPr="006A64EE" w:rsidRDefault="00093A5E" w:rsidP="004255F8">
      <w:pPr>
        <w:pStyle w:val="a3"/>
        <w:widowControl/>
        <w:rPr>
          <w:b/>
        </w:rPr>
      </w:pPr>
    </w:p>
    <w:p w14:paraId="181EAB06" w14:textId="77777777" w:rsidR="00093A5E" w:rsidRPr="006A64EE" w:rsidRDefault="00093A5E" w:rsidP="004255F8">
      <w:pPr>
        <w:pStyle w:val="a3"/>
        <w:widowControl/>
        <w:rPr>
          <w:b/>
        </w:rPr>
      </w:pPr>
    </w:p>
    <w:p w14:paraId="6B93C970" w14:textId="77777777" w:rsidR="00093A5E" w:rsidRPr="006A64EE" w:rsidRDefault="00093A5E" w:rsidP="004255F8">
      <w:pPr>
        <w:pStyle w:val="a3"/>
        <w:widowControl/>
        <w:rPr>
          <w:b/>
        </w:rPr>
      </w:pPr>
    </w:p>
    <w:p w14:paraId="1FA3B9BD" w14:textId="77777777" w:rsidR="00093A5E" w:rsidRPr="006A64EE" w:rsidRDefault="00093A5E" w:rsidP="004255F8">
      <w:pPr>
        <w:pStyle w:val="a3"/>
        <w:widowControl/>
        <w:rPr>
          <w:b/>
        </w:rPr>
      </w:pPr>
    </w:p>
    <w:p w14:paraId="67193870" w14:textId="77777777" w:rsidR="00093A5E" w:rsidRPr="006A64EE" w:rsidRDefault="00093A5E" w:rsidP="004255F8">
      <w:pPr>
        <w:pStyle w:val="a3"/>
        <w:widowControl/>
        <w:rPr>
          <w:b/>
        </w:rPr>
      </w:pPr>
    </w:p>
    <w:p w14:paraId="4D97040B" w14:textId="77777777" w:rsidR="00093A5E" w:rsidRPr="006A64EE" w:rsidRDefault="00093A5E" w:rsidP="004255F8">
      <w:pPr>
        <w:pStyle w:val="a3"/>
        <w:widowControl/>
        <w:rPr>
          <w:b/>
        </w:rPr>
      </w:pPr>
    </w:p>
    <w:p w14:paraId="3582EE4B" w14:textId="77777777" w:rsidR="00093A5E" w:rsidRPr="006A64EE" w:rsidRDefault="00093A5E" w:rsidP="004255F8">
      <w:pPr>
        <w:pStyle w:val="a3"/>
        <w:widowControl/>
        <w:rPr>
          <w:b/>
        </w:rPr>
      </w:pPr>
    </w:p>
    <w:p w14:paraId="7AFC73FB" w14:textId="77777777" w:rsidR="00093A5E" w:rsidRPr="006A64EE" w:rsidRDefault="00093A5E" w:rsidP="004255F8">
      <w:pPr>
        <w:pStyle w:val="a3"/>
        <w:widowControl/>
        <w:rPr>
          <w:b/>
        </w:rPr>
      </w:pPr>
    </w:p>
    <w:p w14:paraId="3D8DFFDA" w14:textId="77777777" w:rsidR="00093A5E" w:rsidRPr="006A64EE" w:rsidRDefault="0059713A" w:rsidP="00121CB7">
      <w:pPr>
        <w:pStyle w:val="1"/>
        <w:jc w:val="center"/>
        <w:rPr>
          <w:b w:val="0"/>
        </w:rPr>
      </w:pPr>
      <w:bookmarkStart w:id="29" w:name="A._ETIKETTIERUNG"/>
      <w:bookmarkEnd w:id="29"/>
      <w:r w:rsidRPr="006A64EE">
        <w:rPr>
          <w:spacing w:val="-2"/>
        </w:rPr>
        <w:t>A.</w:t>
      </w:r>
      <w:r w:rsidRPr="006A64EE">
        <w:rPr>
          <w:spacing w:val="-2"/>
        </w:rPr>
        <w:tab/>
      </w:r>
      <w:r w:rsidRPr="006A64EE">
        <w:t>ETIKETTIERUNG</w:t>
      </w:r>
    </w:p>
    <w:p w14:paraId="24D3ECF0" w14:textId="77777777" w:rsidR="00093A5E" w:rsidRPr="006A64EE" w:rsidRDefault="00052FFF" w:rsidP="004255F8">
      <w:pPr>
        <w:widowControl/>
        <w:rPr>
          <w:b/>
        </w:rPr>
      </w:pPr>
      <w:r w:rsidRPr="006A64EE">
        <w:br w:type="page"/>
      </w:r>
    </w:p>
    <w:p w14:paraId="2C061305" w14:textId="77777777" w:rsidR="00093A5E" w:rsidRPr="006A64EE" w:rsidRDefault="00EB1524" w:rsidP="004255F8">
      <w:pPr>
        <w:pStyle w:val="tabele"/>
        <w:widowControl/>
      </w:pPr>
      <w:r w:rsidRPr="006A64EE">
        <w:lastRenderedPageBreak/>
        <w:t>ANGABEN AUF DER ÄUSSEREN UMHÜLLUNG</w:t>
      </w:r>
    </w:p>
    <w:p w14:paraId="001483F5" w14:textId="77777777" w:rsidR="00093A5E" w:rsidRPr="006A64EE" w:rsidRDefault="00093A5E" w:rsidP="004255F8">
      <w:pPr>
        <w:pStyle w:val="tabele"/>
        <w:widowControl/>
      </w:pPr>
    </w:p>
    <w:p w14:paraId="425BCBF9" w14:textId="77777777" w:rsidR="00093A5E" w:rsidRPr="006A64EE" w:rsidRDefault="00EB1524" w:rsidP="004255F8">
      <w:pPr>
        <w:pStyle w:val="tabele"/>
        <w:widowControl/>
      </w:pPr>
      <w:r w:rsidRPr="006A64EE">
        <w:t>FALTSCHACHTEL</w:t>
      </w:r>
    </w:p>
    <w:p w14:paraId="56ACD570" w14:textId="77777777" w:rsidR="00093A5E" w:rsidRPr="006A64EE" w:rsidRDefault="00093A5E" w:rsidP="004255F8">
      <w:pPr>
        <w:widowControl/>
        <w:rPr>
          <w:b/>
        </w:rPr>
      </w:pPr>
    </w:p>
    <w:p w14:paraId="3F851C8E" w14:textId="77777777" w:rsidR="00093A5E" w:rsidRPr="006A64EE" w:rsidRDefault="00093A5E" w:rsidP="004255F8">
      <w:pPr>
        <w:widowControl/>
        <w:tabs>
          <w:tab w:val="left" w:pos="669"/>
        </w:tabs>
        <w:rPr>
          <w:b/>
        </w:rPr>
      </w:pPr>
    </w:p>
    <w:p w14:paraId="0D76245B" w14:textId="77777777" w:rsidR="00093A5E" w:rsidRPr="006A64EE" w:rsidRDefault="00EB1524" w:rsidP="004255F8">
      <w:pPr>
        <w:pStyle w:val="tabele"/>
        <w:widowControl/>
      </w:pPr>
      <w:r w:rsidRPr="006A64EE">
        <w:t>1.</w:t>
      </w:r>
      <w:r w:rsidRPr="006A64EE">
        <w:tab/>
        <w:t>BEZEICHNUNG DES ARZNEIMITTELS</w:t>
      </w:r>
    </w:p>
    <w:p w14:paraId="085D690A" w14:textId="77777777" w:rsidR="00093A5E" w:rsidRPr="006A64EE" w:rsidRDefault="00093A5E" w:rsidP="004255F8">
      <w:pPr>
        <w:pStyle w:val="a3"/>
        <w:widowControl/>
      </w:pPr>
    </w:p>
    <w:p w14:paraId="6A8B11A0" w14:textId="42956CD4" w:rsidR="00093A5E" w:rsidRPr="006A64EE" w:rsidRDefault="00940BBA" w:rsidP="004255F8">
      <w:pPr>
        <w:pStyle w:val="a3"/>
        <w:widowControl/>
      </w:pPr>
      <w:r>
        <w:t>Avtozma</w:t>
      </w:r>
      <w:r w:rsidRPr="006A64EE">
        <w:t xml:space="preserve"> </w:t>
      </w:r>
      <w:r w:rsidR="009C2544" w:rsidRPr="006A64EE">
        <w:t>20 mg/ml Konzentrat zur Herstellung einer Infusionslösung</w:t>
      </w:r>
    </w:p>
    <w:p w14:paraId="7384AB2A" w14:textId="77777777" w:rsidR="00093A5E" w:rsidRPr="006A64EE" w:rsidRDefault="009C2544" w:rsidP="004255F8">
      <w:pPr>
        <w:pStyle w:val="a3"/>
        <w:widowControl/>
      </w:pPr>
      <w:r w:rsidRPr="006A64EE">
        <w:t>Tocilizumab</w:t>
      </w:r>
    </w:p>
    <w:p w14:paraId="43A77028" w14:textId="77777777" w:rsidR="00093A5E" w:rsidRPr="006A64EE" w:rsidRDefault="00093A5E" w:rsidP="004255F8">
      <w:pPr>
        <w:pStyle w:val="a3"/>
        <w:widowControl/>
      </w:pPr>
    </w:p>
    <w:p w14:paraId="098678CA" w14:textId="77777777" w:rsidR="00093A5E" w:rsidRPr="006A64EE" w:rsidRDefault="00093A5E" w:rsidP="004255F8">
      <w:pPr>
        <w:pStyle w:val="a3"/>
        <w:widowControl/>
      </w:pPr>
    </w:p>
    <w:p w14:paraId="23CEB935" w14:textId="77777777" w:rsidR="00093A5E" w:rsidRPr="006A64EE" w:rsidRDefault="00EB1524" w:rsidP="004255F8">
      <w:pPr>
        <w:pStyle w:val="tabele"/>
        <w:widowControl/>
      </w:pPr>
      <w:r w:rsidRPr="006A64EE">
        <w:t>2.</w:t>
      </w:r>
      <w:r w:rsidRPr="006A64EE">
        <w:tab/>
        <w:t>WIRKSTOFF(E)</w:t>
      </w:r>
    </w:p>
    <w:p w14:paraId="4CA3F348" w14:textId="77777777" w:rsidR="00093A5E" w:rsidRPr="006A64EE" w:rsidRDefault="00093A5E" w:rsidP="004255F8">
      <w:pPr>
        <w:pStyle w:val="a3"/>
        <w:widowControl/>
      </w:pPr>
    </w:p>
    <w:p w14:paraId="77899C69" w14:textId="77777777" w:rsidR="00093A5E" w:rsidRPr="006A64EE" w:rsidRDefault="009C2544" w:rsidP="004255F8">
      <w:pPr>
        <w:pStyle w:val="a3"/>
        <w:widowControl/>
      </w:pPr>
      <w:r w:rsidRPr="006A64EE">
        <w:t>1 Durchstechflasche enthält 80 mg Tocilizumab.</w:t>
      </w:r>
    </w:p>
    <w:p w14:paraId="75426965" w14:textId="77777777" w:rsidR="00093A5E" w:rsidRPr="006A64EE" w:rsidRDefault="00093A5E" w:rsidP="004255F8">
      <w:pPr>
        <w:pStyle w:val="a3"/>
        <w:widowControl/>
      </w:pPr>
    </w:p>
    <w:p w14:paraId="0FD22E46" w14:textId="77777777" w:rsidR="00093A5E" w:rsidRPr="006A64EE" w:rsidRDefault="00093A5E" w:rsidP="004255F8">
      <w:pPr>
        <w:pStyle w:val="a3"/>
        <w:widowControl/>
      </w:pPr>
    </w:p>
    <w:p w14:paraId="4BCF79F0" w14:textId="77777777" w:rsidR="00093A5E" w:rsidRPr="006A64EE" w:rsidRDefault="00EB1524" w:rsidP="004255F8">
      <w:pPr>
        <w:pStyle w:val="tabele"/>
        <w:widowControl/>
      </w:pPr>
      <w:r w:rsidRPr="006A64EE">
        <w:t>3.</w:t>
      </w:r>
      <w:r w:rsidRPr="006A64EE">
        <w:tab/>
        <w:t>SONSTIGE BESTANDTEILE</w:t>
      </w:r>
    </w:p>
    <w:p w14:paraId="7185CF9D" w14:textId="77777777" w:rsidR="00093A5E" w:rsidRPr="006A64EE" w:rsidRDefault="00093A5E" w:rsidP="004255F8">
      <w:pPr>
        <w:pStyle w:val="a3"/>
        <w:widowControl/>
      </w:pPr>
    </w:p>
    <w:p w14:paraId="1B7CDBA7" w14:textId="3646DE7C" w:rsidR="00940BBA" w:rsidRDefault="00940BBA" w:rsidP="004255F8">
      <w:pPr>
        <w:pStyle w:val="a3"/>
        <w:widowControl/>
      </w:pPr>
      <w:r>
        <w:t xml:space="preserve">Sonstige Bestandteile: </w:t>
      </w:r>
      <w:r w:rsidR="00806547">
        <w:t>L-Histidin,</w:t>
      </w:r>
      <w:r w:rsidR="00C242B8" w:rsidRPr="00C242B8">
        <w:t xml:space="preserve">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t>L-Threonin, L-Methionin, Polysorbat 80 und Wasser für Injektionszwecke.</w:t>
      </w:r>
    </w:p>
    <w:p w14:paraId="407E2586" w14:textId="6AE62DED" w:rsidR="00093A5E" w:rsidRPr="006A64EE" w:rsidRDefault="009C2544" w:rsidP="004255F8">
      <w:pPr>
        <w:pStyle w:val="a3"/>
        <w:widowControl/>
      </w:pPr>
      <w:r w:rsidRPr="006A64EE">
        <w:t>Siehe Packungsbeilage für weitere Informationen.</w:t>
      </w:r>
    </w:p>
    <w:p w14:paraId="42726B6F" w14:textId="77777777" w:rsidR="00093A5E" w:rsidRPr="006A64EE" w:rsidRDefault="00093A5E" w:rsidP="004255F8">
      <w:pPr>
        <w:pStyle w:val="a3"/>
        <w:widowControl/>
      </w:pPr>
    </w:p>
    <w:p w14:paraId="3A904E6D" w14:textId="77777777" w:rsidR="00093A5E" w:rsidRPr="006A64EE" w:rsidRDefault="00093A5E" w:rsidP="004255F8">
      <w:pPr>
        <w:pStyle w:val="a3"/>
        <w:widowControl/>
      </w:pPr>
    </w:p>
    <w:p w14:paraId="000DD171" w14:textId="77777777" w:rsidR="00093A5E" w:rsidRPr="006A64EE" w:rsidRDefault="00EB1524" w:rsidP="004255F8">
      <w:pPr>
        <w:pStyle w:val="tabele"/>
        <w:widowControl/>
      </w:pPr>
      <w:r w:rsidRPr="006A64EE">
        <w:t>4.</w:t>
      </w:r>
      <w:r w:rsidRPr="006A64EE">
        <w:tab/>
        <w:t>DARREICHUNGSFORM UND INHALT</w:t>
      </w:r>
    </w:p>
    <w:p w14:paraId="2D2890F4" w14:textId="77777777" w:rsidR="00093A5E" w:rsidRPr="006A64EE" w:rsidRDefault="00093A5E" w:rsidP="004255F8">
      <w:pPr>
        <w:pStyle w:val="a3"/>
        <w:widowControl/>
      </w:pPr>
    </w:p>
    <w:p w14:paraId="2496D26E" w14:textId="57D21D20" w:rsidR="00093A5E" w:rsidRPr="006A64EE" w:rsidRDefault="009C2544" w:rsidP="004255F8">
      <w:pPr>
        <w:pStyle w:val="a3"/>
        <w:widowControl/>
      </w:pPr>
      <w:r w:rsidRPr="006A64EE">
        <w:t>Konzentrat zur Herstellung einer Infusionslösung</w:t>
      </w:r>
    </w:p>
    <w:p w14:paraId="10901107" w14:textId="77777777" w:rsidR="00093A5E" w:rsidRPr="006A64EE" w:rsidRDefault="009C2544" w:rsidP="004255F8">
      <w:pPr>
        <w:pStyle w:val="a3"/>
        <w:widowControl/>
      </w:pPr>
      <w:r w:rsidRPr="006A64EE">
        <w:t>80 mg/4 ml</w:t>
      </w:r>
    </w:p>
    <w:p w14:paraId="076D1C86" w14:textId="32B44BE9" w:rsidR="00093A5E" w:rsidRPr="006A64EE" w:rsidRDefault="009C2544" w:rsidP="004255F8">
      <w:pPr>
        <w:pStyle w:val="a3"/>
        <w:widowControl/>
      </w:pPr>
      <w:r w:rsidRPr="006A64EE">
        <w:t>1 Durchstechflasche zu 4 ml</w:t>
      </w:r>
    </w:p>
    <w:p w14:paraId="1C3BB198" w14:textId="77777777" w:rsidR="00093A5E" w:rsidRPr="005979E2" w:rsidRDefault="009C2544" w:rsidP="004255F8">
      <w:pPr>
        <w:pStyle w:val="a3"/>
        <w:widowControl/>
      </w:pPr>
      <w:r w:rsidRPr="005979E2">
        <w:t>4 Durchstechflaschen zu 4 ml</w:t>
      </w:r>
    </w:p>
    <w:p w14:paraId="3918CAFE" w14:textId="77777777" w:rsidR="00093A5E" w:rsidRPr="005979E2" w:rsidRDefault="00093A5E" w:rsidP="004255F8">
      <w:pPr>
        <w:pStyle w:val="a3"/>
        <w:widowControl/>
      </w:pPr>
    </w:p>
    <w:p w14:paraId="073043A6" w14:textId="77777777" w:rsidR="00093A5E" w:rsidRPr="006A64EE" w:rsidRDefault="00093A5E" w:rsidP="004255F8">
      <w:pPr>
        <w:pStyle w:val="a3"/>
        <w:widowControl/>
      </w:pPr>
    </w:p>
    <w:p w14:paraId="507FFAFF" w14:textId="77777777" w:rsidR="00093A5E" w:rsidRPr="006A64EE" w:rsidRDefault="00EB1524" w:rsidP="004255F8">
      <w:pPr>
        <w:pStyle w:val="tabele"/>
        <w:widowControl/>
      </w:pPr>
      <w:r w:rsidRPr="006A64EE">
        <w:t>5.</w:t>
      </w:r>
      <w:r w:rsidRPr="006A64EE">
        <w:tab/>
        <w:t>HINWEISE ZUR UND ART(EN) DER ANWENDUNG</w:t>
      </w:r>
    </w:p>
    <w:p w14:paraId="58CCF941" w14:textId="77777777" w:rsidR="00093A5E" w:rsidRPr="006A64EE" w:rsidRDefault="00093A5E" w:rsidP="004255F8">
      <w:pPr>
        <w:pStyle w:val="a3"/>
        <w:widowControl/>
      </w:pPr>
    </w:p>
    <w:p w14:paraId="208A2F6D" w14:textId="3104B9FE" w:rsidR="00093A5E" w:rsidRPr="006A64EE" w:rsidRDefault="009C2544" w:rsidP="004255F8">
      <w:pPr>
        <w:pStyle w:val="a3"/>
        <w:widowControl/>
      </w:pPr>
      <w:r w:rsidRPr="006A64EE">
        <w:t>Zur intravenösen Infusion nach Verdünnung</w:t>
      </w:r>
    </w:p>
    <w:p w14:paraId="67575DB4" w14:textId="4E3CE5B7" w:rsidR="00107B53" w:rsidRPr="006A64EE" w:rsidRDefault="009C2544" w:rsidP="004255F8">
      <w:pPr>
        <w:pStyle w:val="a3"/>
        <w:widowControl/>
      </w:pPr>
      <w:r w:rsidRPr="006A64EE">
        <w:t xml:space="preserve">Das verdünnte Arzneimittel sollte sofort angewendet werden </w:t>
      </w:r>
    </w:p>
    <w:p w14:paraId="69F80A79" w14:textId="1F5010E8" w:rsidR="00093A5E" w:rsidRPr="006A64EE" w:rsidRDefault="009C2544" w:rsidP="004255F8">
      <w:pPr>
        <w:pStyle w:val="a3"/>
        <w:widowControl/>
      </w:pPr>
      <w:r w:rsidRPr="006A64EE">
        <w:t>Packungsbeilage beachten</w:t>
      </w:r>
    </w:p>
    <w:p w14:paraId="6BB6AB95" w14:textId="77777777" w:rsidR="00093A5E" w:rsidRPr="006A64EE" w:rsidRDefault="00093A5E" w:rsidP="004255F8">
      <w:pPr>
        <w:pStyle w:val="a3"/>
        <w:widowControl/>
      </w:pPr>
    </w:p>
    <w:p w14:paraId="59E154FC" w14:textId="77777777" w:rsidR="00093A5E" w:rsidRPr="006A64EE" w:rsidRDefault="00093A5E" w:rsidP="004255F8">
      <w:pPr>
        <w:pStyle w:val="a3"/>
        <w:widowControl/>
      </w:pPr>
    </w:p>
    <w:p w14:paraId="1A0915A3" w14:textId="49D10A14" w:rsidR="00093A5E" w:rsidRPr="006A64EE" w:rsidRDefault="00EB1524" w:rsidP="004255F8">
      <w:pPr>
        <w:pStyle w:val="tabele"/>
        <w:widowControl/>
      </w:pPr>
      <w:r w:rsidRPr="006A64EE">
        <w:t>6</w:t>
      </w:r>
      <w:r w:rsidR="002C488A" w:rsidRPr="006A64EE">
        <w:t>.</w:t>
      </w:r>
      <w:r w:rsidRPr="006A64EE">
        <w:tab/>
        <w:t xml:space="preserve">WARNHINWEIS, DASS DAS ARZNEIMITTEL FÜR KINDER </w:t>
      </w:r>
      <w:r w:rsidR="006308A9">
        <w:t>UNZUGÄNGLICH</w:t>
      </w:r>
      <w:r w:rsidRPr="006A64EE">
        <w:t xml:space="preserve"> AUFZUBEWAHREN IST</w:t>
      </w:r>
    </w:p>
    <w:p w14:paraId="698FD5EB" w14:textId="77777777" w:rsidR="00093A5E" w:rsidRPr="006A64EE" w:rsidRDefault="00093A5E" w:rsidP="004255F8">
      <w:pPr>
        <w:pStyle w:val="a3"/>
        <w:widowControl/>
      </w:pPr>
    </w:p>
    <w:p w14:paraId="2005FC54" w14:textId="4E97533B" w:rsidR="00093A5E" w:rsidRPr="006A64EE" w:rsidRDefault="009C2544" w:rsidP="00F43754">
      <w:pPr>
        <w:pStyle w:val="a3"/>
        <w:widowControl/>
      </w:pPr>
      <w:r w:rsidRPr="006A64EE">
        <w:t>Arzneimittel für Kinder unzugänglich aufbewahren</w:t>
      </w:r>
    </w:p>
    <w:p w14:paraId="20ADE2CE" w14:textId="77777777" w:rsidR="00093A5E" w:rsidRPr="006A64EE" w:rsidRDefault="00093A5E" w:rsidP="004255F8">
      <w:pPr>
        <w:pStyle w:val="a3"/>
        <w:widowControl/>
      </w:pPr>
    </w:p>
    <w:p w14:paraId="49E2CCD5" w14:textId="77777777" w:rsidR="00093A5E" w:rsidRPr="006A64EE" w:rsidRDefault="00093A5E" w:rsidP="004255F8">
      <w:pPr>
        <w:pStyle w:val="a3"/>
        <w:widowControl/>
      </w:pPr>
    </w:p>
    <w:p w14:paraId="45146C3C" w14:textId="77777777" w:rsidR="00093A5E" w:rsidRPr="006A64EE" w:rsidRDefault="00EB1524" w:rsidP="004255F8">
      <w:pPr>
        <w:pStyle w:val="tabele"/>
        <w:widowControl/>
      </w:pPr>
      <w:r w:rsidRPr="006A64EE">
        <w:t>7.</w:t>
      </w:r>
      <w:r w:rsidRPr="006A64EE">
        <w:tab/>
        <w:t>WEITERE WARNHINWEISE, FALLS ERFORDERLICH</w:t>
      </w:r>
    </w:p>
    <w:p w14:paraId="3B89112A" w14:textId="77777777" w:rsidR="00093A5E" w:rsidRPr="006A64EE" w:rsidRDefault="00093A5E" w:rsidP="004255F8">
      <w:pPr>
        <w:pStyle w:val="a3"/>
        <w:widowControl/>
      </w:pPr>
    </w:p>
    <w:p w14:paraId="14644A28" w14:textId="77777777" w:rsidR="00093A5E" w:rsidRPr="006A64EE" w:rsidRDefault="00093A5E" w:rsidP="004255F8">
      <w:pPr>
        <w:pStyle w:val="a3"/>
        <w:widowControl/>
      </w:pPr>
    </w:p>
    <w:p w14:paraId="7DB49F17" w14:textId="77777777" w:rsidR="00093A5E" w:rsidRPr="006A64EE" w:rsidRDefault="00EB1524" w:rsidP="004255F8">
      <w:pPr>
        <w:pStyle w:val="tabele"/>
        <w:widowControl/>
      </w:pPr>
      <w:r w:rsidRPr="006A64EE">
        <w:t>8.</w:t>
      </w:r>
      <w:r w:rsidRPr="006A64EE">
        <w:tab/>
        <w:t>VERFALLDATUM</w:t>
      </w:r>
    </w:p>
    <w:p w14:paraId="15482899" w14:textId="77777777" w:rsidR="00093A5E" w:rsidRPr="006A64EE" w:rsidRDefault="00093A5E" w:rsidP="004255F8">
      <w:pPr>
        <w:pStyle w:val="a3"/>
        <w:widowControl/>
      </w:pPr>
    </w:p>
    <w:p w14:paraId="16325DD0" w14:textId="77777777" w:rsidR="00093A5E" w:rsidRPr="006A64EE" w:rsidRDefault="009C2544" w:rsidP="004255F8">
      <w:pPr>
        <w:pStyle w:val="a3"/>
        <w:widowControl/>
      </w:pPr>
      <w:r w:rsidRPr="006A64EE">
        <w:t>verwendbar bis</w:t>
      </w:r>
    </w:p>
    <w:p w14:paraId="2545A019" w14:textId="77777777" w:rsidR="00093A5E" w:rsidRPr="006A64EE" w:rsidRDefault="00093A5E" w:rsidP="004255F8">
      <w:pPr>
        <w:pStyle w:val="a3"/>
        <w:widowControl/>
      </w:pPr>
    </w:p>
    <w:p w14:paraId="7B1BA703" w14:textId="77777777" w:rsidR="00093A5E" w:rsidRPr="006A64EE" w:rsidRDefault="00093A5E" w:rsidP="004255F8">
      <w:pPr>
        <w:pStyle w:val="a3"/>
        <w:widowControl/>
      </w:pPr>
    </w:p>
    <w:p w14:paraId="16761E61" w14:textId="77777777" w:rsidR="00093A5E" w:rsidRPr="006A64EE" w:rsidRDefault="00EB1524" w:rsidP="004255F8">
      <w:pPr>
        <w:pStyle w:val="tabele"/>
        <w:keepNext/>
        <w:widowControl/>
      </w:pPr>
      <w:r w:rsidRPr="006A64EE">
        <w:lastRenderedPageBreak/>
        <w:t>9.</w:t>
      </w:r>
      <w:r w:rsidRPr="006A64EE">
        <w:tab/>
        <w:t>BESONDERE VORSICHTSMASSNAHMEN FÜR DIE AUFBEWAHRUNG</w:t>
      </w:r>
    </w:p>
    <w:p w14:paraId="4C7837B2" w14:textId="77777777" w:rsidR="00093A5E" w:rsidRPr="006A64EE" w:rsidRDefault="00093A5E" w:rsidP="004255F8">
      <w:pPr>
        <w:pStyle w:val="a3"/>
        <w:keepNext/>
        <w:widowControl/>
      </w:pPr>
    </w:p>
    <w:p w14:paraId="2855BAF2" w14:textId="737C7256" w:rsidR="00093A5E" w:rsidRPr="006A64EE" w:rsidRDefault="009C2544" w:rsidP="004255F8">
      <w:pPr>
        <w:pStyle w:val="a3"/>
        <w:keepNext/>
        <w:widowControl/>
      </w:pPr>
      <w:r w:rsidRPr="006A64EE">
        <w:t>Im Kühlschrank lagern</w:t>
      </w:r>
    </w:p>
    <w:p w14:paraId="7EABD66A" w14:textId="56633F1D" w:rsidR="00093A5E" w:rsidRPr="006A64EE" w:rsidRDefault="009C2544" w:rsidP="004255F8">
      <w:pPr>
        <w:pStyle w:val="a3"/>
        <w:keepNext/>
        <w:widowControl/>
      </w:pPr>
      <w:r w:rsidRPr="006A64EE">
        <w:t>Nicht einfrieren</w:t>
      </w:r>
    </w:p>
    <w:p w14:paraId="3B8B2750" w14:textId="0F674640" w:rsidR="00093A5E" w:rsidRPr="006A64EE" w:rsidRDefault="009C2544" w:rsidP="004255F8">
      <w:pPr>
        <w:pStyle w:val="a3"/>
        <w:keepNext/>
        <w:widowControl/>
      </w:pPr>
      <w:r w:rsidRPr="006A64EE">
        <w:t>Durchstechflasche im Umkarton aufbewahren, um den Inhalt vor Licht zu schützen</w:t>
      </w:r>
    </w:p>
    <w:p w14:paraId="646FEBA5" w14:textId="77777777" w:rsidR="00093A5E" w:rsidRPr="006A64EE" w:rsidRDefault="00093A5E" w:rsidP="004255F8">
      <w:pPr>
        <w:pStyle w:val="a3"/>
        <w:widowControl/>
      </w:pPr>
    </w:p>
    <w:p w14:paraId="6911CA3D" w14:textId="77777777" w:rsidR="00107B53" w:rsidRPr="006A64EE" w:rsidRDefault="00107B53" w:rsidP="004255F8">
      <w:pPr>
        <w:pStyle w:val="a3"/>
        <w:widowControl/>
      </w:pPr>
    </w:p>
    <w:p w14:paraId="61D5BCB7" w14:textId="77777777" w:rsidR="00093A5E" w:rsidRPr="006A64EE" w:rsidRDefault="00EB1524" w:rsidP="004255F8">
      <w:pPr>
        <w:pStyle w:val="tabele"/>
        <w:widowControl/>
      </w:pPr>
      <w:r w:rsidRPr="006A64EE">
        <w:t>10.</w:t>
      </w:r>
      <w:r w:rsidRPr="006A64EE">
        <w:tab/>
        <w:t>GEGEBENENFALLS BESONDERE VORSICHTSMASSNAHMEN FÜR DIE BESEITIGUNG VON NICHT VERWENDETEM ARZNEIMITTEL ODER DAVON STAMMENDEN ABFALLMATERIALIEN</w:t>
      </w:r>
    </w:p>
    <w:p w14:paraId="5FB5B0E3" w14:textId="77777777" w:rsidR="00093A5E" w:rsidRPr="006A64EE" w:rsidRDefault="00093A5E" w:rsidP="004255F8">
      <w:pPr>
        <w:widowControl/>
        <w:rPr>
          <w:b/>
        </w:rPr>
      </w:pPr>
    </w:p>
    <w:p w14:paraId="584FF0B2" w14:textId="77777777" w:rsidR="00093A5E" w:rsidRPr="006A64EE" w:rsidRDefault="00093A5E" w:rsidP="004255F8">
      <w:pPr>
        <w:widowControl/>
        <w:tabs>
          <w:tab w:val="left" w:pos="669"/>
        </w:tabs>
        <w:rPr>
          <w:b/>
        </w:rPr>
      </w:pPr>
    </w:p>
    <w:p w14:paraId="423EF9EE" w14:textId="77777777" w:rsidR="00093A5E" w:rsidRPr="006A64EE" w:rsidRDefault="00EB1524" w:rsidP="004255F8">
      <w:pPr>
        <w:pStyle w:val="tabele"/>
        <w:widowControl/>
      </w:pPr>
      <w:r w:rsidRPr="006A64EE">
        <w:t>11.</w:t>
      </w:r>
      <w:r w:rsidRPr="006A64EE">
        <w:tab/>
        <w:t>NAME UND ANSCHRIFT DES PHARMAZEUTISCHEN UNTERNEHMERS</w:t>
      </w:r>
    </w:p>
    <w:p w14:paraId="05070033" w14:textId="77777777" w:rsidR="00093A5E" w:rsidRPr="006A64EE" w:rsidRDefault="00093A5E" w:rsidP="004255F8">
      <w:pPr>
        <w:pStyle w:val="a3"/>
        <w:widowControl/>
      </w:pPr>
    </w:p>
    <w:p w14:paraId="5B56D00D" w14:textId="083B3B9E" w:rsidR="00940BBA" w:rsidRPr="00B320E1" w:rsidRDefault="00940BBA" w:rsidP="00940BBA">
      <w:pPr>
        <w:keepNext/>
        <w:rPr>
          <w:lang w:val="en-US"/>
        </w:rPr>
      </w:pPr>
      <w:r w:rsidRPr="00B320E1">
        <w:rPr>
          <w:lang w:val="en-US"/>
        </w:rPr>
        <w:t>Celltrion Healthcare Hungary Kft.</w:t>
      </w:r>
    </w:p>
    <w:p w14:paraId="2C786D1F" w14:textId="77777777" w:rsidR="00940BBA" w:rsidRPr="00B320E1" w:rsidRDefault="00940BBA" w:rsidP="00940BBA">
      <w:pPr>
        <w:keepNext/>
        <w:rPr>
          <w:lang w:val="en-US"/>
        </w:rPr>
      </w:pPr>
      <w:r w:rsidRPr="00B320E1">
        <w:rPr>
          <w:lang w:val="en-US"/>
        </w:rPr>
        <w:t>1062 Budapest</w:t>
      </w:r>
    </w:p>
    <w:p w14:paraId="22FF1568" w14:textId="77777777" w:rsidR="00940BBA" w:rsidRPr="00B320E1" w:rsidRDefault="00940BBA" w:rsidP="00940BBA">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2EE4F3C6" w14:textId="6F4F6B46" w:rsidR="00940BBA" w:rsidRPr="00B320E1" w:rsidRDefault="00940BBA" w:rsidP="00940BBA">
      <w:pPr>
        <w:rPr>
          <w:lang w:val="en-US"/>
        </w:rPr>
      </w:pPr>
      <w:proofErr w:type="spellStart"/>
      <w:r>
        <w:rPr>
          <w:lang w:val="en-US"/>
        </w:rPr>
        <w:t>Ungarn</w:t>
      </w:r>
      <w:proofErr w:type="spellEnd"/>
    </w:p>
    <w:p w14:paraId="7CFF131B" w14:textId="77777777" w:rsidR="00093A5E" w:rsidRPr="00B320E1" w:rsidRDefault="00093A5E" w:rsidP="004255F8">
      <w:pPr>
        <w:pStyle w:val="a3"/>
        <w:widowControl/>
        <w:rPr>
          <w:lang w:val="en-US"/>
        </w:rPr>
      </w:pPr>
    </w:p>
    <w:p w14:paraId="608CF735" w14:textId="77777777" w:rsidR="00093A5E" w:rsidRPr="00B320E1" w:rsidRDefault="00093A5E" w:rsidP="004255F8">
      <w:pPr>
        <w:pStyle w:val="a3"/>
        <w:widowControl/>
        <w:rPr>
          <w:lang w:val="en-US"/>
        </w:rPr>
      </w:pPr>
    </w:p>
    <w:p w14:paraId="318F9AFA" w14:textId="77777777" w:rsidR="00093A5E" w:rsidRPr="006A64EE" w:rsidRDefault="00EB1524" w:rsidP="004255F8">
      <w:pPr>
        <w:pStyle w:val="tabele"/>
        <w:widowControl/>
      </w:pPr>
      <w:r w:rsidRPr="006A64EE">
        <w:t>12.</w:t>
      </w:r>
      <w:r w:rsidRPr="006A64EE">
        <w:tab/>
        <w:t>ZULASSUNGSNUMMER(N)</w:t>
      </w:r>
    </w:p>
    <w:p w14:paraId="6D3947E7" w14:textId="77777777" w:rsidR="00093A5E" w:rsidRPr="006A64EE" w:rsidRDefault="00093A5E" w:rsidP="004255F8">
      <w:pPr>
        <w:pStyle w:val="a3"/>
        <w:widowControl/>
      </w:pPr>
    </w:p>
    <w:p w14:paraId="022979BA" w14:textId="1D2911BF" w:rsidR="00952D16" w:rsidRPr="00020C6B" w:rsidRDefault="00952D16" w:rsidP="00952D16">
      <w:pPr>
        <w:keepNext/>
      </w:pPr>
      <w:r w:rsidRPr="00020C6B">
        <w:t>EU/</w:t>
      </w:r>
      <w:r w:rsidRPr="00F458BB">
        <w:rPr>
          <w:spacing w:val="-1"/>
          <w:lang w:val="pt-BR"/>
        </w:rPr>
        <w:t>1/24/1896/00</w:t>
      </w:r>
      <w:r>
        <w:rPr>
          <w:rFonts w:eastAsia="맑은 고딕" w:hint="eastAsia"/>
          <w:spacing w:val="-1"/>
          <w:lang w:val="pt-BR" w:eastAsia="ko-KR"/>
        </w:rPr>
        <w:t>1</w:t>
      </w:r>
      <w:r>
        <w:rPr>
          <w:rFonts w:hint="eastAsia"/>
          <w:spacing w:val="-1"/>
          <w:lang w:val="pt-BR" w:eastAsia="ko-KR"/>
        </w:rPr>
        <w:t xml:space="preserve"> 1</w:t>
      </w:r>
      <w:r w:rsidR="008C26A5">
        <w:rPr>
          <w:spacing w:val="-1"/>
          <w:lang w:val="pt-BR" w:eastAsia="ko-KR"/>
        </w:rPr>
        <w:t> Durchstechflasche</w:t>
      </w:r>
    </w:p>
    <w:p w14:paraId="27809D81" w14:textId="4B9A9165" w:rsidR="00093A5E" w:rsidRPr="008370F3" w:rsidRDefault="00952D16" w:rsidP="00952D16">
      <w:pPr>
        <w:rPr>
          <w:shd w:val="pct15" w:color="auto" w:fill="FFFFFF"/>
        </w:rPr>
      </w:pPr>
      <w:r w:rsidRPr="00020C6B">
        <w:t>EU/</w:t>
      </w:r>
      <w:r w:rsidRPr="00F458BB">
        <w:rPr>
          <w:spacing w:val="-1"/>
          <w:lang w:val="pt-BR"/>
        </w:rPr>
        <w:t>1/24/1896/00</w:t>
      </w:r>
      <w:r>
        <w:rPr>
          <w:rFonts w:eastAsia="맑은 고딕" w:hint="eastAsia"/>
          <w:spacing w:val="-1"/>
          <w:lang w:val="pt-BR" w:eastAsia="ko-KR"/>
        </w:rPr>
        <w:t>2</w:t>
      </w:r>
      <w:r>
        <w:rPr>
          <w:rFonts w:hint="eastAsia"/>
          <w:spacing w:val="-1"/>
          <w:lang w:val="pt-BR" w:eastAsia="ko-KR"/>
        </w:rPr>
        <w:t xml:space="preserve"> 4</w:t>
      </w:r>
      <w:r w:rsidR="008C26A5">
        <w:rPr>
          <w:spacing w:val="-1"/>
          <w:lang w:val="pt-BR" w:eastAsia="ko-KR"/>
        </w:rPr>
        <w:t> Durchstechflaschen</w:t>
      </w:r>
    </w:p>
    <w:p w14:paraId="0C2712FE" w14:textId="77777777" w:rsidR="00093A5E" w:rsidRPr="008370F3" w:rsidRDefault="00093A5E" w:rsidP="004255F8">
      <w:pPr>
        <w:pStyle w:val="a3"/>
        <w:widowControl/>
      </w:pPr>
    </w:p>
    <w:p w14:paraId="5210456E" w14:textId="77777777" w:rsidR="00093A5E" w:rsidRPr="008370F3" w:rsidRDefault="00093A5E" w:rsidP="004255F8">
      <w:pPr>
        <w:pStyle w:val="a3"/>
        <w:widowControl/>
      </w:pPr>
    </w:p>
    <w:p w14:paraId="3FC06EC3" w14:textId="77777777" w:rsidR="00093A5E" w:rsidRPr="006A64EE" w:rsidRDefault="00EB1524" w:rsidP="004255F8">
      <w:pPr>
        <w:pStyle w:val="tabele"/>
        <w:widowControl/>
      </w:pPr>
      <w:r w:rsidRPr="006A64EE">
        <w:t>13.</w:t>
      </w:r>
      <w:r w:rsidRPr="006A64EE">
        <w:tab/>
        <w:t>CHARGENBEZEICHNUNG</w:t>
      </w:r>
    </w:p>
    <w:p w14:paraId="5465F9D8" w14:textId="77777777" w:rsidR="00093A5E" w:rsidRPr="006A64EE" w:rsidRDefault="00093A5E" w:rsidP="004255F8">
      <w:pPr>
        <w:pStyle w:val="a3"/>
        <w:widowControl/>
      </w:pPr>
    </w:p>
    <w:p w14:paraId="03B5ED25" w14:textId="77777777" w:rsidR="00093A5E" w:rsidRPr="006A64EE" w:rsidRDefault="009C2544" w:rsidP="004255F8">
      <w:pPr>
        <w:pStyle w:val="a3"/>
        <w:widowControl/>
      </w:pPr>
      <w:r w:rsidRPr="006A64EE">
        <w:t>Ch.-B.</w:t>
      </w:r>
    </w:p>
    <w:p w14:paraId="75574ED9" w14:textId="77777777" w:rsidR="00093A5E" w:rsidRPr="006A64EE" w:rsidRDefault="00093A5E" w:rsidP="004255F8">
      <w:pPr>
        <w:pStyle w:val="a3"/>
        <w:widowControl/>
      </w:pPr>
    </w:p>
    <w:p w14:paraId="3178D3B1" w14:textId="77777777" w:rsidR="00093A5E" w:rsidRPr="006A64EE" w:rsidRDefault="00093A5E" w:rsidP="004255F8">
      <w:pPr>
        <w:pStyle w:val="a3"/>
        <w:widowControl/>
      </w:pPr>
    </w:p>
    <w:p w14:paraId="49338287" w14:textId="77777777" w:rsidR="00093A5E" w:rsidRPr="006A64EE" w:rsidRDefault="00EB1524" w:rsidP="004255F8">
      <w:pPr>
        <w:pStyle w:val="tabele"/>
        <w:widowControl/>
      </w:pPr>
      <w:r w:rsidRPr="006A64EE">
        <w:t>14.</w:t>
      </w:r>
      <w:r w:rsidRPr="006A64EE">
        <w:tab/>
        <w:t>VERKAUFSABGRENZUNG</w:t>
      </w:r>
    </w:p>
    <w:p w14:paraId="582340CB" w14:textId="77777777" w:rsidR="00093A5E" w:rsidRPr="006A64EE" w:rsidRDefault="00093A5E" w:rsidP="004255F8">
      <w:pPr>
        <w:pStyle w:val="a3"/>
        <w:widowControl/>
      </w:pPr>
    </w:p>
    <w:p w14:paraId="63B292DF" w14:textId="77777777" w:rsidR="00093A5E" w:rsidRPr="00B320E1" w:rsidRDefault="009C2544" w:rsidP="004255F8">
      <w:pPr>
        <w:pStyle w:val="a3"/>
        <w:widowControl/>
        <w:rPr>
          <w:shd w:val="pct15" w:color="auto" w:fill="FFFFFF"/>
        </w:rPr>
      </w:pPr>
      <w:r w:rsidRPr="00B320E1">
        <w:rPr>
          <w:shd w:val="pct15" w:color="auto" w:fill="FFFFFF"/>
        </w:rPr>
        <w:t>Verschreibungspflichtig</w:t>
      </w:r>
    </w:p>
    <w:p w14:paraId="54B96FE5" w14:textId="77777777" w:rsidR="00093A5E" w:rsidRPr="006A64EE" w:rsidRDefault="00093A5E" w:rsidP="004255F8">
      <w:pPr>
        <w:pStyle w:val="a3"/>
        <w:widowControl/>
      </w:pPr>
    </w:p>
    <w:p w14:paraId="690679D5" w14:textId="77777777" w:rsidR="00093A5E" w:rsidRPr="006A64EE" w:rsidRDefault="00093A5E" w:rsidP="004255F8">
      <w:pPr>
        <w:pStyle w:val="a3"/>
        <w:widowControl/>
      </w:pPr>
    </w:p>
    <w:p w14:paraId="278A3F48" w14:textId="77777777" w:rsidR="00093A5E" w:rsidRPr="006A64EE" w:rsidRDefault="00EB1524" w:rsidP="004255F8">
      <w:pPr>
        <w:pStyle w:val="tabele"/>
        <w:widowControl/>
      </w:pPr>
      <w:r w:rsidRPr="006A64EE">
        <w:t>15.</w:t>
      </w:r>
      <w:r w:rsidRPr="006A64EE">
        <w:tab/>
        <w:t>HINWEISE FÜR DEN GEBRAUCH</w:t>
      </w:r>
    </w:p>
    <w:p w14:paraId="7DAA6666" w14:textId="77777777" w:rsidR="00093A5E" w:rsidRPr="006A64EE" w:rsidRDefault="00093A5E" w:rsidP="004255F8">
      <w:pPr>
        <w:pStyle w:val="a3"/>
        <w:widowControl/>
      </w:pPr>
    </w:p>
    <w:p w14:paraId="0D274E92" w14:textId="77777777" w:rsidR="00093A5E" w:rsidRPr="006A64EE" w:rsidRDefault="00093A5E" w:rsidP="004255F8">
      <w:pPr>
        <w:pStyle w:val="a3"/>
        <w:widowControl/>
      </w:pPr>
    </w:p>
    <w:p w14:paraId="217CAE40" w14:textId="77777777" w:rsidR="00093A5E" w:rsidRPr="006A64EE" w:rsidRDefault="00EB1524" w:rsidP="004255F8">
      <w:pPr>
        <w:pStyle w:val="tabele"/>
        <w:widowControl/>
      </w:pPr>
      <w:r w:rsidRPr="006A64EE">
        <w:t>16.</w:t>
      </w:r>
      <w:r w:rsidRPr="006A64EE">
        <w:tab/>
        <w:t>ANGABEN IN BLINDENSCHRIFT</w:t>
      </w:r>
    </w:p>
    <w:p w14:paraId="47359242" w14:textId="77777777" w:rsidR="00093A5E" w:rsidRPr="006A64EE" w:rsidRDefault="00093A5E" w:rsidP="004255F8">
      <w:pPr>
        <w:pStyle w:val="a3"/>
        <w:widowControl/>
      </w:pPr>
    </w:p>
    <w:p w14:paraId="3802BB54" w14:textId="21590F3F" w:rsidR="00093A5E" w:rsidRPr="006A64EE" w:rsidRDefault="009C2544" w:rsidP="00107B53">
      <w:pPr>
        <w:pStyle w:val="a3"/>
        <w:widowControl/>
        <w:rPr>
          <w:shd w:val="pct15" w:color="auto" w:fill="FFFFFF"/>
        </w:rPr>
      </w:pPr>
      <w:r w:rsidRPr="006A64EE">
        <w:rPr>
          <w:shd w:val="pct15" w:color="auto" w:fill="FFFFFF"/>
        </w:rPr>
        <w:t>Der Begründung, keine Angaben in Blindenschrift aufzunehmen, wird zugestimmt</w:t>
      </w:r>
    </w:p>
    <w:p w14:paraId="5BD95EC1" w14:textId="77777777" w:rsidR="00093A5E" w:rsidRPr="006A64EE" w:rsidRDefault="00093A5E" w:rsidP="004255F8">
      <w:pPr>
        <w:pStyle w:val="a3"/>
        <w:widowControl/>
      </w:pPr>
    </w:p>
    <w:p w14:paraId="3D14F8C4" w14:textId="77777777" w:rsidR="00093A5E" w:rsidRPr="006A64EE" w:rsidRDefault="00093A5E" w:rsidP="004255F8">
      <w:pPr>
        <w:pStyle w:val="a3"/>
        <w:widowControl/>
      </w:pPr>
    </w:p>
    <w:p w14:paraId="3589AEC2" w14:textId="77777777" w:rsidR="00093A5E" w:rsidRPr="006A64EE" w:rsidRDefault="00EB1524" w:rsidP="004255F8">
      <w:pPr>
        <w:pStyle w:val="tabele"/>
        <w:widowControl/>
      </w:pPr>
      <w:r w:rsidRPr="006A64EE">
        <w:t>17.</w:t>
      </w:r>
      <w:r w:rsidRPr="006A64EE">
        <w:tab/>
        <w:t>INDIVIDUELLES ERKENNUNGSMERKMAL – 2D-BARCODE</w:t>
      </w:r>
    </w:p>
    <w:p w14:paraId="7E020A09" w14:textId="77777777" w:rsidR="00093A5E" w:rsidRPr="006A64EE" w:rsidRDefault="00093A5E" w:rsidP="004255F8">
      <w:pPr>
        <w:pStyle w:val="a3"/>
        <w:widowControl/>
      </w:pPr>
    </w:p>
    <w:p w14:paraId="7728470B" w14:textId="77777777" w:rsidR="00093A5E" w:rsidRPr="00F0391F" w:rsidRDefault="009C2544" w:rsidP="004255F8">
      <w:pPr>
        <w:pStyle w:val="a3"/>
        <w:widowControl/>
        <w:rPr>
          <w:shd w:val="pct15" w:color="auto" w:fill="FFFFFF"/>
        </w:rPr>
      </w:pPr>
      <w:r w:rsidRPr="00F0391F">
        <w:rPr>
          <w:shd w:val="pct15" w:color="auto" w:fill="FFFFFF"/>
        </w:rPr>
        <w:t>&lt;2D-Barcode mit individuellem Erkennungsmerkmal.&gt;</w:t>
      </w:r>
    </w:p>
    <w:p w14:paraId="5F3A6D3A" w14:textId="77777777" w:rsidR="00093A5E" w:rsidRPr="006A64EE" w:rsidRDefault="00093A5E" w:rsidP="004255F8">
      <w:pPr>
        <w:pStyle w:val="a3"/>
        <w:widowControl/>
      </w:pPr>
    </w:p>
    <w:p w14:paraId="5F7D2A34" w14:textId="77777777" w:rsidR="00093A5E" w:rsidRPr="006A64EE" w:rsidRDefault="00093A5E" w:rsidP="004255F8">
      <w:pPr>
        <w:pStyle w:val="a3"/>
        <w:widowControl/>
      </w:pPr>
    </w:p>
    <w:p w14:paraId="398A82A2" w14:textId="77777777" w:rsidR="00093A5E" w:rsidRPr="006A64EE" w:rsidRDefault="00EB1524" w:rsidP="004255F8">
      <w:pPr>
        <w:pStyle w:val="tabele"/>
        <w:keepNext/>
        <w:widowControl/>
      </w:pPr>
      <w:r w:rsidRPr="006A64EE">
        <w:lastRenderedPageBreak/>
        <w:t>18.</w:t>
      </w:r>
      <w:r w:rsidRPr="006A64EE">
        <w:tab/>
        <w:t>INDIVIDUELLES ERKENNUNGSMERKMAL – VOM MENSCHEN LESBARES FORMAT</w:t>
      </w:r>
    </w:p>
    <w:p w14:paraId="11C24830" w14:textId="77777777" w:rsidR="00093A5E" w:rsidRPr="006A64EE" w:rsidRDefault="00093A5E" w:rsidP="004255F8">
      <w:pPr>
        <w:pStyle w:val="a3"/>
        <w:keepNext/>
        <w:widowControl/>
        <w:jc w:val="both"/>
      </w:pPr>
    </w:p>
    <w:p w14:paraId="7D8143D9" w14:textId="77777777" w:rsidR="00093A5E" w:rsidRPr="006A64EE" w:rsidRDefault="009C2544" w:rsidP="004255F8">
      <w:pPr>
        <w:pStyle w:val="a3"/>
        <w:keepNext/>
        <w:widowControl/>
        <w:jc w:val="both"/>
      </w:pPr>
      <w:r w:rsidRPr="006A64EE">
        <w:t xml:space="preserve">PC </w:t>
      </w:r>
    </w:p>
    <w:p w14:paraId="33EDC423" w14:textId="77777777" w:rsidR="00093A5E" w:rsidRPr="006A64EE" w:rsidRDefault="009C2544" w:rsidP="004255F8">
      <w:pPr>
        <w:pStyle w:val="a3"/>
        <w:keepNext/>
        <w:widowControl/>
        <w:jc w:val="both"/>
      </w:pPr>
      <w:r w:rsidRPr="006A64EE">
        <w:t xml:space="preserve">SN </w:t>
      </w:r>
    </w:p>
    <w:p w14:paraId="28B3B746" w14:textId="77777777" w:rsidR="00093A5E" w:rsidRPr="006A64EE" w:rsidRDefault="009C2544" w:rsidP="004255F8">
      <w:pPr>
        <w:pStyle w:val="a3"/>
        <w:keepNext/>
        <w:widowControl/>
        <w:jc w:val="both"/>
      </w:pPr>
      <w:r w:rsidRPr="00E303AE">
        <w:rPr>
          <w:highlight w:val="lightGray"/>
        </w:rPr>
        <w:t>NN</w:t>
      </w:r>
    </w:p>
    <w:p w14:paraId="1153450D" w14:textId="77777777" w:rsidR="00093A5E" w:rsidRPr="006A64EE" w:rsidRDefault="0015120A" w:rsidP="004255F8">
      <w:pPr>
        <w:widowControl/>
        <w:rPr>
          <w:b/>
        </w:rPr>
      </w:pPr>
      <w:r w:rsidRPr="006A64EE">
        <w:br w:type="page"/>
      </w:r>
    </w:p>
    <w:p w14:paraId="2A126013" w14:textId="636ABEF0" w:rsidR="00093A5E" w:rsidRPr="006A64EE" w:rsidRDefault="00594B11" w:rsidP="004255F8">
      <w:pPr>
        <w:pStyle w:val="tabele"/>
        <w:widowControl/>
      </w:pPr>
      <w:r w:rsidRPr="006A64EE">
        <w:lastRenderedPageBreak/>
        <w:t xml:space="preserve">ANGABEN AUF DER ÄUSSEREN UMHÜLLUNG </w:t>
      </w:r>
    </w:p>
    <w:p w14:paraId="1DFC797E" w14:textId="77777777" w:rsidR="00093A5E" w:rsidRPr="006A64EE" w:rsidRDefault="00093A5E" w:rsidP="004255F8">
      <w:pPr>
        <w:pStyle w:val="tabele"/>
        <w:widowControl/>
      </w:pPr>
    </w:p>
    <w:p w14:paraId="608AA4E6" w14:textId="77777777" w:rsidR="00093A5E" w:rsidRPr="006A64EE" w:rsidRDefault="00EB1524" w:rsidP="004255F8">
      <w:pPr>
        <w:pStyle w:val="tabele"/>
        <w:widowControl/>
      </w:pPr>
      <w:r w:rsidRPr="006A64EE">
        <w:t>FALTSCHACHTEL</w:t>
      </w:r>
    </w:p>
    <w:p w14:paraId="41E4F4FB" w14:textId="77777777" w:rsidR="00093A5E" w:rsidRPr="006A64EE" w:rsidRDefault="00093A5E" w:rsidP="004255F8">
      <w:pPr>
        <w:widowControl/>
        <w:jc w:val="both"/>
        <w:rPr>
          <w:b/>
        </w:rPr>
      </w:pPr>
    </w:p>
    <w:p w14:paraId="07970A78" w14:textId="77777777" w:rsidR="00093A5E" w:rsidRPr="006A64EE" w:rsidRDefault="00093A5E" w:rsidP="004255F8">
      <w:pPr>
        <w:widowControl/>
        <w:tabs>
          <w:tab w:val="left" w:pos="669"/>
        </w:tabs>
        <w:rPr>
          <w:b/>
        </w:rPr>
      </w:pPr>
    </w:p>
    <w:p w14:paraId="6F1CC8BF" w14:textId="77777777" w:rsidR="00093A5E" w:rsidRPr="006A64EE" w:rsidRDefault="00EB1524" w:rsidP="004255F8">
      <w:pPr>
        <w:pStyle w:val="tabele"/>
        <w:widowControl/>
      </w:pPr>
      <w:r w:rsidRPr="006A64EE">
        <w:t>1.</w:t>
      </w:r>
      <w:r w:rsidRPr="006A64EE">
        <w:tab/>
        <w:t>BEZEICHNUNG DES ARZNEIMITTELS</w:t>
      </w:r>
    </w:p>
    <w:p w14:paraId="3E4E35E8" w14:textId="77777777" w:rsidR="00093A5E" w:rsidRPr="006A64EE" w:rsidRDefault="00093A5E" w:rsidP="004255F8">
      <w:pPr>
        <w:pStyle w:val="a3"/>
        <w:widowControl/>
      </w:pPr>
    </w:p>
    <w:p w14:paraId="3FE77F1B" w14:textId="112BF347" w:rsidR="00093A5E" w:rsidRPr="006A64EE" w:rsidRDefault="00806547" w:rsidP="004255F8">
      <w:pPr>
        <w:pStyle w:val="a3"/>
        <w:widowControl/>
      </w:pPr>
      <w:r>
        <w:t>Avtozma</w:t>
      </w:r>
      <w:r w:rsidRPr="006A64EE">
        <w:t xml:space="preserve"> </w:t>
      </w:r>
      <w:r w:rsidR="009C2544" w:rsidRPr="006A64EE">
        <w:t>20 mg/ml Konzentrat zur Herstellung einer Infusionslösung</w:t>
      </w:r>
    </w:p>
    <w:p w14:paraId="4A704718" w14:textId="77777777" w:rsidR="00093A5E" w:rsidRPr="006A64EE" w:rsidRDefault="009C2544" w:rsidP="004255F8">
      <w:pPr>
        <w:pStyle w:val="a3"/>
        <w:widowControl/>
      </w:pPr>
      <w:r w:rsidRPr="006A64EE">
        <w:t>Tocilizumab</w:t>
      </w:r>
    </w:p>
    <w:p w14:paraId="5064493F" w14:textId="77777777" w:rsidR="00093A5E" w:rsidRPr="006A64EE" w:rsidRDefault="00093A5E" w:rsidP="004255F8">
      <w:pPr>
        <w:pStyle w:val="a3"/>
        <w:widowControl/>
      </w:pPr>
    </w:p>
    <w:p w14:paraId="325AD473" w14:textId="77777777" w:rsidR="00093A5E" w:rsidRPr="006A64EE" w:rsidRDefault="00093A5E" w:rsidP="004255F8">
      <w:pPr>
        <w:pStyle w:val="a3"/>
        <w:widowControl/>
      </w:pPr>
    </w:p>
    <w:p w14:paraId="2B980707" w14:textId="77777777" w:rsidR="00093A5E" w:rsidRPr="006A64EE" w:rsidRDefault="00EB1524" w:rsidP="004255F8">
      <w:pPr>
        <w:pStyle w:val="tabele"/>
        <w:widowControl/>
      </w:pPr>
      <w:r w:rsidRPr="006A64EE">
        <w:t>2.</w:t>
      </w:r>
      <w:r w:rsidRPr="006A64EE">
        <w:tab/>
        <w:t>WIRKSTOFF(E)</w:t>
      </w:r>
    </w:p>
    <w:p w14:paraId="02525703" w14:textId="77777777" w:rsidR="00093A5E" w:rsidRPr="006A64EE" w:rsidRDefault="00093A5E" w:rsidP="004255F8">
      <w:pPr>
        <w:pStyle w:val="a3"/>
        <w:widowControl/>
      </w:pPr>
    </w:p>
    <w:p w14:paraId="6791534E" w14:textId="77777777" w:rsidR="00093A5E" w:rsidRPr="006A64EE" w:rsidRDefault="009C2544" w:rsidP="004255F8">
      <w:pPr>
        <w:pStyle w:val="a3"/>
        <w:widowControl/>
      </w:pPr>
      <w:r w:rsidRPr="006A64EE">
        <w:t>1 Durchstechflasche enthält 200 mg Tocilizumab.</w:t>
      </w:r>
    </w:p>
    <w:p w14:paraId="4D35D225" w14:textId="77777777" w:rsidR="00093A5E" w:rsidRPr="006A64EE" w:rsidRDefault="00093A5E" w:rsidP="004255F8">
      <w:pPr>
        <w:pStyle w:val="a3"/>
        <w:widowControl/>
      </w:pPr>
    </w:p>
    <w:p w14:paraId="24CBA41E" w14:textId="77777777" w:rsidR="00093A5E" w:rsidRPr="006A64EE" w:rsidRDefault="00093A5E" w:rsidP="004255F8">
      <w:pPr>
        <w:pStyle w:val="a3"/>
        <w:widowControl/>
      </w:pPr>
    </w:p>
    <w:p w14:paraId="19E5B2B3" w14:textId="77777777" w:rsidR="00093A5E" w:rsidRPr="006A64EE" w:rsidRDefault="00EB1524" w:rsidP="004255F8">
      <w:pPr>
        <w:pStyle w:val="tabele"/>
        <w:widowControl/>
      </w:pPr>
      <w:r w:rsidRPr="006A64EE">
        <w:t>3.</w:t>
      </w:r>
      <w:r w:rsidRPr="006A64EE">
        <w:tab/>
        <w:t>SONSTIGE BESTANDTEILE</w:t>
      </w:r>
    </w:p>
    <w:p w14:paraId="1C0539CC" w14:textId="77777777" w:rsidR="00093A5E" w:rsidRPr="006A64EE" w:rsidRDefault="00093A5E" w:rsidP="004255F8">
      <w:pPr>
        <w:pStyle w:val="a3"/>
        <w:widowControl/>
      </w:pPr>
    </w:p>
    <w:p w14:paraId="7EC815EB" w14:textId="17DFD687" w:rsidR="00806547" w:rsidRDefault="00806547" w:rsidP="004255F8">
      <w:pPr>
        <w:pStyle w:val="a3"/>
        <w:widowControl/>
      </w:pPr>
      <w:r>
        <w:t xml:space="preserve">Sonstige Bestandteile: L-Histidin,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t>L-Threonin, L-Methionin, Polysorbat 80 und Wasser für</w:t>
      </w:r>
      <w:r w:rsidR="002C5B3A">
        <w:t xml:space="preserve"> Injektionszwecke</w:t>
      </w:r>
      <w:r w:rsidR="009C2544" w:rsidRPr="006A64EE">
        <w:t>.</w:t>
      </w:r>
    </w:p>
    <w:p w14:paraId="4A11299A" w14:textId="02B1EC6F" w:rsidR="00093A5E" w:rsidRPr="006A64EE" w:rsidRDefault="009C2544" w:rsidP="004255F8">
      <w:pPr>
        <w:pStyle w:val="a3"/>
        <w:widowControl/>
      </w:pPr>
      <w:r w:rsidRPr="006A64EE">
        <w:t>Siehe Packungsbeilage für weitere Informationen.</w:t>
      </w:r>
    </w:p>
    <w:p w14:paraId="0F75CF44" w14:textId="77777777" w:rsidR="00093A5E" w:rsidRPr="006A64EE" w:rsidRDefault="00093A5E" w:rsidP="004255F8">
      <w:pPr>
        <w:pStyle w:val="a3"/>
        <w:widowControl/>
      </w:pPr>
    </w:p>
    <w:p w14:paraId="359D20C5" w14:textId="77777777" w:rsidR="00093A5E" w:rsidRPr="006A64EE" w:rsidRDefault="00093A5E" w:rsidP="004255F8">
      <w:pPr>
        <w:pStyle w:val="a3"/>
        <w:widowControl/>
      </w:pPr>
    </w:p>
    <w:p w14:paraId="3CCFA7FF" w14:textId="77777777" w:rsidR="00093A5E" w:rsidRPr="006A64EE" w:rsidRDefault="00EB1524" w:rsidP="004255F8">
      <w:pPr>
        <w:pStyle w:val="tabele"/>
        <w:widowControl/>
      </w:pPr>
      <w:r w:rsidRPr="006A64EE">
        <w:t>4.</w:t>
      </w:r>
      <w:r w:rsidRPr="006A64EE">
        <w:tab/>
        <w:t>DARREICHUNGSFORM UND INHALT</w:t>
      </w:r>
    </w:p>
    <w:p w14:paraId="056CB975" w14:textId="77777777" w:rsidR="00093A5E" w:rsidRPr="006A64EE" w:rsidRDefault="00093A5E" w:rsidP="004255F8">
      <w:pPr>
        <w:pStyle w:val="a3"/>
        <w:widowControl/>
      </w:pPr>
    </w:p>
    <w:p w14:paraId="7F35A69D" w14:textId="0135B238" w:rsidR="00093A5E" w:rsidRPr="006A64EE" w:rsidRDefault="009C2544" w:rsidP="004255F8">
      <w:pPr>
        <w:pStyle w:val="a3"/>
        <w:widowControl/>
      </w:pPr>
      <w:r w:rsidRPr="006A64EE">
        <w:t>Konzentrat zur Herstellung einer Infusionslösung</w:t>
      </w:r>
    </w:p>
    <w:p w14:paraId="36D0BC6A" w14:textId="77777777" w:rsidR="00093A5E" w:rsidRPr="006A64EE" w:rsidRDefault="009C2544" w:rsidP="004255F8">
      <w:pPr>
        <w:pStyle w:val="a3"/>
        <w:widowControl/>
      </w:pPr>
      <w:r w:rsidRPr="006A64EE">
        <w:t>200 mg/10 ml</w:t>
      </w:r>
    </w:p>
    <w:p w14:paraId="1D3C9CE2" w14:textId="77777777" w:rsidR="00093A5E" w:rsidRPr="006A64EE" w:rsidRDefault="009C2544" w:rsidP="004255F8">
      <w:pPr>
        <w:pStyle w:val="a3"/>
        <w:widowControl/>
      </w:pPr>
      <w:r w:rsidRPr="006A64EE">
        <w:t xml:space="preserve">1 Durchstechflasche zu 10 ml </w:t>
      </w:r>
    </w:p>
    <w:p w14:paraId="7DDA427A" w14:textId="77777777" w:rsidR="00093A5E" w:rsidRPr="003452D3" w:rsidRDefault="009C2544" w:rsidP="004255F8">
      <w:pPr>
        <w:pStyle w:val="a3"/>
        <w:widowControl/>
      </w:pPr>
      <w:r w:rsidRPr="003452D3">
        <w:t>4 Durchstechflaschen zu 10 ml</w:t>
      </w:r>
    </w:p>
    <w:p w14:paraId="39353D81" w14:textId="77777777" w:rsidR="00093A5E" w:rsidRPr="006A64EE" w:rsidRDefault="00093A5E" w:rsidP="004255F8">
      <w:pPr>
        <w:pStyle w:val="a3"/>
        <w:widowControl/>
      </w:pPr>
    </w:p>
    <w:p w14:paraId="4A854904" w14:textId="77777777" w:rsidR="00093A5E" w:rsidRPr="006A64EE" w:rsidRDefault="00093A5E" w:rsidP="004255F8">
      <w:pPr>
        <w:pStyle w:val="a3"/>
        <w:widowControl/>
      </w:pPr>
    </w:p>
    <w:p w14:paraId="4FA93AA2" w14:textId="77777777" w:rsidR="00093A5E" w:rsidRPr="006A64EE" w:rsidRDefault="00EB1524" w:rsidP="004255F8">
      <w:pPr>
        <w:pStyle w:val="tabele"/>
        <w:widowControl/>
      </w:pPr>
      <w:r w:rsidRPr="006A64EE">
        <w:t>5.</w:t>
      </w:r>
      <w:r w:rsidRPr="006A64EE">
        <w:tab/>
        <w:t>HINWEISE ZUR UND ART(EN) DER ANWENDUNG</w:t>
      </w:r>
    </w:p>
    <w:p w14:paraId="2A3B2A73" w14:textId="77777777" w:rsidR="00093A5E" w:rsidRPr="006A64EE" w:rsidRDefault="00093A5E" w:rsidP="004255F8">
      <w:pPr>
        <w:pStyle w:val="a3"/>
        <w:widowControl/>
      </w:pPr>
    </w:p>
    <w:p w14:paraId="178986E0" w14:textId="023F84C0" w:rsidR="00093A5E" w:rsidRPr="006A64EE" w:rsidRDefault="009C2544" w:rsidP="004255F8">
      <w:pPr>
        <w:pStyle w:val="a3"/>
        <w:widowControl/>
      </w:pPr>
      <w:r w:rsidRPr="006A64EE">
        <w:t>Zur intravenösen Infusion nach Verdünnung</w:t>
      </w:r>
    </w:p>
    <w:p w14:paraId="59915D9C" w14:textId="0402B22A" w:rsidR="00093A5E" w:rsidRPr="006A64EE" w:rsidRDefault="009C2544" w:rsidP="004255F8">
      <w:pPr>
        <w:pStyle w:val="a3"/>
        <w:widowControl/>
      </w:pPr>
      <w:r w:rsidRPr="006A64EE">
        <w:t>Das verdünnte Arzneimittel sollte sofort angewendet werden</w:t>
      </w:r>
    </w:p>
    <w:p w14:paraId="63D53A8A" w14:textId="1523F7D2" w:rsidR="00093A5E" w:rsidRPr="006A64EE" w:rsidRDefault="009C2544" w:rsidP="004255F8">
      <w:pPr>
        <w:pStyle w:val="a3"/>
        <w:widowControl/>
      </w:pPr>
      <w:r w:rsidRPr="006A64EE">
        <w:t>Packungsbeilage beachten</w:t>
      </w:r>
    </w:p>
    <w:p w14:paraId="0633A763" w14:textId="77777777" w:rsidR="00093A5E" w:rsidRPr="006A64EE" w:rsidRDefault="00093A5E" w:rsidP="004255F8">
      <w:pPr>
        <w:pStyle w:val="a3"/>
        <w:widowControl/>
      </w:pPr>
    </w:p>
    <w:p w14:paraId="06A93FFC" w14:textId="77777777" w:rsidR="00093A5E" w:rsidRPr="006A64EE" w:rsidRDefault="00093A5E" w:rsidP="004255F8">
      <w:pPr>
        <w:pStyle w:val="a3"/>
        <w:widowControl/>
      </w:pPr>
    </w:p>
    <w:p w14:paraId="2810D9C3" w14:textId="7679A1FD" w:rsidR="00093A5E" w:rsidRPr="006A64EE" w:rsidRDefault="00EB1524" w:rsidP="004255F8">
      <w:pPr>
        <w:pStyle w:val="tabele"/>
        <w:widowControl/>
      </w:pPr>
      <w:r w:rsidRPr="006A64EE">
        <w:t>6</w:t>
      </w:r>
      <w:r w:rsidR="0015120A" w:rsidRPr="006A64EE">
        <w:t>.</w:t>
      </w:r>
      <w:r w:rsidRPr="006A64EE">
        <w:tab/>
        <w:t xml:space="preserve">WARNHINWEIS, DASS DAS ARZNEIMITTEL FÜR KINDER </w:t>
      </w:r>
      <w:r w:rsidR="0018324B">
        <w:t>UNZUGÄNGLICH</w:t>
      </w:r>
      <w:r w:rsidRPr="006A64EE">
        <w:t xml:space="preserve"> AUFZUBEWAHREN IST</w:t>
      </w:r>
    </w:p>
    <w:p w14:paraId="297EC909" w14:textId="77777777" w:rsidR="00093A5E" w:rsidRPr="006A64EE" w:rsidRDefault="00093A5E" w:rsidP="004255F8">
      <w:pPr>
        <w:pStyle w:val="a3"/>
        <w:widowControl/>
      </w:pPr>
    </w:p>
    <w:p w14:paraId="2DD6BD36" w14:textId="7F680594" w:rsidR="00093A5E" w:rsidRPr="006A64EE" w:rsidRDefault="009C2544" w:rsidP="004255F8">
      <w:pPr>
        <w:pStyle w:val="a3"/>
        <w:widowControl/>
      </w:pPr>
      <w:r w:rsidRPr="006A64EE">
        <w:t>Arzneimittel für Kinder unzugänglich aufbewahren</w:t>
      </w:r>
    </w:p>
    <w:p w14:paraId="22258F12" w14:textId="77777777" w:rsidR="00093A5E" w:rsidRPr="006A64EE" w:rsidRDefault="00093A5E" w:rsidP="004255F8">
      <w:pPr>
        <w:pStyle w:val="a3"/>
        <w:widowControl/>
      </w:pPr>
    </w:p>
    <w:p w14:paraId="15EE5FD6" w14:textId="77777777" w:rsidR="00093A5E" w:rsidRPr="006A64EE" w:rsidRDefault="00093A5E" w:rsidP="004255F8">
      <w:pPr>
        <w:pStyle w:val="a3"/>
        <w:widowControl/>
      </w:pPr>
    </w:p>
    <w:p w14:paraId="36B40911" w14:textId="77777777" w:rsidR="00093A5E" w:rsidRPr="006A64EE" w:rsidRDefault="00EB1524" w:rsidP="004255F8">
      <w:pPr>
        <w:pStyle w:val="tabele"/>
        <w:widowControl/>
      </w:pPr>
      <w:r w:rsidRPr="006A64EE">
        <w:t>7.</w:t>
      </w:r>
      <w:r w:rsidRPr="006A64EE">
        <w:tab/>
        <w:t>WEITERE WARNHINWEISE, FALLS ERFORDERLICH</w:t>
      </w:r>
    </w:p>
    <w:p w14:paraId="33CC9B22" w14:textId="77777777" w:rsidR="00093A5E" w:rsidRPr="006A64EE" w:rsidRDefault="00093A5E" w:rsidP="004255F8">
      <w:pPr>
        <w:pStyle w:val="a3"/>
        <w:widowControl/>
      </w:pPr>
    </w:p>
    <w:p w14:paraId="4B68258B" w14:textId="77777777" w:rsidR="00093A5E" w:rsidRPr="006A64EE" w:rsidRDefault="00093A5E" w:rsidP="004255F8">
      <w:pPr>
        <w:pStyle w:val="a3"/>
        <w:widowControl/>
      </w:pPr>
    </w:p>
    <w:p w14:paraId="27E147B2" w14:textId="77777777" w:rsidR="00093A5E" w:rsidRPr="006A64EE" w:rsidRDefault="00EB1524" w:rsidP="004255F8">
      <w:pPr>
        <w:pStyle w:val="tabele"/>
        <w:widowControl/>
      </w:pPr>
      <w:r w:rsidRPr="006A64EE">
        <w:t>8.</w:t>
      </w:r>
      <w:r w:rsidRPr="006A64EE">
        <w:tab/>
        <w:t>VERFALLDATUM</w:t>
      </w:r>
    </w:p>
    <w:p w14:paraId="08882EBD" w14:textId="77777777" w:rsidR="00093A5E" w:rsidRPr="006A64EE" w:rsidRDefault="00093A5E" w:rsidP="004255F8">
      <w:pPr>
        <w:pStyle w:val="a3"/>
        <w:widowControl/>
      </w:pPr>
    </w:p>
    <w:p w14:paraId="21A7DAE5" w14:textId="77777777" w:rsidR="00093A5E" w:rsidRPr="006A64EE" w:rsidRDefault="009C2544" w:rsidP="004255F8">
      <w:pPr>
        <w:pStyle w:val="a3"/>
        <w:widowControl/>
      </w:pPr>
      <w:r w:rsidRPr="006A64EE">
        <w:t>verwendbar bis</w:t>
      </w:r>
    </w:p>
    <w:p w14:paraId="3F853D1D" w14:textId="77777777" w:rsidR="00093A5E" w:rsidRPr="006A64EE" w:rsidRDefault="00093A5E" w:rsidP="004255F8">
      <w:pPr>
        <w:pStyle w:val="a3"/>
        <w:widowControl/>
      </w:pPr>
    </w:p>
    <w:p w14:paraId="758644AB" w14:textId="77777777" w:rsidR="00093A5E" w:rsidRPr="006A64EE" w:rsidRDefault="00093A5E" w:rsidP="004255F8">
      <w:pPr>
        <w:pStyle w:val="a3"/>
        <w:widowControl/>
      </w:pPr>
    </w:p>
    <w:p w14:paraId="5510D674" w14:textId="77777777" w:rsidR="00093A5E" w:rsidRPr="006A64EE" w:rsidRDefault="00EB1524" w:rsidP="004255F8">
      <w:pPr>
        <w:pStyle w:val="tabele"/>
        <w:keepNext/>
        <w:widowControl/>
      </w:pPr>
      <w:r w:rsidRPr="006A64EE">
        <w:lastRenderedPageBreak/>
        <w:t>9.</w:t>
      </w:r>
      <w:r w:rsidRPr="006A64EE">
        <w:tab/>
        <w:t>BESONDERE VORSICHTSMASSNAHMEN FÜR DIE AUFBEWAHRUNG</w:t>
      </w:r>
    </w:p>
    <w:p w14:paraId="01FFF6E9" w14:textId="77777777" w:rsidR="00093A5E" w:rsidRPr="006A64EE" w:rsidRDefault="00093A5E" w:rsidP="004255F8">
      <w:pPr>
        <w:pStyle w:val="a3"/>
        <w:keepNext/>
        <w:widowControl/>
      </w:pPr>
    </w:p>
    <w:p w14:paraId="235C2C6F" w14:textId="33485D1B" w:rsidR="00093A5E" w:rsidRPr="006A64EE" w:rsidRDefault="009C2544" w:rsidP="004255F8">
      <w:pPr>
        <w:pStyle w:val="a3"/>
        <w:keepNext/>
        <w:widowControl/>
      </w:pPr>
      <w:r w:rsidRPr="006A64EE">
        <w:t>Im Kühlschrank lagern</w:t>
      </w:r>
    </w:p>
    <w:p w14:paraId="78735BC8" w14:textId="711A37AC" w:rsidR="00093A5E" w:rsidRPr="006A64EE" w:rsidRDefault="009C2544" w:rsidP="004255F8">
      <w:pPr>
        <w:pStyle w:val="a3"/>
        <w:widowControl/>
      </w:pPr>
      <w:r w:rsidRPr="006A64EE">
        <w:t>Nicht einfrieren</w:t>
      </w:r>
    </w:p>
    <w:p w14:paraId="7A86C9AC" w14:textId="4F66D9B6" w:rsidR="00093A5E" w:rsidRPr="006A64EE" w:rsidRDefault="009C2544" w:rsidP="004255F8">
      <w:pPr>
        <w:pStyle w:val="a3"/>
        <w:widowControl/>
      </w:pPr>
      <w:r w:rsidRPr="006A64EE">
        <w:t>Durchstechflasche im Umkarton aufbewahren, um den Inhalt vor Licht zu schützen</w:t>
      </w:r>
    </w:p>
    <w:p w14:paraId="1FF3B882" w14:textId="77777777" w:rsidR="00093A5E" w:rsidRDefault="00093A5E" w:rsidP="004255F8">
      <w:pPr>
        <w:pStyle w:val="a3"/>
        <w:widowControl/>
      </w:pPr>
    </w:p>
    <w:p w14:paraId="32341C76" w14:textId="77777777" w:rsidR="00AA5B6E" w:rsidRPr="006A64EE" w:rsidRDefault="00AA5B6E" w:rsidP="004255F8">
      <w:pPr>
        <w:pStyle w:val="a3"/>
        <w:widowControl/>
      </w:pPr>
    </w:p>
    <w:p w14:paraId="0B8965ED" w14:textId="77777777" w:rsidR="00093A5E" w:rsidRPr="006A64EE" w:rsidRDefault="00EB1524" w:rsidP="004255F8">
      <w:pPr>
        <w:pStyle w:val="tabele"/>
        <w:widowControl/>
      </w:pPr>
      <w:r w:rsidRPr="006A64EE">
        <w:t>10.</w:t>
      </w:r>
      <w:r w:rsidRPr="006A64EE">
        <w:tab/>
        <w:t>GEGEBENENFALLS BESONDERE VORSICHTSMASSNAHMEN FÜR DIE BESEITIGUNG VON NICHT VERWENDETEM ARZNEIMITTEL ODER DAVON STAMMENDEN ABFALLMATERIALIEN</w:t>
      </w:r>
    </w:p>
    <w:p w14:paraId="3117EC05" w14:textId="77777777" w:rsidR="00093A5E" w:rsidRPr="006A64EE" w:rsidRDefault="00093A5E" w:rsidP="004255F8">
      <w:pPr>
        <w:widowControl/>
        <w:rPr>
          <w:b/>
        </w:rPr>
      </w:pPr>
    </w:p>
    <w:p w14:paraId="7DC65B1F" w14:textId="77777777" w:rsidR="00093A5E" w:rsidRPr="006A64EE" w:rsidRDefault="00093A5E" w:rsidP="004255F8">
      <w:pPr>
        <w:widowControl/>
        <w:tabs>
          <w:tab w:val="left" w:pos="669"/>
        </w:tabs>
        <w:rPr>
          <w:b/>
        </w:rPr>
      </w:pPr>
    </w:p>
    <w:p w14:paraId="263707E0" w14:textId="77777777" w:rsidR="00093A5E" w:rsidRPr="006A64EE" w:rsidRDefault="00EB1524" w:rsidP="004255F8">
      <w:pPr>
        <w:pStyle w:val="tabele"/>
        <w:widowControl/>
      </w:pPr>
      <w:r w:rsidRPr="006A64EE">
        <w:t>11.</w:t>
      </w:r>
      <w:r w:rsidRPr="006A64EE">
        <w:tab/>
        <w:t>NAME UND ANSCHRIFT DES PHARMAZEUTISCHEN UNTERNEHMERS</w:t>
      </w:r>
    </w:p>
    <w:p w14:paraId="2835E68E" w14:textId="77777777" w:rsidR="00093A5E" w:rsidRPr="006A64EE" w:rsidRDefault="00093A5E" w:rsidP="004255F8">
      <w:pPr>
        <w:pStyle w:val="a3"/>
        <w:widowControl/>
      </w:pPr>
    </w:p>
    <w:p w14:paraId="29841760" w14:textId="7A28A880" w:rsidR="00AE6B80" w:rsidRPr="00B320E1" w:rsidRDefault="00AE6B80" w:rsidP="00AE6B80">
      <w:pPr>
        <w:keepNext/>
        <w:rPr>
          <w:lang w:val="en-US"/>
        </w:rPr>
      </w:pPr>
      <w:r w:rsidRPr="00B320E1">
        <w:rPr>
          <w:lang w:val="en-US"/>
        </w:rPr>
        <w:t>Celltrion Healthcare Hungary Kft.</w:t>
      </w:r>
    </w:p>
    <w:p w14:paraId="4B819385" w14:textId="77777777" w:rsidR="00AE6B80" w:rsidRPr="00B320E1" w:rsidRDefault="00AE6B80" w:rsidP="00AE6B80">
      <w:pPr>
        <w:keepNext/>
        <w:rPr>
          <w:lang w:val="en-US"/>
        </w:rPr>
      </w:pPr>
      <w:r w:rsidRPr="00B320E1">
        <w:rPr>
          <w:lang w:val="en-US"/>
        </w:rPr>
        <w:t>1062 Budapest</w:t>
      </w:r>
    </w:p>
    <w:p w14:paraId="45052065" w14:textId="77777777" w:rsidR="00AE6B80" w:rsidRPr="00B320E1" w:rsidRDefault="00AE6B80" w:rsidP="00AE6B80">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70B89CAD" w14:textId="303A2C87" w:rsidR="00AE6B80" w:rsidRPr="00B320E1" w:rsidRDefault="00AE6B80" w:rsidP="00AE6B80">
      <w:pPr>
        <w:rPr>
          <w:lang w:val="en-US"/>
        </w:rPr>
      </w:pPr>
      <w:proofErr w:type="spellStart"/>
      <w:r w:rsidRPr="00B320E1">
        <w:rPr>
          <w:lang w:val="en-US"/>
        </w:rPr>
        <w:t>Ungarn</w:t>
      </w:r>
      <w:proofErr w:type="spellEnd"/>
    </w:p>
    <w:p w14:paraId="477FF2F8" w14:textId="77777777" w:rsidR="00093A5E" w:rsidRPr="00B320E1" w:rsidRDefault="00093A5E" w:rsidP="004255F8">
      <w:pPr>
        <w:pStyle w:val="a3"/>
        <w:widowControl/>
        <w:rPr>
          <w:lang w:val="en-US"/>
        </w:rPr>
      </w:pPr>
    </w:p>
    <w:p w14:paraId="1298E279" w14:textId="77777777" w:rsidR="00093A5E" w:rsidRPr="00B320E1" w:rsidRDefault="00093A5E" w:rsidP="004255F8">
      <w:pPr>
        <w:pStyle w:val="a3"/>
        <w:widowControl/>
        <w:rPr>
          <w:lang w:val="en-US"/>
        </w:rPr>
      </w:pPr>
    </w:p>
    <w:p w14:paraId="1FCC8742" w14:textId="77777777" w:rsidR="00093A5E" w:rsidRPr="006A64EE" w:rsidRDefault="00EB1524" w:rsidP="004255F8">
      <w:pPr>
        <w:pStyle w:val="tabele"/>
        <w:widowControl/>
      </w:pPr>
      <w:r w:rsidRPr="006A64EE">
        <w:t>12.</w:t>
      </w:r>
      <w:r w:rsidRPr="006A64EE">
        <w:tab/>
        <w:t>ZULASSUNGSNUMMER(N)</w:t>
      </w:r>
    </w:p>
    <w:p w14:paraId="046DAA40" w14:textId="77777777" w:rsidR="00093A5E" w:rsidRPr="006A64EE" w:rsidRDefault="00093A5E" w:rsidP="004255F8">
      <w:pPr>
        <w:pStyle w:val="a3"/>
        <w:widowControl/>
      </w:pPr>
    </w:p>
    <w:p w14:paraId="34D9CDB7" w14:textId="03C8B4B3" w:rsidR="008C26A5" w:rsidRPr="00020C6B" w:rsidRDefault="008C26A5" w:rsidP="008C26A5">
      <w:pPr>
        <w:keepNext/>
      </w:pPr>
      <w:r w:rsidRPr="00020C6B">
        <w:t>EU/</w:t>
      </w:r>
      <w:r w:rsidRPr="003672E9">
        <w:rPr>
          <w:spacing w:val="-1"/>
          <w:lang w:val="pt-BR"/>
        </w:rPr>
        <w:t>1/24/1896/00</w:t>
      </w:r>
      <w:r>
        <w:rPr>
          <w:rFonts w:eastAsia="맑은 고딕" w:hint="eastAsia"/>
          <w:spacing w:val="-1"/>
          <w:lang w:val="pt-BR" w:eastAsia="ko-KR"/>
        </w:rPr>
        <w:t>3</w:t>
      </w:r>
      <w:r>
        <w:rPr>
          <w:rFonts w:hint="eastAsia"/>
          <w:spacing w:val="-1"/>
          <w:lang w:val="pt-BR" w:eastAsia="ko-KR"/>
        </w:rPr>
        <w:t xml:space="preserve"> 1</w:t>
      </w:r>
      <w:r>
        <w:rPr>
          <w:spacing w:val="-1"/>
          <w:lang w:val="pt-BR" w:eastAsia="ko-KR"/>
        </w:rPr>
        <w:t> Durchstechflasche</w:t>
      </w:r>
    </w:p>
    <w:p w14:paraId="22B5A279" w14:textId="45C8E4CF" w:rsidR="008C26A5" w:rsidRPr="00020C6B" w:rsidRDefault="008C26A5" w:rsidP="008C26A5">
      <w:r w:rsidRPr="00020C6B">
        <w:t>EU/</w:t>
      </w:r>
      <w:r w:rsidRPr="003672E9">
        <w:rPr>
          <w:spacing w:val="-1"/>
          <w:lang w:val="pt-BR"/>
        </w:rPr>
        <w:t>1/24/1896/00</w:t>
      </w:r>
      <w:r>
        <w:rPr>
          <w:rFonts w:eastAsia="맑은 고딕" w:hint="eastAsia"/>
          <w:spacing w:val="-1"/>
          <w:lang w:val="pt-BR" w:eastAsia="ko-KR"/>
        </w:rPr>
        <w:t>4 4</w:t>
      </w:r>
      <w:r>
        <w:rPr>
          <w:rFonts w:eastAsia="맑은 고딕"/>
          <w:spacing w:val="-1"/>
          <w:lang w:val="pt-BR" w:eastAsia="ko-KR"/>
        </w:rPr>
        <w:t> Durchstechflaschen</w:t>
      </w:r>
    </w:p>
    <w:p w14:paraId="30D2228F" w14:textId="77777777" w:rsidR="00093A5E" w:rsidRPr="003452D3" w:rsidRDefault="00093A5E" w:rsidP="004255F8">
      <w:pPr>
        <w:pStyle w:val="a3"/>
        <w:widowControl/>
      </w:pPr>
    </w:p>
    <w:p w14:paraId="088485EB" w14:textId="77777777" w:rsidR="00093A5E" w:rsidRPr="003452D3" w:rsidRDefault="00093A5E" w:rsidP="004255F8">
      <w:pPr>
        <w:pStyle w:val="a3"/>
        <w:widowControl/>
      </w:pPr>
    </w:p>
    <w:p w14:paraId="5ACDD726" w14:textId="77777777" w:rsidR="00093A5E" w:rsidRPr="006A64EE" w:rsidRDefault="00EB1524" w:rsidP="004255F8">
      <w:pPr>
        <w:pStyle w:val="tabele"/>
        <w:widowControl/>
      </w:pPr>
      <w:r w:rsidRPr="006A64EE">
        <w:t>13.</w:t>
      </w:r>
      <w:r w:rsidRPr="006A64EE">
        <w:tab/>
        <w:t>CHARGENBEZEICHNUNG</w:t>
      </w:r>
    </w:p>
    <w:p w14:paraId="25C3A91E" w14:textId="77777777" w:rsidR="00093A5E" w:rsidRPr="006A64EE" w:rsidRDefault="00093A5E" w:rsidP="004255F8">
      <w:pPr>
        <w:pStyle w:val="a3"/>
        <w:widowControl/>
      </w:pPr>
    </w:p>
    <w:p w14:paraId="33A8DBD1" w14:textId="77777777" w:rsidR="00093A5E" w:rsidRPr="006A64EE" w:rsidRDefault="009C2544" w:rsidP="004255F8">
      <w:pPr>
        <w:pStyle w:val="a3"/>
        <w:widowControl/>
      </w:pPr>
      <w:r w:rsidRPr="006A64EE">
        <w:t>Ch.-B.</w:t>
      </w:r>
    </w:p>
    <w:p w14:paraId="7005BB83" w14:textId="77777777" w:rsidR="00093A5E" w:rsidRPr="006A64EE" w:rsidRDefault="00093A5E" w:rsidP="004255F8">
      <w:pPr>
        <w:pStyle w:val="a3"/>
        <w:widowControl/>
      </w:pPr>
    </w:p>
    <w:p w14:paraId="26F78195" w14:textId="77777777" w:rsidR="00093A5E" w:rsidRPr="006A64EE" w:rsidRDefault="00093A5E" w:rsidP="004255F8">
      <w:pPr>
        <w:pStyle w:val="a3"/>
        <w:widowControl/>
      </w:pPr>
    </w:p>
    <w:p w14:paraId="40BA2375" w14:textId="77777777" w:rsidR="00093A5E" w:rsidRPr="006A64EE" w:rsidRDefault="00EB1524" w:rsidP="004255F8">
      <w:pPr>
        <w:pStyle w:val="tabele"/>
        <w:widowControl/>
      </w:pPr>
      <w:r w:rsidRPr="006A64EE">
        <w:t>14.</w:t>
      </w:r>
      <w:r w:rsidRPr="006A64EE">
        <w:tab/>
        <w:t>VERKAUFSABGRENZUNG</w:t>
      </w:r>
    </w:p>
    <w:p w14:paraId="3FEF0E68" w14:textId="77777777" w:rsidR="00093A5E" w:rsidRPr="006A64EE" w:rsidRDefault="00093A5E" w:rsidP="004255F8">
      <w:pPr>
        <w:pStyle w:val="a3"/>
        <w:widowControl/>
      </w:pPr>
    </w:p>
    <w:p w14:paraId="4CECEE1A" w14:textId="77777777" w:rsidR="00093A5E" w:rsidRPr="00B320E1" w:rsidRDefault="009C2544" w:rsidP="004255F8">
      <w:pPr>
        <w:pStyle w:val="a3"/>
        <w:widowControl/>
        <w:rPr>
          <w:shd w:val="pct15" w:color="auto" w:fill="FFFFFF"/>
        </w:rPr>
      </w:pPr>
      <w:r w:rsidRPr="00B320E1">
        <w:rPr>
          <w:shd w:val="pct15" w:color="auto" w:fill="FFFFFF"/>
        </w:rPr>
        <w:t>Verschreibungspflichtig</w:t>
      </w:r>
    </w:p>
    <w:p w14:paraId="387727B9" w14:textId="77777777" w:rsidR="00093A5E" w:rsidRPr="006A64EE" w:rsidRDefault="00093A5E" w:rsidP="004255F8">
      <w:pPr>
        <w:pStyle w:val="a3"/>
        <w:widowControl/>
      </w:pPr>
    </w:p>
    <w:p w14:paraId="4E3BBA99" w14:textId="77777777" w:rsidR="00093A5E" w:rsidRPr="006A64EE" w:rsidRDefault="00093A5E" w:rsidP="004255F8">
      <w:pPr>
        <w:pStyle w:val="a3"/>
        <w:widowControl/>
      </w:pPr>
    </w:p>
    <w:p w14:paraId="14589954" w14:textId="77777777" w:rsidR="00093A5E" w:rsidRPr="006A64EE" w:rsidRDefault="00EB1524" w:rsidP="004255F8">
      <w:pPr>
        <w:pStyle w:val="tabele"/>
        <w:widowControl/>
      </w:pPr>
      <w:r w:rsidRPr="006A64EE">
        <w:t>15.</w:t>
      </w:r>
      <w:r w:rsidRPr="006A64EE">
        <w:tab/>
        <w:t>HINWEISE FÜR DEN GEBRAUCH</w:t>
      </w:r>
    </w:p>
    <w:p w14:paraId="25FEE882" w14:textId="77777777" w:rsidR="00093A5E" w:rsidRPr="006A64EE" w:rsidRDefault="00093A5E" w:rsidP="004255F8">
      <w:pPr>
        <w:pStyle w:val="a3"/>
        <w:widowControl/>
      </w:pPr>
    </w:p>
    <w:p w14:paraId="3F2A9785" w14:textId="77777777" w:rsidR="00093A5E" w:rsidRPr="006A64EE" w:rsidRDefault="00093A5E" w:rsidP="004255F8">
      <w:pPr>
        <w:pStyle w:val="a3"/>
        <w:widowControl/>
      </w:pPr>
    </w:p>
    <w:p w14:paraId="0893D051" w14:textId="77777777" w:rsidR="00093A5E" w:rsidRPr="006A64EE" w:rsidRDefault="00EB1524" w:rsidP="004255F8">
      <w:pPr>
        <w:pStyle w:val="tabele"/>
        <w:widowControl/>
      </w:pPr>
      <w:r w:rsidRPr="006A64EE">
        <w:t>16.</w:t>
      </w:r>
      <w:r w:rsidRPr="006A64EE">
        <w:tab/>
        <w:t>ANGABEN IN BLINDENSCHRIFT</w:t>
      </w:r>
    </w:p>
    <w:p w14:paraId="29AB65EE" w14:textId="77777777" w:rsidR="00093A5E" w:rsidRPr="006A64EE" w:rsidRDefault="00093A5E" w:rsidP="004255F8">
      <w:pPr>
        <w:pStyle w:val="a3"/>
        <w:widowControl/>
      </w:pPr>
    </w:p>
    <w:p w14:paraId="482682AB" w14:textId="72B39F24" w:rsidR="00093A5E" w:rsidRPr="00B320E1" w:rsidRDefault="009C2544" w:rsidP="004255F8">
      <w:pPr>
        <w:pStyle w:val="a3"/>
        <w:widowControl/>
        <w:rPr>
          <w:shd w:val="pct15" w:color="auto" w:fill="FFFFFF"/>
        </w:rPr>
      </w:pPr>
      <w:r w:rsidRPr="00B320E1">
        <w:rPr>
          <w:shd w:val="pct15" w:color="auto" w:fill="FFFFFF"/>
        </w:rPr>
        <w:t>Der Begründung, keine Angaben in Blindenschrift aufzunehmen, wird zugestimmt</w:t>
      </w:r>
    </w:p>
    <w:p w14:paraId="086FA37B" w14:textId="77777777" w:rsidR="00093A5E" w:rsidRPr="006A64EE" w:rsidRDefault="00093A5E" w:rsidP="004255F8">
      <w:pPr>
        <w:pStyle w:val="a3"/>
        <w:widowControl/>
      </w:pPr>
    </w:p>
    <w:p w14:paraId="3DDF527E" w14:textId="77777777" w:rsidR="00093A5E" w:rsidRPr="006A64EE" w:rsidRDefault="00093A5E" w:rsidP="004255F8">
      <w:pPr>
        <w:pStyle w:val="a3"/>
        <w:widowControl/>
      </w:pPr>
    </w:p>
    <w:p w14:paraId="4B2102CC" w14:textId="77777777" w:rsidR="00093A5E" w:rsidRPr="006A64EE" w:rsidRDefault="00EB1524" w:rsidP="004255F8">
      <w:pPr>
        <w:pStyle w:val="tabele"/>
        <w:widowControl/>
      </w:pPr>
      <w:r w:rsidRPr="006A64EE">
        <w:t>17.</w:t>
      </w:r>
      <w:r w:rsidRPr="006A64EE">
        <w:tab/>
        <w:t>INDIVIDUELLES ERKENNUNGSMERKMAL – 2D-BARCODE</w:t>
      </w:r>
    </w:p>
    <w:p w14:paraId="4C751F5B" w14:textId="77777777" w:rsidR="00093A5E" w:rsidRPr="006A64EE" w:rsidRDefault="00093A5E" w:rsidP="004255F8">
      <w:pPr>
        <w:pStyle w:val="a3"/>
        <w:widowControl/>
      </w:pPr>
    </w:p>
    <w:p w14:paraId="01EC594B" w14:textId="77777777" w:rsidR="00093A5E" w:rsidRPr="006A64EE" w:rsidRDefault="009C2544" w:rsidP="004255F8">
      <w:pPr>
        <w:pStyle w:val="a3"/>
        <w:widowControl/>
        <w:rPr>
          <w:shd w:val="pct15" w:color="auto" w:fill="FFFFFF"/>
        </w:rPr>
      </w:pPr>
      <w:r w:rsidRPr="006A64EE">
        <w:rPr>
          <w:shd w:val="pct15" w:color="auto" w:fill="FFFFFF"/>
        </w:rPr>
        <w:t>&lt;2D-Barcode mit individuellem Erkennungsmerkmal.&gt;</w:t>
      </w:r>
    </w:p>
    <w:p w14:paraId="632A3F80" w14:textId="77777777" w:rsidR="00093A5E" w:rsidRPr="006A64EE" w:rsidRDefault="00093A5E" w:rsidP="004255F8">
      <w:pPr>
        <w:pStyle w:val="a3"/>
        <w:widowControl/>
      </w:pPr>
    </w:p>
    <w:p w14:paraId="66D3069D" w14:textId="77777777" w:rsidR="00093A5E" w:rsidRPr="006A64EE" w:rsidRDefault="00093A5E" w:rsidP="004255F8">
      <w:pPr>
        <w:pStyle w:val="a3"/>
        <w:widowControl/>
      </w:pPr>
    </w:p>
    <w:p w14:paraId="61A897AE" w14:textId="77777777" w:rsidR="00093A5E" w:rsidRPr="006A64EE" w:rsidRDefault="00EB1524" w:rsidP="00D97C5C">
      <w:pPr>
        <w:pStyle w:val="tabele"/>
        <w:keepNext/>
        <w:widowControl/>
      </w:pPr>
      <w:r w:rsidRPr="006A64EE">
        <w:lastRenderedPageBreak/>
        <w:t>18.</w:t>
      </w:r>
      <w:r w:rsidRPr="006A64EE">
        <w:tab/>
        <w:t>INDIVIDUELLES ERKENNUNGSMERKMAL – VOM MENSCHEN LESBARES FORMAT</w:t>
      </w:r>
    </w:p>
    <w:p w14:paraId="1BCFD28B" w14:textId="77777777" w:rsidR="00093A5E" w:rsidRPr="006A64EE" w:rsidRDefault="00093A5E" w:rsidP="00D97C5C">
      <w:pPr>
        <w:pStyle w:val="a3"/>
        <w:keepNext/>
        <w:widowControl/>
        <w:jc w:val="both"/>
      </w:pPr>
    </w:p>
    <w:p w14:paraId="63DF20C6" w14:textId="77777777" w:rsidR="00093A5E" w:rsidRPr="006A64EE" w:rsidRDefault="009C2544" w:rsidP="00D97C5C">
      <w:pPr>
        <w:pStyle w:val="a3"/>
        <w:keepNext/>
        <w:widowControl/>
        <w:jc w:val="both"/>
      </w:pPr>
      <w:r w:rsidRPr="006A64EE">
        <w:t xml:space="preserve">PC </w:t>
      </w:r>
    </w:p>
    <w:p w14:paraId="4E89A3F8" w14:textId="77777777" w:rsidR="00093A5E" w:rsidRPr="006A64EE" w:rsidRDefault="009C2544" w:rsidP="00D97C5C">
      <w:pPr>
        <w:pStyle w:val="a3"/>
        <w:keepNext/>
        <w:widowControl/>
        <w:jc w:val="both"/>
      </w:pPr>
      <w:r w:rsidRPr="006A64EE">
        <w:t xml:space="preserve">SN </w:t>
      </w:r>
    </w:p>
    <w:p w14:paraId="4FC24E24" w14:textId="77777777" w:rsidR="00093A5E" w:rsidRPr="006A64EE" w:rsidRDefault="009C2544" w:rsidP="004255F8">
      <w:pPr>
        <w:pStyle w:val="a3"/>
        <w:widowControl/>
        <w:jc w:val="both"/>
      </w:pPr>
      <w:r w:rsidRPr="00E303AE">
        <w:rPr>
          <w:highlight w:val="lightGray"/>
        </w:rPr>
        <w:t>NN</w:t>
      </w:r>
    </w:p>
    <w:p w14:paraId="6D4634BA" w14:textId="77777777" w:rsidR="00093A5E" w:rsidRPr="006A64EE" w:rsidRDefault="007D680A" w:rsidP="004255F8">
      <w:pPr>
        <w:pStyle w:val="tabele"/>
        <w:widowControl/>
      </w:pPr>
      <w:r w:rsidRPr="006A64EE">
        <w:br w:type="page"/>
      </w:r>
      <w:r w:rsidR="00EB1524" w:rsidRPr="006A64EE">
        <w:lastRenderedPageBreak/>
        <w:t>ANGABEN AUF DER ÄUSSEREN UMHÜLLUNG</w:t>
      </w:r>
    </w:p>
    <w:p w14:paraId="3961BBFB" w14:textId="77777777" w:rsidR="00093A5E" w:rsidRPr="006A64EE" w:rsidRDefault="00093A5E" w:rsidP="004255F8">
      <w:pPr>
        <w:pStyle w:val="tabele"/>
        <w:widowControl/>
      </w:pPr>
    </w:p>
    <w:p w14:paraId="33424C94" w14:textId="77777777" w:rsidR="00093A5E" w:rsidRPr="006A64EE" w:rsidRDefault="00EB1524" w:rsidP="004255F8">
      <w:pPr>
        <w:pStyle w:val="tabele"/>
        <w:widowControl/>
      </w:pPr>
      <w:r w:rsidRPr="006A64EE">
        <w:t>FALTSCHACHTEL</w:t>
      </w:r>
    </w:p>
    <w:p w14:paraId="1180936C" w14:textId="77777777" w:rsidR="00093A5E" w:rsidRPr="006A64EE" w:rsidRDefault="00093A5E" w:rsidP="004255F8">
      <w:pPr>
        <w:widowControl/>
        <w:jc w:val="both"/>
        <w:rPr>
          <w:b/>
        </w:rPr>
      </w:pPr>
    </w:p>
    <w:p w14:paraId="0CA45EEB" w14:textId="77777777" w:rsidR="00093A5E" w:rsidRPr="006A64EE" w:rsidRDefault="00093A5E" w:rsidP="004255F8">
      <w:pPr>
        <w:widowControl/>
        <w:tabs>
          <w:tab w:val="left" w:pos="669"/>
        </w:tabs>
        <w:rPr>
          <w:b/>
        </w:rPr>
      </w:pPr>
    </w:p>
    <w:p w14:paraId="01DED9D6" w14:textId="77777777" w:rsidR="00093A5E" w:rsidRPr="006A64EE" w:rsidRDefault="00EB1524" w:rsidP="004255F8">
      <w:pPr>
        <w:pStyle w:val="tabele"/>
        <w:widowControl/>
      </w:pPr>
      <w:r w:rsidRPr="006A64EE">
        <w:t>1.</w:t>
      </w:r>
      <w:r w:rsidRPr="006A64EE">
        <w:tab/>
        <w:t>BEZEICHNUNG DES ARZNEIMITTELS</w:t>
      </w:r>
    </w:p>
    <w:p w14:paraId="5D578589" w14:textId="77777777" w:rsidR="00093A5E" w:rsidRPr="006A64EE" w:rsidRDefault="00093A5E" w:rsidP="004255F8">
      <w:pPr>
        <w:pStyle w:val="a3"/>
        <w:widowControl/>
      </w:pPr>
    </w:p>
    <w:p w14:paraId="1055E807" w14:textId="04D53296" w:rsidR="00093A5E" w:rsidRPr="006A64EE" w:rsidRDefault="002C5B3A" w:rsidP="004255F8">
      <w:pPr>
        <w:pStyle w:val="a3"/>
        <w:widowControl/>
      </w:pPr>
      <w:r>
        <w:t>Avtozma</w:t>
      </w:r>
      <w:r w:rsidRPr="006A64EE">
        <w:t xml:space="preserve"> </w:t>
      </w:r>
      <w:r w:rsidR="009C2544" w:rsidRPr="006A64EE">
        <w:t>20 mg/ml Konzentrat zur Herstellung einer Infusionslösung</w:t>
      </w:r>
    </w:p>
    <w:p w14:paraId="4FEEA002" w14:textId="77777777" w:rsidR="00093A5E" w:rsidRPr="006A64EE" w:rsidRDefault="009C2544" w:rsidP="004255F8">
      <w:pPr>
        <w:pStyle w:val="a3"/>
        <w:widowControl/>
      </w:pPr>
      <w:r w:rsidRPr="006A64EE">
        <w:t>Tocilizumab</w:t>
      </w:r>
    </w:p>
    <w:p w14:paraId="107D5F38" w14:textId="77777777" w:rsidR="00093A5E" w:rsidRPr="006A64EE" w:rsidRDefault="00093A5E" w:rsidP="004255F8">
      <w:pPr>
        <w:pStyle w:val="a3"/>
        <w:widowControl/>
      </w:pPr>
    </w:p>
    <w:p w14:paraId="34BAAFCD" w14:textId="77777777" w:rsidR="00093A5E" w:rsidRPr="006A64EE" w:rsidRDefault="00093A5E" w:rsidP="004255F8">
      <w:pPr>
        <w:pStyle w:val="a3"/>
        <w:widowControl/>
      </w:pPr>
    </w:p>
    <w:p w14:paraId="3A56F725" w14:textId="77777777" w:rsidR="00093A5E" w:rsidRPr="006A64EE" w:rsidRDefault="00EB1524" w:rsidP="004255F8">
      <w:pPr>
        <w:pStyle w:val="tabele"/>
        <w:widowControl/>
      </w:pPr>
      <w:r w:rsidRPr="006A64EE">
        <w:t>2.</w:t>
      </w:r>
      <w:r w:rsidRPr="006A64EE">
        <w:tab/>
        <w:t>WIRKSTOFF(E)</w:t>
      </w:r>
    </w:p>
    <w:p w14:paraId="35540A8D" w14:textId="77777777" w:rsidR="00093A5E" w:rsidRPr="006A64EE" w:rsidRDefault="00093A5E" w:rsidP="004255F8">
      <w:pPr>
        <w:pStyle w:val="a3"/>
        <w:widowControl/>
      </w:pPr>
    </w:p>
    <w:p w14:paraId="62AB191C" w14:textId="77777777" w:rsidR="00093A5E" w:rsidRPr="006A64EE" w:rsidRDefault="009C2544" w:rsidP="004255F8">
      <w:pPr>
        <w:pStyle w:val="a3"/>
        <w:widowControl/>
      </w:pPr>
      <w:r w:rsidRPr="006A64EE">
        <w:t>1 Durchstechflasche enthält 400 mg Tocilizumab.</w:t>
      </w:r>
    </w:p>
    <w:p w14:paraId="58EF4247" w14:textId="77777777" w:rsidR="00093A5E" w:rsidRPr="006A64EE" w:rsidRDefault="00093A5E" w:rsidP="004255F8">
      <w:pPr>
        <w:pStyle w:val="a3"/>
        <w:widowControl/>
      </w:pPr>
    </w:p>
    <w:p w14:paraId="6DCE8857" w14:textId="77777777" w:rsidR="00093A5E" w:rsidRPr="006A64EE" w:rsidRDefault="00093A5E" w:rsidP="004255F8">
      <w:pPr>
        <w:pStyle w:val="a3"/>
        <w:widowControl/>
      </w:pPr>
    </w:p>
    <w:p w14:paraId="767752C2" w14:textId="77777777" w:rsidR="00093A5E" w:rsidRPr="006A64EE" w:rsidRDefault="00EB1524" w:rsidP="004255F8">
      <w:pPr>
        <w:pStyle w:val="tabele"/>
        <w:widowControl/>
      </w:pPr>
      <w:r w:rsidRPr="006A64EE">
        <w:t>3.</w:t>
      </w:r>
      <w:r w:rsidRPr="006A64EE">
        <w:tab/>
        <w:t>SONSTIGE BESTANDTEILE</w:t>
      </w:r>
    </w:p>
    <w:p w14:paraId="5AAEDEDA" w14:textId="77777777" w:rsidR="00093A5E" w:rsidRPr="006A64EE" w:rsidRDefault="00093A5E" w:rsidP="004255F8">
      <w:pPr>
        <w:pStyle w:val="a3"/>
        <w:widowControl/>
      </w:pPr>
    </w:p>
    <w:p w14:paraId="54B557F4" w14:textId="42BDE217" w:rsidR="002C5B3A" w:rsidRDefault="002C5B3A" w:rsidP="004255F8">
      <w:pPr>
        <w:pStyle w:val="a3"/>
        <w:widowControl/>
      </w:pPr>
      <w:r>
        <w:t>Sonstige Bestandteile: L-Histidin,</w:t>
      </w:r>
      <w:r w:rsidR="00C242B8" w:rsidRPr="00C242B8">
        <w:t xml:space="preserve">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t>L-Threonin, L-Methionin, Polysorbat 80 und Wasser für Injektionszwecke</w:t>
      </w:r>
      <w:r w:rsidR="009C2544" w:rsidRPr="006A64EE">
        <w:t>.</w:t>
      </w:r>
    </w:p>
    <w:p w14:paraId="2BD84652" w14:textId="2FFB3F3A" w:rsidR="00093A5E" w:rsidRPr="006A64EE" w:rsidRDefault="009C2544" w:rsidP="004255F8">
      <w:pPr>
        <w:pStyle w:val="a3"/>
        <w:widowControl/>
      </w:pPr>
      <w:r w:rsidRPr="006A64EE">
        <w:t>Siehe Packungsbeilage für weitere Informationen.</w:t>
      </w:r>
    </w:p>
    <w:p w14:paraId="230E90E2" w14:textId="77777777" w:rsidR="00093A5E" w:rsidRPr="006A64EE" w:rsidRDefault="00093A5E" w:rsidP="004255F8">
      <w:pPr>
        <w:pStyle w:val="a3"/>
        <w:widowControl/>
      </w:pPr>
    </w:p>
    <w:p w14:paraId="00D8EBF6" w14:textId="77777777" w:rsidR="00093A5E" w:rsidRPr="006A64EE" w:rsidRDefault="00093A5E" w:rsidP="004255F8">
      <w:pPr>
        <w:pStyle w:val="a3"/>
        <w:widowControl/>
      </w:pPr>
    </w:p>
    <w:p w14:paraId="792C37EF" w14:textId="77777777" w:rsidR="00093A5E" w:rsidRPr="006A64EE" w:rsidRDefault="00EB1524" w:rsidP="004255F8">
      <w:pPr>
        <w:pStyle w:val="tabele"/>
        <w:widowControl/>
      </w:pPr>
      <w:r w:rsidRPr="006A64EE">
        <w:t>4.</w:t>
      </w:r>
      <w:r w:rsidRPr="006A64EE">
        <w:tab/>
        <w:t>DARREICHUNGSFORM UND INHALT</w:t>
      </w:r>
    </w:p>
    <w:p w14:paraId="306AB314" w14:textId="77777777" w:rsidR="00093A5E" w:rsidRPr="006A64EE" w:rsidRDefault="00093A5E" w:rsidP="004255F8">
      <w:pPr>
        <w:pStyle w:val="a3"/>
        <w:widowControl/>
      </w:pPr>
    </w:p>
    <w:p w14:paraId="1CF6EB86" w14:textId="099753EA" w:rsidR="00093A5E" w:rsidRPr="006A64EE" w:rsidRDefault="009C2544" w:rsidP="004255F8">
      <w:pPr>
        <w:pStyle w:val="a3"/>
        <w:widowControl/>
      </w:pPr>
      <w:r w:rsidRPr="006A64EE">
        <w:t>Konzentrat zur Herstellung einer Infusionslösung</w:t>
      </w:r>
    </w:p>
    <w:p w14:paraId="335C2BF2" w14:textId="77777777" w:rsidR="00093A5E" w:rsidRPr="006A64EE" w:rsidRDefault="009C2544" w:rsidP="004255F8">
      <w:pPr>
        <w:pStyle w:val="a3"/>
        <w:widowControl/>
      </w:pPr>
      <w:r w:rsidRPr="006A64EE">
        <w:t>400 mg/20 ml</w:t>
      </w:r>
    </w:p>
    <w:p w14:paraId="3678374F" w14:textId="0D7AFD65" w:rsidR="00093A5E" w:rsidRPr="006A64EE" w:rsidRDefault="009C2544" w:rsidP="004255F8">
      <w:pPr>
        <w:pStyle w:val="a3"/>
        <w:widowControl/>
      </w:pPr>
      <w:r w:rsidRPr="006A64EE">
        <w:t>1 Durchstechflasche zu 20 ml</w:t>
      </w:r>
    </w:p>
    <w:p w14:paraId="2A182BBD" w14:textId="77777777" w:rsidR="00093A5E" w:rsidRPr="003452D3" w:rsidRDefault="009C2544" w:rsidP="004255F8">
      <w:pPr>
        <w:pStyle w:val="a3"/>
        <w:widowControl/>
      </w:pPr>
      <w:r w:rsidRPr="003452D3">
        <w:t>4 Durchstechflaschen zu 20 ml</w:t>
      </w:r>
    </w:p>
    <w:p w14:paraId="7C52C128" w14:textId="77777777" w:rsidR="00093A5E" w:rsidRPr="006A64EE" w:rsidRDefault="00093A5E" w:rsidP="004255F8">
      <w:pPr>
        <w:pStyle w:val="a3"/>
        <w:widowControl/>
      </w:pPr>
    </w:p>
    <w:p w14:paraId="759EBF76" w14:textId="1D16A9BD" w:rsidR="00093A5E" w:rsidRPr="006A64EE" w:rsidRDefault="00A16FF2" w:rsidP="004255F8">
      <w:pPr>
        <w:pStyle w:val="a3"/>
        <w:widowControl/>
      </w:pPr>
      <w:r>
        <w:rPr>
          <w:noProof/>
          <w:lang w:val="en-US" w:eastAsia="ko-KR"/>
        </w:rPr>
        <mc:AlternateContent>
          <mc:Choice Requires="wps">
            <w:drawing>
              <wp:anchor distT="0" distB="0" distL="0" distR="0" simplePos="0" relativeHeight="251658296" behindDoc="1" locked="0" layoutInCell="1" allowOverlap="1" wp14:anchorId="434175CD" wp14:editId="2D4076B4">
                <wp:simplePos x="0" y="0"/>
                <wp:positionH relativeFrom="page">
                  <wp:posOffset>903605</wp:posOffset>
                </wp:positionH>
                <wp:positionV relativeFrom="paragraph">
                  <wp:posOffset>181610</wp:posOffset>
                </wp:positionV>
                <wp:extent cx="5893435" cy="167640"/>
                <wp:effectExtent l="0" t="0" r="0" b="3810"/>
                <wp:wrapTopAndBottom/>
                <wp:docPr id="822208215"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3435" cy="167640"/>
                        </a:xfrm>
                        <a:prstGeom prst="rect">
                          <a:avLst/>
                        </a:prstGeom>
                        <a:ln w="6096">
                          <a:solidFill>
                            <a:srgbClr val="000000"/>
                          </a:solidFill>
                          <a:prstDash val="solid"/>
                        </a:ln>
                      </wps:spPr>
                      <wps:txbx>
                        <w:txbxContent>
                          <w:p w14:paraId="6540B063" w14:textId="77777777" w:rsidR="00456610" w:rsidRDefault="00456610">
                            <w:pPr>
                              <w:tabs>
                                <w:tab w:val="left" w:pos="669"/>
                              </w:tabs>
                              <w:spacing w:before="1"/>
                              <w:ind w:left="103"/>
                              <w:rPr>
                                <w:b/>
                              </w:rPr>
                            </w:pPr>
                            <w:r>
                              <w:rPr>
                                <w:b/>
                                <w:spacing w:val="-5"/>
                              </w:rPr>
                              <w:t>5.</w:t>
                            </w:r>
                            <w:r>
                              <w:rPr>
                                <w:b/>
                              </w:rPr>
                              <w:tab/>
                              <w:t>HINWEISE</w:t>
                            </w:r>
                            <w:r>
                              <w:rPr>
                                <w:b/>
                                <w:spacing w:val="-6"/>
                              </w:rPr>
                              <w:t xml:space="preserve"> </w:t>
                            </w:r>
                            <w:r>
                              <w:rPr>
                                <w:b/>
                              </w:rPr>
                              <w:t>ZUR</w:t>
                            </w:r>
                            <w:r>
                              <w:rPr>
                                <w:b/>
                                <w:spacing w:val="-5"/>
                              </w:rPr>
                              <w:t xml:space="preserve"> </w:t>
                            </w:r>
                            <w:r>
                              <w:rPr>
                                <w:b/>
                              </w:rPr>
                              <w:t>UND</w:t>
                            </w:r>
                            <w:r>
                              <w:rPr>
                                <w:b/>
                                <w:spacing w:val="-5"/>
                              </w:rPr>
                              <w:t xml:space="preserve"> </w:t>
                            </w:r>
                            <w:r>
                              <w:rPr>
                                <w:b/>
                              </w:rPr>
                              <w:t>ART(EN)</w:t>
                            </w:r>
                            <w:r>
                              <w:rPr>
                                <w:b/>
                                <w:spacing w:val="-3"/>
                              </w:rPr>
                              <w:t xml:space="preserve"> </w:t>
                            </w:r>
                            <w:r>
                              <w:rPr>
                                <w:b/>
                              </w:rPr>
                              <w:t>DER</w:t>
                            </w:r>
                            <w:r>
                              <w:rPr>
                                <w:b/>
                                <w:spacing w:val="-5"/>
                              </w:rPr>
                              <w:t xml:space="preserve"> </w:t>
                            </w:r>
                            <w:r>
                              <w:rPr>
                                <w:b/>
                                <w:spacing w:val="-2"/>
                              </w:rPr>
                              <w:t>ANWENDUNG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34175CD" id="_x0000_t202" coordsize="21600,21600" o:spt="202" path="m,l,21600r21600,l21600,xe">
                <v:stroke joinstyle="miter"/>
                <v:path gradientshapeok="t" o:connecttype="rect"/>
              </v:shapetype>
              <v:shape id="Text Box 123" o:spid="_x0000_s1026" type="#_x0000_t202" style="position:absolute;margin-left:71.15pt;margin-top:14.3pt;width:464.05pt;height:13.2pt;z-index:-251658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" filled="f" strokeweight=".48pt">
                <v:path arrowok="t"/>
                <v:textbox inset="0,0,0,0">
                  <w:txbxContent>
                    <w:p w14:paraId="6540B063" w14:textId="77777777" w:rsidR="00456610" w:rsidRDefault="00456610">
                      <w:pPr>
                        <w:tabs>
                          <w:tab w:val="left" w:pos="669"/>
                        </w:tabs>
                        <w:spacing w:before="1"/>
                        <w:ind w:left="103"/>
                        <w:rPr>
                          <w:b/>
                        </w:rPr>
                      </w:pPr>
                      <w:r>
                        <w:rPr>
                          <w:b/>
                          <w:spacing w:val="-5"/>
                        </w:rPr>
                        <w:t>5.</w:t>
                      </w:r>
                      <w:r>
                        <w:rPr>
                          <w:b/>
                        </w:rPr>
                        <w:tab/>
                        <w:t>HINWEISE</w:t>
                      </w:r>
                      <w:r>
                        <w:rPr>
                          <w:b/>
                          <w:spacing w:val="-6"/>
                        </w:rPr>
                        <w:t xml:space="preserve"> </w:t>
                      </w:r>
                      <w:r>
                        <w:rPr>
                          <w:b/>
                        </w:rPr>
                        <w:t>ZUR</w:t>
                      </w:r>
                      <w:r>
                        <w:rPr>
                          <w:b/>
                          <w:spacing w:val="-5"/>
                        </w:rPr>
                        <w:t xml:space="preserve"> </w:t>
                      </w:r>
                      <w:r>
                        <w:rPr>
                          <w:b/>
                        </w:rPr>
                        <w:t>UND</w:t>
                      </w:r>
                      <w:r>
                        <w:rPr>
                          <w:b/>
                          <w:spacing w:val="-5"/>
                        </w:rPr>
                        <w:t xml:space="preserve"> </w:t>
                      </w:r>
                      <w:r>
                        <w:rPr>
                          <w:b/>
                        </w:rPr>
                        <w:t>ART(EN)</w:t>
                      </w:r>
                      <w:r>
                        <w:rPr>
                          <w:b/>
                          <w:spacing w:val="-3"/>
                        </w:rPr>
                        <w:t xml:space="preserve"> </w:t>
                      </w:r>
                      <w:r>
                        <w:rPr>
                          <w:b/>
                        </w:rPr>
                        <w:t>DER</w:t>
                      </w:r>
                      <w:r>
                        <w:rPr>
                          <w:b/>
                          <w:spacing w:val="-5"/>
                        </w:rPr>
                        <w:t xml:space="preserve"> </w:t>
                      </w:r>
                      <w:r>
                        <w:rPr>
                          <w:b/>
                          <w:spacing w:val="-2"/>
                        </w:rPr>
                        <w:t>ANWENDUNG</w:t>
                      </w:r>
                    </w:p>
                  </w:txbxContent>
                </v:textbox>
                <w10:wrap type="topAndBottom" anchorx="page"/>
              </v:shape>
            </w:pict>
          </mc:Fallback>
        </mc:AlternateContent>
      </w:r>
    </w:p>
    <w:p w14:paraId="6623F91E" w14:textId="77777777" w:rsidR="00093A5E" w:rsidRPr="006A64EE" w:rsidRDefault="00093A5E" w:rsidP="004255F8">
      <w:pPr>
        <w:pStyle w:val="a3"/>
        <w:widowControl/>
      </w:pPr>
    </w:p>
    <w:p w14:paraId="0D5A0929" w14:textId="3C17F6A7" w:rsidR="00093A5E" w:rsidRPr="006A64EE" w:rsidRDefault="009C2544" w:rsidP="004255F8">
      <w:pPr>
        <w:pStyle w:val="a3"/>
        <w:widowControl/>
      </w:pPr>
      <w:r w:rsidRPr="006A64EE">
        <w:t>Zur intravenösen Infusion nach Verdünnung</w:t>
      </w:r>
    </w:p>
    <w:p w14:paraId="75556526" w14:textId="454EFAC1" w:rsidR="00107B53" w:rsidRPr="006A64EE" w:rsidRDefault="009C2544" w:rsidP="004255F8">
      <w:pPr>
        <w:pStyle w:val="a3"/>
        <w:widowControl/>
      </w:pPr>
      <w:r w:rsidRPr="006A64EE">
        <w:t xml:space="preserve">Das verdünnte Arzneimittel sollte sofort angewendet werden </w:t>
      </w:r>
    </w:p>
    <w:p w14:paraId="69ACC7EC" w14:textId="7A4062CE" w:rsidR="00093A5E" w:rsidRPr="006A64EE" w:rsidRDefault="009C2544" w:rsidP="004255F8">
      <w:pPr>
        <w:pStyle w:val="a3"/>
        <w:widowControl/>
      </w:pPr>
      <w:r w:rsidRPr="006A64EE">
        <w:t>Packungsbeilage beachten</w:t>
      </w:r>
    </w:p>
    <w:p w14:paraId="247E8E90" w14:textId="77777777" w:rsidR="00093A5E" w:rsidRPr="006A64EE" w:rsidRDefault="00093A5E" w:rsidP="004255F8">
      <w:pPr>
        <w:pStyle w:val="a3"/>
        <w:widowControl/>
      </w:pPr>
    </w:p>
    <w:p w14:paraId="262FFE62" w14:textId="77777777" w:rsidR="00093A5E" w:rsidRPr="006A64EE" w:rsidRDefault="00093A5E" w:rsidP="004255F8">
      <w:pPr>
        <w:pStyle w:val="a3"/>
        <w:widowControl/>
      </w:pPr>
    </w:p>
    <w:p w14:paraId="7583C0E9" w14:textId="3C72D91A" w:rsidR="00093A5E" w:rsidRPr="006A64EE" w:rsidRDefault="00EB1524" w:rsidP="004255F8">
      <w:pPr>
        <w:pStyle w:val="tabele"/>
        <w:widowControl/>
      </w:pPr>
      <w:r w:rsidRPr="006A64EE">
        <w:t>6</w:t>
      </w:r>
      <w:r w:rsidR="003542B5" w:rsidRPr="006A64EE">
        <w:t>.</w:t>
      </w:r>
      <w:r w:rsidRPr="006A64EE">
        <w:tab/>
        <w:t xml:space="preserve">WARNHINWEIS, DASS DAS ARZNEIMITTEL FÜR KINDER </w:t>
      </w:r>
      <w:r w:rsidR="0018324B">
        <w:t>UNZUGÄNGLICH</w:t>
      </w:r>
      <w:r w:rsidRPr="006A64EE">
        <w:t>AUFZUBEWAHREN IST</w:t>
      </w:r>
    </w:p>
    <w:p w14:paraId="5A8CA8BF" w14:textId="77777777" w:rsidR="00093A5E" w:rsidRPr="006A64EE" w:rsidRDefault="00093A5E" w:rsidP="004255F8">
      <w:pPr>
        <w:pStyle w:val="a3"/>
        <w:widowControl/>
      </w:pPr>
    </w:p>
    <w:p w14:paraId="6D9F312F" w14:textId="197B16F3" w:rsidR="00093A5E" w:rsidRPr="006A64EE" w:rsidRDefault="009C2544" w:rsidP="004255F8">
      <w:pPr>
        <w:pStyle w:val="a3"/>
        <w:widowControl/>
      </w:pPr>
      <w:r w:rsidRPr="006A64EE">
        <w:t>Arzneimittel für Kinder unzugänglich aufbewahren</w:t>
      </w:r>
    </w:p>
    <w:p w14:paraId="0F2EBE0E" w14:textId="77777777" w:rsidR="00093A5E" w:rsidRPr="006A64EE" w:rsidRDefault="00093A5E" w:rsidP="004255F8">
      <w:pPr>
        <w:pStyle w:val="a3"/>
        <w:widowControl/>
      </w:pPr>
    </w:p>
    <w:p w14:paraId="0F3DDACF" w14:textId="77777777" w:rsidR="00093A5E" w:rsidRPr="006A64EE" w:rsidRDefault="00093A5E" w:rsidP="004255F8">
      <w:pPr>
        <w:pStyle w:val="a3"/>
        <w:widowControl/>
      </w:pPr>
    </w:p>
    <w:p w14:paraId="3D84AFE9" w14:textId="77777777" w:rsidR="00093A5E" w:rsidRPr="006A64EE" w:rsidRDefault="00EB1524" w:rsidP="004255F8">
      <w:pPr>
        <w:pStyle w:val="tabele"/>
        <w:widowControl/>
      </w:pPr>
      <w:r w:rsidRPr="006A64EE">
        <w:t>7.</w:t>
      </w:r>
      <w:r w:rsidRPr="006A64EE">
        <w:tab/>
        <w:t>WEITERE WARNHINWEISE, FALLS ERFORDERLICH</w:t>
      </w:r>
    </w:p>
    <w:p w14:paraId="265D4EB8" w14:textId="77777777" w:rsidR="00093A5E" w:rsidRPr="006A64EE" w:rsidRDefault="00093A5E" w:rsidP="004255F8">
      <w:pPr>
        <w:pStyle w:val="a3"/>
        <w:widowControl/>
      </w:pPr>
    </w:p>
    <w:p w14:paraId="64A1B0D9" w14:textId="77777777" w:rsidR="00093A5E" w:rsidRPr="006A64EE" w:rsidRDefault="00093A5E" w:rsidP="004255F8">
      <w:pPr>
        <w:pStyle w:val="a3"/>
        <w:widowControl/>
      </w:pPr>
    </w:p>
    <w:p w14:paraId="6BAC294C" w14:textId="77777777" w:rsidR="00093A5E" w:rsidRPr="006A64EE" w:rsidRDefault="00EB1524" w:rsidP="004255F8">
      <w:pPr>
        <w:pStyle w:val="tabele"/>
        <w:widowControl/>
      </w:pPr>
      <w:r w:rsidRPr="006A64EE">
        <w:t>8.</w:t>
      </w:r>
      <w:r w:rsidRPr="006A64EE">
        <w:tab/>
        <w:t>VERFALLDATUM</w:t>
      </w:r>
    </w:p>
    <w:p w14:paraId="46B930C2" w14:textId="77777777" w:rsidR="00093A5E" w:rsidRPr="006A64EE" w:rsidRDefault="00093A5E" w:rsidP="004255F8">
      <w:pPr>
        <w:pStyle w:val="a3"/>
        <w:widowControl/>
      </w:pPr>
    </w:p>
    <w:p w14:paraId="44FB4106" w14:textId="77777777" w:rsidR="00093A5E" w:rsidRPr="006A64EE" w:rsidRDefault="009C2544" w:rsidP="004255F8">
      <w:pPr>
        <w:pStyle w:val="a3"/>
        <w:widowControl/>
      </w:pPr>
      <w:r w:rsidRPr="006A64EE">
        <w:t>verwendbar bis</w:t>
      </w:r>
    </w:p>
    <w:p w14:paraId="75FA6A5A" w14:textId="77777777" w:rsidR="00093A5E" w:rsidRPr="006A64EE" w:rsidRDefault="00093A5E" w:rsidP="004255F8">
      <w:pPr>
        <w:pStyle w:val="a3"/>
        <w:widowControl/>
      </w:pPr>
    </w:p>
    <w:p w14:paraId="22CF0378" w14:textId="77777777" w:rsidR="00093A5E" w:rsidRPr="006A64EE" w:rsidRDefault="00093A5E" w:rsidP="004255F8">
      <w:pPr>
        <w:pStyle w:val="a3"/>
        <w:widowControl/>
      </w:pPr>
    </w:p>
    <w:p w14:paraId="6EEBB8CA" w14:textId="77777777" w:rsidR="00093A5E" w:rsidRPr="006A64EE" w:rsidRDefault="00EB1524" w:rsidP="004255F8">
      <w:pPr>
        <w:pStyle w:val="tabele"/>
        <w:keepNext/>
        <w:widowControl/>
      </w:pPr>
      <w:r w:rsidRPr="006A64EE">
        <w:lastRenderedPageBreak/>
        <w:t>9.</w:t>
      </w:r>
      <w:r w:rsidRPr="006A64EE">
        <w:tab/>
        <w:t>BESONDERE VORSICHTSMASSNAHMEN FÜR DIE AUFBEWAHRUNG</w:t>
      </w:r>
    </w:p>
    <w:p w14:paraId="641D029C" w14:textId="77777777" w:rsidR="00093A5E" w:rsidRPr="006A64EE" w:rsidRDefault="00093A5E" w:rsidP="004255F8">
      <w:pPr>
        <w:pStyle w:val="a3"/>
        <w:keepNext/>
        <w:widowControl/>
      </w:pPr>
    </w:p>
    <w:p w14:paraId="5D707CE1" w14:textId="1CFF957C" w:rsidR="00093A5E" w:rsidRPr="006A64EE" w:rsidRDefault="009C2544" w:rsidP="004255F8">
      <w:pPr>
        <w:pStyle w:val="a3"/>
        <w:keepNext/>
        <w:widowControl/>
      </w:pPr>
      <w:r w:rsidRPr="006A64EE">
        <w:t>Im Kühlschrank lagern</w:t>
      </w:r>
    </w:p>
    <w:p w14:paraId="51DE4386" w14:textId="33B3DBD2" w:rsidR="00093A5E" w:rsidRPr="006A64EE" w:rsidRDefault="009C2544" w:rsidP="004255F8">
      <w:pPr>
        <w:pStyle w:val="a3"/>
        <w:keepNext/>
        <w:widowControl/>
      </w:pPr>
      <w:r w:rsidRPr="006A64EE">
        <w:t>Nicht einfrieren</w:t>
      </w:r>
    </w:p>
    <w:p w14:paraId="34DAD732" w14:textId="0C1781AB" w:rsidR="00093A5E" w:rsidRPr="006A64EE" w:rsidRDefault="009C2544" w:rsidP="004255F8">
      <w:pPr>
        <w:pStyle w:val="a3"/>
        <w:widowControl/>
      </w:pPr>
      <w:r w:rsidRPr="006A64EE">
        <w:t>Durchstechflasche im Umkarton aufbewahren, um den Inhalt vor Licht zu schützen</w:t>
      </w:r>
    </w:p>
    <w:p w14:paraId="4A7E788C" w14:textId="77777777" w:rsidR="00093A5E" w:rsidRDefault="00093A5E" w:rsidP="004255F8">
      <w:pPr>
        <w:pStyle w:val="a3"/>
        <w:widowControl/>
      </w:pPr>
    </w:p>
    <w:p w14:paraId="580BF7AD" w14:textId="77777777" w:rsidR="00AA5B6E" w:rsidRPr="006A64EE" w:rsidRDefault="00AA5B6E" w:rsidP="004255F8">
      <w:pPr>
        <w:pStyle w:val="a3"/>
        <w:widowControl/>
      </w:pPr>
    </w:p>
    <w:p w14:paraId="611E3191" w14:textId="77777777" w:rsidR="00093A5E" w:rsidRPr="006A64EE" w:rsidRDefault="00372A4A" w:rsidP="004255F8">
      <w:pPr>
        <w:pStyle w:val="tabele"/>
        <w:widowControl/>
      </w:pPr>
      <w:r w:rsidRPr="006A64EE">
        <w:t>10.</w:t>
      </w:r>
      <w:r w:rsidRPr="006A64EE">
        <w:tab/>
        <w:t>GEGEBENENFALLS BESONDERE VORSICHTSMASSNAHMEN FÜR DIE BESEITIGUNG VON NICHT VERWENDETEM ARZNEIMITTEL ODER DAVON STAMMENDEN ABFALLMATERIALIEN</w:t>
      </w:r>
    </w:p>
    <w:p w14:paraId="5E6071B3" w14:textId="77777777" w:rsidR="00093A5E" w:rsidRPr="006A64EE" w:rsidRDefault="00093A5E" w:rsidP="004255F8">
      <w:pPr>
        <w:widowControl/>
        <w:rPr>
          <w:b/>
        </w:rPr>
      </w:pPr>
    </w:p>
    <w:p w14:paraId="34F6BAB1" w14:textId="77777777" w:rsidR="00093A5E" w:rsidRPr="006A64EE" w:rsidRDefault="00093A5E" w:rsidP="004255F8">
      <w:pPr>
        <w:widowControl/>
        <w:tabs>
          <w:tab w:val="left" w:pos="669"/>
        </w:tabs>
        <w:rPr>
          <w:b/>
        </w:rPr>
      </w:pPr>
    </w:p>
    <w:p w14:paraId="526DEEFA" w14:textId="77777777" w:rsidR="00093A5E" w:rsidRPr="006A64EE" w:rsidRDefault="00372A4A" w:rsidP="004255F8">
      <w:pPr>
        <w:pStyle w:val="tabele"/>
        <w:widowControl/>
      </w:pPr>
      <w:r w:rsidRPr="006A64EE">
        <w:t>11.</w:t>
      </w:r>
      <w:r w:rsidRPr="006A64EE">
        <w:tab/>
        <w:t>NAME UND ANSCHRIFT DES PHARMAZEUTISCHEN UNTERNEHMERS</w:t>
      </w:r>
    </w:p>
    <w:p w14:paraId="5E75BF2A" w14:textId="77777777" w:rsidR="00093A5E" w:rsidRPr="006A64EE" w:rsidRDefault="00093A5E" w:rsidP="004255F8">
      <w:pPr>
        <w:pStyle w:val="a3"/>
        <w:widowControl/>
      </w:pPr>
    </w:p>
    <w:p w14:paraId="5F512B15" w14:textId="14168420" w:rsidR="00410BDC" w:rsidRPr="00B320E1" w:rsidRDefault="00410BDC" w:rsidP="00410BDC">
      <w:pPr>
        <w:keepNext/>
        <w:rPr>
          <w:lang w:val="en-US"/>
        </w:rPr>
      </w:pPr>
      <w:r w:rsidRPr="00B320E1">
        <w:rPr>
          <w:lang w:val="en-US"/>
        </w:rPr>
        <w:t>Celltrion Healthcare Hungary Kft.</w:t>
      </w:r>
    </w:p>
    <w:p w14:paraId="47EE9F84" w14:textId="77777777" w:rsidR="00410BDC" w:rsidRPr="00B320E1" w:rsidRDefault="00410BDC" w:rsidP="00410BDC">
      <w:pPr>
        <w:keepNext/>
        <w:rPr>
          <w:lang w:val="en-US"/>
        </w:rPr>
      </w:pPr>
      <w:r w:rsidRPr="00B320E1">
        <w:rPr>
          <w:lang w:val="en-US"/>
        </w:rPr>
        <w:t>1062 Budapest</w:t>
      </w:r>
    </w:p>
    <w:p w14:paraId="286A7175" w14:textId="77777777" w:rsidR="00410BDC" w:rsidRPr="00B320E1" w:rsidRDefault="00410BDC" w:rsidP="00410BDC">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393568CC" w14:textId="76DB4CFA" w:rsidR="00093A5E" w:rsidRPr="00B320E1" w:rsidRDefault="00410BDC" w:rsidP="004255F8">
      <w:pPr>
        <w:pStyle w:val="a3"/>
        <w:widowControl/>
        <w:rPr>
          <w:lang w:val="en-US"/>
        </w:rPr>
      </w:pPr>
      <w:proofErr w:type="spellStart"/>
      <w:r w:rsidRPr="00B320E1">
        <w:rPr>
          <w:lang w:val="en-US"/>
        </w:rPr>
        <w:t>Ungarn</w:t>
      </w:r>
      <w:proofErr w:type="spellEnd"/>
    </w:p>
    <w:p w14:paraId="5102378B" w14:textId="77777777" w:rsidR="00093A5E" w:rsidRPr="00B320E1" w:rsidRDefault="00093A5E" w:rsidP="004255F8">
      <w:pPr>
        <w:pStyle w:val="a3"/>
        <w:widowControl/>
        <w:rPr>
          <w:lang w:val="en-US"/>
        </w:rPr>
      </w:pPr>
    </w:p>
    <w:p w14:paraId="5D19BCBD" w14:textId="77777777" w:rsidR="00093A5E" w:rsidRPr="00B320E1" w:rsidRDefault="00093A5E" w:rsidP="004255F8">
      <w:pPr>
        <w:pStyle w:val="a3"/>
        <w:widowControl/>
        <w:rPr>
          <w:lang w:val="en-US"/>
        </w:rPr>
      </w:pPr>
    </w:p>
    <w:p w14:paraId="77662113" w14:textId="77777777" w:rsidR="00093A5E" w:rsidRPr="006A64EE" w:rsidRDefault="00372A4A" w:rsidP="004255F8">
      <w:pPr>
        <w:pStyle w:val="tabele"/>
        <w:widowControl/>
      </w:pPr>
      <w:r w:rsidRPr="006A64EE">
        <w:t>12.</w:t>
      </w:r>
      <w:r w:rsidRPr="006A64EE">
        <w:tab/>
        <w:t>ZULASSUNGSNUMMER(N)</w:t>
      </w:r>
    </w:p>
    <w:p w14:paraId="240FDECC" w14:textId="77777777" w:rsidR="00093A5E" w:rsidRPr="006A64EE" w:rsidRDefault="00093A5E" w:rsidP="004255F8">
      <w:pPr>
        <w:pStyle w:val="a3"/>
        <w:widowControl/>
      </w:pPr>
    </w:p>
    <w:p w14:paraId="143550BF" w14:textId="340D7978" w:rsidR="00A71339" w:rsidRPr="00020C6B" w:rsidRDefault="00A71339" w:rsidP="00A71339">
      <w:pPr>
        <w:keepNext/>
      </w:pPr>
      <w:r w:rsidRPr="00020C6B">
        <w:t>EU/</w:t>
      </w:r>
      <w:r w:rsidRPr="003672E9">
        <w:rPr>
          <w:spacing w:val="-1"/>
          <w:lang w:val="pt-BR"/>
        </w:rPr>
        <w:t>1/24/1896/00</w:t>
      </w:r>
      <w:r>
        <w:rPr>
          <w:rFonts w:eastAsia="맑은 고딕" w:hint="eastAsia"/>
          <w:spacing w:val="-1"/>
          <w:lang w:val="pt-BR" w:eastAsia="ko-KR"/>
        </w:rPr>
        <w:t>5</w:t>
      </w:r>
      <w:r>
        <w:rPr>
          <w:rFonts w:hint="eastAsia"/>
          <w:spacing w:val="-1"/>
          <w:lang w:val="pt-BR" w:eastAsia="ko-KR"/>
        </w:rPr>
        <w:t xml:space="preserve"> 1</w:t>
      </w:r>
      <w:r>
        <w:rPr>
          <w:spacing w:val="-1"/>
          <w:lang w:val="pt-BR" w:eastAsia="ko-KR"/>
        </w:rPr>
        <w:t> Durchstechflasche</w:t>
      </w:r>
    </w:p>
    <w:p w14:paraId="5C676F99" w14:textId="03F9C8B7" w:rsidR="00A71339" w:rsidRPr="00020C6B" w:rsidRDefault="00A71339" w:rsidP="00A71339">
      <w:r w:rsidRPr="00020C6B">
        <w:t>EU/</w:t>
      </w:r>
      <w:r w:rsidRPr="003672E9">
        <w:rPr>
          <w:spacing w:val="-1"/>
          <w:lang w:val="pt-BR"/>
        </w:rPr>
        <w:t>1/24/1896/00</w:t>
      </w:r>
      <w:r>
        <w:rPr>
          <w:rFonts w:eastAsia="맑은 고딕" w:hint="eastAsia"/>
          <w:spacing w:val="-1"/>
          <w:lang w:val="pt-BR" w:eastAsia="ko-KR"/>
        </w:rPr>
        <w:t>6</w:t>
      </w:r>
      <w:r>
        <w:rPr>
          <w:rFonts w:hint="eastAsia"/>
          <w:spacing w:val="-1"/>
          <w:lang w:val="pt-BR" w:eastAsia="ko-KR"/>
        </w:rPr>
        <w:t xml:space="preserve"> </w:t>
      </w:r>
      <w:r>
        <w:rPr>
          <w:rFonts w:eastAsia="맑은 고딕" w:hint="eastAsia"/>
          <w:spacing w:val="-1"/>
          <w:lang w:val="pt-BR" w:eastAsia="ko-KR"/>
        </w:rPr>
        <w:t>4</w:t>
      </w:r>
      <w:r>
        <w:rPr>
          <w:rFonts w:eastAsia="맑은 고딕"/>
          <w:spacing w:val="-1"/>
          <w:lang w:val="pt-BR" w:eastAsia="ko-KR"/>
        </w:rPr>
        <w:t> Durchstechflaschen</w:t>
      </w:r>
    </w:p>
    <w:p w14:paraId="17922885" w14:textId="77777777" w:rsidR="00093A5E" w:rsidRPr="003452D3" w:rsidRDefault="00093A5E" w:rsidP="004255F8">
      <w:pPr>
        <w:pStyle w:val="a3"/>
        <w:widowControl/>
      </w:pPr>
    </w:p>
    <w:p w14:paraId="5D2935B4" w14:textId="77777777" w:rsidR="00093A5E" w:rsidRPr="003452D3" w:rsidRDefault="00093A5E" w:rsidP="004255F8">
      <w:pPr>
        <w:pStyle w:val="a3"/>
        <w:widowControl/>
      </w:pPr>
    </w:p>
    <w:p w14:paraId="023200E1" w14:textId="77777777" w:rsidR="00093A5E" w:rsidRPr="006A64EE" w:rsidRDefault="00372A4A" w:rsidP="004255F8">
      <w:pPr>
        <w:pStyle w:val="tabele"/>
        <w:widowControl/>
      </w:pPr>
      <w:r w:rsidRPr="006A64EE">
        <w:t>13.</w:t>
      </w:r>
      <w:r w:rsidRPr="006A64EE">
        <w:tab/>
        <w:t>CHARGENBEZEICHNUNG</w:t>
      </w:r>
    </w:p>
    <w:p w14:paraId="535874CE" w14:textId="77777777" w:rsidR="00093A5E" w:rsidRPr="006A64EE" w:rsidRDefault="00093A5E" w:rsidP="004255F8">
      <w:pPr>
        <w:pStyle w:val="a3"/>
        <w:widowControl/>
      </w:pPr>
    </w:p>
    <w:p w14:paraId="41A65F11" w14:textId="77777777" w:rsidR="00093A5E" w:rsidRPr="006A64EE" w:rsidRDefault="009C2544" w:rsidP="004255F8">
      <w:pPr>
        <w:pStyle w:val="a3"/>
        <w:widowControl/>
      </w:pPr>
      <w:r w:rsidRPr="006A64EE">
        <w:t>Ch.-B.</w:t>
      </w:r>
    </w:p>
    <w:p w14:paraId="2699DDED" w14:textId="77777777" w:rsidR="00093A5E" w:rsidRPr="006A64EE" w:rsidRDefault="00093A5E" w:rsidP="004255F8">
      <w:pPr>
        <w:pStyle w:val="a3"/>
        <w:widowControl/>
      </w:pPr>
    </w:p>
    <w:p w14:paraId="77E3A343" w14:textId="77777777" w:rsidR="00093A5E" w:rsidRPr="006A64EE" w:rsidRDefault="00093A5E" w:rsidP="004255F8">
      <w:pPr>
        <w:pStyle w:val="a3"/>
        <w:widowControl/>
      </w:pPr>
    </w:p>
    <w:p w14:paraId="2B678ABF" w14:textId="77777777" w:rsidR="00093A5E" w:rsidRPr="006A64EE" w:rsidRDefault="00372A4A" w:rsidP="004255F8">
      <w:pPr>
        <w:pStyle w:val="tabele"/>
        <w:widowControl/>
      </w:pPr>
      <w:r w:rsidRPr="006A64EE">
        <w:t>14.</w:t>
      </w:r>
      <w:r w:rsidRPr="006A64EE">
        <w:tab/>
        <w:t>VERKAUFSABGRENZUNG</w:t>
      </w:r>
    </w:p>
    <w:p w14:paraId="3E42844C" w14:textId="77777777" w:rsidR="00093A5E" w:rsidRPr="006A64EE" w:rsidRDefault="00093A5E" w:rsidP="004255F8">
      <w:pPr>
        <w:pStyle w:val="a3"/>
        <w:widowControl/>
      </w:pPr>
    </w:p>
    <w:p w14:paraId="06D5ACE0" w14:textId="77777777" w:rsidR="00093A5E" w:rsidRPr="00B320E1" w:rsidRDefault="009C2544" w:rsidP="004255F8">
      <w:pPr>
        <w:pStyle w:val="a3"/>
        <w:widowControl/>
        <w:rPr>
          <w:shd w:val="pct15" w:color="auto" w:fill="FFFFFF"/>
        </w:rPr>
      </w:pPr>
      <w:r w:rsidRPr="00B320E1">
        <w:rPr>
          <w:shd w:val="pct15" w:color="auto" w:fill="FFFFFF"/>
        </w:rPr>
        <w:t>Verschreibungspflichtig</w:t>
      </w:r>
    </w:p>
    <w:p w14:paraId="4E55B5B0" w14:textId="77777777" w:rsidR="00093A5E" w:rsidRPr="006A64EE" w:rsidRDefault="00093A5E" w:rsidP="004255F8">
      <w:pPr>
        <w:pStyle w:val="a3"/>
        <w:widowControl/>
      </w:pPr>
    </w:p>
    <w:p w14:paraId="4927F023" w14:textId="77777777" w:rsidR="00093A5E" w:rsidRPr="006A64EE" w:rsidRDefault="00093A5E" w:rsidP="004255F8">
      <w:pPr>
        <w:pStyle w:val="a3"/>
        <w:widowControl/>
      </w:pPr>
    </w:p>
    <w:p w14:paraId="1CC7A1A6" w14:textId="77777777" w:rsidR="00093A5E" w:rsidRPr="006A64EE" w:rsidRDefault="00372A4A" w:rsidP="004255F8">
      <w:pPr>
        <w:pStyle w:val="tabele"/>
        <w:widowControl/>
      </w:pPr>
      <w:r w:rsidRPr="006A64EE">
        <w:t>15.</w:t>
      </w:r>
      <w:r w:rsidRPr="006A64EE">
        <w:tab/>
        <w:t>HINWEISE FÜR DEN GEBRAUCH</w:t>
      </w:r>
    </w:p>
    <w:p w14:paraId="31911CB2" w14:textId="77777777" w:rsidR="00093A5E" w:rsidRPr="006A64EE" w:rsidRDefault="00093A5E" w:rsidP="004255F8">
      <w:pPr>
        <w:pStyle w:val="a3"/>
        <w:widowControl/>
      </w:pPr>
    </w:p>
    <w:p w14:paraId="2706A5C4" w14:textId="77777777" w:rsidR="00093A5E" w:rsidRPr="006A64EE" w:rsidRDefault="00093A5E" w:rsidP="004255F8">
      <w:pPr>
        <w:pStyle w:val="a3"/>
        <w:widowControl/>
      </w:pPr>
    </w:p>
    <w:p w14:paraId="645C9FBF" w14:textId="77777777" w:rsidR="00093A5E" w:rsidRPr="006A64EE" w:rsidRDefault="00372A4A" w:rsidP="004255F8">
      <w:pPr>
        <w:pStyle w:val="tabele"/>
        <w:widowControl/>
      </w:pPr>
      <w:r w:rsidRPr="006A64EE">
        <w:t>16.</w:t>
      </w:r>
      <w:r w:rsidRPr="006A64EE">
        <w:tab/>
        <w:t>ANGABEN IN BLINDENSCHRIFT</w:t>
      </w:r>
    </w:p>
    <w:p w14:paraId="50693DA6" w14:textId="77777777" w:rsidR="00093A5E" w:rsidRPr="006A64EE" w:rsidRDefault="00093A5E" w:rsidP="004255F8">
      <w:pPr>
        <w:pStyle w:val="a3"/>
        <w:widowControl/>
      </w:pPr>
    </w:p>
    <w:p w14:paraId="6A6B8455" w14:textId="77777777" w:rsidR="00093A5E" w:rsidRPr="006A64EE" w:rsidRDefault="009C2544" w:rsidP="004255F8">
      <w:pPr>
        <w:pStyle w:val="a3"/>
        <w:widowControl/>
        <w:rPr>
          <w:shd w:val="pct15" w:color="auto" w:fill="FFFFFF"/>
        </w:rPr>
      </w:pPr>
      <w:r w:rsidRPr="006A64EE">
        <w:rPr>
          <w:shd w:val="pct15" w:color="auto" w:fill="FFFFFF"/>
        </w:rPr>
        <w:t>Der Begründung, keine Angaben in Blindenschrift aufzunehmen, wird zugestimmt</w:t>
      </w:r>
    </w:p>
    <w:p w14:paraId="39C0AC96" w14:textId="77777777" w:rsidR="00093A5E" w:rsidRPr="006A64EE" w:rsidRDefault="00093A5E" w:rsidP="004255F8">
      <w:pPr>
        <w:pStyle w:val="a3"/>
        <w:widowControl/>
      </w:pPr>
    </w:p>
    <w:p w14:paraId="2FA9CC10" w14:textId="77777777" w:rsidR="00093A5E" w:rsidRPr="006A64EE" w:rsidRDefault="00093A5E" w:rsidP="004255F8">
      <w:pPr>
        <w:pStyle w:val="a3"/>
        <w:widowControl/>
      </w:pPr>
    </w:p>
    <w:p w14:paraId="2BB54CD9" w14:textId="77777777" w:rsidR="00093A5E" w:rsidRPr="006A64EE" w:rsidRDefault="00372A4A" w:rsidP="004255F8">
      <w:pPr>
        <w:pStyle w:val="tabele"/>
        <w:widowControl/>
      </w:pPr>
      <w:r w:rsidRPr="006A64EE">
        <w:t>17.</w:t>
      </w:r>
      <w:r w:rsidRPr="006A64EE">
        <w:tab/>
        <w:t>INDIVIDUELLES ERKENNUNGSMERKMAL – 2D-BARCODE</w:t>
      </w:r>
    </w:p>
    <w:p w14:paraId="6551D9B3" w14:textId="77777777" w:rsidR="00093A5E" w:rsidRPr="006A64EE" w:rsidRDefault="00093A5E" w:rsidP="004255F8">
      <w:pPr>
        <w:pStyle w:val="a3"/>
        <w:widowControl/>
      </w:pPr>
    </w:p>
    <w:p w14:paraId="42915A07" w14:textId="77777777" w:rsidR="00093A5E" w:rsidRPr="006A64EE" w:rsidRDefault="009C2544" w:rsidP="004255F8">
      <w:pPr>
        <w:pStyle w:val="a3"/>
        <w:widowControl/>
        <w:rPr>
          <w:shd w:val="pct15" w:color="auto" w:fill="FFFFFF"/>
        </w:rPr>
      </w:pPr>
      <w:r w:rsidRPr="006A64EE">
        <w:rPr>
          <w:shd w:val="pct15" w:color="auto" w:fill="FFFFFF"/>
        </w:rPr>
        <w:t>&lt;2D-Barcode mit individuellem Erkennungsmerkmal.&gt;</w:t>
      </w:r>
    </w:p>
    <w:p w14:paraId="5D37A7BE" w14:textId="77777777" w:rsidR="00093A5E" w:rsidRPr="006A64EE" w:rsidRDefault="00093A5E" w:rsidP="004255F8">
      <w:pPr>
        <w:pStyle w:val="a3"/>
        <w:widowControl/>
      </w:pPr>
    </w:p>
    <w:p w14:paraId="3B2AFEC3" w14:textId="77777777" w:rsidR="00093A5E" w:rsidRPr="006A64EE" w:rsidRDefault="00093A5E" w:rsidP="004255F8">
      <w:pPr>
        <w:pStyle w:val="a3"/>
        <w:widowControl/>
      </w:pPr>
    </w:p>
    <w:p w14:paraId="6C31FF14" w14:textId="77777777" w:rsidR="00093A5E" w:rsidRPr="006A64EE" w:rsidRDefault="00372A4A" w:rsidP="00E66AB0">
      <w:pPr>
        <w:pStyle w:val="tabele"/>
        <w:keepNext/>
        <w:keepLines/>
        <w:widowControl/>
      </w:pPr>
      <w:r w:rsidRPr="006A64EE">
        <w:lastRenderedPageBreak/>
        <w:t>18.</w:t>
      </w:r>
      <w:r w:rsidRPr="006A64EE">
        <w:tab/>
        <w:t>INDIVIDUELLES ERKENNUNGSMERKMAL – VOM MENSCHEN LESBARES FORMAT</w:t>
      </w:r>
    </w:p>
    <w:p w14:paraId="55139B6C" w14:textId="77777777" w:rsidR="00093A5E" w:rsidRPr="006A64EE" w:rsidRDefault="00093A5E" w:rsidP="00E66AB0">
      <w:pPr>
        <w:pStyle w:val="a3"/>
        <w:keepNext/>
        <w:keepLines/>
        <w:widowControl/>
        <w:jc w:val="both"/>
      </w:pPr>
    </w:p>
    <w:p w14:paraId="32E1B33E" w14:textId="77777777" w:rsidR="00093A5E" w:rsidRPr="006A64EE" w:rsidRDefault="009C2544" w:rsidP="00E66AB0">
      <w:pPr>
        <w:pStyle w:val="a3"/>
        <w:keepNext/>
        <w:keepLines/>
        <w:widowControl/>
        <w:jc w:val="both"/>
      </w:pPr>
      <w:r w:rsidRPr="006A64EE">
        <w:t xml:space="preserve">PC </w:t>
      </w:r>
    </w:p>
    <w:p w14:paraId="5AF7762F" w14:textId="77777777" w:rsidR="00093A5E" w:rsidRPr="006A64EE" w:rsidRDefault="009C2544" w:rsidP="00E66AB0">
      <w:pPr>
        <w:pStyle w:val="a3"/>
        <w:keepNext/>
        <w:keepLines/>
        <w:widowControl/>
        <w:jc w:val="both"/>
      </w:pPr>
      <w:r w:rsidRPr="006A64EE">
        <w:t xml:space="preserve">SN </w:t>
      </w:r>
    </w:p>
    <w:p w14:paraId="0DDF1A5B" w14:textId="77777777" w:rsidR="00093A5E" w:rsidRPr="005973B7" w:rsidRDefault="009C2544" w:rsidP="00E66AB0">
      <w:pPr>
        <w:pStyle w:val="a3"/>
        <w:keepNext/>
        <w:keepLines/>
        <w:widowControl/>
        <w:jc w:val="both"/>
      </w:pPr>
      <w:r w:rsidRPr="00E303AE">
        <w:rPr>
          <w:highlight w:val="lightGray"/>
        </w:rPr>
        <w:t>NN</w:t>
      </w:r>
    </w:p>
    <w:p w14:paraId="5D247DD2" w14:textId="77777777" w:rsidR="00093A5E" w:rsidRPr="006A64EE" w:rsidRDefault="00E66AB0">
      <w:pPr>
        <w:rPr>
          <w:b/>
        </w:rPr>
      </w:pPr>
      <w:r w:rsidRPr="006A64EE">
        <w:br w:type="page"/>
      </w:r>
    </w:p>
    <w:p w14:paraId="6329F3F4" w14:textId="77777777" w:rsidR="00093A5E" w:rsidRPr="006A64EE" w:rsidRDefault="00372A4A" w:rsidP="004255F8">
      <w:pPr>
        <w:pStyle w:val="tabele"/>
        <w:widowControl/>
      </w:pPr>
      <w:r w:rsidRPr="006A64EE">
        <w:lastRenderedPageBreak/>
        <w:t>ANGABEN AUF DER ÄUSSEREN UMHÜLLUNG</w:t>
      </w:r>
    </w:p>
    <w:p w14:paraId="5B80B3E0" w14:textId="77777777" w:rsidR="00093A5E" w:rsidRPr="006A64EE" w:rsidRDefault="00093A5E" w:rsidP="004255F8">
      <w:pPr>
        <w:pStyle w:val="tabele"/>
        <w:widowControl/>
      </w:pPr>
    </w:p>
    <w:p w14:paraId="4B79F1F3" w14:textId="77777777" w:rsidR="00093A5E" w:rsidRPr="006A64EE" w:rsidRDefault="00372A4A" w:rsidP="004255F8">
      <w:pPr>
        <w:pStyle w:val="tabele"/>
        <w:widowControl/>
      </w:pPr>
      <w:r w:rsidRPr="006A64EE">
        <w:t>FERTIGSPRITZE FALTSCHACHTEL</w:t>
      </w:r>
    </w:p>
    <w:p w14:paraId="2043D191" w14:textId="77777777" w:rsidR="00093A5E" w:rsidRPr="006A64EE" w:rsidRDefault="00093A5E" w:rsidP="004255F8">
      <w:pPr>
        <w:widowControl/>
        <w:jc w:val="both"/>
        <w:rPr>
          <w:b/>
        </w:rPr>
      </w:pPr>
    </w:p>
    <w:p w14:paraId="64CB7CCB" w14:textId="77777777" w:rsidR="00093A5E" w:rsidRPr="006A64EE" w:rsidRDefault="00093A5E" w:rsidP="004255F8">
      <w:pPr>
        <w:widowControl/>
        <w:tabs>
          <w:tab w:val="left" w:pos="669"/>
        </w:tabs>
        <w:rPr>
          <w:b/>
        </w:rPr>
      </w:pPr>
    </w:p>
    <w:p w14:paraId="4A63A267" w14:textId="77777777" w:rsidR="00093A5E" w:rsidRPr="006A64EE" w:rsidRDefault="00372A4A" w:rsidP="004255F8">
      <w:pPr>
        <w:pStyle w:val="tabele"/>
        <w:widowControl/>
      </w:pPr>
      <w:r w:rsidRPr="006A64EE">
        <w:t>1.</w:t>
      </w:r>
      <w:r w:rsidRPr="006A64EE">
        <w:tab/>
        <w:t>BEZEICHNUNG DES ARZNEIMITTELS</w:t>
      </w:r>
    </w:p>
    <w:p w14:paraId="6B5A268D" w14:textId="77777777" w:rsidR="00093A5E" w:rsidRPr="006A64EE" w:rsidRDefault="00093A5E" w:rsidP="004255F8">
      <w:pPr>
        <w:pStyle w:val="a3"/>
        <w:widowControl/>
      </w:pPr>
    </w:p>
    <w:p w14:paraId="37FA2909" w14:textId="3ED77D71" w:rsidR="00093A5E" w:rsidRPr="006A64EE" w:rsidRDefault="00F91E2B" w:rsidP="004255F8">
      <w:pPr>
        <w:pStyle w:val="a3"/>
        <w:widowControl/>
      </w:pPr>
      <w:r>
        <w:t>Avtozma</w:t>
      </w:r>
      <w:r w:rsidRPr="006A64EE">
        <w:t xml:space="preserve"> </w:t>
      </w:r>
      <w:r w:rsidR="009C2544" w:rsidRPr="006A64EE">
        <w:t>162 mg Injektionslösung in einer Fertigspritze</w:t>
      </w:r>
    </w:p>
    <w:p w14:paraId="130504A1" w14:textId="77777777" w:rsidR="00093A5E" w:rsidRPr="006A64EE" w:rsidRDefault="00093A5E" w:rsidP="004255F8">
      <w:pPr>
        <w:pStyle w:val="a3"/>
        <w:widowControl/>
      </w:pPr>
    </w:p>
    <w:p w14:paraId="11019B4A" w14:textId="77777777" w:rsidR="00093A5E" w:rsidRPr="006A64EE" w:rsidRDefault="009C2544" w:rsidP="004255F8">
      <w:pPr>
        <w:pStyle w:val="a3"/>
        <w:widowControl/>
      </w:pPr>
      <w:r w:rsidRPr="006A64EE">
        <w:t>Tocilizumab</w:t>
      </w:r>
    </w:p>
    <w:p w14:paraId="05AF1F6E" w14:textId="77777777" w:rsidR="00093A5E" w:rsidRPr="006A64EE" w:rsidRDefault="00093A5E" w:rsidP="004255F8">
      <w:pPr>
        <w:pStyle w:val="a3"/>
        <w:widowControl/>
      </w:pPr>
    </w:p>
    <w:p w14:paraId="2A55859F" w14:textId="77777777" w:rsidR="00093A5E" w:rsidRPr="006A64EE" w:rsidRDefault="00093A5E" w:rsidP="004255F8">
      <w:pPr>
        <w:pStyle w:val="a3"/>
        <w:widowControl/>
      </w:pPr>
    </w:p>
    <w:p w14:paraId="0061FAD3" w14:textId="77777777" w:rsidR="00093A5E" w:rsidRPr="006A64EE" w:rsidRDefault="00372A4A" w:rsidP="004255F8">
      <w:pPr>
        <w:pStyle w:val="tabele"/>
        <w:widowControl/>
      </w:pPr>
      <w:r w:rsidRPr="006A64EE">
        <w:t>2.</w:t>
      </w:r>
      <w:r w:rsidRPr="006A64EE">
        <w:tab/>
        <w:t>WIRKSTOFF(E)</w:t>
      </w:r>
    </w:p>
    <w:p w14:paraId="49E02BB2" w14:textId="77777777" w:rsidR="00093A5E" w:rsidRPr="006A64EE" w:rsidRDefault="00093A5E" w:rsidP="004255F8">
      <w:pPr>
        <w:pStyle w:val="a3"/>
        <w:widowControl/>
      </w:pPr>
    </w:p>
    <w:p w14:paraId="6CE41D20" w14:textId="77777777" w:rsidR="00093A5E" w:rsidRPr="006A64EE" w:rsidRDefault="009C2544" w:rsidP="004255F8">
      <w:pPr>
        <w:pStyle w:val="a3"/>
        <w:widowControl/>
      </w:pPr>
      <w:r w:rsidRPr="006A64EE">
        <w:t>1 Fertigspritze enthält 162 mg Tocilizumab.</w:t>
      </w:r>
    </w:p>
    <w:p w14:paraId="063E43E6" w14:textId="77777777" w:rsidR="00093A5E" w:rsidRPr="006A64EE" w:rsidRDefault="00093A5E" w:rsidP="004255F8">
      <w:pPr>
        <w:pStyle w:val="a3"/>
        <w:widowControl/>
      </w:pPr>
    </w:p>
    <w:p w14:paraId="1DBF77FE" w14:textId="77777777" w:rsidR="00093A5E" w:rsidRPr="006A64EE" w:rsidRDefault="00093A5E" w:rsidP="004255F8">
      <w:pPr>
        <w:pStyle w:val="a3"/>
        <w:widowControl/>
      </w:pPr>
    </w:p>
    <w:p w14:paraId="074E1FCF" w14:textId="77777777" w:rsidR="00093A5E" w:rsidRPr="006A64EE" w:rsidRDefault="00372A4A" w:rsidP="004255F8">
      <w:pPr>
        <w:pStyle w:val="tabele"/>
        <w:widowControl/>
      </w:pPr>
      <w:r w:rsidRPr="006A64EE">
        <w:t>3.</w:t>
      </w:r>
      <w:r w:rsidRPr="006A64EE">
        <w:tab/>
        <w:t>SONSTIGE BESTANDTEILE</w:t>
      </w:r>
    </w:p>
    <w:p w14:paraId="5B270A96" w14:textId="77777777" w:rsidR="00093A5E" w:rsidRPr="006A64EE" w:rsidRDefault="00093A5E" w:rsidP="004255F8">
      <w:pPr>
        <w:pStyle w:val="a3"/>
        <w:widowControl/>
      </w:pPr>
    </w:p>
    <w:p w14:paraId="6591CC5D" w14:textId="107FB5B8" w:rsidR="00093A5E" w:rsidRDefault="00F91E2B" w:rsidP="004255F8">
      <w:pPr>
        <w:pStyle w:val="a3"/>
        <w:widowControl/>
      </w:pPr>
      <w:r>
        <w:t>Sonstige Bestandteile: L-Histidin,</w:t>
      </w:r>
      <w:r w:rsidR="00C242B8" w:rsidRPr="00C242B8">
        <w:t xml:space="preserve">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t>L-Threonin, L-Methionin, Polysorbat 80 und Wasser für Injektionszwecke</w:t>
      </w:r>
      <w:r w:rsidR="009C2544" w:rsidRPr="006A64EE">
        <w:t>.</w:t>
      </w:r>
    </w:p>
    <w:p w14:paraId="09B30DAB" w14:textId="082F4919" w:rsidR="00F91E2B" w:rsidRPr="006A64EE" w:rsidRDefault="00F91E2B" w:rsidP="004255F8">
      <w:pPr>
        <w:pStyle w:val="a3"/>
        <w:widowControl/>
      </w:pPr>
      <w:r>
        <w:t>Siehe Packungsbeilage für weitere Informationen.</w:t>
      </w:r>
    </w:p>
    <w:p w14:paraId="255A028C" w14:textId="77777777" w:rsidR="00093A5E" w:rsidRPr="006A64EE" w:rsidRDefault="00093A5E" w:rsidP="004255F8">
      <w:pPr>
        <w:pStyle w:val="a3"/>
        <w:widowControl/>
      </w:pPr>
    </w:p>
    <w:p w14:paraId="09208AE1" w14:textId="77777777" w:rsidR="00093A5E" w:rsidRPr="006A64EE" w:rsidRDefault="00093A5E" w:rsidP="004255F8">
      <w:pPr>
        <w:pStyle w:val="a3"/>
        <w:widowControl/>
      </w:pPr>
    </w:p>
    <w:p w14:paraId="0844A5FF" w14:textId="77777777" w:rsidR="00093A5E" w:rsidRPr="006A64EE" w:rsidRDefault="00372A4A" w:rsidP="004255F8">
      <w:pPr>
        <w:pStyle w:val="tabele"/>
        <w:widowControl/>
      </w:pPr>
      <w:r w:rsidRPr="006A64EE">
        <w:t>4.</w:t>
      </w:r>
      <w:r w:rsidRPr="006A64EE">
        <w:tab/>
        <w:t>DARREICHUNGSFORM UND INHALT</w:t>
      </w:r>
    </w:p>
    <w:p w14:paraId="4CA0E2C1" w14:textId="77777777" w:rsidR="00093A5E" w:rsidRPr="006A64EE" w:rsidRDefault="00093A5E" w:rsidP="004255F8">
      <w:pPr>
        <w:pStyle w:val="a3"/>
        <w:widowControl/>
      </w:pPr>
    </w:p>
    <w:p w14:paraId="3D96307E" w14:textId="0E6B170F" w:rsidR="00093A5E" w:rsidRPr="006A64EE" w:rsidRDefault="009C2544" w:rsidP="004255F8">
      <w:pPr>
        <w:pStyle w:val="a3"/>
        <w:widowControl/>
      </w:pPr>
      <w:r w:rsidRPr="006A64EE">
        <w:t>Injektionslösung in einer Fertigspritze</w:t>
      </w:r>
    </w:p>
    <w:p w14:paraId="338AE0EC" w14:textId="3CAE5B1B" w:rsidR="00F91E2B" w:rsidRDefault="00F91E2B" w:rsidP="004255F8">
      <w:pPr>
        <w:pStyle w:val="a3"/>
        <w:widowControl/>
      </w:pPr>
      <w:r>
        <w:t>1 Fertigspritze</w:t>
      </w:r>
    </w:p>
    <w:p w14:paraId="61047A82" w14:textId="120831CE" w:rsidR="00387ABD" w:rsidRPr="006A64EE" w:rsidRDefault="00387ABD" w:rsidP="00387ABD">
      <w:pPr>
        <w:pStyle w:val="a3"/>
        <w:widowControl/>
        <w:rPr>
          <w:ins w:id="30" w:author="만든 이"/>
        </w:rPr>
      </w:pPr>
      <w:ins w:id="31" w:author="만든 이">
        <w:r>
          <w:rPr>
            <w:rFonts w:eastAsia="맑은 고딕" w:hint="eastAsia"/>
            <w:lang w:eastAsia="ko-KR"/>
          </w:rPr>
          <w:t>2</w:t>
        </w:r>
        <w:r w:rsidRPr="006A64EE">
          <w:t xml:space="preserve"> Fertigspritzen</w:t>
        </w:r>
      </w:ins>
    </w:p>
    <w:p w14:paraId="3605AC03" w14:textId="07145EF0" w:rsidR="00093A5E" w:rsidRPr="006A64EE" w:rsidRDefault="009C2544" w:rsidP="004255F8">
      <w:pPr>
        <w:pStyle w:val="a3"/>
        <w:widowControl/>
      </w:pPr>
      <w:r w:rsidRPr="006A64EE">
        <w:t>4 Fertigspritzen</w:t>
      </w:r>
    </w:p>
    <w:p w14:paraId="55E58DD5" w14:textId="77777777" w:rsidR="00093A5E" w:rsidRPr="006A64EE" w:rsidRDefault="009C2544" w:rsidP="004255F8">
      <w:pPr>
        <w:pStyle w:val="a3"/>
        <w:widowControl/>
      </w:pPr>
      <w:r w:rsidRPr="006A64EE">
        <w:t>162 mg/0,9 ml</w:t>
      </w:r>
    </w:p>
    <w:p w14:paraId="627EFFF1" w14:textId="77777777" w:rsidR="00093A5E" w:rsidRPr="006A64EE" w:rsidRDefault="00093A5E" w:rsidP="004255F8">
      <w:pPr>
        <w:pStyle w:val="a3"/>
        <w:widowControl/>
      </w:pPr>
    </w:p>
    <w:p w14:paraId="3D2D990B" w14:textId="77777777" w:rsidR="00093A5E" w:rsidRPr="006A64EE" w:rsidRDefault="00093A5E" w:rsidP="004255F8">
      <w:pPr>
        <w:pStyle w:val="a3"/>
        <w:widowControl/>
      </w:pPr>
    </w:p>
    <w:p w14:paraId="6D47275B" w14:textId="77777777" w:rsidR="00093A5E" w:rsidRPr="006A64EE" w:rsidRDefault="00372A4A" w:rsidP="004255F8">
      <w:pPr>
        <w:pStyle w:val="tabele"/>
        <w:widowControl/>
      </w:pPr>
      <w:r w:rsidRPr="006A64EE">
        <w:t>5.</w:t>
      </w:r>
      <w:r w:rsidRPr="006A64EE">
        <w:tab/>
        <w:t>HINWEISE ZUR UND ART(EN) DER ANWENDUNG</w:t>
      </w:r>
    </w:p>
    <w:p w14:paraId="5DBDBBE7" w14:textId="77777777" w:rsidR="00093A5E" w:rsidRPr="006A64EE" w:rsidRDefault="00093A5E" w:rsidP="004255F8">
      <w:pPr>
        <w:pStyle w:val="a3"/>
        <w:widowControl/>
      </w:pPr>
    </w:p>
    <w:p w14:paraId="3AC25F02" w14:textId="3D604B4E" w:rsidR="00093A5E" w:rsidRPr="006A64EE" w:rsidRDefault="009C2544" w:rsidP="004255F8">
      <w:pPr>
        <w:pStyle w:val="a3"/>
        <w:widowControl/>
      </w:pPr>
      <w:r w:rsidRPr="006A64EE">
        <w:t>Subkutane Anwendung</w:t>
      </w:r>
    </w:p>
    <w:p w14:paraId="66D12B66" w14:textId="382E31B3" w:rsidR="00093A5E" w:rsidRPr="006A64EE" w:rsidRDefault="009C2544" w:rsidP="004255F8">
      <w:pPr>
        <w:pStyle w:val="a3"/>
        <w:widowControl/>
      </w:pPr>
      <w:r w:rsidRPr="006A64EE">
        <w:t>Packungsbeilage beachten</w:t>
      </w:r>
    </w:p>
    <w:p w14:paraId="017AC3B2" w14:textId="77777777" w:rsidR="00093A5E" w:rsidRDefault="00093A5E" w:rsidP="004255F8">
      <w:pPr>
        <w:pStyle w:val="a3"/>
        <w:widowControl/>
      </w:pPr>
    </w:p>
    <w:p w14:paraId="4154C911" w14:textId="77777777" w:rsidR="0087631F" w:rsidRPr="006A64EE" w:rsidRDefault="0087631F" w:rsidP="004255F8">
      <w:pPr>
        <w:pStyle w:val="a3"/>
        <w:widowControl/>
      </w:pPr>
    </w:p>
    <w:p w14:paraId="19D1C80E" w14:textId="3235B34C" w:rsidR="00093A5E" w:rsidRPr="006A64EE" w:rsidRDefault="00372A4A" w:rsidP="004255F8">
      <w:pPr>
        <w:pStyle w:val="tabele"/>
        <w:widowControl/>
      </w:pPr>
      <w:r w:rsidRPr="006A64EE">
        <w:t>6</w:t>
      </w:r>
      <w:r w:rsidR="003542B5" w:rsidRPr="006A64EE">
        <w:t>.</w:t>
      </w:r>
      <w:r w:rsidRPr="006A64EE">
        <w:tab/>
        <w:t xml:space="preserve">WARNHINWEIS, DASS DAS ARZNEIMITTEL FÜR KINDER </w:t>
      </w:r>
      <w:r w:rsidR="0018324B">
        <w:t xml:space="preserve">UNZUGÄNGLICH </w:t>
      </w:r>
      <w:r w:rsidRPr="006A64EE">
        <w:t>AUFZUBEWAHREN IST</w:t>
      </w:r>
    </w:p>
    <w:p w14:paraId="1FF47D68" w14:textId="77777777" w:rsidR="00093A5E" w:rsidRPr="006A64EE" w:rsidRDefault="00093A5E" w:rsidP="004255F8">
      <w:pPr>
        <w:pStyle w:val="a3"/>
        <w:widowControl/>
      </w:pPr>
    </w:p>
    <w:p w14:paraId="02B7310A" w14:textId="3A27FA90" w:rsidR="00093A5E" w:rsidRPr="006A64EE" w:rsidRDefault="009C2544" w:rsidP="004255F8">
      <w:pPr>
        <w:pStyle w:val="a3"/>
        <w:widowControl/>
      </w:pPr>
      <w:r w:rsidRPr="006A64EE">
        <w:t>Arzneimittel für Kinder unzugänglich aufbewahren</w:t>
      </w:r>
    </w:p>
    <w:p w14:paraId="48E0FA57" w14:textId="77777777" w:rsidR="00093A5E" w:rsidRPr="006A64EE" w:rsidRDefault="00093A5E" w:rsidP="004255F8">
      <w:pPr>
        <w:pStyle w:val="a3"/>
        <w:widowControl/>
      </w:pPr>
    </w:p>
    <w:p w14:paraId="79F0B94C" w14:textId="77777777" w:rsidR="00093A5E" w:rsidRPr="006A64EE" w:rsidRDefault="00093A5E" w:rsidP="004255F8">
      <w:pPr>
        <w:pStyle w:val="a3"/>
        <w:widowControl/>
      </w:pPr>
    </w:p>
    <w:p w14:paraId="0F8F7278" w14:textId="77777777" w:rsidR="00093A5E" w:rsidRPr="006A64EE" w:rsidRDefault="00372A4A" w:rsidP="004255F8">
      <w:pPr>
        <w:pStyle w:val="tabele"/>
        <w:widowControl/>
      </w:pPr>
      <w:r w:rsidRPr="006A64EE">
        <w:t>7.</w:t>
      </w:r>
      <w:r w:rsidRPr="006A64EE">
        <w:tab/>
        <w:t>WEITERE WARNHINWEISE, FALLS ERFORDERLICH</w:t>
      </w:r>
    </w:p>
    <w:p w14:paraId="0D2711A8" w14:textId="77777777" w:rsidR="00093A5E" w:rsidRPr="006A64EE" w:rsidRDefault="00093A5E" w:rsidP="004255F8">
      <w:pPr>
        <w:pStyle w:val="a3"/>
        <w:widowControl/>
      </w:pPr>
    </w:p>
    <w:p w14:paraId="703C92D4" w14:textId="4840CABF" w:rsidR="00093A5E" w:rsidRPr="006A64EE" w:rsidRDefault="009C2544" w:rsidP="004255F8">
      <w:pPr>
        <w:pStyle w:val="a3"/>
        <w:widowControl/>
      </w:pPr>
      <w:r w:rsidRPr="006A64EE">
        <w:t>Die Fertigspritze vor der Anwendung 30 Minuten außerhalb der Faltschachtel bei Raumtemperatur aufbewahren</w:t>
      </w:r>
    </w:p>
    <w:p w14:paraId="5ED9C4E0" w14:textId="77777777" w:rsidR="00093A5E" w:rsidRPr="006A64EE" w:rsidRDefault="00093A5E" w:rsidP="004255F8">
      <w:pPr>
        <w:pStyle w:val="a3"/>
        <w:widowControl/>
      </w:pPr>
    </w:p>
    <w:p w14:paraId="6362BAF0" w14:textId="77777777" w:rsidR="00093A5E" w:rsidRPr="006A64EE" w:rsidRDefault="00093A5E" w:rsidP="004255F8">
      <w:pPr>
        <w:pStyle w:val="a3"/>
        <w:widowControl/>
      </w:pPr>
    </w:p>
    <w:p w14:paraId="6C9D359A" w14:textId="77777777" w:rsidR="00093A5E" w:rsidRPr="006A64EE" w:rsidRDefault="00372A4A" w:rsidP="00D97C5C">
      <w:pPr>
        <w:pStyle w:val="tabele"/>
        <w:keepNext/>
        <w:widowControl/>
      </w:pPr>
      <w:r w:rsidRPr="006A64EE">
        <w:lastRenderedPageBreak/>
        <w:t>8.</w:t>
      </w:r>
      <w:r w:rsidRPr="006A64EE">
        <w:tab/>
        <w:t>VERFALLDATUM</w:t>
      </w:r>
    </w:p>
    <w:p w14:paraId="661E3AB2" w14:textId="77777777" w:rsidR="00093A5E" w:rsidRPr="006A64EE" w:rsidRDefault="00093A5E" w:rsidP="00D97C5C">
      <w:pPr>
        <w:pStyle w:val="a3"/>
        <w:keepNext/>
        <w:widowControl/>
      </w:pPr>
    </w:p>
    <w:p w14:paraId="1ECA320D" w14:textId="77777777" w:rsidR="00093A5E" w:rsidRPr="006A64EE" w:rsidRDefault="009C2544" w:rsidP="00D97C5C">
      <w:pPr>
        <w:pStyle w:val="a3"/>
        <w:keepNext/>
        <w:widowControl/>
      </w:pPr>
      <w:r w:rsidRPr="006A64EE">
        <w:t>verwendbar bis</w:t>
      </w:r>
    </w:p>
    <w:p w14:paraId="4DEED18C" w14:textId="77777777" w:rsidR="00093A5E" w:rsidRPr="006A64EE" w:rsidRDefault="00093A5E" w:rsidP="004255F8">
      <w:pPr>
        <w:pStyle w:val="a3"/>
        <w:widowControl/>
      </w:pPr>
    </w:p>
    <w:p w14:paraId="5DE9C3DF" w14:textId="77777777" w:rsidR="00093A5E" w:rsidRPr="006A64EE" w:rsidRDefault="00093A5E" w:rsidP="004255F8">
      <w:pPr>
        <w:pStyle w:val="a3"/>
        <w:widowControl/>
      </w:pPr>
    </w:p>
    <w:p w14:paraId="27E5C83F" w14:textId="77777777" w:rsidR="00093A5E" w:rsidRPr="006A64EE" w:rsidRDefault="00372A4A" w:rsidP="00E66AB0">
      <w:pPr>
        <w:pStyle w:val="tabele"/>
        <w:keepNext/>
        <w:keepLines/>
        <w:widowControl/>
      </w:pPr>
      <w:r w:rsidRPr="006A64EE">
        <w:t>9.</w:t>
      </w:r>
      <w:r w:rsidRPr="006A64EE">
        <w:tab/>
        <w:t>BESONDERE VORSICHTSMASSNAHMEN FÜR DIE AUFBEWAHRUNG</w:t>
      </w:r>
    </w:p>
    <w:p w14:paraId="353FF221" w14:textId="77777777" w:rsidR="00093A5E" w:rsidRPr="006A64EE" w:rsidRDefault="00093A5E" w:rsidP="00E66AB0">
      <w:pPr>
        <w:keepNext/>
        <w:keepLines/>
        <w:widowControl/>
      </w:pPr>
    </w:p>
    <w:p w14:paraId="23D023CA" w14:textId="512C3AC8" w:rsidR="00093A5E" w:rsidRPr="006A64EE" w:rsidRDefault="009C2544" w:rsidP="00E66AB0">
      <w:pPr>
        <w:pStyle w:val="a3"/>
        <w:keepNext/>
        <w:keepLines/>
        <w:widowControl/>
      </w:pPr>
      <w:r w:rsidRPr="006A64EE">
        <w:t>Im Kühlschrank lagern</w:t>
      </w:r>
    </w:p>
    <w:p w14:paraId="436E7378" w14:textId="17521954" w:rsidR="00093A5E" w:rsidRPr="006A64EE" w:rsidRDefault="009C2544" w:rsidP="004255F8">
      <w:pPr>
        <w:pStyle w:val="a3"/>
        <w:widowControl/>
      </w:pPr>
      <w:r w:rsidRPr="006A64EE">
        <w:t>Nicht einfrieren</w:t>
      </w:r>
    </w:p>
    <w:p w14:paraId="0CAC4C3B" w14:textId="6916FAFB" w:rsidR="00093A5E" w:rsidRPr="006A64EE" w:rsidRDefault="009C2544" w:rsidP="004255F8">
      <w:pPr>
        <w:pStyle w:val="a3"/>
        <w:widowControl/>
      </w:pPr>
      <w:r w:rsidRPr="006A64EE">
        <w:t xml:space="preserve">Nach Entnahme aus dem Kühlschrank kann die Fertigspritze bis zu </w:t>
      </w:r>
      <w:r w:rsidR="00F91E2B">
        <w:t>3 </w:t>
      </w:r>
      <w:r w:rsidRPr="006A64EE">
        <w:t>Wochen bei maximal 30 °C aufbewahrt werden</w:t>
      </w:r>
    </w:p>
    <w:p w14:paraId="0357E27D" w14:textId="18B3F39C" w:rsidR="00093A5E" w:rsidRPr="006A64EE" w:rsidRDefault="009C2544" w:rsidP="004255F8">
      <w:pPr>
        <w:pStyle w:val="a3"/>
        <w:widowControl/>
      </w:pPr>
      <w:r w:rsidRPr="006A64EE">
        <w:t>Die Fertigspritze im Umkarton aufbewahren, um den Inhalt vor Licht und Feuchtigkeit zu schützen</w:t>
      </w:r>
    </w:p>
    <w:p w14:paraId="5D988523" w14:textId="77777777" w:rsidR="00093A5E" w:rsidRPr="006A64EE" w:rsidRDefault="00093A5E" w:rsidP="004255F8">
      <w:pPr>
        <w:pStyle w:val="a3"/>
        <w:widowControl/>
      </w:pPr>
    </w:p>
    <w:p w14:paraId="3F38849A" w14:textId="77777777" w:rsidR="00093A5E" w:rsidRPr="006A64EE" w:rsidRDefault="00093A5E" w:rsidP="004255F8">
      <w:pPr>
        <w:pStyle w:val="a3"/>
        <w:widowControl/>
      </w:pPr>
    </w:p>
    <w:p w14:paraId="274A95E6" w14:textId="77777777" w:rsidR="00093A5E" w:rsidRPr="006A64EE" w:rsidRDefault="00372A4A" w:rsidP="004255F8">
      <w:pPr>
        <w:pStyle w:val="tabele"/>
        <w:widowControl/>
      </w:pPr>
      <w:r w:rsidRPr="006A64EE">
        <w:t>10.</w:t>
      </w:r>
      <w:r w:rsidRPr="006A64EE">
        <w:tab/>
        <w:t>GEGEBENENFALLS BESONDERE VORSICHTSMASSNAHMEN FÜR DIE BESEITIGUNG VON NICHT VERWENDETEM ARZNEIMITTEL ODER DAVON STAMMENDEN ABFALLMATERIALIEN</w:t>
      </w:r>
    </w:p>
    <w:p w14:paraId="736554B8" w14:textId="77777777" w:rsidR="00093A5E" w:rsidRPr="006A64EE" w:rsidRDefault="00093A5E" w:rsidP="004255F8">
      <w:pPr>
        <w:pStyle w:val="a3"/>
        <w:widowControl/>
      </w:pPr>
    </w:p>
    <w:p w14:paraId="11701194" w14:textId="77777777" w:rsidR="00093A5E" w:rsidRPr="006A64EE" w:rsidRDefault="00093A5E" w:rsidP="004255F8">
      <w:pPr>
        <w:pStyle w:val="a3"/>
        <w:widowControl/>
      </w:pPr>
    </w:p>
    <w:p w14:paraId="43C00F05" w14:textId="77777777" w:rsidR="00093A5E" w:rsidRPr="006A64EE" w:rsidRDefault="00372A4A" w:rsidP="004255F8">
      <w:pPr>
        <w:pStyle w:val="tabele"/>
        <w:widowControl/>
      </w:pPr>
      <w:r w:rsidRPr="006A64EE">
        <w:t>11.</w:t>
      </w:r>
      <w:r w:rsidRPr="006A64EE">
        <w:tab/>
        <w:t>NAME UND ANSCHRIFT DES PHARMAZEUTISCHEN UNTERNEHMERS</w:t>
      </w:r>
    </w:p>
    <w:p w14:paraId="3A0D03D1" w14:textId="77777777" w:rsidR="00093A5E" w:rsidRPr="006A64EE" w:rsidRDefault="00093A5E" w:rsidP="004255F8">
      <w:pPr>
        <w:pStyle w:val="a3"/>
        <w:widowControl/>
      </w:pPr>
    </w:p>
    <w:p w14:paraId="77EC848D" w14:textId="28D7F222" w:rsidR="00F91E2B" w:rsidRPr="00B320E1" w:rsidRDefault="00F91E2B" w:rsidP="00F91E2B">
      <w:pPr>
        <w:keepNext/>
        <w:rPr>
          <w:lang w:val="en-US"/>
        </w:rPr>
      </w:pPr>
      <w:r w:rsidRPr="00B320E1">
        <w:rPr>
          <w:lang w:val="en-US"/>
        </w:rPr>
        <w:t>Celltrion Healthcare Hungary Kft.</w:t>
      </w:r>
    </w:p>
    <w:p w14:paraId="47A60B62" w14:textId="77777777" w:rsidR="00F91E2B" w:rsidRPr="00B320E1" w:rsidRDefault="00F91E2B" w:rsidP="00F91E2B">
      <w:pPr>
        <w:keepNext/>
        <w:rPr>
          <w:lang w:val="en-US"/>
        </w:rPr>
      </w:pPr>
      <w:r w:rsidRPr="00B320E1">
        <w:rPr>
          <w:lang w:val="en-US"/>
        </w:rPr>
        <w:t>1062 Budapest</w:t>
      </w:r>
    </w:p>
    <w:p w14:paraId="480F99AD" w14:textId="77777777" w:rsidR="00F91E2B" w:rsidRPr="00B320E1" w:rsidRDefault="00F91E2B" w:rsidP="00F91E2B">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19874AFB" w14:textId="0557AB5F" w:rsidR="00F91E2B" w:rsidRPr="00B320E1" w:rsidRDefault="00F91E2B" w:rsidP="00F91E2B">
      <w:pPr>
        <w:rPr>
          <w:lang w:val="en-US"/>
        </w:rPr>
      </w:pPr>
      <w:proofErr w:type="spellStart"/>
      <w:r w:rsidRPr="00B320E1">
        <w:rPr>
          <w:lang w:val="en-US"/>
        </w:rPr>
        <w:t>Ungarn</w:t>
      </w:r>
      <w:proofErr w:type="spellEnd"/>
    </w:p>
    <w:p w14:paraId="47565FCA" w14:textId="77777777" w:rsidR="00093A5E" w:rsidRPr="00B320E1" w:rsidRDefault="00093A5E" w:rsidP="004255F8">
      <w:pPr>
        <w:pStyle w:val="a3"/>
        <w:widowControl/>
        <w:rPr>
          <w:lang w:val="en-US"/>
        </w:rPr>
      </w:pPr>
    </w:p>
    <w:p w14:paraId="57A5B03B" w14:textId="77777777" w:rsidR="00093A5E" w:rsidRPr="00B320E1" w:rsidRDefault="00093A5E" w:rsidP="004255F8">
      <w:pPr>
        <w:pStyle w:val="a3"/>
        <w:widowControl/>
        <w:rPr>
          <w:lang w:val="en-US"/>
        </w:rPr>
      </w:pPr>
    </w:p>
    <w:p w14:paraId="229B5A2F" w14:textId="77777777" w:rsidR="00093A5E" w:rsidRPr="006A64EE" w:rsidRDefault="00372A4A" w:rsidP="004255F8">
      <w:pPr>
        <w:pStyle w:val="tabele"/>
        <w:widowControl/>
      </w:pPr>
      <w:r w:rsidRPr="006A64EE">
        <w:t>12.</w:t>
      </w:r>
      <w:r w:rsidRPr="006A64EE">
        <w:tab/>
        <w:t>ZULASSUNGSNUMMER(N)</w:t>
      </w:r>
    </w:p>
    <w:p w14:paraId="3CDF84A2" w14:textId="77777777" w:rsidR="00093A5E" w:rsidRPr="006A64EE" w:rsidRDefault="00093A5E" w:rsidP="004255F8">
      <w:pPr>
        <w:pStyle w:val="a3"/>
        <w:widowControl/>
      </w:pPr>
    </w:p>
    <w:p w14:paraId="5A7AE021" w14:textId="2095B8F9" w:rsidR="00A71339" w:rsidRPr="003452D3" w:rsidRDefault="00A71339" w:rsidP="00A71339">
      <w:pPr>
        <w:keepNext/>
      </w:pPr>
      <w:r w:rsidRPr="003452D3">
        <w:t>EU/</w:t>
      </w:r>
      <w:r w:rsidRPr="003672E9">
        <w:rPr>
          <w:spacing w:val="-1"/>
          <w:lang w:val="pt-BR"/>
        </w:rPr>
        <w:t>1/24/1896/00</w:t>
      </w:r>
      <w:r>
        <w:rPr>
          <w:rFonts w:eastAsia="맑은 고딕" w:hint="eastAsia"/>
          <w:spacing w:val="-1"/>
          <w:lang w:val="pt-BR" w:eastAsia="ko-KR"/>
        </w:rPr>
        <w:t>7</w:t>
      </w:r>
      <w:r>
        <w:rPr>
          <w:rFonts w:hint="eastAsia"/>
          <w:spacing w:val="-1"/>
          <w:lang w:val="pt-BR" w:eastAsia="ko-KR"/>
        </w:rPr>
        <w:t xml:space="preserve"> 1</w:t>
      </w:r>
      <w:r>
        <w:rPr>
          <w:spacing w:val="-1"/>
          <w:lang w:val="pt-BR" w:eastAsia="ko-KR"/>
        </w:rPr>
        <w:t> Fertigspritze</w:t>
      </w:r>
    </w:p>
    <w:p w14:paraId="36F54228" w14:textId="2AE5ED8B" w:rsidR="00A71339" w:rsidRPr="003452D3" w:rsidRDefault="00A71339" w:rsidP="00A71339">
      <w:r w:rsidRPr="003452D3">
        <w:t>EU/</w:t>
      </w:r>
      <w:r w:rsidRPr="003672E9">
        <w:rPr>
          <w:spacing w:val="-1"/>
          <w:lang w:val="pt-BR"/>
        </w:rPr>
        <w:t>1/24/1896/00</w:t>
      </w:r>
      <w:r>
        <w:rPr>
          <w:rFonts w:eastAsia="맑은 고딕" w:hint="eastAsia"/>
          <w:spacing w:val="-1"/>
          <w:lang w:val="pt-BR" w:eastAsia="ko-KR"/>
        </w:rPr>
        <w:t>8</w:t>
      </w:r>
      <w:r>
        <w:rPr>
          <w:rFonts w:hint="eastAsia"/>
          <w:spacing w:val="-1"/>
          <w:lang w:val="pt-BR" w:eastAsia="ko-KR"/>
        </w:rPr>
        <w:t xml:space="preserve"> </w:t>
      </w:r>
      <w:r>
        <w:rPr>
          <w:rFonts w:eastAsia="맑은 고딕" w:hint="eastAsia"/>
          <w:spacing w:val="-1"/>
          <w:lang w:val="pt-BR" w:eastAsia="ko-KR"/>
        </w:rPr>
        <w:t>4</w:t>
      </w:r>
      <w:r>
        <w:rPr>
          <w:rFonts w:eastAsia="맑은 고딕"/>
          <w:spacing w:val="-1"/>
          <w:lang w:val="pt-BR" w:eastAsia="ko-KR"/>
        </w:rPr>
        <w:t> Fertigspritzen</w:t>
      </w:r>
    </w:p>
    <w:p w14:paraId="4D9BC3B3" w14:textId="792C2A27" w:rsidR="00387ABD" w:rsidRPr="003452D3" w:rsidRDefault="00387ABD" w:rsidP="00387ABD">
      <w:pPr>
        <w:rPr>
          <w:ins w:id="32" w:author="만든 이"/>
        </w:rPr>
      </w:pPr>
      <w:ins w:id="33" w:author="만든 이">
        <w:r w:rsidRPr="003452D3">
          <w:t>EU/</w:t>
        </w:r>
        <w:r w:rsidRPr="003672E9">
          <w:rPr>
            <w:spacing w:val="-1"/>
            <w:lang w:val="pt-BR"/>
          </w:rPr>
          <w:t>1/24/1896/</w:t>
        </w:r>
        <w:r w:rsidR="00270C20">
          <w:rPr>
            <w:rFonts w:eastAsia="맑은 고딕" w:hint="eastAsia"/>
            <w:spacing w:val="-1"/>
            <w:lang w:val="pt-BR" w:eastAsia="ko-KR"/>
          </w:rPr>
          <w:t>013</w:t>
        </w:r>
        <w:r>
          <w:rPr>
            <w:rFonts w:hint="eastAsia"/>
            <w:spacing w:val="-1"/>
            <w:lang w:val="pt-BR" w:eastAsia="ko-KR"/>
          </w:rPr>
          <w:t xml:space="preserve"> </w:t>
        </w:r>
        <w:r>
          <w:rPr>
            <w:rFonts w:eastAsia="맑은 고딕" w:hint="eastAsia"/>
            <w:spacing w:val="-1"/>
            <w:lang w:val="pt-BR" w:eastAsia="ko-KR"/>
          </w:rPr>
          <w:t>2</w:t>
        </w:r>
        <w:r>
          <w:rPr>
            <w:rFonts w:eastAsia="맑은 고딕"/>
            <w:spacing w:val="-1"/>
            <w:lang w:val="pt-BR" w:eastAsia="ko-KR"/>
          </w:rPr>
          <w:t> Fertigspritzen</w:t>
        </w:r>
      </w:ins>
    </w:p>
    <w:p w14:paraId="049619C8" w14:textId="77777777" w:rsidR="00515398" w:rsidRPr="003452D3" w:rsidRDefault="00515398" w:rsidP="00F91E2B">
      <w:pPr>
        <w:pStyle w:val="a3"/>
        <w:widowControl/>
      </w:pPr>
    </w:p>
    <w:p w14:paraId="398963B4" w14:textId="77777777" w:rsidR="00093A5E" w:rsidRPr="003452D3" w:rsidRDefault="00093A5E" w:rsidP="004255F8">
      <w:pPr>
        <w:pStyle w:val="a3"/>
        <w:widowControl/>
      </w:pPr>
    </w:p>
    <w:p w14:paraId="5811BF69" w14:textId="77777777" w:rsidR="00093A5E" w:rsidRPr="006A64EE" w:rsidRDefault="00372A4A" w:rsidP="004255F8">
      <w:pPr>
        <w:pStyle w:val="tabele"/>
        <w:widowControl/>
      </w:pPr>
      <w:r w:rsidRPr="006A64EE">
        <w:t>13.</w:t>
      </w:r>
      <w:r w:rsidRPr="006A64EE">
        <w:tab/>
        <w:t>CHARGENBEZEICHNUNG</w:t>
      </w:r>
    </w:p>
    <w:p w14:paraId="3BE8F35D" w14:textId="77777777" w:rsidR="00093A5E" w:rsidRPr="006A64EE" w:rsidRDefault="00093A5E" w:rsidP="004255F8">
      <w:pPr>
        <w:pStyle w:val="a3"/>
        <w:widowControl/>
      </w:pPr>
    </w:p>
    <w:p w14:paraId="40F510EF" w14:textId="77777777" w:rsidR="00093A5E" w:rsidRPr="006A64EE" w:rsidRDefault="009C2544" w:rsidP="004255F8">
      <w:pPr>
        <w:pStyle w:val="a3"/>
        <w:widowControl/>
      </w:pPr>
      <w:r w:rsidRPr="006A64EE">
        <w:t>Ch.-B.</w:t>
      </w:r>
    </w:p>
    <w:p w14:paraId="14977978" w14:textId="77777777" w:rsidR="00093A5E" w:rsidRPr="006A64EE" w:rsidRDefault="00093A5E" w:rsidP="004255F8">
      <w:pPr>
        <w:pStyle w:val="a3"/>
        <w:widowControl/>
      </w:pPr>
    </w:p>
    <w:p w14:paraId="121B9F81" w14:textId="77777777" w:rsidR="00093A5E" w:rsidRPr="006A64EE" w:rsidRDefault="00093A5E" w:rsidP="004255F8">
      <w:pPr>
        <w:pStyle w:val="a3"/>
        <w:widowControl/>
      </w:pPr>
    </w:p>
    <w:p w14:paraId="72506DAC" w14:textId="77777777" w:rsidR="00093A5E" w:rsidRPr="006A64EE" w:rsidRDefault="00372A4A" w:rsidP="004255F8">
      <w:pPr>
        <w:pStyle w:val="tabele"/>
        <w:widowControl/>
      </w:pPr>
      <w:r w:rsidRPr="006A64EE">
        <w:t>14.</w:t>
      </w:r>
      <w:r w:rsidRPr="006A64EE">
        <w:tab/>
        <w:t>VERKAUFSABGRENZUNG</w:t>
      </w:r>
    </w:p>
    <w:p w14:paraId="128C6396" w14:textId="77777777" w:rsidR="00093A5E" w:rsidRPr="006A64EE" w:rsidRDefault="00093A5E" w:rsidP="004255F8">
      <w:pPr>
        <w:pStyle w:val="a3"/>
        <w:widowControl/>
      </w:pPr>
    </w:p>
    <w:p w14:paraId="2ED52DF6" w14:textId="77777777" w:rsidR="00093A5E" w:rsidRPr="006A64EE" w:rsidRDefault="00093A5E" w:rsidP="004255F8">
      <w:pPr>
        <w:pStyle w:val="a3"/>
        <w:widowControl/>
      </w:pPr>
    </w:p>
    <w:p w14:paraId="15834E7A" w14:textId="77777777" w:rsidR="00093A5E" w:rsidRPr="006A64EE" w:rsidRDefault="00372A4A" w:rsidP="004255F8">
      <w:pPr>
        <w:pStyle w:val="tabele"/>
        <w:widowControl/>
      </w:pPr>
      <w:r w:rsidRPr="006A64EE">
        <w:t>15.</w:t>
      </w:r>
      <w:r w:rsidRPr="006A64EE">
        <w:tab/>
        <w:t>HINWEISE FÜR DEN GEBRAUCH</w:t>
      </w:r>
    </w:p>
    <w:p w14:paraId="69664CC6" w14:textId="77777777" w:rsidR="00093A5E" w:rsidRPr="006A64EE" w:rsidRDefault="00093A5E" w:rsidP="004255F8">
      <w:pPr>
        <w:pStyle w:val="a3"/>
        <w:widowControl/>
      </w:pPr>
    </w:p>
    <w:p w14:paraId="149C3973" w14:textId="77777777" w:rsidR="00093A5E" w:rsidRPr="006A64EE" w:rsidRDefault="00093A5E" w:rsidP="004255F8">
      <w:pPr>
        <w:pStyle w:val="a3"/>
        <w:widowControl/>
      </w:pPr>
    </w:p>
    <w:p w14:paraId="733F36FF" w14:textId="77777777" w:rsidR="00093A5E" w:rsidRPr="006A64EE" w:rsidRDefault="00372A4A" w:rsidP="004255F8">
      <w:pPr>
        <w:pStyle w:val="tabele"/>
        <w:widowControl/>
      </w:pPr>
      <w:r w:rsidRPr="006A64EE">
        <w:t>16.</w:t>
      </w:r>
      <w:r w:rsidRPr="006A64EE">
        <w:tab/>
        <w:t>ANGABEN IN BLINDENSCHRIFT</w:t>
      </w:r>
    </w:p>
    <w:p w14:paraId="5B2DCC85" w14:textId="77777777" w:rsidR="00093A5E" w:rsidRPr="006A64EE" w:rsidRDefault="00093A5E" w:rsidP="004255F8">
      <w:pPr>
        <w:pStyle w:val="a3"/>
        <w:widowControl/>
      </w:pPr>
    </w:p>
    <w:p w14:paraId="71D47AD1" w14:textId="36C8E156" w:rsidR="00093A5E" w:rsidRPr="006A64EE" w:rsidRDefault="00422697" w:rsidP="004255F8">
      <w:pPr>
        <w:pStyle w:val="a3"/>
        <w:widowControl/>
      </w:pPr>
      <w:r>
        <w:t>a</w:t>
      </w:r>
      <w:r w:rsidR="00F91E2B">
        <w:t>vtozma</w:t>
      </w:r>
      <w:r w:rsidR="00F91E2B" w:rsidRPr="006A64EE">
        <w:t xml:space="preserve"> </w:t>
      </w:r>
      <w:r w:rsidR="009C2544" w:rsidRPr="006A64EE">
        <w:t>162 mg</w:t>
      </w:r>
    </w:p>
    <w:p w14:paraId="7F78954A" w14:textId="77777777" w:rsidR="00093A5E" w:rsidRPr="006A64EE" w:rsidRDefault="00093A5E" w:rsidP="004255F8">
      <w:pPr>
        <w:pStyle w:val="a3"/>
        <w:widowControl/>
      </w:pPr>
    </w:p>
    <w:p w14:paraId="50043157" w14:textId="77777777" w:rsidR="00093A5E" w:rsidRPr="006A64EE" w:rsidRDefault="00093A5E" w:rsidP="004255F8">
      <w:pPr>
        <w:pStyle w:val="a3"/>
        <w:widowControl/>
      </w:pPr>
    </w:p>
    <w:p w14:paraId="483879DC" w14:textId="77777777" w:rsidR="00093A5E" w:rsidRPr="006A64EE" w:rsidRDefault="00372A4A" w:rsidP="004255F8">
      <w:pPr>
        <w:pStyle w:val="tabele"/>
        <w:widowControl/>
      </w:pPr>
      <w:r w:rsidRPr="006A64EE">
        <w:t>17.</w:t>
      </w:r>
      <w:r w:rsidRPr="006A64EE">
        <w:tab/>
        <w:t>INDIVIDUELLES ERKENNUNGSMERKMAL – 2D-BARCODE</w:t>
      </w:r>
    </w:p>
    <w:p w14:paraId="39A7BBAC" w14:textId="77777777" w:rsidR="00093A5E" w:rsidRPr="006A64EE" w:rsidRDefault="00093A5E" w:rsidP="004255F8">
      <w:pPr>
        <w:pStyle w:val="a3"/>
        <w:widowControl/>
      </w:pPr>
    </w:p>
    <w:p w14:paraId="52155B29" w14:textId="77777777" w:rsidR="00093A5E" w:rsidRPr="006A64EE" w:rsidRDefault="009C2544" w:rsidP="004255F8">
      <w:pPr>
        <w:pStyle w:val="a3"/>
        <w:widowControl/>
        <w:rPr>
          <w:shd w:val="pct15" w:color="auto" w:fill="FFFFFF"/>
        </w:rPr>
      </w:pPr>
      <w:r w:rsidRPr="006A64EE">
        <w:rPr>
          <w:shd w:val="pct15" w:color="auto" w:fill="FFFFFF"/>
        </w:rPr>
        <w:t>&lt;2D-Barcode mit individuellem Erkennungsmerkmal.&gt;</w:t>
      </w:r>
    </w:p>
    <w:p w14:paraId="1857177A" w14:textId="77777777" w:rsidR="00093A5E" w:rsidRPr="006A64EE" w:rsidRDefault="00093A5E" w:rsidP="004255F8">
      <w:pPr>
        <w:pStyle w:val="a3"/>
        <w:widowControl/>
      </w:pPr>
    </w:p>
    <w:p w14:paraId="602C6628" w14:textId="77777777" w:rsidR="00093A5E" w:rsidRPr="006A64EE" w:rsidRDefault="00093A5E" w:rsidP="004255F8">
      <w:pPr>
        <w:pStyle w:val="a3"/>
        <w:widowControl/>
      </w:pPr>
    </w:p>
    <w:p w14:paraId="21501AA2" w14:textId="77777777" w:rsidR="00093A5E" w:rsidRPr="006A64EE" w:rsidRDefault="00372A4A" w:rsidP="00E66AB0">
      <w:pPr>
        <w:pStyle w:val="tabele"/>
        <w:keepNext/>
        <w:widowControl/>
      </w:pPr>
      <w:r w:rsidRPr="006A64EE">
        <w:t>18.</w:t>
      </w:r>
      <w:r w:rsidRPr="006A64EE">
        <w:tab/>
        <w:t>INDIVIDUELLES ERKENNUNGSMERKMAL – VOM MENSCHEN LESBARES FORMAT</w:t>
      </w:r>
    </w:p>
    <w:p w14:paraId="191A8728" w14:textId="77777777" w:rsidR="00093A5E" w:rsidRPr="006A64EE" w:rsidRDefault="00093A5E" w:rsidP="00E66AB0">
      <w:pPr>
        <w:pStyle w:val="a3"/>
        <w:keepNext/>
        <w:widowControl/>
        <w:jc w:val="both"/>
      </w:pPr>
    </w:p>
    <w:p w14:paraId="3AB1B3AF" w14:textId="77777777" w:rsidR="00093A5E" w:rsidRPr="006A64EE" w:rsidRDefault="009C2544" w:rsidP="00E66AB0">
      <w:pPr>
        <w:pStyle w:val="a3"/>
        <w:keepNext/>
        <w:widowControl/>
        <w:jc w:val="both"/>
      </w:pPr>
      <w:r w:rsidRPr="006A64EE">
        <w:t xml:space="preserve">PC </w:t>
      </w:r>
    </w:p>
    <w:p w14:paraId="19E9B961" w14:textId="77777777" w:rsidR="00093A5E" w:rsidRPr="006A64EE" w:rsidRDefault="009C2544" w:rsidP="00E66AB0">
      <w:pPr>
        <w:pStyle w:val="a3"/>
        <w:keepNext/>
        <w:widowControl/>
        <w:jc w:val="both"/>
      </w:pPr>
      <w:r w:rsidRPr="006A64EE">
        <w:t xml:space="preserve">SN </w:t>
      </w:r>
    </w:p>
    <w:p w14:paraId="6E1493BE" w14:textId="77777777" w:rsidR="00093A5E" w:rsidRPr="006A64EE" w:rsidRDefault="009C2544" w:rsidP="00E66AB0">
      <w:pPr>
        <w:pStyle w:val="a3"/>
        <w:keepNext/>
        <w:widowControl/>
        <w:jc w:val="both"/>
      </w:pPr>
      <w:r w:rsidRPr="00E303AE">
        <w:rPr>
          <w:highlight w:val="lightGray"/>
        </w:rPr>
        <w:t>NN</w:t>
      </w:r>
    </w:p>
    <w:p w14:paraId="6A2D2106" w14:textId="77777777" w:rsidR="00093A5E" w:rsidRPr="006A64EE" w:rsidRDefault="00E66AB0">
      <w:r w:rsidRPr="006A64EE">
        <w:br w:type="page"/>
      </w:r>
    </w:p>
    <w:p w14:paraId="4988C145" w14:textId="77777777" w:rsidR="00093A5E" w:rsidRPr="006A64EE" w:rsidRDefault="003969E2" w:rsidP="004255F8">
      <w:pPr>
        <w:widowControl/>
        <w:pBdr>
          <w:top w:val="single" w:sz="4" w:space="1" w:color="auto"/>
          <w:left w:val="single" w:sz="4" w:space="4" w:color="auto"/>
          <w:bottom w:val="single" w:sz="4" w:space="1" w:color="auto"/>
          <w:right w:val="single" w:sz="4" w:space="4" w:color="auto"/>
        </w:pBdr>
        <w:rPr>
          <w:b/>
        </w:rPr>
      </w:pPr>
      <w:r w:rsidRPr="006A64EE">
        <w:rPr>
          <w:b/>
        </w:rPr>
        <w:lastRenderedPageBreak/>
        <w:t>ANGABEN AUF DER ÄUSSEREN UMHÜLLUNG</w:t>
      </w:r>
    </w:p>
    <w:p w14:paraId="1E6B4F7B" w14:textId="77777777" w:rsidR="00093A5E" w:rsidRPr="006A64EE" w:rsidRDefault="00093A5E" w:rsidP="004255F8">
      <w:pPr>
        <w:widowControl/>
        <w:pBdr>
          <w:top w:val="single" w:sz="4" w:space="1" w:color="auto"/>
          <w:left w:val="single" w:sz="4" w:space="4" w:color="auto"/>
          <w:bottom w:val="single" w:sz="4" w:space="1" w:color="auto"/>
          <w:right w:val="single" w:sz="4" w:space="4" w:color="auto"/>
        </w:pBdr>
        <w:rPr>
          <w:b/>
        </w:rPr>
      </w:pPr>
    </w:p>
    <w:p w14:paraId="2477AFBC" w14:textId="77777777" w:rsidR="00093A5E" w:rsidRPr="006A64EE" w:rsidRDefault="003969E2" w:rsidP="004255F8">
      <w:pPr>
        <w:widowControl/>
        <w:pBdr>
          <w:top w:val="single" w:sz="4" w:space="1" w:color="auto"/>
          <w:left w:val="single" w:sz="4" w:space="4" w:color="auto"/>
          <w:bottom w:val="single" w:sz="4" w:space="1" w:color="auto"/>
          <w:right w:val="single" w:sz="4" w:space="4" w:color="auto"/>
        </w:pBdr>
        <w:rPr>
          <w:b/>
        </w:rPr>
      </w:pPr>
      <w:r w:rsidRPr="006A64EE">
        <w:rPr>
          <w:b/>
        </w:rPr>
        <w:t>FERTIGSPRITZE FALTSCHACHTEL (MIT BLUEBOX) – BÜNDELPACKUNG</w:t>
      </w:r>
    </w:p>
    <w:p w14:paraId="1E9D9564" w14:textId="77777777" w:rsidR="00093A5E" w:rsidRPr="006A64EE" w:rsidRDefault="00093A5E" w:rsidP="004255F8">
      <w:pPr>
        <w:pStyle w:val="a3"/>
        <w:widowControl/>
      </w:pPr>
    </w:p>
    <w:p w14:paraId="1E78EBDB" w14:textId="77777777" w:rsidR="00093A5E" w:rsidRPr="006A64EE" w:rsidRDefault="00093A5E" w:rsidP="004255F8">
      <w:pPr>
        <w:pStyle w:val="a3"/>
        <w:widowControl/>
      </w:pPr>
    </w:p>
    <w:p w14:paraId="45D5E725" w14:textId="77777777" w:rsidR="00093A5E" w:rsidRPr="006A64EE" w:rsidRDefault="003969E2" w:rsidP="004255F8">
      <w:pPr>
        <w:pStyle w:val="tabele"/>
        <w:widowControl/>
      </w:pPr>
      <w:r w:rsidRPr="006A64EE">
        <w:t>1.</w:t>
      </w:r>
      <w:r w:rsidRPr="006A64EE">
        <w:tab/>
        <w:t>BEZEICHNUNG DES ARZNEIMITTELS</w:t>
      </w:r>
    </w:p>
    <w:p w14:paraId="3A1158D3" w14:textId="77777777" w:rsidR="00093A5E" w:rsidRPr="006A64EE" w:rsidRDefault="00093A5E" w:rsidP="004255F8">
      <w:pPr>
        <w:pStyle w:val="a3"/>
        <w:widowControl/>
      </w:pPr>
    </w:p>
    <w:p w14:paraId="1EC4E4F1" w14:textId="7F70D645" w:rsidR="00093A5E" w:rsidRPr="006A64EE" w:rsidRDefault="00F91E2B" w:rsidP="004255F8">
      <w:pPr>
        <w:pStyle w:val="a3"/>
        <w:widowControl/>
      </w:pPr>
      <w:r>
        <w:t>Avtozma</w:t>
      </w:r>
      <w:r w:rsidRPr="006A64EE">
        <w:t xml:space="preserve"> </w:t>
      </w:r>
      <w:r w:rsidR="009C2544" w:rsidRPr="006A64EE">
        <w:t>162 mg Injektionslösung in einer Fertigspritze</w:t>
      </w:r>
    </w:p>
    <w:p w14:paraId="6CD1F2FF" w14:textId="77777777" w:rsidR="00093A5E" w:rsidRPr="006A64EE" w:rsidRDefault="009C2544" w:rsidP="004255F8">
      <w:pPr>
        <w:pStyle w:val="a3"/>
        <w:widowControl/>
      </w:pPr>
      <w:r w:rsidRPr="006A64EE">
        <w:t>Tocilizumab</w:t>
      </w:r>
    </w:p>
    <w:p w14:paraId="4D6407E3" w14:textId="77777777" w:rsidR="00093A5E" w:rsidRPr="006A64EE" w:rsidRDefault="00093A5E" w:rsidP="004255F8">
      <w:pPr>
        <w:pStyle w:val="a3"/>
        <w:widowControl/>
      </w:pPr>
    </w:p>
    <w:p w14:paraId="118F74FF" w14:textId="77777777" w:rsidR="00093A5E" w:rsidRPr="006A64EE" w:rsidRDefault="00093A5E" w:rsidP="004255F8">
      <w:pPr>
        <w:pStyle w:val="a3"/>
        <w:widowControl/>
      </w:pPr>
    </w:p>
    <w:p w14:paraId="4A47580F" w14:textId="77777777" w:rsidR="00093A5E" w:rsidRPr="006A64EE" w:rsidRDefault="003969E2" w:rsidP="004255F8">
      <w:pPr>
        <w:pStyle w:val="tabele"/>
        <w:widowControl/>
      </w:pPr>
      <w:r w:rsidRPr="006A64EE">
        <w:t>2.</w:t>
      </w:r>
      <w:r w:rsidRPr="006A64EE">
        <w:tab/>
        <w:t>WIRKSTOFF(E)</w:t>
      </w:r>
    </w:p>
    <w:p w14:paraId="2E0A19C2" w14:textId="77777777" w:rsidR="00093A5E" w:rsidRPr="006A64EE" w:rsidRDefault="00093A5E" w:rsidP="004255F8">
      <w:pPr>
        <w:pStyle w:val="a3"/>
        <w:widowControl/>
      </w:pPr>
    </w:p>
    <w:p w14:paraId="6FCA7F9E" w14:textId="77777777" w:rsidR="00093A5E" w:rsidRPr="006A64EE" w:rsidRDefault="009C2544" w:rsidP="004255F8">
      <w:pPr>
        <w:pStyle w:val="a3"/>
        <w:widowControl/>
      </w:pPr>
      <w:r w:rsidRPr="006A64EE">
        <w:t>1 Fertigspritze enthält 162 mg Tocilizumab.</w:t>
      </w:r>
    </w:p>
    <w:p w14:paraId="468EC8F5" w14:textId="77777777" w:rsidR="00093A5E" w:rsidRPr="006A64EE" w:rsidRDefault="00093A5E" w:rsidP="004255F8">
      <w:pPr>
        <w:pStyle w:val="a3"/>
        <w:widowControl/>
      </w:pPr>
    </w:p>
    <w:p w14:paraId="6EC042E1" w14:textId="77777777" w:rsidR="00093A5E" w:rsidRPr="006A64EE" w:rsidRDefault="00093A5E" w:rsidP="004255F8">
      <w:pPr>
        <w:pStyle w:val="a3"/>
        <w:widowControl/>
      </w:pPr>
    </w:p>
    <w:p w14:paraId="0EBC13D2" w14:textId="77777777" w:rsidR="00093A5E" w:rsidRPr="006A64EE" w:rsidRDefault="003969E2" w:rsidP="004255F8">
      <w:pPr>
        <w:pStyle w:val="tabele"/>
        <w:widowControl/>
      </w:pPr>
      <w:r w:rsidRPr="006A64EE">
        <w:t>3.</w:t>
      </w:r>
      <w:r w:rsidRPr="006A64EE">
        <w:tab/>
        <w:t>SONSTIGE BESTANDTEILE</w:t>
      </w:r>
    </w:p>
    <w:p w14:paraId="605112FD" w14:textId="77777777" w:rsidR="00093A5E" w:rsidRPr="006A64EE" w:rsidRDefault="00093A5E" w:rsidP="004255F8">
      <w:pPr>
        <w:pStyle w:val="a3"/>
        <w:widowControl/>
      </w:pPr>
    </w:p>
    <w:p w14:paraId="16DB350D" w14:textId="2D53BD98" w:rsidR="00F91E2B" w:rsidRDefault="00F91E2B" w:rsidP="00F91E2B">
      <w:pPr>
        <w:pStyle w:val="a3"/>
        <w:widowControl/>
      </w:pPr>
      <w:r>
        <w:t xml:space="preserve">Sonstige Bestandteile: L-Histidin,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t>L-Threonin, L-Methionin, Polysorbat 80 und Wasser für Injektionszwecke</w:t>
      </w:r>
      <w:r w:rsidR="009C2544" w:rsidRPr="006A64EE">
        <w:t>.</w:t>
      </w:r>
    </w:p>
    <w:p w14:paraId="0F7402E6" w14:textId="4BD9E96C" w:rsidR="00093A5E" w:rsidRPr="006A64EE" w:rsidRDefault="00F91E2B" w:rsidP="004255F8">
      <w:pPr>
        <w:pStyle w:val="a3"/>
        <w:widowControl/>
      </w:pPr>
      <w:r>
        <w:t>Siehe Packungsbeilage für weitere Informationen.</w:t>
      </w:r>
    </w:p>
    <w:p w14:paraId="709FED0C" w14:textId="77777777" w:rsidR="00093A5E" w:rsidRPr="006A64EE" w:rsidRDefault="00093A5E" w:rsidP="004255F8">
      <w:pPr>
        <w:pStyle w:val="a3"/>
        <w:widowControl/>
      </w:pPr>
    </w:p>
    <w:p w14:paraId="4255C7BE" w14:textId="77777777" w:rsidR="00093A5E" w:rsidRPr="006A64EE" w:rsidRDefault="00093A5E" w:rsidP="004255F8">
      <w:pPr>
        <w:pStyle w:val="a3"/>
        <w:widowControl/>
      </w:pPr>
    </w:p>
    <w:p w14:paraId="7ABB5A52" w14:textId="77777777" w:rsidR="00093A5E" w:rsidRPr="006A64EE" w:rsidRDefault="003969E2" w:rsidP="004255F8">
      <w:pPr>
        <w:pStyle w:val="tabele"/>
        <w:widowControl/>
      </w:pPr>
      <w:r w:rsidRPr="006A64EE">
        <w:t>4.</w:t>
      </w:r>
      <w:r w:rsidRPr="006A64EE">
        <w:tab/>
        <w:t>DARREICHUNGSFORM UND INHALT</w:t>
      </w:r>
    </w:p>
    <w:p w14:paraId="0084F09B" w14:textId="77777777" w:rsidR="00093A5E" w:rsidRPr="006A64EE" w:rsidRDefault="00093A5E" w:rsidP="004255F8">
      <w:pPr>
        <w:pStyle w:val="a3"/>
        <w:widowControl/>
      </w:pPr>
    </w:p>
    <w:p w14:paraId="6AFEEDCB" w14:textId="009D34B5" w:rsidR="00093A5E" w:rsidRPr="006A64EE" w:rsidRDefault="009C2544" w:rsidP="004255F8">
      <w:pPr>
        <w:pStyle w:val="a3"/>
        <w:widowControl/>
      </w:pPr>
      <w:r w:rsidRPr="006A64EE">
        <w:t>Injektionslösung in einer Fertigspritze</w:t>
      </w:r>
    </w:p>
    <w:p w14:paraId="728EE770" w14:textId="77777777" w:rsidR="00093A5E" w:rsidRPr="006A64EE" w:rsidRDefault="009C2544" w:rsidP="004255F8">
      <w:pPr>
        <w:pStyle w:val="a3"/>
        <w:widowControl/>
      </w:pPr>
      <w:r w:rsidRPr="006A64EE">
        <w:t>Bündelpackung: 12 (3 Packungen mit 4) Fertigspritzen</w:t>
      </w:r>
    </w:p>
    <w:p w14:paraId="2C43E571" w14:textId="77777777" w:rsidR="00093A5E" w:rsidRPr="006A64EE" w:rsidRDefault="009C2544" w:rsidP="004255F8">
      <w:pPr>
        <w:pStyle w:val="a3"/>
        <w:widowControl/>
      </w:pPr>
      <w:r w:rsidRPr="006A64EE">
        <w:t>162 mg/0,9 ml</w:t>
      </w:r>
    </w:p>
    <w:p w14:paraId="43C5EA9B" w14:textId="77777777" w:rsidR="00093A5E" w:rsidRPr="006A64EE" w:rsidRDefault="00093A5E" w:rsidP="004255F8">
      <w:pPr>
        <w:pStyle w:val="a3"/>
        <w:widowControl/>
      </w:pPr>
    </w:p>
    <w:p w14:paraId="1AC60BE3" w14:textId="77777777" w:rsidR="00093A5E" w:rsidRPr="006A64EE" w:rsidRDefault="00093A5E" w:rsidP="004255F8">
      <w:pPr>
        <w:pStyle w:val="a3"/>
        <w:widowControl/>
      </w:pPr>
    </w:p>
    <w:p w14:paraId="5A6153B0" w14:textId="77777777" w:rsidR="00093A5E" w:rsidRPr="006A64EE" w:rsidRDefault="003969E2" w:rsidP="004255F8">
      <w:pPr>
        <w:pStyle w:val="tabele"/>
        <w:widowControl/>
      </w:pPr>
      <w:r w:rsidRPr="006A64EE">
        <w:t>5.</w:t>
      </w:r>
      <w:r w:rsidRPr="006A64EE">
        <w:tab/>
        <w:t>HINWEISE ZUR UND ART(EN) DER ANWENDUNG</w:t>
      </w:r>
    </w:p>
    <w:p w14:paraId="62D46E90" w14:textId="77777777" w:rsidR="00093A5E" w:rsidRPr="006A64EE" w:rsidRDefault="00093A5E" w:rsidP="004255F8">
      <w:pPr>
        <w:pStyle w:val="a3"/>
        <w:widowControl/>
      </w:pPr>
    </w:p>
    <w:p w14:paraId="23006B3D" w14:textId="29FBB7FB" w:rsidR="00107B53" w:rsidRPr="006A64EE" w:rsidRDefault="009C2544" w:rsidP="004255F8">
      <w:pPr>
        <w:pStyle w:val="a3"/>
        <w:widowControl/>
      </w:pPr>
      <w:r w:rsidRPr="006A64EE">
        <w:t>Subkutane Anwendung</w:t>
      </w:r>
    </w:p>
    <w:p w14:paraId="141C9001" w14:textId="18412BD8" w:rsidR="00093A5E" w:rsidRPr="006A64EE" w:rsidRDefault="009C2544" w:rsidP="004255F8">
      <w:pPr>
        <w:pStyle w:val="a3"/>
        <w:widowControl/>
      </w:pPr>
      <w:r w:rsidRPr="006A64EE">
        <w:t>Packungsbeilage beachten</w:t>
      </w:r>
    </w:p>
    <w:p w14:paraId="26CD3CCC" w14:textId="77777777" w:rsidR="00093A5E" w:rsidRPr="006A64EE" w:rsidRDefault="00093A5E" w:rsidP="004255F8">
      <w:pPr>
        <w:pStyle w:val="a3"/>
        <w:widowControl/>
      </w:pPr>
    </w:p>
    <w:p w14:paraId="2AA22E0F" w14:textId="77777777" w:rsidR="00093A5E" w:rsidRPr="006A64EE" w:rsidRDefault="00093A5E" w:rsidP="004255F8">
      <w:pPr>
        <w:pStyle w:val="a3"/>
        <w:widowControl/>
      </w:pPr>
    </w:p>
    <w:p w14:paraId="337F481A" w14:textId="38CDE2D0" w:rsidR="00093A5E" w:rsidRPr="006A64EE" w:rsidRDefault="003969E2" w:rsidP="004255F8">
      <w:pPr>
        <w:pStyle w:val="tabele"/>
        <w:widowControl/>
      </w:pPr>
      <w:r w:rsidRPr="006A64EE">
        <w:t>6.</w:t>
      </w:r>
      <w:r w:rsidRPr="006A64EE">
        <w:tab/>
        <w:t xml:space="preserve">WARNHINWEIS, DASS DAS ARZNEIMITTEL FÜR KINDER </w:t>
      </w:r>
      <w:r w:rsidR="0018324B">
        <w:t xml:space="preserve">UNZUGÄNGLICH </w:t>
      </w:r>
      <w:r w:rsidRPr="006A64EE">
        <w:t>AUFZUBEWAHREN IST</w:t>
      </w:r>
    </w:p>
    <w:p w14:paraId="34FDD095" w14:textId="77777777" w:rsidR="00093A5E" w:rsidRPr="006A64EE" w:rsidRDefault="00093A5E" w:rsidP="004255F8">
      <w:pPr>
        <w:pStyle w:val="a3"/>
        <w:widowControl/>
      </w:pPr>
    </w:p>
    <w:p w14:paraId="5C0FB551" w14:textId="26E9D091" w:rsidR="00093A5E" w:rsidRPr="006A64EE" w:rsidRDefault="009C2544" w:rsidP="004255F8">
      <w:pPr>
        <w:pStyle w:val="a3"/>
        <w:widowControl/>
      </w:pPr>
      <w:r w:rsidRPr="006A64EE">
        <w:t>Arzneimittel für Kinder unzugänglich aufbewahren</w:t>
      </w:r>
    </w:p>
    <w:p w14:paraId="61ABDA96" w14:textId="77777777" w:rsidR="00093A5E" w:rsidRPr="006A64EE" w:rsidRDefault="00093A5E" w:rsidP="004255F8">
      <w:pPr>
        <w:pStyle w:val="a3"/>
        <w:widowControl/>
      </w:pPr>
    </w:p>
    <w:p w14:paraId="18ED977E" w14:textId="77777777" w:rsidR="00093A5E" w:rsidRPr="006A64EE" w:rsidRDefault="00093A5E" w:rsidP="004255F8">
      <w:pPr>
        <w:pStyle w:val="a3"/>
        <w:widowControl/>
      </w:pPr>
    </w:p>
    <w:p w14:paraId="4BE77F93" w14:textId="77777777" w:rsidR="00093A5E" w:rsidRPr="006A64EE" w:rsidRDefault="003969E2" w:rsidP="004255F8">
      <w:pPr>
        <w:pStyle w:val="tabele"/>
        <w:widowControl/>
      </w:pPr>
      <w:r w:rsidRPr="006A64EE">
        <w:t>7.</w:t>
      </w:r>
      <w:r w:rsidRPr="006A64EE">
        <w:tab/>
        <w:t>WEITERE WARNHINWEISE, FALLS ERFORDERLICH</w:t>
      </w:r>
    </w:p>
    <w:p w14:paraId="0B1601D9" w14:textId="77777777" w:rsidR="00093A5E" w:rsidRPr="006A64EE" w:rsidRDefault="00093A5E" w:rsidP="004255F8">
      <w:pPr>
        <w:pStyle w:val="a3"/>
        <w:widowControl/>
      </w:pPr>
    </w:p>
    <w:p w14:paraId="62B46B0D" w14:textId="2879103F" w:rsidR="00093A5E" w:rsidRPr="006A64EE" w:rsidRDefault="009C2544" w:rsidP="004255F8">
      <w:pPr>
        <w:pStyle w:val="a3"/>
        <w:widowControl/>
      </w:pPr>
      <w:r w:rsidRPr="006A64EE">
        <w:t>Die Fertigspritze vor der Anwendung 30 Minuten außerhalb der Faltschachtel bei Raumtemperatur aufbewahren</w:t>
      </w:r>
      <w:r w:rsidR="00F91E2B">
        <w:t>.</w:t>
      </w:r>
    </w:p>
    <w:p w14:paraId="3E7BBA53" w14:textId="77777777" w:rsidR="00093A5E" w:rsidRDefault="00093A5E" w:rsidP="004255F8">
      <w:pPr>
        <w:pStyle w:val="a3"/>
        <w:widowControl/>
      </w:pPr>
    </w:p>
    <w:p w14:paraId="24AC05E9" w14:textId="77777777" w:rsidR="0087631F" w:rsidRPr="006A64EE" w:rsidRDefault="0087631F" w:rsidP="004255F8">
      <w:pPr>
        <w:pStyle w:val="a3"/>
        <w:widowControl/>
      </w:pPr>
    </w:p>
    <w:p w14:paraId="5F370D65" w14:textId="77777777" w:rsidR="00093A5E" w:rsidRPr="006A64EE" w:rsidRDefault="00372A4A" w:rsidP="004255F8">
      <w:pPr>
        <w:pStyle w:val="tabele"/>
        <w:widowControl/>
      </w:pPr>
      <w:r w:rsidRPr="006A64EE">
        <w:t>8.</w:t>
      </w:r>
      <w:r w:rsidRPr="006A64EE">
        <w:tab/>
        <w:t>VERFALLDATUM</w:t>
      </w:r>
    </w:p>
    <w:p w14:paraId="5E09CD5B" w14:textId="77777777" w:rsidR="00093A5E" w:rsidRPr="006A64EE" w:rsidRDefault="00093A5E" w:rsidP="004255F8">
      <w:pPr>
        <w:pStyle w:val="a3"/>
        <w:widowControl/>
      </w:pPr>
    </w:p>
    <w:p w14:paraId="6A6905E2" w14:textId="77777777" w:rsidR="00093A5E" w:rsidRPr="006A64EE" w:rsidRDefault="009C2544" w:rsidP="004255F8">
      <w:pPr>
        <w:pStyle w:val="a3"/>
        <w:widowControl/>
      </w:pPr>
      <w:r w:rsidRPr="006A64EE">
        <w:t>verwendbar bis</w:t>
      </w:r>
    </w:p>
    <w:p w14:paraId="5A13A7BC" w14:textId="77777777" w:rsidR="00093A5E" w:rsidRPr="006A64EE" w:rsidRDefault="00093A5E" w:rsidP="004255F8">
      <w:pPr>
        <w:pStyle w:val="a3"/>
        <w:widowControl/>
      </w:pPr>
    </w:p>
    <w:p w14:paraId="3F16C212" w14:textId="77777777" w:rsidR="00093A5E" w:rsidRPr="006A64EE" w:rsidRDefault="00093A5E" w:rsidP="004255F8">
      <w:pPr>
        <w:pStyle w:val="a3"/>
        <w:widowControl/>
      </w:pPr>
    </w:p>
    <w:p w14:paraId="51B2F3A5" w14:textId="77777777" w:rsidR="00093A5E" w:rsidRPr="006A64EE" w:rsidRDefault="0052695F" w:rsidP="00E66AB0">
      <w:pPr>
        <w:pStyle w:val="tabele"/>
        <w:keepNext/>
        <w:keepLines/>
        <w:widowControl/>
      </w:pPr>
      <w:r w:rsidRPr="006A64EE">
        <w:lastRenderedPageBreak/>
        <w:t>9.</w:t>
      </w:r>
      <w:r w:rsidRPr="006A64EE">
        <w:tab/>
        <w:t>BESONDERE VORSICHTSMASSNAHMEN FÜR DIE AUFBEWAHRUNG</w:t>
      </w:r>
    </w:p>
    <w:p w14:paraId="5939D71C" w14:textId="77777777" w:rsidR="00093A5E" w:rsidRPr="006A64EE" w:rsidRDefault="00093A5E" w:rsidP="00E66AB0">
      <w:pPr>
        <w:keepNext/>
        <w:keepLines/>
        <w:widowControl/>
      </w:pPr>
    </w:p>
    <w:p w14:paraId="2284B744" w14:textId="4D83279B" w:rsidR="00093A5E" w:rsidRPr="006A64EE" w:rsidRDefault="009C2544" w:rsidP="00E66AB0">
      <w:pPr>
        <w:keepNext/>
        <w:keepLines/>
        <w:widowControl/>
      </w:pPr>
      <w:r w:rsidRPr="006A64EE">
        <w:t>Im Kühlschrank lagern</w:t>
      </w:r>
    </w:p>
    <w:p w14:paraId="77CD2AE5" w14:textId="202E81E1" w:rsidR="00093A5E" w:rsidRPr="006A64EE" w:rsidRDefault="009C2544" w:rsidP="00E66AB0">
      <w:pPr>
        <w:keepNext/>
        <w:keepLines/>
        <w:widowControl/>
      </w:pPr>
      <w:r w:rsidRPr="006A64EE">
        <w:t>Nicht einfrieren</w:t>
      </w:r>
    </w:p>
    <w:p w14:paraId="5F2B1E48" w14:textId="5674C1C3" w:rsidR="00093A5E" w:rsidRPr="006A64EE" w:rsidRDefault="009C2544" w:rsidP="004255F8">
      <w:pPr>
        <w:pStyle w:val="a3"/>
        <w:widowControl/>
      </w:pPr>
      <w:r w:rsidRPr="006A64EE">
        <w:t xml:space="preserve">Nach Entnahme aus dem Kühlschrank kann die Fertigspritze bis zu </w:t>
      </w:r>
      <w:r w:rsidR="00F91E2B">
        <w:t>3 </w:t>
      </w:r>
      <w:r w:rsidRPr="006A64EE">
        <w:t>Wochen bei maximal 30 °C aufbewahrt werden</w:t>
      </w:r>
    </w:p>
    <w:p w14:paraId="680C8A00" w14:textId="6A7D9DFD" w:rsidR="00093A5E" w:rsidRPr="006A64EE" w:rsidRDefault="009C2544" w:rsidP="004255F8">
      <w:pPr>
        <w:pStyle w:val="a3"/>
        <w:widowControl/>
      </w:pPr>
      <w:r w:rsidRPr="006A64EE">
        <w:t>Die Fertigspritze im Umkarton aufbewahren, um den Inhalt vor Licht und Feuchtigkeit zu schützen</w:t>
      </w:r>
    </w:p>
    <w:p w14:paraId="4417153D" w14:textId="77777777" w:rsidR="00093A5E" w:rsidRPr="006A64EE" w:rsidRDefault="00093A5E" w:rsidP="004255F8">
      <w:pPr>
        <w:pStyle w:val="a3"/>
        <w:widowControl/>
      </w:pPr>
    </w:p>
    <w:p w14:paraId="4496ACF0" w14:textId="77777777" w:rsidR="00093A5E" w:rsidRPr="006A64EE" w:rsidRDefault="00093A5E" w:rsidP="004255F8">
      <w:pPr>
        <w:pStyle w:val="a3"/>
        <w:widowControl/>
      </w:pPr>
    </w:p>
    <w:p w14:paraId="23A3538A" w14:textId="77777777" w:rsidR="00093A5E" w:rsidRPr="006A64EE" w:rsidRDefault="0052695F" w:rsidP="004255F8">
      <w:pPr>
        <w:pStyle w:val="tabele"/>
        <w:widowControl/>
      </w:pPr>
      <w:r w:rsidRPr="006A64EE">
        <w:t>10.</w:t>
      </w:r>
      <w:r w:rsidRPr="006A64EE">
        <w:tab/>
        <w:t>GEGEBENENFALLS BESONDERE VORSICHTSMASSNAHMEN FÜR DIE BESEITIGUNG VON NICHT VERWENDETEM ARZNEIMITTEL ODER DAVON STAMMENDEN ABFALLMATERIALIEN</w:t>
      </w:r>
    </w:p>
    <w:p w14:paraId="4BC89C50" w14:textId="77777777" w:rsidR="00093A5E" w:rsidRPr="006A64EE" w:rsidRDefault="00093A5E" w:rsidP="004255F8">
      <w:pPr>
        <w:pStyle w:val="a3"/>
        <w:widowControl/>
      </w:pPr>
    </w:p>
    <w:p w14:paraId="6A219854" w14:textId="77777777" w:rsidR="00093A5E" w:rsidRPr="006A64EE" w:rsidRDefault="00093A5E" w:rsidP="004255F8">
      <w:pPr>
        <w:pStyle w:val="a3"/>
        <w:widowControl/>
      </w:pPr>
    </w:p>
    <w:p w14:paraId="47CC2BF9" w14:textId="77777777" w:rsidR="00093A5E" w:rsidRPr="006A64EE" w:rsidRDefault="0052695F" w:rsidP="004255F8">
      <w:pPr>
        <w:pStyle w:val="tabele"/>
        <w:widowControl/>
      </w:pPr>
      <w:r w:rsidRPr="006A64EE">
        <w:t>11.</w:t>
      </w:r>
      <w:r w:rsidRPr="006A64EE">
        <w:tab/>
        <w:t>NAME UND ANSCHRIFT DES PHARMAZEUTISCHEN UNTERNEHMERS</w:t>
      </w:r>
    </w:p>
    <w:p w14:paraId="7EBFDC19" w14:textId="77777777" w:rsidR="00093A5E" w:rsidRPr="006A64EE" w:rsidRDefault="00093A5E" w:rsidP="004255F8">
      <w:pPr>
        <w:pStyle w:val="a3"/>
        <w:widowControl/>
      </w:pPr>
    </w:p>
    <w:p w14:paraId="4E62FC13" w14:textId="3B9345F7" w:rsidR="00F91E2B" w:rsidRPr="00B320E1" w:rsidRDefault="00F91E2B" w:rsidP="00F91E2B">
      <w:pPr>
        <w:keepNext/>
        <w:rPr>
          <w:lang w:val="en-US"/>
        </w:rPr>
      </w:pPr>
      <w:r w:rsidRPr="00B320E1">
        <w:rPr>
          <w:lang w:val="en-US"/>
        </w:rPr>
        <w:t>Celltrion Healthcare Hungary Kft.</w:t>
      </w:r>
    </w:p>
    <w:p w14:paraId="466D4137" w14:textId="77777777" w:rsidR="00F91E2B" w:rsidRPr="00B320E1" w:rsidRDefault="00F91E2B" w:rsidP="00F91E2B">
      <w:pPr>
        <w:keepNext/>
        <w:rPr>
          <w:lang w:val="en-US"/>
        </w:rPr>
      </w:pPr>
      <w:r w:rsidRPr="00B320E1">
        <w:rPr>
          <w:lang w:val="en-US"/>
        </w:rPr>
        <w:t>1062 Budapest</w:t>
      </w:r>
    </w:p>
    <w:p w14:paraId="686BAC6D" w14:textId="77777777" w:rsidR="00F91E2B" w:rsidRPr="00B320E1" w:rsidRDefault="00F91E2B" w:rsidP="00F91E2B">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05C2BC73" w14:textId="4C8F10B5" w:rsidR="00F91E2B" w:rsidRPr="00B320E1" w:rsidRDefault="00F91E2B" w:rsidP="00F91E2B">
      <w:pPr>
        <w:rPr>
          <w:lang w:val="en-US"/>
        </w:rPr>
      </w:pPr>
      <w:proofErr w:type="spellStart"/>
      <w:r w:rsidRPr="00B320E1">
        <w:rPr>
          <w:lang w:val="en-US"/>
        </w:rPr>
        <w:t>Ungarn</w:t>
      </w:r>
      <w:proofErr w:type="spellEnd"/>
    </w:p>
    <w:p w14:paraId="701DE709" w14:textId="77777777" w:rsidR="00093A5E" w:rsidRPr="00B320E1" w:rsidRDefault="00093A5E" w:rsidP="004255F8">
      <w:pPr>
        <w:pStyle w:val="a3"/>
        <w:widowControl/>
        <w:rPr>
          <w:lang w:val="en-US"/>
        </w:rPr>
      </w:pPr>
    </w:p>
    <w:p w14:paraId="46352959" w14:textId="77777777" w:rsidR="00093A5E" w:rsidRPr="00B320E1" w:rsidRDefault="00093A5E" w:rsidP="004255F8">
      <w:pPr>
        <w:pStyle w:val="a3"/>
        <w:widowControl/>
        <w:rPr>
          <w:lang w:val="en-US"/>
        </w:rPr>
      </w:pPr>
    </w:p>
    <w:p w14:paraId="4CECC854" w14:textId="77777777" w:rsidR="00093A5E" w:rsidRPr="006A64EE" w:rsidRDefault="0052695F" w:rsidP="004255F8">
      <w:pPr>
        <w:pStyle w:val="tabele"/>
        <w:widowControl/>
      </w:pPr>
      <w:r w:rsidRPr="006A64EE">
        <w:t>12.</w:t>
      </w:r>
      <w:r w:rsidRPr="006A64EE">
        <w:tab/>
        <w:t>ZULASSUNGSNUMMER(N)</w:t>
      </w:r>
    </w:p>
    <w:p w14:paraId="32CE1A74" w14:textId="77777777" w:rsidR="00093A5E" w:rsidRPr="006A64EE" w:rsidRDefault="00093A5E" w:rsidP="004255F8">
      <w:pPr>
        <w:pStyle w:val="a3"/>
        <w:widowControl/>
      </w:pPr>
    </w:p>
    <w:p w14:paraId="2EE94222" w14:textId="51D6B31B" w:rsidR="00F91E2B" w:rsidRPr="00020C6B" w:rsidRDefault="00F91E2B" w:rsidP="00F91E2B">
      <w:r w:rsidRPr="00020C6B">
        <w:t>EU/</w:t>
      </w:r>
      <w:r w:rsidR="00C1582E">
        <w:t>1/24/1896/009 12 (3 x 4) Fertigspritzen (Bündelpackung)</w:t>
      </w:r>
    </w:p>
    <w:p w14:paraId="72A9DC53" w14:textId="77777777" w:rsidR="00093A5E" w:rsidRPr="006A64EE" w:rsidRDefault="00093A5E" w:rsidP="004255F8">
      <w:pPr>
        <w:pStyle w:val="a3"/>
        <w:widowControl/>
      </w:pPr>
    </w:p>
    <w:p w14:paraId="79764B58" w14:textId="77777777" w:rsidR="00093A5E" w:rsidRPr="006A64EE" w:rsidRDefault="00093A5E" w:rsidP="004255F8">
      <w:pPr>
        <w:pStyle w:val="a3"/>
        <w:widowControl/>
      </w:pPr>
    </w:p>
    <w:p w14:paraId="7C675A37" w14:textId="77777777" w:rsidR="00093A5E" w:rsidRPr="006A64EE" w:rsidRDefault="0052695F" w:rsidP="004255F8">
      <w:pPr>
        <w:pStyle w:val="tabele"/>
        <w:widowControl/>
      </w:pPr>
      <w:r w:rsidRPr="006A64EE">
        <w:t>13.</w:t>
      </w:r>
      <w:r w:rsidRPr="006A64EE">
        <w:tab/>
        <w:t>CHARGENBEZEICHNUNG</w:t>
      </w:r>
    </w:p>
    <w:p w14:paraId="23FCE339" w14:textId="77777777" w:rsidR="00093A5E" w:rsidRPr="006A64EE" w:rsidRDefault="00093A5E" w:rsidP="004255F8">
      <w:pPr>
        <w:pStyle w:val="a3"/>
        <w:widowControl/>
      </w:pPr>
    </w:p>
    <w:p w14:paraId="6D41056E" w14:textId="77777777" w:rsidR="00093A5E" w:rsidRPr="006A64EE" w:rsidRDefault="009C2544" w:rsidP="004255F8">
      <w:pPr>
        <w:pStyle w:val="a3"/>
        <w:widowControl/>
      </w:pPr>
      <w:r w:rsidRPr="006A64EE">
        <w:t>Ch.-B.</w:t>
      </w:r>
    </w:p>
    <w:p w14:paraId="727A4538" w14:textId="77777777" w:rsidR="00093A5E" w:rsidRPr="006A64EE" w:rsidRDefault="00093A5E" w:rsidP="004255F8">
      <w:pPr>
        <w:pStyle w:val="a3"/>
        <w:widowControl/>
      </w:pPr>
    </w:p>
    <w:p w14:paraId="57BE63B6" w14:textId="77777777" w:rsidR="00093A5E" w:rsidRPr="006A64EE" w:rsidRDefault="00093A5E" w:rsidP="004255F8">
      <w:pPr>
        <w:pStyle w:val="a3"/>
        <w:widowControl/>
      </w:pPr>
    </w:p>
    <w:p w14:paraId="4127A1B0" w14:textId="77777777" w:rsidR="00093A5E" w:rsidRPr="006A64EE" w:rsidRDefault="0052695F" w:rsidP="004255F8">
      <w:pPr>
        <w:pStyle w:val="tabele"/>
        <w:widowControl/>
      </w:pPr>
      <w:r w:rsidRPr="006A64EE">
        <w:t>14.</w:t>
      </w:r>
      <w:r w:rsidRPr="006A64EE">
        <w:tab/>
        <w:t>VERKAUFSABGRENZUNG</w:t>
      </w:r>
    </w:p>
    <w:p w14:paraId="2872C0F8" w14:textId="77777777" w:rsidR="00093A5E" w:rsidRPr="006A64EE" w:rsidRDefault="00093A5E" w:rsidP="004255F8">
      <w:pPr>
        <w:pStyle w:val="a3"/>
        <w:widowControl/>
      </w:pPr>
    </w:p>
    <w:p w14:paraId="5561B060" w14:textId="77777777" w:rsidR="00093A5E" w:rsidRPr="006A64EE" w:rsidRDefault="00093A5E" w:rsidP="004255F8">
      <w:pPr>
        <w:pStyle w:val="a3"/>
        <w:widowControl/>
      </w:pPr>
    </w:p>
    <w:p w14:paraId="79C5E10F" w14:textId="77777777" w:rsidR="00093A5E" w:rsidRPr="006A64EE" w:rsidRDefault="0052695F" w:rsidP="004255F8">
      <w:pPr>
        <w:pStyle w:val="tabele"/>
        <w:widowControl/>
      </w:pPr>
      <w:r w:rsidRPr="006A64EE">
        <w:t>15.</w:t>
      </w:r>
      <w:r w:rsidRPr="006A64EE">
        <w:tab/>
        <w:t>HINWEISE FÜR DEN GEBRAUCH</w:t>
      </w:r>
    </w:p>
    <w:p w14:paraId="37580259" w14:textId="77777777" w:rsidR="00093A5E" w:rsidRPr="006A64EE" w:rsidRDefault="00093A5E" w:rsidP="004255F8">
      <w:pPr>
        <w:pStyle w:val="a3"/>
        <w:widowControl/>
      </w:pPr>
    </w:p>
    <w:p w14:paraId="465EDA96" w14:textId="77777777" w:rsidR="00093A5E" w:rsidRPr="006A64EE" w:rsidRDefault="00093A5E" w:rsidP="004255F8">
      <w:pPr>
        <w:pStyle w:val="a3"/>
        <w:widowControl/>
      </w:pPr>
    </w:p>
    <w:p w14:paraId="22DADC2A" w14:textId="77777777" w:rsidR="00093A5E" w:rsidRPr="006A64EE" w:rsidRDefault="0052695F" w:rsidP="004255F8">
      <w:pPr>
        <w:pStyle w:val="tabele"/>
        <w:widowControl/>
      </w:pPr>
      <w:r w:rsidRPr="006A64EE">
        <w:t>16.</w:t>
      </w:r>
      <w:r w:rsidRPr="006A64EE">
        <w:tab/>
        <w:t>ANGABEN IN BLINDENSCHRIFT</w:t>
      </w:r>
    </w:p>
    <w:p w14:paraId="413D0449" w14:textId="77777777" w:rsidR="00093A5E" w:rsidRPr="006A64EE" w:rsidRDefault="00093A5E" w:rsidP="004255F8">
      <w:pPr>
        <w:pStyle w:val="a3"/>
        <w:widowControl/>
      </w:pPr>
    </w:p>
    <w:p w14:paraId="3A04B333" w14:textId="12091A8E" w:rsidR="00093A5E" w:rsidRPr="006A64EE" w:rsidRDefault="00422697" w:rsidP="004255F8">
      <w:pPr>
        <w:pStyle w:val="a3"/>
        <w:widowControl/>
      </w:pPr>
      <w:r>
        <w:t>a</w:t>
      </w:r>
      <w:r w:rsidR="00F91E2B">
        <w:t>vtozma</w:t>
      </w:r>
      <w:r w:rsidR="00F91E2B" w:rsidRPr="006A64EE">
        <w:t xml:space="preserve"> </w:t>
      </w:r>
      <w:r w:rsidR="009C2544" w:rsidRPr="006A64EE">
        <w:t>162 mg</w:t>
      </w:r>
    </w:p>
    <w:p w14:paraId="615B866A" w14:textId="77777777" w:rsidR="00093A5E" w:rsidRPr="006A64EE" w:rsidRDefault="00093A5E" w:rsidP="004255F8">
      <w:pPr>
        <w:pStyle w:val="a3"/>
        <w:widowControl/>
      </w:pPr>
    </w:p>
    <w:p w14:paraId="0F407703" w14:textId="77777777" w:rsidR="00093A5E" w:rsidRPr="006A64EE" w:rsidRDefault="00093A5E" w:rsidP="004255F8">
      <w:pPr>
        <w:pStyle w:val="a3"/>
        <w:widowControl/>
      </w:pPr>
    </w:p>
    <w:p w14:paraId="3FCEA946" w14:textId="77777777" w:rsidR="00093A5E" w:rsidRPr="006A64EE" w:rsidRDefault="0052695F" w:rsidP="004255F8">
      <w:pPr>
        <w:pStyle w:val="tabele"/>
        <w:widowControl/>
      </w:pPr>
      <w:r w:rsidRPr="006A64EE">
        <w:t>17.</w:t>
      </w:r>
      <w:r w:rsidRPr="006A64EE">
        <w:tab/>
        <w:t>INDIVIDUELLES ERKENNUNGSMERKMAL – 2D-BARCODE</w:t>
      </w:r>
    </w:p>
    <w:p w14:paraId="7640C99A" w14:textId="77777777" w:rsidR="00093A5E" w:rsidRPr="006A64EE" w:rsidRDefault="00093A5E" w:rsidP="004255F8">
      <w:pPr>
        <w:pStyle w:val="a3"/>
        <w:widowControl/>
      </w:pPr>
    </w:p>
    <w:p w14:paraId="7717F096" w14:textId="77777777" w:rsidR="00093A5E" w:rsidRPr="006A64EE" w:rsidRDefault="009C2544" w:rsidP="004255F8">
      <w:pPr>
        <w:pStyle w:val="a3"/>
        <w:widowControl/>
        <w:rPr>
          <w:shd w:val="pct15" w:color="auto" w:fill="FFFFFF"/>
        </w:rPr>
      </w:pPr>
      <w:r w:rsidRPr="006A64EE">
        <w:rPr>
          <w:shd w:val="pct15" w:color="auto" w:fill="FFFFFF"/>
        </w:rPr>
        <w:t>&lt;2D-Barcode mit individuellem Erkennungsmerkmal.&gt;</w:t>
      </w:r>
    </w:p>
    <w:p w14:paraId="6C75950A" w14:textId="77777777" w:rsidR="00093A5E" w:rsidRPr="006A64EE" w:rsidRDefault="00093A5E" w:rsidP="004255F8">
      <w:pPr>
        <w:pStyle w:val="a3"/>
        <w:widowControl/>
      </w:pPr>
    </w:p>
    <w:p w14:paraId="75E385DC" w14:textId="77777777" w:rsidR="00093A5E" w:rsidRPr="006A64EE" w:rsidRDefault="00093A5E" w:rsidP="004255F8">
      <w:pPr>
        <w:pStyle w:val="a3"/>
        <w:widowControl/>
      </w:pPr>
    </w:p>
    <w:p w14:paraId="0DF3CA35" w14:textId="77777777" w:rsidR="00093A5E" w:rsidRPr="006A64EE" w:rsidRDefault="0052695F" w:rsidP="00E66AB0">
      <w:pPr>
        <w:pStyle w:val="tabele"/>
        <w:keepNext/>
        <w:keepLines/>
        <w:widowControl/>
      </w:pPr>
      <w:r w:rsidRPr="006A64EE">
        <w:lastRenderedPageBreak/>
        <w:t>18.</w:t>
      </w:r>
      <w:r w:rsidRPr="006A64EE">
        <w:tab/>
        <w:t>INDIVIDUELLES ERKENNUNGSMERKMAL – VOM MENSCHEN LESBARES FORMAT</w:t>
      </w:r>
    </w:p>
    <w:p w14:paraId="5CA1108B" w14:textId="77777777" w:rsidR="00093A5E" w:rsidRPr="006A64EE" w:rsidRDefault="00093A5E" w:rsidP="00E66AB0">
      <w:pPr>
        <w:pStyle w:val="a3"/>
        <w:keepNext/>
        <w:keepLines/>
        <w:widowControl/>
        <w:jc w:val="both"/>
      </w:pPr>
    </w:p>
    <w:p w14:paraId="0CC81461" w14:textId="77777777" w:rsidR="00093A5E" w:rsidRPr="006A64EE" w:rsidRDefault="009C2544" w:rsidP="00E66AB0">
      <w:pPr>
        <w:pStyle w:val="a3"/>
        <w:keepNext/>
        <w:keepLines/>
        <w:widowControl/>
        <w:jc w:val="both"/>
      </w:pPr>
      <w:r w:rsidRPr="006A64EE">
        <w:t xml:space="preserve">PC </w:t>
      </w:r>
    </w:p>
    <w:p w14:paraId="2AAE3FB5" w14:textId="77777777" w:rsidR="00093A5E" w:rsidRPr="006A64EE" w:rsidRDefault="009C2544" w:rsidP="00E66AB0">
      <w:pPr>
        <w:pStyle w:val="a3"/>
        <w:keepNext/>
        <w:keepLines/>
        <w:widowControl/>
        <w:jc w:val="both"/>
      </w:pPr>
      <w:r w:rsidRPr="006A64EE">
        <w:t xml:space="preserve">SN </w:t>
      </w:r>
    </w:p>
    <w:p w14:paraId="0BCFB47C" w14:textId="77777777" w:rsidR="00093A5E" w:rsidRPr="006A64EE" w:rsidRDefault="009C2544" w:rsidP="00E66AB0">
      <w:pPr>
        <w:pStyle w:val="a3"/>
        <w:keepNext/>
        <w:keepLines/>
        <w:widowControl/>
        <w:jc w:val="both"/>
      </w:pPr>
      <w:r w:rsidRPr="00E303AE">
        <w:rPr>
          <w:highlight w:val="lightGray"/>
        </w:rPr>
        <w:t>NN</w:t>
      </w:r>
    </w:p>
    <w:p w14:paraId="0728BFB2" w14:textId="77777777" w:rsidR="00093A5E" w:rsidRPr="006A64EE" w:rsidRDefault="00E66AB0">
      <w:pPr>
        <w:rPr>
          <w:b/>
        </w:rPr>
      </w:pPr>
      <w:r w:rsidRPr="006A64EE">
        <w:br w:type="page"/>
      </w:r>
    </w:p>
    <w:p w14:paraId="06C64090" w14:textId="77777777" w:rsidR="00093A5E" w:rsidRPr="006A64EE" w:rsidRDefault="0052695F" w:rsidP="004255F8">
      <w:pPr>
        <w:pStyle w:val="tabele"/>
        <w:widowControl/>
      </w:pPr>
      <w:r w:rsidRPr="006A64EE">
        <w:lastRenderedPageBreak/>
        <w:t>ANGABEN AUF DER ÄUSSEREN UMHÜLLUNG</w:t>
      </w:r>
    </w:p>
    <w:p w14:paraId="7EA788FC" w14:textId="77777777" w:rsidR="00093A5E" w:rsidRPr="006A64EE" w:rsidRDefault="00093A5E" w:rsidP="004255F8">
      <w:pPr>
        <w:pStyle w:val="tabele"/>
        <w:widowControl/>
      </w:pPr>
    </w:p>
    <w:p w14:paraId="1CBAEAE1" w14:textId="77777777" w:rsidR="00093A5E" w:rsidRPr="006A64EE" w:rsidRDefault="0052695F" w:rsidP="004255F8">
      <w:pPr>
        <w:pStyle w:val="tabele"/>
        <w:widowControl/>
      </w:pPr>
      <w:r w:rsidRPr="006A64EE">
        <w:t>FERTIGSPRITZE FALTSCHACHTEL (OHNE BLUEBOX) - BÜNDELPACKUNG</w:t>
      </w:r>
    </w:p>
    <w:p w14:paraId="49D1759B" w14:textId="77777777" w:rsidR="00093A5E" w:rsidRPr="006A64EE" w:rsidRDefault="00093A5E" w:rsidP="004255F8">
      <w:pPr>
        <w:widowControl/>
        <w:tabs>
          <w:tab w:val="left" w:pos="669"/>
        </w:tabs>
        <w:rPr>
          <w:b/>
        </w:rPr>
      </w:pPr>
    </w:p>
    <w:p w14:paraId="03999A2C" w14:textId="77777777" w:rsidR="00093A5E" w:rsidRPr="006A64EE" w:rsidRDefault="00093A5E" w:rsidP="004255F8">
      <w:pPr>
        <w:widowControl/>
        <w:tabs>
          <w:tab w:val="left" w:pos="669"/>
        </w:tabs>
        <w:rPr>
          <w:b/>
        </w:rPr>
      </w:pPr>
    </w:p>
    <w:p w14:paraId="6E4F6C62" w14:textId="77777777" w:rsidR="00093A5E" w:rsidRPr="006A64EE" w:rsidRDefault="0052695F" w:rsidP="004255F8">
      <w:pPr>
        <w:pStyle w:val="tabele"/>
        <w:widowControl/>
      </w:pPr>
      <w:r w:rsidRPr="006A64EE">
        <w:t>1.</w:t>
      </w:r>
      <w:r w:rsidRPr="006A64EE">
        <w:tab/>
        <w:t>BEZEICHNUNG DES ARZNEIMITTELS</w:t>
      </w:r>
    </w:p>
    <w:p w14:paraId="77FDD2ED" w14:textId="77777777" w:rsidR="00093A5E" w:rsidRPr="006A64EE" w:rsidRDefault="00093A5E" w:rsidP="004255F8">
      <w:pPr>
        <w:pStyle w:val="a3"/>
        <w:widowControl/>
      </w:pPr>
    </w:p>
    <w:p w14:paraId="74AD53DC" w14:textId="1BEFFAB6" w:rsidR="00093A5E" w:rsidRPr="006A64EE" w:rsidRDefault="00F91E2B" w:rsidP="004255F8">
      <w:pPr>
        <w:pStyle w:val="a3"/>
        <w:widowControl/>
      </w:pPr>
      <w:r>
        <w:t>Avtozma</w:t>
      </w:r>
      <w:r w:rsidRPr="006A64EE">
        <w:t xml:space="preserve"> </w:t>
      </w:r>
      <w:r w:rsidR="009C2544" w:rsidRPr="006A64EE">
        <w:t>162 mg Injektionslösung in einer Fertigspritze</w:t>
      </w:r>
    </w:p>
    <w:p w14:paraId="4A3D1F9D" w14:textId="77777777" w:rsidR="00093A5E" w:rsidRPr="006A64EE" w:rsidRDefault="009C2544" w:rsidP="004255F8">
      <w:pPr>
        <w:pStyle w:val="a3"/>
        <w:widowControl/>
      </w:pPr>
      <w:r w:rsidRPr="006A64EE">
        <w:t>Tocilizumab</w:t>
      </w:r>
    </w:p>
    <w:p w14:paraId="25F2AD18" w14:textId="77777777" w:rsidR="00093A5E" w:rsidRPr="006A64EE" w:rsidRDefault="00093A5E" w:rsidP="004255F8">
      <w:pPr>
        <w:pStyle w:val="a3"/>
        <w:widowControl/>
      </w:pPr>
    </w:p>
    <w:p w14:paraId="69E72A23" w14:textId="77777777" w:rsidR="00093A5E" w:rsidRPr="006A64EE" w:rsidRDefault="00093A5E" w:rsidP="004255F8">
      <w:pPr>
        <w:pStyle w:val="a3"/>
        <w:widowControl/>
      </w:pPr>
    </w:p>
    <w:p w14:paraId="4B3BF7EA" w14:textId="77777777" w:rsidR="00093A5E" w:rsidRPr="006A64EE" w:rsidRDefault="0052695F" w:rsidP="004255F8">
      <w:pPr>
        <w:pStyle w:val="tabele"/>
        <w:widowControl/>
      </w:pPr>
      <w:r w:rsidRPr="006A64EE">
        <w:t>2.</w:t>
      </w:r>
      <w:r w:rsidRPr="006A64EE">
        <w:tab/>
        <w:t>WIRKSTOFF(E)</w:t>
      </w:r>
    </w:p>
    <w:p w14:paraId="56A2B2F5" w14:textId="77777777" w:rsidR="00093A5E" w:rsidRPr="006A64EE" w:rsidRDefault="00093A5E" w:rsidP="004255F8">
      <w:pPr>
        <w:pStyle w:val="a3"/>
        <w:widowControl/>
      </w:pPr>
    </w:p>
    <w:p w14:paraId="4C035C1E" w14:textId="77777777" w:rsidR="00093A5E" w:rsidRPr="006A64EE" w:rsidRDefault="009C2544" w:rsidP="004255F8">
      <w:pPr>
        <w:pStyle w:val="a3"/>
        <w:widowControl/>
      </w:pPr>
      <w:r w:rsidRPr="006A64EE">
        <w:t>1 Fertigspritze enthält 162 mg Tocilizumab.</w:t>
      </w:r>
    </w:p>
    <w:p w14:paraId="37F1D453" w14:textId="77777777" w:rsidR="00093A5E" w:rsidRPr="006A64EE" w:rsidRDefault="00093A5E" w:rsidP="004255F8">
      <w:pPr>
        <w:pStyle w:val="a3"/>
        <w:widowControl/>
      </w:pPr>
    </w:p>
    <w:p w14:paraId="536B3D6E" w14:textId="77777777" w:rsidR="00093A5E" w:rsidRPr="006A64EE" w:rsidRDefault="00093A5E" w:rsidP="004255F8">
      <w:pPr>
        <w:pStyle w:val="a3"/>
        <w:widowControl/>
      </w:pPr>
    </w:p>
    <w:p w14:paraId="0161E579" w14:textId="77777777" w:rsidR="00093A5E" w:rsidRPr="006A64EE" w:rsidRDefault="0052695F" w:rsidP="004255F8">
      <w:pPr>
        <w:pStyle w:val="tabele"/>
        <w:widowControl/>
      </w:pPr>
      <w:r w:rsidRPr="006A64EE">
        <w:t>3.</w:t>
      </w:r>
      <w:r w:rsidRPr="006A64EE">
        <w:tab/>
        <w:t>SONSTIGE BESTANDTEILE</w:t>
      </w:r>
    </w:p>
    <w:p w14:paraId="23ACF4C0" w14:textId="77777777" w:rsidR="00093A5E" w:rsidRPr="006A64EE" w:rsidRDefault="00093A5E" w:rsidP="004255F8">
      <w:pPr>
        <w:pStyle w:val="a3"/>
        <w:widowControl/>
      </w:pPr>
    </w:p>
    <w:p w14:paraId="4E809B63" w14:textId="64DFB54C" w:rsidR="00093A5E" w:rsidRPr="006A64EE" w:rsidRDefault="00F91E2B" w:rsidP="004255F8">
      <w:pPr>
        <w:pStyle w:val="a3"/>
        <w:widowControl/>
      </w:pPr>
      <w:r>
        <w:t xml:space="preserve">Sonstige Bestandteile: L-Histidin,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t>L-Threonin, L-Methionin, Polysorbat 80 und Wasser für Injektionszwecke</w:t>
      </w:r>
      <w:r w:rsidRPr="006A64EE">
        <w:t>.</w:t>
      </w:r>
      <w:r w:rsidR="00B50ECE">
        <w:t xml:space="preserve"> </w:t>
      </w:r>
      <w:r>
        <w:t>Siehe Packungsbeilage für weitere Informationen.</w:t>
      </w:r>
    </w:p>
    <w:p w14:paraId="36D60BEB" w14:textId="77777777" w:rsidR="00093A5E" w:rsidRPr="006A64EE" w:rsidRDefault="00093A5E" w:rsidP="004255F8">
      <w:pPr>
        <w:pStyle w:val="a3"/>
        <w:widowControl/>
      </w:pPr>
    </w:p>
    <w:p w14:paraId="4C93FFE0" w14:textId="77777777" w:rsidR="00093A5E" w:rsidRPr="006A64EE" w:rsidRDefault="00093A5E" w:rsidP="004255F8">
      <w:pPr>
        <w:pStyle w:val="a3"/>
        <w:widowControl/>
      </w:pPr>
    </w:p>
    <w:p w14:paraId="0460F91D" w14:textId="77777777" w:rsidR="00093A5E" w:rsidRPr="006A64EE" w:rsidRDefault="0052695F" w:rsidP="004255F8">
      <w:pPr>
        <w:pStyle w:val="tabele"/>
        <w:widowControl/>
      </w:pPr>
      <w:r w:rsidRPr="006A64EE">
        <w:t>4.</w:t>
      </w:r>
      <w:r w:rsidRPr="006A64EE">
        <w:tab/>
        <w:t>DARREICHUNGSFORM UND INHALT</w:t>
      </w:r>
    </w:p>
    <w:p w14:paraId="17417074" w14:textId="77777777" w:rsidR="00093A5E" w:rsidRPr="006A64EE" w:rsidRDefault="00093A5E" w:rsidP="004255F8">
      <w:pPr>
        <w:pStyle w:val="a3"/>
        <w:widowControl/>
      </w:pPr>
    </w:p>
    <w:p w14:paraId="11F5A565" w14:textId="77777777" w:rsidR="00093A5E" w:rsidRPr="006A64EE" w:rsidRDefault="009C2544" w:rsidP="004255F8">
      <w:pPr>
        <w:pStyle w:val="a3"/>
        <w:widowControl/>
      </w:pPr>
      <w:r w:rsidRPr="006A64EE">
        <w:t>Injektionslösung in einer Fertigspritze</w:t>
      </w:r>
    </w:p>
    <w:p w14:paraId="53145190" w14:textId="753B1BAB" w:rsidR="00107B53" w:rsidRPr="006A64EE" w:rsidRDefault="009C2544" w:rsidP="004255F8">
      <w:pPr>
        <w:pStyle w:val="a3"/>
        <w:widowControl/>
      </w:pPr>
      <w:r w:rsidRPr="006A64EE">
        <w:t>4 Fertigspritzen. Teil einer Bündelpackung, Einzelverkauf unzulässig</w:t>
      </w:r>
      <w:r w:rsidR="00A27271">
        <w:t>.</w:t>
      </w:r>
    </w:p>
    <w:p w14:paraId="28BCEA9A" w14:textId="621ECFBC" w:rsidR="00093A5E" w:rsidRPr="006A64EE" w:rsidRDefault="009C2544" w:rsidP="004255F8">
      <w:pPr>
        <w:pStyle w:val="a3"/>
        <w:widowControl/>
      </w:pPr>
      <w:r w:rsidRPr="006A64EE">
        <w:t>162 mg/0,9 ml</w:t>
      </w:r>
    </w:p>
    <w:p w14:paraId="7280D675" w14:textId="77777777" w:rsidR="00093A5E" w:rsidRPr="006A64EE" w:rsidRDefault="00093A5E" w:rsidP="004255F8">
      <w:pPr>
        <w:pStyle w:val="a3"/>
        <w:widowControl/>
      </w:pPr>
    </w:p>
    <w:p w14:paraId="53B02F67" w14:textId="77777777" w:rsidR="00093A5E" w:rsidRPr="006A64EE" w:rsidRDefault="00093A5E" w:rsidP="004255F8">
      <w:pPr>
        <w:pStyle w:val="a3"/>
        <w:widowControl/>
      </w:pPr>
    </w:p>
    <w:p w14:paraId="01F00DFF" w14:textId="77777777" w:rsidR="00093A5E" w:rsidRPr="006A64EE" w:rsidRDefault="0052695F" w:rsidP="004255F8">
      <w:pPr>
        <w:pStyle w:val="tabele"/>
        <w:widowControl/>
      </w:pPr>
      <w:r w:rsidRPr="006A64EE">
        <w:t>5.</w:t>
      </w:r>
      <w:r w:rsidRPr="006A64EE">
        <w:tab/>
        <w:t>HINWEISE ZUR UND ART(EN) DER ANWENDUNG</w:t>
      </w:r>
    </w:p>
    <w:p w14:paraId="71559612" w14:textId="77777777" w:rsidR="00093A5E" w:rsidRPr="006A64EE" w:rsidRDefault="00093A5E" w:rsidP="004255F8">
      <w:pPr>
        <w:pStyle w:val="a3"/>
        <w:widowControl/>
      </w:pPr>
    </w:p>
    <w:p w14:paraId="3CAC18B6" w14:textId="77A16102" w:rsidR="00107B53" w:rsidRPr="006A64EE" w:rsidRDefault="009C2544" w:rsidP="004255F8">
      <w:pPr>
        <w:pStyle w:val="a3"/>
        <w:widowControl/>
      </w:pPr>
      <w:r w:rsidRPr="006A64EE">
        <w:t>Subkutane Anwendung</w:t>
      </w:r>
    </w:p>
    <w:p w14:paraId="5B4525BF" w14:textId="59C6B47F" w:rsidR="00093A5E" w:rsidRPr="006A64EE" w:rsidRDefault="009C2544" w:rsidP="004255F8">
      <w:pPr>
        <w:pStyle w:val="a3"/>
        <w:widowControl/>
      </w:pPr>
      <w:r w:rsidRPr="006A64EE">
        <w:t>Packungsbeilage beachten</w:t>
      </w:r>
    </w:p>
    <w:p w14:paraId="06C5E822" w14:textId="77777777" w:rsidR="00093A5E" w:rsidRPr="006A64EE" w:rsidRDefault="00093A5E" w:rsidP="004255F8">
      <w:pPr>
        <w:pStyle w:val="a3"/>
        <w:widowControl/>
      </w:pPr>
    </w:p>
    <w:p w14:paraId="7167085C" w14:textId="77777777" w:rsidR="00093A5E" w:rsidRPr="006A64EE" w:rsidRDefault="00093A5E" w:rsidP="004255F8">
      <w:pPr>
        <w:pStyle w:val="a3"/>
        <w:widowControl/>
      </w:pPr>
    </w:p>
    <w:p w14:paraId="007D5922" w14:textId="05138D88" w:rsidR="00093A5E" w:rsidRPr="006A64EE" w:rsidRDefault="0052695F" w:rsidP="004255F8">
      <w:pPr>
        <w:pStyle w:val="tabele"/>
        <w:widowControl/>
      </w:pPr>
      <w:r w:rsidRPr="006A64EE">
        <w:t>6</w:t>
      </w:r>
      <w:r w:rsidR="0053368C" w:rsidRPr="006A64EE">
        <w:t>.</w:t>
      </w:r>
      <w:r w:rsidRPr="006A64EE">
        <w:tab/>
        <w:t xml:space="preserve">WARNHINWEIS, DASS DAS ARZNEIMITTEL FÜR KINDER </w:t>
      </w:r>
      <w:r w:rsidR="0018324B">
        <w:t>UNZUGÄNGLICH</w:t>
      </w:r>
      <w:r w:rsidRPr="006A64EE">
        <w:t xml:space="preserve"> AUFZUBEWAHREN IST</w:t>
      </w:r>
    </w:p>
    <w:p w14:paraId="63D12F96" w14:textId="77777777" w:rsidR="00093A5E" w:rsidRPr="006A64EE" w:rsidRDefault="00093A5E" w:rsidP="004255F8">
      <w:pPr>
        <w:pStyle w:val="a3"/>
        <w:widowControl/>
      </w:pPr>
    </w:p>
    <w:p w14:paraId="189F5F41" w14:textId="7C7A6CC6" w:rsidR="00093A5E" w:rsidRPr="006A64EE" w:rsidRDefault="009C2544" w:rsidP="004255F8">
      <w:pPr>
        <w:pStyle w:val="a3"/>
        <w:widowControl/>
      </w:pPr>
      <w:r w:rsidRPr="006A64EE">
        <w:t>Arzneimittel für Kinder unzugänglich aufbewahren</w:t>
      </w:r>
    </w:p>
    <w:p w14:paraId="351603FA" w14:textId="77777777" w:rsidR="00093A5E" w:rsidRPr="006A64EE" w:rsidRDefault="00093A5E" w:rsidP="004255F8">
      <w:pPr>
        <w:pStyle w:val="a3"/>
        <w:widowControl/>
      </w:pPr>
    </w:p>
    <w:p w14:paraId="28A34C9D" w14:textId="77777777" w:rsidR="00093A5E" w:rsidRPr="006A64EE" w:rsidRDefault="00093A5E" w:rsidP="004255F8">
      <w:pPr>
        <w:pStyle w:val="a3"/>
        <w:widowControl/>
      </w:pPr>
    </w:p>
    <w:p w14:paraId="0474630A" w14:textId="77777777" w:rsidR="00093A5E" w:rsidRPr="006A64EE" w:rsidRDefault="0052695F" w:rsidP="004255F8">
      <w:pPr>
        <w:pStyle w:val="tabele"/>
        <w:widowControl/>
      </w:pPr>
      <w:r w:rsidRPr="006A64EE">
        <w:t>7.</w:t>
      </w:r>
      <w:r w:rsidRPr="006A64EE">
        <w:tab/>
        <w:t>WEITERE WARNHINWEISE, FALLS ERFORDERLICH</w:t>
      </w:r>
    </w:p>
    <w:p w14:paraId="000830B5" w14:textId="77777777" w:rsidR="00093A5E" w:rsidRPr="006A64EE" w:rsidRDefault="00093A5E" w:rsidP="004255F8">
      <w:pPr>
        <w:pStyle w:val="a3"/>
        <w:widowControl/>
      </w:pPr>
    </w:p>
    <w:p w14:paraId="426CAF3D" w14:textId="490581D1" w:rsidR="00093A5E" w:rsidRPr="006A64EE" w:rsidRDefault="009C2544" w:rsidP="004255F8">
      <w:pPr>
        <w:pStyle w:val="a3"/>
        <w:widowControl/>
      </w:pPr>
      <w:r w:rsidRPr="006A64EE">
        <w:t>Die Fertigspritze vor der Anwendung 30 Minuten außerhalb der Faltschachtel bei Raumtemperatur aufbewahren</w:t>
      </w:r>
    </w:p>
    <w:p w14:paraId="5E8B8DA0" w14:textId="77777777" w:rsidR="00093A5E" w:rsidRPr="006A64EE" w:rsidRDefault="00093A5E" w:rsidP="004255F8">
      <w:pPr>
        <w:pStyle w:val="a3"/>
        <w:widowControl/>
      </w:pPr>
    </w:p>
    <w:p w14:paraId="2AC5247E" w14:textId="77777777" w:rsidR="00093A5E" w:rsidRPr="006A64EE" w:rsidRDefault="00093A5E" w:rsidP="004255F8">
      <w:pPr>
        <w:pStyle w:val="a3"/>
        <w:widowControl/>
      </w:pPr>
    </w:p>
    <w:p w14:paraId="26C4F77A" w14:textId="77777777" w:rsidR="00093A5E" w:rsidRPr="006A64EE" w:rsidRDefault="0052695F" w:rsidP="004255F8">
      <w:pPr>
        <w:pStyle w:val="tabele"/>
        <w:widowControl/>
      </w:pPr>
      <w:r w:rsidRPr="006A64EE">
        <w:t>8.</w:t>
      </w:r>
      <w:r w:rsidRPr="006A64EE">
        <w:tab/>
        <w:t>VERFALLDATUM</w:t>
      </w:r>
    </w:p>
    <w:p w14:paraId="6D56D417" w14:textId="77777777" w:rsidR="00093A5E" w:rsidRPr="006A64EE" w:rsidRDefault="00093A5E" w:rsidP="004255F8">
      <w:pPr>
        <w:pStyle w:val="a3"/>
        <w:widowControl/>
      </w:pPr>
    </w:p>
    <w:p w14:paraId="7F9E6A5E" w14:textId="77777777" w:rsidR="00093A5E" w:rsidRPr="006A64EE" w:rsidRDefault="009C2544" w:rsidP="004255F8">
      <w:pPr>
        <w:pStyle w:val="a3"/>
        <w:widowControl/>
      </w:pPr>
      <w:r w:rsidRPr="006A64EE">
        <w:t>verwendbar bis</w:t>
      </w:r>
    </w:p>
    <w:p w14:paraId="7B638CBC" w14:textId="77777777" w:rsidR="00093A5E" w:rsidRPr="006A64EE" w:rsidRDefault="00093A5E" w:rsidP="004255F8">
      <w:pPr>
        <w:pStyle w:val="a3"/>
        <w:widowControl/>
      </w:pPr>
    </w:p>
    <w:p w14:paraId="351AFA6A" w14:textId="77777777" w:rsidR="00093A5E" w:rsidRPr="006A64EE" w:rsidRDefault="00093A5E" w:rsidP="004255F8">
      <w:pPr>
        <w:pStyle w:val="a3"/>
        <w:widowControl/>
      </w:pPr>
    </w:p>
    <w:p w14:paraId="5921D5CC" w14:textId="77777777" w:rsidR="00093A5E" w:rsidRPr="006A64EE" w:rsidRDefault="0052695F" w:rsidP="00E66AB0">
      <w:pPr>
        <w:pStyle w:val="tabele"/>
        <w:keepNext/>
        <w:keepLines/>
        <w:widowControl/>
      </w:pPr>
      <w:r w:rsidRPr="006A64EE">
        <w:lastRenderedPageBreak/>
        <w:t>9.</w:t>
      </w:r>
      <w:r w:rsidRPr="006A64EE">
        <w:tab/>
        <w:t>BESONDERE VORSICHTSMASSNAHMEN FÜR DIE AUFBEWAHRUNG</w:t>
      </w:r>
    </w:p>
    <w:p w14:paraId="0213E9E0" w14:textId="77777777" w:rsidR="00093A5E" w:rsidRPr="006A64EE" w:rsidRDefault="00093A5E" w:rsidP="00E66AB0">
      <w:pPr>
        <w:keepNext/>
        <w:keepLines/>
        <w:widowControl/>
      </w:pPr>
    </w:p>
    <w:p w14:paraId="04288878" w14:textId="5A293B00" w:rsidR="00093A5E" w:rsidRPr="006A64EE" w:rsidRDefault="009C2544" w:rsidP="00E66AB0">
      <w:pPr>
        <w:keepNext/>
        <w:keepLines/>
        <w:widowControl/>
      </w:pPr>
      <w:r w:rsidRPr="006A64EE">
        <w:t>Im Kühlschrank lagern</w:t>
      </w:r>
    </w:p>
    <w:p w14:paraId="2BCB9AD1" w14:textId="4CBA8A6C" w:rsidR="00093A5E" w:rsidRPr="006A64EE" w:rsidRDefault="009C2544" w:rsidP="00E66AB0">
      <w:pPr>
        <w:keepNext/>
        <w:keepLines/>
        <w:widowControl/>
      </w:pPr>
      <w:r w:rsidRPr="006A64EE">
        <w:t>Nicht einfrieren</w:t>
      </w:r>
    </w:p>
    <w:p w14:paraId="1E5465D9" w14:textId="2FB0BBA6" w:rsidR="00093A5E" w:rsidRPr="006A64EE" w:rsidRDefault="009C2544" w:rsidP="00E66AB0">
      <w:pPr>
        <w:pStyle w:val="a3"/>
        <w:keepNext/>
        <w:keepLines/>
        <w:widowControl/>
      </w:pPr>
      <w:r w:rsidRPr="006A64EE">
        <w:t xml:space="preserve">Nach Entnahme aus dem Kühlschrank kann die Fertigspritze bis zu </w:t>
      </w:r>
      <w:r w:rsidR="00A27271">
        <w:t>3 </w:t>
      </w:r>
      <w:r w:rsidRPr="006A64EE">
        <w:t>Wochen bei maximal 30 °C aufbewahrt werden</w:t>
      </w:r>
    </w:p>
    <w:p w14:paraId="2D9B6B7D" w14:textId="5AFDAEB2" w:rsidR="00093A5E" w:rsidRPr="006A64EE" w:rsidRDefault="009C2544" w:rsidP="00E66AB0">
      <w:pPr>
        <w:pStyle w:val="a3"/>
        <w:keepNext/>
        <w:keepLines/>
        <w:widowControl/>
      </w:pPr>
      <w:r w:rsidRPr="006A64EE">
        <w:t>Die Fertigspritze im Umkarton aufbewahren, um den Inhalt vor Licht und Feuchtigkeit zu schützen</w:t>
      </w:r>
    </w:p>
    <w:p w14:paraId="3E776E41" w14:textId="77777777" w:rsidR="00093A5E" w:rsidRPr="006A64EE" w:rsidRDefault="00093A5E" w:rsidP="004255F8">
      <w:pPr>
        <w:pStyle w:val="a3"/>
        <w:widowControl/>
      </w:pPr>
    </w:p>
    <w:p w14:paraId="06CD9746" w14:textId="77777777" w:rsidR="00093A5E" w:rsidRPr="006A64EE" w:rsidRDefault="00093A5E" w:rsidP="004255F8">
      <w:pPr>
        <w:pStyle w:val="a3"/>
        <w:widowControl/>
      </w:pPr>
    </w:p>
    <w:p w14:paraId="2A3B70A1" w14:textId="77777777" w:rsidR="00093A5E" w:rsidRPr="006A64EE" w:rsidRDefault="00BC08B2" w:rsidP="004255F8">
      <w:pPr>
        <w:pStyle w:val="tabele"/>
        <w:widowControl/>
      </w:pPr>
      <w:r w:rsidRPr="006A64EE">
        <w:t>10.</w:t>
      </w:r>
      <w:r w:rsidRPr="006A64EE">
        <w:tab/>
        <w:t>GEGEBENENFALLS BESONDERE VORSICHTSMASSNAHMEN FÜR DIE BESEITIGUNG VON NICHT VERWENDETEM ARZNEIMITTEL ODER DAVON STAMMENDEN ABFALLMATERIALIEN</w:t>
      </w:r>
    </w:p>
    <w:p w14:paraId="455CA96E" w14:textId="77777777" w:rsidR="00093A5E" w:rsidRPr="006A64EE" w:rsidRDefault="00093A5E" w:rsidP="004255F8">
      <w:pPr>
        <w:pStyle w:val="a3"/>
        <w:widowControl/>
      </w:pPr>
    </w:p>
    <w:p w14:paraId="0EDCABBE" w14:textId="77777777" w:rsidR="00093A5E" w:rsidRPr="006A64EE" w:rsidRDefault="00093A5E" w:rsidP="004255F8">
      <w:pPr>
        <w:pStyle w:val="a3"/>
        <w:widowControl/>
      </w:pPr>
    </w:p>
    <w:p w14:paraId="41B66CCF" w14:textId="77777777" w:rsidR="00093A5E" w:rsidRPr="006A64EE" w:rsidRDefault="00BC08B2" w:rsidP="004255F8">
      <w:pPr>
        <w:pStyle w:val="tabele"/>
        <w:widowControl/>
      </w:pPr>
      <w:r w:rsidRPr="006A64EE">
        <w:t>11.</w:t>
      </w:r>
      <w:r w:rsidRPr="006A64EE">
        <w:tab/>
        <w:t>NAME UND ANSCHRIFT DES PHARMAZEUTISCHEN UNTERNEHMERS</w:t>
      </w:r>
    </w:p>
    <w:p w14:paraId="0E7910DA" w14:textId="77777777" w:rsidR="00093A5E" w:rsidRPr="006A64EE" w:rsidRDefault="00093A5E" w:rsidP="004255F8">
      <w:pPr>
        <w:pStyle w:val="a3"/>
        <w:widowControl/>
      </w:pPr>
    </w:p>
    <w:p w14:paraId="39450EE7" w14:textId="7AC9495C" w:rsidR="00A27271" w:rsidRPr="00B320E1" w:rsidRDefault="00A27271" w:rsidP="00A27271">
      <w:pPr>
        <w:keepNext/>
        <w:rPr>
          <w:lang w:val="en-US"/>
        </w:rPr>
      </w:pPr>
      <w:r w:rsidRPr="00B320E1">
        <w:rPr>
          <w:lang w:val="en-US"/>
        </w:rPr>
        <w:t>Celltrion Healthcare Hungary Kft.</w:t>
      </w:r>
    </w:p>
    <w:p w14:paraId="29598BBC" w14:textId="77777777" w:rsidR="00A27271" w:rsidRPr="00B320E1" w:rsidRDefault="00A27271" w:rsidP="00A27271">
      <w:pPr>
        <w:keepNext/>
        <w:rPr>
          <w:lang w:val="en-US"/>
        </w:rPr>
      </w:pPr>
      <w:r w:rsidRPr="00B320E1">
        <w:rPr>
          <w:lang w:val="en-US"/>
        </w:rPr>
        <w:t>1062 Budapest</w:t>
      </w:r>
    </w:p>
    <w:p w14:paraId="6B5280A3" w14:textId="77777777" w:rsidR="00A27271" w:rsidRPr="00B320E1" w:rsidRDefault="00A27271" w:rsidP="00A27271">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5F6D72A7" w14:textId="6FD58ED8" w:rsidR="00A27271" w:rsidRPr="00B320E1" w:rsidRDefault="00A27271" w:rsidP="00A27271">
      <w:pPr>
        <w:pStyle w:val="a3"/>
        <w:widowControl/>
        <w:rPr>
          <w:lang w:val="en-US"/>
        </w:rPr>
      </w:pPr>
      <w:proofErr w:type="spellStart"/>
      <w:r w:rsidRPr="00B320E1">
        <w:rPr>
          <w:lang w:val="en-US"/>
        </w:rPr>
        <w:t>Ungarn</w:t>
      </w:r>
      <w:proofErr w:type="spellEnd"/>
    </w:p>
    <w:p w14:paraId="4C10784F" w14:textId="77777777" w:rsidR="00093A5E" w:rsidRPr="00B320E1" w:rsidRDefault="00093A5E" w:rsidP="004255F8">
      <w:pPr>
        <w:pStyle w:val="a3"/>
        <w:widowControl/>
        <w:rPr>
          <w:lang w:val="en-US"/>
        </w:rPr>
      </w:pPr>
    </w:p>
    <w:p w14:paraId="2EE445D8" w14:textId="77777777" w:rsidR="00093A5E" w:rsidRPr="00B320E1" w:rsidRDefault="00093A5E" w:rsidP="004255F8">
      <w:pPr>
        <w:pStyle w:val="a3"/>
        <w:widowControl/>
        <w:rPr>
          <w:lang w:val="en-US"/>
        </w:rPr>
      </w:pPr>
    </w:p>
    <w:p w14:paraId="7FAE7F28" w14:textId="77777777" w:rsidR="00093A5E" w:rsidRPr="006A64EE" w:rsidRDefault="00BC08B2" w:rsidP="004255F8">
      <w:pPr>
        <w:pStyle w:val="tabele"/>
        <w:widowControl/>
      </w:pPr>
      <w:r w:rsidRPr="006A64EE">
        <w:t>12.</w:t>
      </w:r>
      <w:r w:rsidRPr="006A64EE">
        <w:tab/>
        <w:t>ZULASSUNGSNUMMER(N)</w:t>
      </w:r>
    </w:p>
    <w:p w14:paraId="64512EFE" w14:textId="77777777" w:rsidR="00093A5E" w:rsidRPr="006A64EE" w:rsidRDefault="00093A5E" w:rsidP="004255F8">
      <w:pPr>
        <w:pStyle w:val="a3"/>
        <w:widowControl/>
      </w:pPr>
    </w:p>
    <w:p w14:paraId="664B16D1" w14:textId="34A1E2D5" w:rsidR="00A27271" w:rsidRPr="00840707" w:rsidRDefault="00A27271" w:rsidP="00A27271">
      <w:r w:rsidRPr="00840707">
        <w:t>EU/</w:t>
      </w:r>
      <w:r w:rsidR="00C80BB9">
        <w:t>1/24/1896/009 12 (3 x 4) Fertigspritzen (Bündelpackung)</w:t>
      </w:r>
    </w:p>
    <w:p w14:paraId="13D5382A" w14:textId="77777777" w:rsidR="00093A5E" w:rsidRPr="006A64EE" w:rsidRDefault="00093A5E" w:rsidP="004255F8">
      <w:pPr>
        <w:pStyle w:val="a3"/>
        <w:widowControl/>
      </w:pPr>
    </w:p>
    <w:p w14:paraId="75D8657E" w14:textId="77777777" w:rsidR="00093A5E" w:rsidRPr="006A64EE" w:rsidRDefault="00093A5E" w:rsidP="004255F8">
      <w:pPr>
        <w:pStyle w:val="a3"/>
        <w:widowControl/>
      </w:pPr>
    </w:p>
    <w:p w14:paraId="532CEF05" w14:textId="77777777" w:rsidR="00093A5E" w:rsidRPr="006A64EE" w:rsidRDefault="00BC08B2" w:rsidP="004255F8">
      <w:pPr>
        <w:pStyle w:val="tabele"/>
        <w:widowControl/>
      </w:pPr>
      <w:r w:rsidRPr="006A64EE">
        <w:t>13.</w:t>
      </w:r>
      <w:r w:rsidRPr="006A64EE">
        <w:tab/>
        <w:t>CHARGENBEZEICHNUNG</w:t>
      </w:r>
    </w:p>
    <w:p w14:paraId="7DDA6516" w14:textId="77777777" w:rsidR="00093A5E" w:rsidRPr="006A64EE" w:rsidRDefault="00093A5E" w:rsidP="004255F8">
      <w:pPr>
        <w:pStyle w:val="a3"/>
        <w:widowControl/>
      </w:pPr>
    </w:p>
    <w:p w14:paraId="401C1DE6" w14:textId="77777777" w:rsidR="00093A5E" w:rsidRPr="006A64EE" w:rsidRDefault="009C2544" w:rsidP="004255F8">
      <w:pPr>
        <w:pStyle w:val="a3"/>
        <w:widowControl/>
      </w:pPr>
      <w:r w:rsidRPr="006A64EE">
        <w:t>Ch.-B.</w:t>
      </w:r>
    </w:p>
    <w:p w14:paraId="11B3D647" w14:textId="77777777" w:rsidR="00093A5E" w:rsidRPr="006A64EE" w:rsidRDefault="00093A5E" w:rsidP="004255F8">
      <w:pPr>
        <w:pStyle w:val="a3"/>
        <w:widowControl/>
      </w:pPr>
    </w:p>
    <w:p w14:paraId="3B300D7A" w14:textId="77777777" w:rsidR="00093A5E" w:rsidRPr="006A64EE" w:rsidRDefault="00093A5E" w:rsidP="004255F8">
      <w:pPr>
        <w:pStyle w:val="a3"/>
        <w:widowControl/>
      </w:pPr>
    </w:p>
    <w:p w14:paraId="39292C6C" w14:textId="77777777" w:rsidR="00093A5E" w:rsidRPr="006A64EE" w:rsidRDefault="00BC08B2" w:rsidP="004255F8">
      <w:pPr>
        <w:pStyle w:val="tabele"/>
        <w:widowControl/>
      </w:pPr>
      <w:r w:rsidRPr="006A64EE">
        <w:t>14.</w:t>
      </w:r>
      <w:r w:rsidRPr="006A64EE">
        <w:tab/>
        <w:t>VERKAUFSABGRENZUNG</w:t>
      </w:r>
    </w:p>
    <w:p w14:paraId="7B99F8DB" w14:textId="77777777" w:rsidR="00093A5E" w:rsidRPr="006A64EE" w:rsidRDefault="00093A5E" w:rsidP="004255F8">
      <w:pPr>
        <w:pStyle w:val="a3"/>
        <w:widowControl/>
      </w:pPr>
    </w:p>
    <w:p w14:paraId="5CECF0A7" w14:textId="77777777" w:rsidR="00093A5E" w:rsidRPr="006A64EE" w:rsidRDefault="00093A5E" w:rsidP="004255F8">
      <w:pPr>
        <w:pStyle w:val="a3"/>
        <w:widowControl/>
      </w:pPr>
    </w:p>
    <w:p w14:paraId="0D3AFBCB" w14:textId="77777777" w:rsidR="00093A5E" w:rsidRPr="006A64EE" w:rsidRDefault="00BC08B2" w:rsidP="004255F8">
      <w:pPr>
        <w:pStyle w:val="tabele"/>
        <w:widowControl/>
      </w:pPr>
      <w:r w:rsidRPr="006A64EE">
        <w:t>15.</w:t>
      </w:r>
      <w:r w:rsidRPr="006A64EE">
        <w:tab/>
        <w:t>HINWEISE FÜR DEN GEBRAUCH</w:t>
      </w:r>
    </w:p>
    <w:p w14:paraId="2ADA60F5" w14:textId="77777777" w:rsidR="00093A5E" w:rsidRPr="006A64EE" w:rsidRDefault="00093A5E" w:rsidP="004255F8">
      <w:pPr>
        <w:pStyle w:val="a3"/>
        <w:widowControl/>
      </w:pPr>
    </w:p>
    <w:p w14:paraId="16C6520D" w14:textId="77777777" w:rsidR="00093A5E" w:rsidRPr="006A64EE" w:rsidRDefault="00093A5E" w:rsidP="004255F8">
      <w:pPr>
        <w:pStyle w:val="a3"/>
        <w:widowControl/>
      </w:pPr>
    </w:p>
    <w:p w14:paraId="170E9D68" w14:textId="77777777" w:rsidR="00093A5E" w:rsidRPr="006A64EE" w:rsidRDefault="00BC08B2" w:rsidP="004255F8">
      <w:pPr>
        <w:pStyle w:val="tabele"/>
        <w:widowControl/>
      </w:pPr>
      <w:r w:rsidRPr="006A64EE">
        <w:t>16.</w:t>
      </w:r>
      <w:r w:rsidRPr="006A64EE">
        <w:tab/>
        <w:t>ANGABEN IN BLINDENSCHRIFT</w:t>
      </w:r>
    </w:p>
    <w:p w14:paraId="26B96C7C" w14:textId="77777777" w:rsidR="00093A5E" w:rsidRPr="006A64EE" w:rsidRDefault="00093A5E" w:rsidP="004255F8">
      <w:pPr>
        <w:pStyle w:val="a3"/>
        <w:widowControl/>
      </w:pPr>
    </w:p>
    <w:p w14:paraId="7C93A26C" w14:textId="2BF0B631" w:rsidR="00093A5E" w:rsidRPr="006A64EE" w:rsidRDefault="00422697" w:rsidP="004255F8">
      <w:pPr>
        <w:pStyle w:val="a3"/>
        <w:widowControl/>
      </w:pPr>
      <w:r>
        <w:t>a</w:t>
      </w:r>
      <w:r w:rsidR="00A27271">
        <w:t>vtozma</w:t>
      </w:r>
      <w:r w:rsidR="00A27271" w:rsidRPr="006A64EE">
        <w:t xml:space="preserve"> </w:t>
      </w:r>
      <w:r w:rsidR="009C2544" w:rsidRPr="006A64EE">
        <w:t>162 mg</w:t>
      </w:r>
    </w:p>
    <w:p w14:paraId="46CB0DDB" w14:textId="77777777" w:rsidR="00093A5E" w:rsidRPr="006A64EE" w:rsidRDefault="00093A5E" w:rsidP="004255F8">
      <w:pPr>
        <w:pStyle w:val="a3"/>
        <w:widowControl/>
      </w:pPr>
    </w:p>
    <w:p w14:paraId="76DF77E0" w14:textId="77777777" w:rsidR="00093A5E" w:rsidRPr="006A64EE" w:rsidRDefault="00093A5E" w:rsidP="004255F8">
      <w:pPr>
        <w:pStyle w:val="a3"/>
        <w:widowControl/>
      </w:pPr>
    </w:p>
    <w:p w14:paraId="7DF73AAE" w14:textId="77777777" w:rsidR="00093A5E" w:rsidRPr="006A64EE" w:rsidRDefault="00BC08B2" w:rsidP="004255F8">
      <w:pPr>
        <w:pStyle w:val="tabele"/>
        <w:widowControl/>
      </w:pPr>
      <w:r w:rsidRPr="006A64EE">
        <w:t>17.</w:t>
      </w:r>
      <w:r w:rsidRPr="006A64EE">
        <w:tab/>
        <w:t>INDIVIDUELLES ERKENNUNGSMERKMAL – 2D-BARCODE</w:t>
      </w:r>
    </w:p>
    <w:p w14:paraId="10931622" w14:textId="77777777" w:rsidR="00093A5E" w:rsidRPr="006A64EE" w:rsidRDefault="00093A5E" w:rsidP="004255F8">
      <w:pPr>
        <w:pStyle w:val="a3"/>
        <w:widowControl/>
      </w:pPr>
    </w:p>
    <w:p w14:paraId="17F8AD47" w14:textId="77777777" w:rsidR="00093A5E" w:rsidRPr="006A64EE" w:rsidRDefault="009C2544" w:rsidP="004255F8">
      <w:pPr>
        <w:pStyle w:val="a3"/>
        <w:widowControl/>
        <w:rPr>
          <w:shd w:val="pct15" w:color="auto" w:fill="FFFFFF"/>
        </w:rPr>
      </w:pPr>
      <w:r w:rsidRPr="006A64EE">
        <w:rPr>
          <w:shd w:val="pct15" w:color="auto" w:fill="FFFFFF"/>
        </w:rPr>
        <w:t>&lt;2D-Barcode mit individuellem Erkennungsmerkmal.&gt;</w:t>
      </w:r>
    </w:p>
    <w:p w14:paraId="3A1C4759" w14:textId="77777777" w:rsidR="00093A5E" w:rsidRPr="006A64EE" w:rsidRDefault="00093A5E" w:rsidP="004255F8">
      <w:pPr>
        <w:pStyle w:val="a3"/>
        <w:widowControl/>
      </w:pPr>
    </w:p>
    <w:p w14:paraId="69E9F0E7" w14:textId="77777777" w:rsidR="00093A5E" w:rsidRPr="006A64EE" w:rsidRDefault="00093A5E" w:rsidP="004255F8">
      <w:pPr>
        <w:pStyle w:val="a3"/>
        <w:widowControl/>
      </w:pPr>
    </w:p>
    <w:p w14:paraId="7B1F9366" w14:textId="77777777" w:rsidR="00093A5E" w:rsidRPr="006A64EE" w:rsidRDefault="00BC08B2" w:rsidP="00E66AB0">
      <w:pPr>
        <w:pStyle w:val="tabele"/>
        <w:keepNext/>
        <w:keepLines/>
        <w:widowControl/>
      </w:pPr>
      <w:r w:rsidRPr="006A64EE">
        <w:t>18.</w:t>
      </w:r>
      <w:r w:rsidRPr="006A64EE">
        <w:tab/>
        <w:t>INDIVIDUELLES ERKENNUNGSMERKMAL – VOM MENSCHEN LESBARES FORMAT</w:t>
      </w:r>
    </w:p>
    <w:p w14:paraId="056697AF" w14:textId="77777777" w:rsidR="00093A5E" w:rsidRPr="006A64EE" w:rsidRDefault="00093A5E" w:rsidP="00E66AB0">
      <w:pPr>
        <w:pStyle w:val="a3"/>
        <w:keepNext/>
        <w:keepLines/>
        <w:widowControl/>
        <w:jc w:val="both"/>
      </w:pPr>
    </w:p>
    <w:p w14:paraId="4C51FE5E" w14:textId="51C634D2" w:rsidR="00093A5E" w:rsidRPr="00D97C5C" w:rsidRDefault="00E66AB0" w:rsidP="00D97C5C">
      <w:pPr>
        <w:pBdr>
          <w:top w:val="single" w:sz="4" w:space="1" w:color="auto"/>
          <w:left w:val="single" w:sz="4" w:space="1" w:color="auto"/>
          <w:bottom w:val="single" w:sz="4" w:space="1" w:color="auto"/>
          <w:right w:val="single" w:sz="4" w:space="1" w:color="auto"/>
        </w:pBdr>
        <w:rPr>
          <w:b/>
          <w:bCs/>
        </w:rPr>
      </w:pPr>
      <w:r w:rsidRPr="00D97C5C">
        <w:rPr>
          <w:b/>
          <w:bCs/>
        </w:rPr>
        <w:br w:type="page"/>
      </w:r>
      <w:r w:rsidR="00BC08B2" w:rsidRPr="00D97C5C">
        <w:rPr>
          <w:b/>
          <w:bCs/>
        </w:rPr>
        <w:lastRenderedPageBreak/>
        <w:t>ANGABEN AUF DER ÄUSSEREN UMHÜLLUNG</w:t>
      </w:r>
    </w:p>
    <w:p w14:paraId="00983BD6" w14:textId="77777777" w:rsidR="00093A5E" w:rsidRPr="006A64EE" w:rsidRDefault="00093A5E" w:rsidP="00D97C5C">
      <w:pPr>
        <w:pStyle w:val="tabele"/>
        <w:widowControl/>
        <w:pBdr>
          <w:left w:val="single" w:sz="4" w:space="1" w:color="auto"/>
          <w:right w:val="single" w:sz="4" w:space="1" w:color="auto"/>
        </w:pBdr>
      </w:pPr>
    </w:p>
    <w:p w14:paraId="7F69FCFD" w14:textId="77777777" w:rsidR="00093A5E" w:rsidRPr="006A64EE" w:rsidRDefault="00BC08B2" w:rsidP="00D97C5C">
      <w:pPr>
        <w:pStyle w:val="tabele"/>
        <w:widowControl/>
        <w:pBdr>
          <w:left w:val="single" w:sz="4" w:space="1" w:color="auto"/>
          <w:right w:val="single" w:sz="4" w:space="1" w:color="auto"/>
        </w:pBdr>
      </w:pPr>
      <w:r w:rsidRPr="006A64EE">
        <w:t>FERTIGPEN FALTSCHACHTEL</w:t>
      </w:r>
    </w:p>
    <w:p w14:paraId="201B6CF9" w14:textId="77777777" w:rsidR="00093A5E" w:rsidRPr="006A64EE" w:rsidRDefault="00093A5E" w:rsidP="004255F8">
      <w:pPr>
        <w:widowControl/>
        <w:tabs>
          <w:tab w:val="left" w:pos="669"/>
        </w:tabs>
        <w:rPr>
          <w:b/>
        </w:rPr>
      </w:pPr>
    </w:p>
    <w:p w14:paraId="5730580F" w14:textId="77777777" w:rsidR="00093A5E" w:rsidRPr="006A64EE" w:rsidRDefault="00093A5E" w:rsidP="004255F8">
      <w:pPr>
        <w:widowControl/>
        <w:tabs>
          <w:tab w:val="left" w:pos="669"/>
        </w:tabs>
        <w:rPr>
          <w:b/>
        </w:rPr>
      </w:pPr>
    </w:p>
    <w:p w14:paraId="7CCC6351" w14:textId="77777777" w:rsidR="00093A5E" w:rsidRPr="006A64EE" w:rsidRDefault="00BC08B2" w:rsidP="004255F8">
      <w:pPr>
        <w:pStyle w:val="tabele"/>
        <w:widowControl/>
      </w:pPr>
      <w:r w:rsidRPr="006A64EE">
        <w:t>1.</w:t>
      </w:r>
      <w:r w:rsidRPr="006A64EE">
        <w:tab/>
        <w:t>BEZEICHNUNG DES ARZNEIMITTELS</w:t>
      </w:r>
    </w:p>
    <w:p w14:paraId="480B14A2" w14:textId="77777777" w:rsidR="00093A5E" w:rsidRPr="006A64EE" w:rsidRDefault="00093A5E" w:rsidP="004255F8">
      <w:pPr>
        <w:pStyle w:val="a3"/>
        <w:widowControl/>
      </w:pPr>
    </w:p>
    <w:p w14:paraId="26561AE7" w14:textId="171050E0" w:rsidR="00093A5E" w:rsidRPr="006A64EE" w:rsidRDefault="00A27271" w:rsidP="004255F8">
      <w:pPr>
        <w:pStyle w:val="a3"/>
        <w:widowControl/>
      </w:pPr>
      <w:r>
        <w:t>Avtozma</w:t>
      </w:r>
      <w:r w:rsidRPr="006A64EE">
        <w:t xml:space="preserve"> </w:t>
      </w:r>
      <w:r w:rsidR="009C2544" w:rsidRPr="006A64EE">
        <w:t>162 mg Injektionslösung in einem Fertigpen</w:t>
      </w:r>
    </w:p>
    <w:p w14:paraId="74D89AB0" w14:textId="77777777" w:rsidR="00093A5E" w:rsidRPr="006A64EE" w:rsidRDefault="009C2544" w:rsidP="004255F8">
      <w:pPr>
        <w:pStyle w:val="a3"/>
        <w:widowControl/>
      </w:pPr>
      <w:r w:rsidRPr="006A64EE">
        <w:t>Tocilizumab</w:t>
      </w:r>
    </w:p>
    <w:p w14:paraId="34B348ED" w14:textId="77777777" w:rsidR="00093A5E" w:rsidRPr="006A64EE" w:rsidRDefault="00093A5E" w:rsidP="004255F8">
      <w:pPr>
        <w:widowControl/>
        <w:tabs>
          <w:tab w:val="left" w:pos="669"/>
        </w:tabs>
        <w:rPr>
          <w:b/>
        </w:rPr>
      </w:pPr>
    </w:p>
    <w:p w14:paraId="5D0170A8" w14:textId="77777777" w:rsidR="00093A5E" w:rsidRPr="006A64EE" w:rsidRDefault="00093A5E" w:rsidP="004255F8">
      <w:pPr>
        <w:widowControl/>
        <w:tabs>
          <w:tab w:val="left" w:pos="669"/>
        </w:tabs>
        <w:rPr>
          <w:b/>
        </w:rPr>
      </w:pPr>
    </w:p>
    <w:p w14:paraId="43DB6D5D" w14:textId="77777777" w:rsidR="00093A5E" w:rsidRPr="006A64EE" w:rsidRDefault="00BC08B2" w:rsidP="004255F8">
      <w:pPr>
        <w:pStyle w:val="tabele"/>
        <w:widowControl/>
      </w:pPr>
      <w:r w:rsidRPr="006A64EE">
        <w:t>2.</w:t>
      </w:r>
      <w:r w:rsidRPr="006A64EE">
        <w:tab/>
        <w:t>WIRKSTOFF(E)</w:t>
      </w:r>
    </w:p>
    <w:p w14:paraId="53FF5FB3" w14:textId="77777777" w:rsidR="00093A5E" w:rsidRPr="006A64EE" w:rsidRDefault="00093A5E" w:rsidP="004255F8">
      <w:pPr>
        <w:pStyle w:val="a3"/>
        <w:widowControl/>
      </w:pPr>
    </w:p>
    <w:p w14:paraId="3DCEFAC3" w14:textId="77777777" w:rsidR="00093A5E" w:rsidRPr="006A64EE" w:rsidRDefault="009C2544" w:rsidP="004255F8">
      <w:pPr>
        <w:pStyle w:val="a3"/>
        <w:widowControl/>
      </w:pPr>
      <w:r w:rsidRPr="006A64EE">
        <w:t>1 Fertigpen enthält 162 mg Tocilizumab.</w:t>
      </w:r>
    </w:p>
    <w:p w14:paraId="4876F0D1" w14:textId="77777777" w:rsidR="00093A5E" w:rsidRPr="006A64EE" w:rsidRDefault="00093A5E" w:rsidP="004255F8">
      <w:pPr>
        <w:pStyle w:val="a3"/>
        <w:widowControl/>
      </w:pPr>
    </w:p>
    <w:p w14:paraId="160163EF" w14:textId="77777777" w:rsidR="00093A5E" w:rsidRPr="006A64EE" w:rsidRDefault="00093A5E" w:rsidP="004255F8">
      <w:pPr>
        <w:pStyle w:val="a3"/>
        <w:widowControl/>
      </w:pPr>
    </w:p>
    <w:p w14:paraId="5CDC63D8" w14:textId="77777777" w:rsidR="00093A5E" w:rsidRPr="006A64EE" w:rsidRDefault="00BC08B2" w:rsidP="004255F8">
      <w:pPr>
        <w:pStyle w:val="tabele"/>
        <w:widowControl/>
      </w:pPr>
      <w:r w:rsidRPr="006A64EE">
        <w:t>3.</w:t>
      </w:r>
      <w:r w:rsidRPr="006A64EE">
        <w:tab/>
        <w:t>SONSTIGE BESTANDTEILE</w:t>
      </w:r>
    </w:p>
    <w:p w14:paraId="0DEF4C88" w14:textId="77777777" w:rsidR="00093A5E" w:rsidRPr="006A64EE" w:rsidRDefault="00093A5E" w:rsidP="004255F8">
      <w:pPr>
        <w:pStyle w:val="a3"/>
        <w:widowControl/>
      </w:pPr>
    </w:p>
    <w:p w14:paraId="772572F5" w14:textId="260394B3" w:rsidR="00A27271" w:rsidRDefault="00A27271" w:rsidP="00A27271">
      <w:pPr>
        <w:pStyle w:val="a3"/>
        <w:widowControl/>
      </w:pPr>
      <w:r>
        <w:t>Sonstige Bestandteile: L-Histidin,</w:t>
      </w:r>
      <w:r w:rsidR="00C242B8">
        <w:rPr>
          <w:rFonts w:eastAsia="맑은 고딕" w:hint="eastAsia"/>
          <w:lang w:eastAsia="ko-KR"/>
        </w:rPr>
        <w:t xml:space="preserve">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w:t>
      </w:r>
      <w:r>
        <w:t xml:space="preserve"> L-Threonin, L-Methionin, Polysorbat 80 und Wasser für Injektionszwecke</w:t>
      </w:r>
      <w:r w:rsidRPr="006A64EE">
        <w:t>.</w:t>
      </w:r>
    </w:p>
    <w:p w14:paraId="4F0AD11A" w14:textId="42D4A0FA" w:rsidR="00093A5E" w:rsidRPr="006A64EE" w:rsidRDefault="00A27271" w:rsidP="004255F8">
      <w:pPr>
        <w:pStyle w:val="a3"/>
        <w:widowControl/>
      </w:pPr>
      <w:r>
        <w:t>Siehe Packungsbeilage für weitere Informationen.</w:t>
      </w:r>
    </w:p>
    <w:p w14:paraId="6D04B2A7" w14:textId="77777777" w:rsidR="00093A5E" w:rsidRPr="006A64EE" w:rsidRDefault="00093A5E" w:rsidP="004255F8">
      <w:pPr>
        <w:pStyle w:val="a3"/>
        <w:widowControl/>
      </w:pPr>
    </w:p>
    <w:p w14:paraId="68469332" w14:textId="77777777" w:rsidR="00093A5E" w:rsidRPr="006A64EE" w:rsidRDefault="00093A5E" w:rsidP="004255F8">
      <w:pPr>
        <w:pStyle w:val="a3"/>
        <w:widowControl/>
      </w:pPr>
    </w:p>
    <w:p w14:paraId="22622222" w14:textId="77777777" w:rsidR="00093A5E" w:rsidRPr="006A64EE" w:rsidRDefault="00BC08B2" w:rsidP="004255F8">
      <w:pPr>
        <w:pStyle w:val="tabele"/>
        <w:widowControl/>
      </w:pPr>
      <w:r w:rsidRPr="006A64EE">
        <w:t>4.</w:t>
      </w:r>
      <w:r w:rsidRPr="006A64EE">
        <w:tab/>
        <w:t>DARREICHUNGSFORM UND INHALT</w:t>
      </w:r>
    </w:p>
    <w:p w14:paraId="29C441B4" w14:textId="77777777" w:rsidR="00093A5E" w:rsidRPr="006A64EE" w:rsidRDefault="00093A5E" w:rsidP="004255F8">
      <w:pPr>
        <w:pStyle w:val="a3"/>
        <w:widowControl/>
      </w:pPr>
    </w:p>
    <w:p w14:paraId="0C41A3A8" w14:textId="5B8AABED" w:rsidR="00093A5E" w:rsidRPr="006A64EE" w:rsidRDefault="009C2544" w:rsidP="004255F8">
      <w:pPr>
        <w:pStyle w:val="a3"/>
        <w:widowControl/>
      </w:pPr>
      <w:r w:rsidRPr="006A64EE">
        <w:t>Injektionslösung in einem Fertigpen</w:t>
      </w:r>
    </w:p>
    <w:p w14:paraId="3774D19F" w14:textId="646B4A7B" w:rsidR="00A27271" w:rsidRDefault="00A27271" w:rsidP="004255F8">
      <w:pPr>
        <w:pStyle w:val="a3"/>
        <w:widowControl/>
      </w:pPr>
      <w:r>
        <w:t>1 Fertigpen</w:t>
      </w:r>
    </w:p>
    <w:p w14:paraId="497E168B" w14:textId="2F7E425B" w:rsidR="00387ABD" w:rsidRPr="006A64EE" w:rsidRDefault="00387ABD" w:rsidP="00387ABD">
      <w:pPr>
        <w:pStyle w:val="a3"/>
        <w:widowControl/>
        <w:rPr>
          <w:ins w:id="34" w:author="만든 이"/>
        </w:rPr>
      </w:pPr>
      <w:ins w:id="35" w:author="만든 이">
        <w:r>
          <w:rPr>
            <w:rFonts w:eastAsia="맑은 고딕" w:hint="eastAsia"/>
            <w:lang w:eastAsia="ko-KR"/>
          </w:rPr>
          <w:t>2</w:t>
        </w:r>
        <w:r w:rsidRPr="006A64EE">
          <w:t xml:space="preserve"> Fertigpens</w:t>
        </w:r>
      </w:ins>
    </w:p>
    <w:p w14:paraId="4AE8720B" w14:textId="56F606EF" w:rsidR="00093A5E" w:rsidRPr="006A64EE" w:rsidRDefault="009C2544" w:rsidP="004255F8">
      <w:pPr>
        <w:pStyle w:val="a3"/>
        <w:widowControl/>
      </w:pPr>
      <w:r w:rsidRPr="006A64EE">
        <w:t>4 Fertigpens</w:t>
      </w:r>
    </w:p>
    <w:p w14:paraId="10023369" w14:textId="77777777" w:rsidR="00093A5E" w:rsidRPr="006A64EE" w:rsidRDefault="009C2544" w:rsidP="004255F8">
      <w:pPr>
        <w:pStyle w:val="a3"/>
        <w:widowControl/>
      </w:pPr>
      <w:r w:rsidRPr="006A64EE">
        <w:t>162 mg/0,9 ml</w:t>
      </w:r>
    </w:p>
    <w:p w14:paraId="3F7AFB31" w14:textId="77777777" w:rsidR="00093A5E" w:rsidRPr="006A64EE" w:rsidRDefault="00093A5E" w:rsidP="004255F8">
      <w:pPr>
        <w:pStyle w:val="a3"/>
        <w:widowControl/>
      </w:pPr>
    </w:p>
    <w:p w14:paraId="05864B92" w14:textId="77777777" w:rsidR="00107B53" w:rsidRPr="006A64EE" w:rsidRDefault="00107B53" w:rsidP="004255F8">
      <w:pPr>
        <w:pStyle w:val="a3"/>
        <w:widowControl/>
      </w:pPr>
    </w:p>
    <w:p w14:paraId="57DBCE0B" w14:textId="77777777" w:rsidR="00093A5E" w:rsidRPr="006A64EE" w:rsidRDefault="00BC08B2" w:rsidP="004255F8">
      <w:pPr>
        <w:pStyle w:val="tabele"/>
        <w:widowControl/>
      </w:pPr>
      <w:r w:rsidRPr="006A64EE">
        <w:t>5.</w:t>
      </w:r>
      <w:r w:rsidRPr="006A64EE">
        <w:tab/>
        <w:t>HINWEISE ZUR UND ART(EN) DER ANWENDUNG</w:t>
      </w:r>
    </w:p>
    <w:p w14:paraId="267C613A" w14:textId="77777777" w:rsidR="00093A5E" w:rsidRPr="006A64EE" w:rsidRDefault="00093A5E" w:rsidP="004255F8">
      <w:pPr>
        <w:pStyle w:val="a3"/>
        <w:widowControl/>
      </w:pPr>
    </w:p>
    <w:p w14:paraId="0B4BCF48" w14:textId="726C6C98" w:rsidR="00093A5E" w:rsidRPr="006A64EE" w:rsidRDefault="009C2544" w:rsidP="004255F8">
      <w:pPr>
        <w:pStyle w:val="a3"/>
        <w:widowControl/>
      </w:pPr>
      <w:r w:rsidRPr="006A64EE">
        <w:t>Subkutane Anwendung</w:t>
      </w:r>
    </w:p>
    <w:p w14:paraId="379F5C7F" w14:textId="4D744DEE" w:rsidR="00093A5E" w:rsidRPr="006A64EE" w:rsidRDefault="009C2544" w:rsidP="004255F8">
      <w:pPr>
        <w:pStyle w:val="a3"/>
        <w:widowControl/>
      </w:pPr>
      <w:r w:rsidRPr="006A64EE">
        <w:t>Packungsbeilage beachten</w:t>
      </w:r>
    </w:p>
    <w:p w14:paraId="77AC4DF9" w14:textId="77777777" w:rsidR="00093A5E" w:rsidRPr="006A64EE" w:rsidRDefault="00093A5E" w:rsidP="004255F8">
      <w:pPr>
        <w:pStyle w:val="a3"/>
        <w:widowControl/>
      </w:pPr>
    </w:p>
    <w:p w14:paraId="2838417E" w14:textId="77777777" w:rsidR="00093A5E" w:rsidRPr="006A64EE" w:rsidRDefault="00093A5E" w:rsidP="004255F8">
      <w:pPr>
        <w:pStyle w:val="a3"/>
        <w:widowControl/>
      </w:pPr>
    </w:p>
    <w:p w14:paraId="4689D139" w14:textId="77777777" w:rsidR="00093A5E" w:rsidRPr="006A64EE" w:rsidRDefault="0053368C" w:rsidP="004255F8">
      <w:pPr>
        <w:pStyle w:val="tabele"/>
        <w:widowControl/>
      </w:pPr>
      <w:r w:rsidRPr="006A64EE">
        <w:t>6.</w:t>
      </w:r>
      <w:r w:rsidR="00BC08B2" w:rsidRPr="006A64EE">
        <w:tab/>
        <w:t>WARNHINWEIS, DASS DAS ARZNEIMITTEL FÜR KINDER UNZUGÄNGLICH AUFZUBEWAHREN IST</w:t>
      </w:r>
    </w:p>
    <w:p w14:paraId="302C6195" w14:textId="77777777" w:rsidR="00093A5E" w:rsidRPr="006A64EE" w:rsidRDefault="00093A5E" w:rsidP="004255F8">
      <w:pPr>
        <w:pStyle w:val="a3"/>
        <w:widowControl/>
      </w:pPr>
    </w:p>
    <w:p w14:paraId="23257466" w14:textId="11E7E351" w:rsidR="00093A5E" w:rsidRPr="006A64EE" w:rsidRDefault="009C2544" w:rsidP="004255F8">
      <w:pPr>
        <w:pStyle w:val="a3"/>
        <w:widowControl/>
      </w:pPr>
      <w:r w:rsidRPr="006A64EE">
        <w:t>Arzneimittel für Kinder unzugänglich aufbewahren</w:t>
      </w:r>
    </w:p>
    <w:p w14:paraId="6EEF3EB9" w14:textId="77777777" w:rsidR="00093A5E" w:rsidRPr="006A64EE" w:rsidRDefault="00093A5E" w:rsidP="004255F8">
      <w:pPr>
        <w:pStyle w:val="a3"/>
        <w:widowControl/>
      </w:pPr>
    </w:p>
    <w:p w14:paraId="6B463EF5" w14:textId="77777777" w:rsidR="00093A5E" w:rsidRPr="006A64EE" w:rsidRDefault="00093A5E" w:rsidP="004255F8">
      <w:pPr>
        <w:pStyle w:val="a3"/>
        <w:widowControl/>
      </w:pPr>
    </w:p>
    <w:p w14:paraId="33803FEB" w14:textId="77777777" w:rsidR="00093A5E" w:rsidRPr="006A64EE" w:rsidRDefault="00BC08B2" w:rsidP="004255F8">
      <w:pPr>
        <w:pStyle w:val="tabele"/>
        <w:widowControl/>
      </w:pPr>
      <w:r w:rsidRPr="006A64EE">
        <w:t>7.</w:t>
      </w:r>
      <w:r w:rsidRPr="006A64EE">
        <w:tab/>
        <w:t>WEITERE WARNHINWEISE, FALLS ERFORDERLICH</w:t>
      </w:r>
    </w:p>
    <w:p w14:paraId="5A20E932" w14:textId="77777777" w:rsidR="00093A5E" w:rsidRPr="006A64EE" w:rsidRDefault="00093A5E" w:rsidP="004255F8">
      <w:pPr>
        <w:pStyle w:val="a3"/>
        <w:widowControl/>
      </w:pPr>
    </w:p>
    <w:p w14:paraId="5F949787" w14:textId="61565308" w:rsidR="00093A5E" w:rsidRPr="006A64EE" w:rsidRDefault="009C2544" w:rsidP="004255F8">
      <w:pPr>
        <w:pStyle w:val="a3"/>
        <w:widowControl/>
      </w:pPr>
      <w:r w:rsidRPr="006A64EE">
        <w:t>Den Fertigpen vor Anwendung mindestens 45 Minuten außerhalb der Faltschachtel bei Raumtemperatur aufbewahren</w:t>
      </w:r>
    </w:p>
    <w:p w14:paraId="62861100" w14:textId="77777777" w:rsidR="00093A5E" w:rsidRPr="006A64EE" w:rsidRDefault="00093A5E" w:rsidP="004255F8">
      <w:pPr>
        <w:pStyle w:val="a3"/>
        <w:widowControl/>
      </w:pPr>
    </w:p>
    <w:p w14:paraId="4C47099C" w14:textId="77777777" w:rsidR="00093A5E" w:rsidRPr="006A64EE" w:rsidRDefault="00093A5E" w:rsidP="004255F8">
      <w:pPr>
        <w:pStyle w:val="a3"/>
        <w:widowControl/>
      </w:pPr>
    </w:p>
    <w:p w14:paraId="673BF4A3" w14:textId="77777777" w:rsidR="00093A5E" w:rsidRPr="006A64EE" w:rsidRDefault="00BC08B2" w:rsidP="004255F8">
      <w:pPr>
        <w:pStyle w:val="tabele"/>
        <w:widowControl/>
      </w:pPr>
      <w:r w:rsidRPr="006A64EE">
        <w:t>8.</w:t>
      </w:r>
      <w:r w:rsidRPr="006A64EE">
        <w:tab/>
        <w:t>VERFALLDATUM</w:t>
      </w:r>
    </w:p>
    <w:p w14:paraId="0224ED4E" w14:textId="77777777" w:rsidR="00093A5E" w:rsidRPr="006A64EE" w:rsidRDefault="00093A5E" w:rsidP="004255F8">
      <w:pPr>
        <w:pStyle w:val="a3"/>
        <w:widowControl/>
      </w:pPr>
    </w:p>
    <w:p w14:paraId="580CD996" w14:textId="77777777" w:rsidR="00093A5E" w:rsidRPr="006A64EE" w:rsidRDefault="009C2544" w:rsidP="004255F8">
      <w:pPr>
        <w:pStyle w:val="a3"/>
        <w:widowControl/>
      </w:pPr>
      <w:r w:rsidRPr="006A64EE">
        <w:t>verwendbar bis</w:t>
      </w:r>
    </w:p>
    <w:p w14:paraId="00043FF7" w14:textId="77777777" w:rsidR="00093A5E" w:rsidRPr="006A64EE" w:rsidRDefault="00093A5E" w:rsidP="004255F8">
      <w:pPr>
        <w:pStyle w:val="a3"/>
        <w:widowControl/>
      </w:pPr>
    </w:p>
    <w:p w14:paraId="3E168C7F" w14:textId="77777777" w:rsidR="00093A5E" w:rsidRPr="006A64EE" w:rsidRDefault="00093A5E" w:rsidP="004255F8">
      <w:pPr>
        <w:pStyle w:val="a3"/>
        <w:widowControl/>
      </w:pPr>
    </w:p>
    <w:p w14:paraId="07A21D5C" w14:textId="77777777" w:rsidR="00093A5E" w:rsidRPr="006A64EE" w:rsidRDefault="00BC08B2" w:rsidP="00E66AB0">
      <w:pPr>
        <w:pStyle w:val="tabele"/>
        <w:keepNext/>
        <w:keepLines/>
        <w:widowControl/>
      </w:pPr>
      <w:r w:rsidRPr="006A64EE">
        <w:t>9.</w:t>
      </w:r>
      <w:r w:rsidRPr="006A64EE">
        <w:tab/>
        <w:t>BESONDERE VORSICHTSMASSNAHMEN FÜR DIE AUFBEWAHRUNG</w:t>
      </w:r>
    </w:p>
    <w:p w14:paraId="714D199A" w14:textId="77777777" w:rsidR="00093A5E" w:rsidRPr="006A64EE" w:rsidRDefault="00093A5E" w:rsidP="00E66AB0">
      <w:pPr>
        <w:keepNext/>
        <w:keepLines/>
        <w:widowControl/>
      </w:pPr>
    </w:p>
    <w:p w14:paraId="5B0BE223" w14:textId="448EEDB1" w:rsidR="00093A5E" w:rsidRPr="006A64EE" w:rsidRDefault="009C2544" w:rsidP="00E66AB0">
      <w:pPr>
        <w:pStyle w:val="a3"/>
        <w:keepNext/>
        <w:keepLines/>
        <w:widowControl/>
      </w:pPr>
      <w:r w:rsidRPr="006A64EE">
        <w:t>Im Kühlschrank lagern</w:t>
      </w:r>
    </w:p>
    <w:p w14:paraId="03DFFBD1" w14:textId="6AD15C20" w:rsidR="00093A5E" w:rsidRPr="006A64EE" w:rsidRDefault="009C2544" w:rsidP="004255F8">
      <w:pPr>
        <w:pStyle w:val="a3"/>
        <w:widowControl/>
      </w:pPr>
      <w:r w:rsidRPr="006A64EE">
        <w:t>Nicht einfrieren</w:t>
      </w:r>
    </w:p>
    <w:p w14:paraId="30509617" w14:textId="03477FF8" w:rsidR="00093A5E" w:rsidRPr="006A64EE" w:rsidRDefault="009C2544" w:rsidP="004255F8">
      <w:pPr>
        <w:pStyle w:val="a3"/>
        <w:widowControl/>
      </w:pPr>
      <w:r w:rsidRPr="006A64EE">
        <w:t xml:space="preserve">Nach Entnahme aus dem Kühlschrank kann der Fertigpen bis zu </w:t>
      </w:r>
      <w:r w:rsidR="00A27271">
        <w:t>3 </w:t>
      </w:r>
      <w:r w:rsidRPr="006A64EE">
        <w:t>Wochen bei maximal 30 °C aufbewahrt werden</w:t>
      </w:r>
    </w:p>
    <w:p w14:paraId="30941122" w14:textId="72DFDF5D" w:rsidR="00093A5E" w:rsidRPr="006A64EE" w:rsidRDefault="009C2544" w:rsidP="004255F8">
      <w:pPr>
        <w:pStyle w:val="a3"/>
        <w:widowControl/>
      </w:pPr>
      <w:r w:rsidRPr="006A64EE">
        <w:t>Die Fertigpens im Umkarton aufbewahren, um den Inhalt vor Licht und Feuchtigkeit zu schützen</w:t>
      </w:r>
    </w:p>
    <w:p w14:paraId="3B621E97" w14:textId="77777777" w:rsidR="00093A5E" w:rsidRPr="006A64EE" w:rsidRDefault="00093A5E" w:rsidP="004255F8">
      <w:pPr>
        <w:pStyle w:val="a3"/>
        <w:widowControl/>
      </w:pPr>
    </w:p>
    <w:p w14:paraId="3E3C6D82" w14:textId="77777777" w:rsidR="00093A5E" w:rsidRPr="006A64EE" w:rsidRDefault="00093A5E" w:rsidP="004255F8">
      <w:pPr>
        <w:pStyle w:val="a3"/>
        <w:widowControl/>
      </w:pPr>
    </w:p>
    <w:p w14:paraId="0E769DF0" w14:textId="77777777" w:rsidR="00093A5E" w:rsidRPr="006A64EE" w:rsidRDefault="00BC08B2" w:rsidP="004255F8">
      <w:pPr>
        <w:pStyle w:val="tabele"/>
        <w:widowControl/>
      </w:pPr>
      <w:r w:rsidRPr="006A64EE">
        <w:t>10.</w:t>
      </w:r>
      <w:r w:rsidRPr="006A64EE">
        <w:tab/>
        <w:t>GEGEBENENFALLS BESONDERE VORSICHTSMASSNAHMEN FÜR DIE BESEITIGUNG VON NICHT VERWENDETEM ARZNEIMITTEL ODER DAVON STAMMENDEN ABFALLMATERIALIEN</w:t>
      </w:r>
    </w:p>
    <w:p w14:paraId="7795C1BF" w14:textId="77777777" w:rsidR="00093A5E" w:rsidRPr="006A64EE" w:rsidRDefault="00093A5E" w:rsidP="004255F8">
      <w:pPr>
        <w:pStyle w:val="a3"/>
        <w:widowControl/>
      </w:pPr>
    </w:p>
    <w:p w14:paraId="4736BA1E" w14:textId="77777777" w:rsidR="00093A5E" w:rsidRPr="006A64EE" w:rsidRDefault="00093A5E" w:rsidP="004255F8">
      <w:pPr>
        <w:pStyle w:val="a3"/>
        <w:widowControl/>
      </w:pPr>
    </w:p>
    <w:p w14:paraId="19A533C9" w14:textId="77777777" w:rsidR="00093A5E" w:rsidRPr="006A64EE" w:rsidRDefault="00BC08B2" w:rsidP="004255F8">
      <w:pPr>
        <w:pStyle w:val="tabele"/>
        <w:widowControl/>
      </w:pPr>
      <w:r w:rsidRPr="006A64EE">
        <w:t>11.</w:t>
      </w:r>
      <w:r w:rsidRPr="006A64EE">
        <w:tab/>
        <w:t>NAME UND ANSCHRIFT DES PHARMAZEUTISCHEN UNTERNEHMERS</w:t>
      </w:r>
    </w:p>
    <w:p w14:paraId="71C05FA3" w14:textId="77777777" w:rsidR="00093A5E" w:rsidRPr="006A64EE" w:rsidRDefault="00093A5E" w:rsidP="004255F8">
      <w:pPr>
        <w:pStyle w:val="a3"/>
        <w:widowControl/>
      </w:pPr>
    </w:p>
    <w:p w14:paraId="39B2429D" w14:textId="3A417D7C" w:rsidR="00A27271" w:rsidRPr="00B320E1" w:rsidRDefault="00A27271" w:rsidP="00A27271">
      <w:pPr>
        <w:keepNext/>
        <w:rPr>
          <w:lang w:val="en-US"/>
        </w:rPr>
      </w:pPr>
      <w:r w:rsidRPr="00B320E1">
        <w:rPr>
          <w:lang w:val="en-US"/>
        </w:rPr>
        <w:t>Celltrion Healthcare Hungary Kft.</w:t>
      </w:r>
    </w:p>
    <w:p w14:paraId="06B24D9E" w14:textId="77777777" w:rsidR="00A27271" w:rsidRPr="00B320E1" w:rsidRDefault="00A27271" w:rsidP="00A27271">
      <w:pPr>
        <w:keepNext/>
        <w:rPr>
          <w:lang w:val="en-US"/>
        </w:rPr>
      </w:pPr>
      <w:r w:rsidRPr="00B320E1">
        <w:rPr>
          <w:lang w:val="en-US"/>
        </w:rPr>
        <w:t>1062 Budapest</w:t>
      </w:r>
    </w:p>
    <w:p w14:paraId="01584BF1" w14:textId="77777777" w:rsidR="00A27271" w:rsidRPr="00B320E1" w:rsidRDefault="00A27271" w:rsidP="00A27271">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5F10AB65" w14:textId="77777777" w:rsidR="00A27271" w:rsidRPr="00B320E1" w:rsidRDefault="00A27271" w:rsidP="00A27271">
      <w:pPr>
        <w:pStyle w:val="a3"/>
        <w:widowControl/>
        <w:rPr>
          <w:lang w:val="en-US"/>
        </w:rPr>
      </w:pPr>
      <w:proofErr w:type="spellStart"/>
      <w:r w:rsidRPr="00B320E1">
        <w:rPr>
          <w:lang w:val="en-US"/>
        </w:rPr>
        <w:t>Ungarn</w:t>
      </w:r>
      <w:proofErr w:type="spellEnd"/>
    </w:p>
    <w:p w14:paraId="2C0E41F8" w14:textId="77777777" w:rsidR="00A27271" w:rsidRPr="00B320E1" w:rsidRDefault="00A27271" w:rsidP="00A27271">
      <w:pPr>
        <w:pStyle w:val="a3"/>
        <w:widowControl/>
        <w:rPr>
          <w:lang w:val="en-US"/>
        </w:rPr>
      </w:pPr>
    </w:p>
    <w:p w14:paraId="245EAED4" w14:textId="77777777" w:rsidR="00093A5E" w:rsidRPr="00B320E1" w:rsidRDefault="00093A5E" w:rsidP="004255F8">
      <w:pPr>
        <w:pStyle w:val="a3"/>
        <w:widowControl/>
        <w:rPr>
          <w:lang w:val="en-US"/>
        </w:rPr>
      </w:pPr>
    </w:p>
    <w:p w14:paraId="5CF7B185" w14:textId="77777777" w:rsidR="00093A5E" w:rsidRPr="006A64EE" w:rsidRDefault="00BC08B2" w:rsidP="004255F8">
      <w:pPr>
        <w:pStyle w:val="tabele"/>
        <w:widowControl/>
      </w:pPr>
      <w:r w:rsidRPr="006A64EE">
        <w:t>12.</w:t>
      </w:r>
      <w:r w:rsidRPr="006A64EE">
        <w:tab/>
        <w:t>ZULASSUNGSNUMMER(N)</w:t>
      </w:r>
    </w:p>
    <w:p w14:paraId="25621994" w14:textId="77777777" w:rsidR="00093A5E" w:rsidRPr="006A64EE" w:rsidRDefault="00093A5E" w:rsidP="004255F8">
      <w:pPr>
        <w:pStyle w:val="a3"/>
        <w:widowControl/>
      </w:pPr>
    </w:p>
    <w:p w14:paraId="6B15C078" w14:textId="4187DEEB" w:rsidR="002F6CA4" w:rsidRPr="002F6CA4" w:rsidRDefault="002F6CA4" w:rsidP="002F6CA4">
      <w:pPr>
        <w:rPr>
          <w:lang w:val="fr-FR"/>
        </w:rPr>
      </w:pPr>
      <w:r w:rsidRPr="002F6CA4">
        <w:rPr>
          <w:lang w:val="fr-FR"/>
        </w:rPr>
        <w:t>EU/</w:t>
      </w:r>
      <w:r w:rsidRPr="003452D3">
        <w:rPr>
          <w:spacing w:val="-1"/>
          <w:lang w:val="fr-FR"/>
        </w:rPr>
        <w:t>1/24/1896/01</w:t>
      </w:r>
      <w:r w:rsidRPr="003452D3">
        <w:rPr>
          <w:rFonts w:eastAsia="맑은 고딕"/>
          <w:spacing w:val="-1"/>
          <w:lang w:val="fr-FR" w:eastAsia="ko-KR"/>
        </w:rPr>
        <w:t>0</w:t>
      </w:r>
      <w:r w:rsidRPr="003452D3">
        <w:rPr>
          <w:spacing w:val="-1"/>
          <w:lang w:val="fr-FR" w:eastAsia="ko-KR"/>
        </w:rPr>
        <w:t xml:space="preserve"> </w:t>
      </w:r>
      <w:r w:rsidRPr="003452D3">
        <w:rPr>
          <w:rFonts w:eastAsia="맑은 고딕"/>
          <w:spacing w:val="-1"/>
          <w:lang w:val="fr-FR" w:eastAsia="ko-KR"/>
        </w:rPr>
        <w:t>1</w:t>
      </w:r>
      <w:r>
        <w:rPr>
          <w:rFonts w:eastAsia="맑은 고딕"/>
          <w:spacing w:val="-1"/>
          <w:lang w:val="fr-FR" w:eastAsia="ko-KR"/>
        </w:rPr>
        <w:t> Fertigpen</w:t>
      </w:r>
    </w:p>
    <w:p w14:paraId="3C85A372" w14:textId="147FB989" w:rsidR="002F6CA4" w:rsidRPr="002F6CA4" w:rsidRDefault="002F6CA4" w:rsidP="002F6CA4">
      <w:pPr>
        <w:rPr>
          <w:lang w:val="fr-FR"/>
        </w:rPr>
      </w:pPr>
      <w:r w:rsidRPr="002F6CA4">
        <w:rPr>
          <w:lang w:val="fr-FR"/>
        </w:rPr>
        <w:t>EU/</w:t>
      </w:r>
      <w:r w:rsidRPr="003452D3">
        <w:rPr>
          <w:spacing w:val="-1"/>
          <w:lang w:val="fr-FR"/>
        </w:rPr>
        <w:t>1/24/1896/011</w:t>
      </w:r>
      <w:r w:rsidRPr="003452D3">
        <w:rPr>
          <w:spacing w:val="-1"/>
          <w:lang w:val="fr-FR" w:eastAsia="ko-KR"/>
        </w:rPr>
        <w:t xml:space="preserve"> 4</w:t>
      </w:r>
      <w:r>
        <w:rPr>
          <w:spacing w:val="-1"/>
          <w:lang w:val="fr-FR" w:eastAsia="ko-KR"/>
        </w:rPr>
        <w:t> Fertigpens</w:t>
      </w:r>
    </w:p>
    <w:p w14:paraId="4A7E26E1" w14:textId="288DF009" w:rsidR="00387ABD" w:rsidRPr="002F6CA4" w:rsidRDefault="00387ABD" w:rsidP="00387ABD">
      <w:pPr>
        <w:rPr>
          <w:ins w:id="36" w:author="만든 이"/>
          <w:lang w:val="fr-FR"/>
        </w:rPr>
      </w:pPr>
      <w:ins w:id="37" w:author="만든 이">
        <w:r w:rsidRPr="002F6CA4">
          <w:rPr>
            <w:lang w:val="fr-FR"/>
          </w:rPr>
          <w:t>EU/</w:t>
        </w:r>
        <w:r w:rsidRPr="003452D3">
          <w:rPr>
            <w:spacing w:val="-1"/>
            <w:lang w:val="fr-FR"/>
          </w:rPr>
          <w:t>1/24/1896/</w:t>
        </w:r>
        <w:r w:rsidR="00270C20">
          <w:rPr>
            <w:rFonts w:eastAsia="맑은 고딕" w:hint="eastAsia"/>
            <w:spacing w:val="-1"/>
            <w:lang w:val="fr-FR" w:eastAsia="ko-KR"/>
          </w:rPr>
          <w:t>014</w:t>
        </w:r>
        <w:r w:rsidRPr="003452D3">
          <w:rPr>
            <w:spacing w:val="-1"/>
            <w:lang w:val="fr-FR" w:eastAsia="ko-KR"/>
          </w:rPr>
          <w:t xml:space="preserve"> </w:t>
        </w:r>
        <w:r>
          <w:rPr>
            <w:rFonts w:eastAsia="맑은 고딕" w:hint="eastAsia"/>
            <w:spacing w:val="-1"/>
            <w:lang w:val="fr-FR" w:eastAsia="ko-KR"/>
          </w:rPr>
          <w:t>2</w:t>
        </w:r>
        <w:r>
          <w:rPr>
            <w:spacing w:val="-1"/>
            <w:lang w:val="fr-FR" w:eastAsia="ko-KR"/>
          </w:rPr>
          <w:t> Fertigpens</w:t>
        </w:r>
      </w:ins>
    </w:p>
    <w:p w14:paraId="442D6158" w14:textId="77777777" w:rsidR="00093A5E" w:rsidRPr="002F6CA4" w:rsidRDefault="00093A5E" w:rsidP="004255F8">
      <w:pPr>
        <w:pStyle w:val="a3"/>
        <w:widowControl/>
        <w:rPr>
          <w:lang w:val="fr-FR"/>
        </w:rPr>
      </w:pPr>
    </w:p>
    <w:p w14:paraId="1BFC4F21" w14:textId="77777777" w:rsidR="00093A5E" w:rsidRPr="002F6CA4" w:rsidRDefault="00093A5E" w:rsidP="004255F8">
      <w:pPr>
        <w:pStyle w:val="a3"/>
        <w:widowControl/>
        <w:rPr>
          <w:lang w:val="fr-FR"/>
        </w:rPr>
      </w:pPr>
    </w:p>
    <w:p w14:paraId="3F27E244" w14:textId="77777777" w:rsidR="00093A5E" w:rsidRPr="006A64EE" w:rsidRDefault="00BC08B2" w:rsidP="004255F8">
      <w:pPr>
        <w:pStyle w:val="tabele"/>
        <w:widowControl/>
      </w:pPr>
      <w:r w:rsidRPr="006A64EE">
        <w:t>13.</w:t>
      </w:r>
      <w:r w:rsidRPr="006A64EE">
        <w:tab/>
        <w:t>CHARGENBEZEICHNUNG</w:t>
      </w:r>
    </w:p>
    <w:p w14:paraId="78201C26" w14:textId="77777777" w:rsidR="00093A5E" w:rsidRPr="006A64EE" w:rsidRDefault="00093A5E" w:rsidP="004255F8">
      <w:pPr>
        <w:pStyle w:val="a3"/>
        <w:widowControl/>
      </w:pPr>
    </w:p>
    <w:p w14:paraId="1DF28969" w14:textId="77777777" w:rsidR="00093A5E" w:rsidRPr="006A64EE" w:rsidRDefault="009C2544" w:rsidP="004255F8">
      <w:pPr>
        <w:pStyle w:val="a3"/>
        <w:widowControl/>
      </w:pPr>
      <w:r w:rsidRPr="006A64EE">
        <w:t>Ch.-B.</w:t>
      </w:r>
    </w:p>
    <w:p w14:paraId="7C8E3358" w14:textId="77777777" w:rsidR="00093A5E" w:rsidRPr="006A64EE" w:rsidRDefault="00093A5E" w:rsidP="004255F8">
      <w:pPr>
        <w:pStyle w:val="a3"/>
        <w:widowControl/>
      </w:pPr>
    </w:p>
    <w:p w14:paraId="7654C2A2" w14:textId="77777777" w:rsidR="00093A5E" w:rsidRPr="006A64EE" w:rsidRDefault="00093A5E" w:rsidP="004255F8">
      <w:pPr>
        <w:pStyle w:val="a3"/>
        <w:widowControl/>
      </w:pPr>
    </w:p>
    <w:p w14:paraId="377D23C5" w14:textId="77777777" w:rsidR="00093A5E" w:rsidRPr="006A64EE" w:rsidRDefault="00BC08B2" w:rsidP="004255F8">
      <w:pPr>
        <w:pStyle w:val="tabele"/>
        <w:widowControl/>
      </w:pPr>
      <w:r w:rsidRPr="006A64EE">
        <w:t>14.</w:t>
      </w:r>
      <w:r w:rsidRPr="006A64EE">
        <w:tab/>
        <w:t>VERKAUFSABGRENZUNG</w:t>
      </w:r>
    </w:p>
    <w:p w14:paraId="56D1FE5A" w14:textId="77777777" w:rsidR="00093A5E" w:rsidRPr="006A64EE" w:rsidRDefault="00093A5E" w:rsidP="004255F8">
      <w:pPr>
        <w:pStyle w:val="a3"/>
        <w:widowControl/>
      </w:pPr>
    </w:p>
    <w:p w14:paraId="5117AEF7" w14:textId="77777777" w:rsidR="00093A5E" w:rsidRPr="006A64EE" w:rsidRDefault="00093A5E" w:rsidP="004255F8">
      <w:pPr>
        <w:pStyle w:val="a3"/>
        <w:widowControl/>
      </w:pPr>
    </w:p>
    <w:p w14:paraId="5ED05A8B" w14:textId="77777777" w:rsidR="00093A5E" w:rsidRPr="006A64EE" w:rsidRDefault="00BC08B2" w:rsidP="004255F8">
      <w:pPr>
        <w:pStyle w:val="tabele"/>
        <w:widowControl/>
      </w:pPr>
      <w:r w:rsidRPr="006A64EE">
        <w:t>15.</w:t>
      </w:r>
      <w:r w:rsidRPr="006A64EE">
        <w:tab/>
        <w:t>HINWEISE FÜR DEN GEBRAUCH</w:t>
      </w:r>
    </w:p>
    <w:p w14:paraId="7A2E6427" w14:textId="77777777" w:rsidR="00093A5E" w:rsidRPr="006A64EE" w:rsidRDefault="00093A5E" w:rsidP="004255F8">
      <w:pPr>
        <w:pStyle w:val="a3"/>
        <w:widowControl/>
      </w:pPr>
    </w:p>
    <w:p w14:paraId="60C52E51" w14:textId="77777777" w:rsidR="00093A5E" w:rsidRPr="006A64EE" w:rsidRDefault="00093A5E" w:rsidP="004255F8">
      <w:pPr>
        <w:pStyle w:val="a3"/>
        <w:widowControl/>
      </w:pPr>
    </w:p>
    <w:p w14:paraId="0B71277F" w14:textId="77777777" w:rsidR="00093A5E" w:rsidRPr="006A64EE" w:rsidRDefault="00BC08B2" w:rsidP="004255F8">
      <w:pPr>
        <w:pStyle w:val="tabele"/>
        <w:widowControl/>
      </w:pPr>
      <w:r w:rsidRPr="006A64EE">
        <w:t>16.</w:t>
      </w:r>
      <w:r w:rsidRPr="006A64EE">
        <w:tab/>
        <w:t>ANGABEN IN BLINDENSCHRIFT</w:t>
      </w:r>
    </w:p>
    <w:p w14:paraId="0F04E09F" w14:textId="77777777" w:rsidR="00093A5E" w:rsidRPr="006A64EE" w:rsidRDefault="00093A5E" w:rsidP="004255F8">
      <w:pPr>
        <w:pStyle w:val="a3"/>
        <w:widowControl/>
      </w:pPr>
    </w:p>
    <w:p w14:paraId="69116FE3" w14:textId="02FD8049" w:rsidR="00093A5E" w:rsidRPr="006A64EE" w:rsidRDefault="00422697" w:rsidP="004255F8">
      <w:pPr>
        <w:pStyle w:val="a3"/>
        <w:widowControl/>
      </w:pPr>
      <w:r>
        <w:t>a</w:t>
      </w:r>
      <w:r w:rsidR="00A27271">
        <w:t>vtozma</w:t>
      </w:r>
      <w:r w:rsidR="00A27271" w:rsidRPr="006A64EE">
        <w:t xml:space="preserve"> </w:t>
      </w:r>
      <w:r w:rsidR="009C2544" w:rsidRPr="006A64EE">
        <w:t>162 mg</w:t>
      </w:r>
    </w:p>
    <w:p w14:paraId="5CFE5472" w14:textId="77777777" w:rsidR="00093A5E" w:rsidRPr="006A64EE" w:rsidRDefault="00093A5E" w:rsidP="004255F8">
      <w:pPr>
        <w:pStyle w:val="a3"/>
        <w:widowControl/>
      </w:pPr>
    </w:p>
    <w:p w14:paraId="23FA725B" w14:textId="77777777" w:rsidR="00093A5E" w:rsidRPr="006A64EE" w:rsidRDefault="00093A5E" w:rsidP="004255F8">
      <w:pPr>
        <w:pStyle w:val="a3"/>
        <w:widowControl/>
      </w:pPr>
    </w:p>
    <w:p w14:paraId="13C21139" w14:textId="77777777" w:rsidR="00093A5E" w:rsidRPr="006A64EE" w:rsidRDefault="00BC08B2" w:rsidP="004255F8">
      <w:pPr>
        <w:pStyle w:val="tabele"/>
        <w:widowControl/>
      </w:pPr>
      <w:r w:rsidRPr="006A64EE">
        <w:t>17.</w:t>
      </w:r>
      <w:r w:rsidRPr="006A64EE">
        <w:tab/>
        <w:t>INDIVIDUELLES ERKENNUNGSMERKMAL – 2D-BARCODE</w:t>
      </w:r>
    </w:p>
    <w:p w14:paraId="171B8170" w14:textId="77777777" w:rsidR="00093A5E" w:rsidRPr="006A64EE" w:rsidRDefault="00093A5E" w:rsidP="004255F8">
      <w:pPr>
        <w:pStyle w:val="a3"/>
        <w:widowControl/>
      </w:pPr>
    </w:p>
    <w:p w14:paraId="0B3F414F" w14:textId="77777777" w:rsidR="00093A5E" w:rsidRPr="006A64EE" w:rsidRDefault="009C2544" w:rsidP="004255F8">
      <w:pPr>
        <w:pStyle w:val="a3"/>
        <w:widowControl/>
        <w:rPr>
          <w:shd w:val="pct15" w:color="auto" w:fill="FFFFFF"/>
        </w:rPr>
      </w:pPr>
      <w:r w:rsidRPr="006A64EE">
        <w:rPr>
          <w:shd w:val="pct15" w:color="auto" w:fill="FFFFFF"/>
        </w:rPr>
        <w:t>&lt;2D-Barcode mit individuellem Erkennungsmerkmal.&gt;</w:t>
      </w:r>
    </w:p>
    <w:p w14:paraId="14B917BE" w14:textId="77777777" w:rsidR="00093A5E" w:rsidRPr="006A64EE" w:rsidRDefault="00093A5E" w:rsidP="004255F8">
      <w:pPr>
        <w:pStyle w:val="a3"/>
        <w:widowControl/>
      </w:pPr>
    </w:p>
    <w:p w14:paraId="1BD095AA" w14:textId="77777777" w:rsidR="00093A5E" w:rsidRPr="006A64EE" w:rsidRDefault="00093A5E" w:rsidP="004255F8">
      <w:pPr>
        <w:pStyle w:val="a3"/>
        <w:widowControl/>
      </w:pPr>
    </w:p>
    <w:p w14:paraId="23149DB6" w14:textId="77777777" w:rsidR="00093A5E" w:rsidRPr="006A64EE" w:rsidRDefault="00BC08B2" w:rsidP="004255F8">
      <w:pPr>
        <w:pStyle w:val="tabele"/>
        <w:widowControl/>
      </w:pPr>
      <w:r w:rsidRPr="006A64EE">
        <w:t>18.</w:t>
      </w:r>
      <w:r w:rsidRPr="006A64EE">
        <w:tab/>
        <w:t>INDIVIDUELLES ERKENNUNGSMERKMAL – VOM MENSCHEN LESBARES FORMAT</w:t>
      </w:r>
    </w:p>
    <w:p w14:paraId="68F3176C" w14:textId="77777777" w:rsidR="00093A5E" w:rsidRPr="006A64EE" w:rsidRDefault="00093A5E" w:rsidP="004255F8">
      <w:pPr>
        <w:pStyle w:val="a3"/>
        <w:widowControl/>
        <w:jc w:val="both"/>
      </w:pPr>
    </w:p>
    <w:p w14:paraId="4D6ACBD2" w14:textId="77777777" w:rsidR="00093A5E" w:rsidRPr="006A64EE" w:rsidRDefault="009C2544" w:rsidP="004255F8">
      <w:pPr>
        <w:pStyle w:val="a3"/>
        <w:widowControl/>
        <w:jc w:val="both"/>
      </w:pPr>
      <w:r w:rsidRPr="006A64EE">
        <w:lastRenderedPageBreak/>
        <w:t xml:space="preserve">PC </w:t>
      </w:r>
    </w:p>
    <w:p w14:paraId="266E7560" w14:textId="77777777" w:rsidR="00093A5E" w:rsidRDefault="009C2544" w:rsidP="004255F8">
      <w:pPr>
        <w:pStyle w:val="a3"/>
        <w:widowControl/>
        <w:jc w:val="both"/>
        <w:rPr>
          <w:rFonts w:eastAsia="맑은 고딕"/>
          <w:lang w:eastAsia="ko-KR"/>
        </w:rPr>
      </w:pPr>
      <w:r w:rsidRPr="006A64EE">
        <w:t xml:space="preserve">SN </w:t>
      </w:r>
    </w:p>
    <w:p w14:paraId="6C6BA847" w14:textId="69170F5B" w:rsidR="00D40A94" w:rsidRPr="00E303AE" w:rsidRDefault="00D40A94" w:rsidP="004255F8">
      <w:pPr>
        <w:pStyle w:val="a3"/>
        <w:widowControl/>
        <w:jc w:val="both"/>
        <w:rPr>
          <w:rFonts w:eastAsia="맑은 고딕"/>
          <w:lang w:eastAsia="ko-KR"/>
        </w:rPr>
      </w:pPr>
      <w:r w:rsidRPr="00E303AE">
        <w:rPr>
          <w:rFonts w:eastAsia="맑은 고딕"/>
          <w:highlight w:val="lightGray"/>
          <w:lang w:eastAsia="ko-KR"/>
        </w:rPr>
        <w:t>NN</w:t>
      </w:r>
    </w:p>
    <w:p w14:paraId="3CCC11C3" w14:textId="77777777" w:rsidR="00093A5E" w:rsidRPr="006A64EE" w:rsidRDefault="00E66AB0">
      <w:pPr>
        <w:rPr>
          <w:b/>
        </w:rPr>
      </w:pPr>
      <w:r w:rsidRPr="006A64EE">
        <w:br w:type="page"/>
      </w:r>
    </w:p>
    <w:p w14:paraId="495B04FB" w14:textId="77777777" w:rsidR="00093A5E" w:rsidRPr="006A64EE" w:rsidRDefault="00BC08B2" w:rsidP="004255F8">
      <w:pPr>
        <w:pStyle w:val="tabele"/>
        <w:widowControl/>
      </w:pPr>
      <w:r w:rsidRPr="006A64EE">
        <w:lastRenderedPageBreak/>
        <w:t>ANGABEN AUF DER ÄUSSEREN UMHÜLLUNG</w:t>
      </w:r>
    </w:p>
    <w:p w14:paraId="43DAF12B" w14:textId="77777777" w:rsidR="00093A5E" w:rsidRPr="006A64EE" w:rsidRDefault="00093A5E" w:rsidP="004255F8">
      <w:pPr>
        <w:pStyle w:val="tabele"/>
        <w:widowControl/>
      </w:pPr>
    </w:p>
    <w:p w14:paraId="06426D9F" w14:textId="522F16E2" w:rsidR="00093A5E" w:rsidRPr="006A64EE" w:rsidRDefault="00BC08B2" w:rsidP="004255F8">
      <w:pPr>
        <w:pStyle w:val="tabele"/>
        <w:widowControl/>
      </w:pPr>
      <w:r w:rsidRPr="006A64EE">
        <w:t>FERTIGPEN FALTSCHACHTEL (MIT BLUEBOX) – BÜNDELPACKUNG</w:t>
      </w:r>
    </w:p>
    <w:p w14:paraId="3D743358" w14:textId="77777777" w:rsidR="00093A5E" w:rsidRPr="006A64EE" w:rsidRDefault="00093A5E" w:rsidP="004255F8">
      <w:pPr>
        <w:widowControl/>
        <w:tabs>
          <w:tab w:val="left" w:pos="669"/>
        </w:tabs>
        <w:rPr>
          <w:b/>
        </w:rPr>
      </w:pPr>
    </w:p>
    <w:p w14:paraId="2DE294DB" w14:textId="77777777" w:rsidR="00093A5E" w:rsidRPr="006A64EE" w:rsidRDefault="00093A5E" w:rsidP="004255F8">
      <w:pPr>
        <w:widowControl/>
        <w:tabs>
          <w:tab w:val="left" w:pos="669"/>
        </w:tabs>
        <w:rPr>
          <w:b/>
        </w:rPr>
      </w:pPr>
    </w:p>
    <w:p w14:paraId="79EC687E" w14:textId="77777777" w:rsidR="00093A5E" w:rsidRPr="006A64EE" w:rsidRDefault="00BC08B2" w:rsidP="004255F8">
      <w:pPr>
        <w:pStyle w:val="tabele"/>
        <w:widowControl/>
      </w:pPr>
      <w:r w:rsidRPr="006A64EE">
        <w:t>1.</w:t>
      </w:r>
      <w:r w:rsidRPr="006A64EE">
        <w:tab/>
        <w:t>BEZEICHNUNG DES ARZNEIMITTELS</w:t>
      </w:r>
    </w:p>
    <w:p w14:paraId="7D71B297" w14:textId="77777777" w:rsidR="00093A5E" w:rsidRPr="006A64EE" w:rsidRDefault="00093A5E" w:rsidP="004255F8">
      <w:pPr>
        <w:pStyle w:val="a3"/>
        <w:widowControl/>
      </w:pPr>
    </w:p>
    <w:p w14:paraId="7BBDE567" w14:textId="7D77E43F" w:rsidR="00093A5E" w:rsidRPr="006A64EE" w:rsidRDefault="00A27271" w:rsidP="004255F8">
      <w:pPr>
        <w:pStyle w:val="a3"/>
        <w:widowControl/>
      </w:pPr>
      <w:r>
        <w:t>Avtozma</w:t>
      </w:r>
      <w:r w:rsidRPr="006A64EE">
        <w:t xml:space="preserve"> </w:t>
      </w:r>
      <w:r w:rsidR="009C2544" w:rsidRPr="006A64EE">
        <w:t>162 mg Injektionslösung in einem Fertigpen</w:t>
      </w:r>
    </w:p>
    <w:p w14:paraId="60E373AE" w14:textId="77777777" w:rsidR="00093A5E" w:rsidRPr="006A64EE" w:rsidRDefault="009C2544" w:rsidP="004255F8">
      <w:pPr>
        <w:pStyle w:val="a3"/>
        <w:widowControl/>
      </w:pPr>
      <w:r w:rsidRPr="006A64EE">
        <w:t>Tocilizumab</w:t>
      </w:r>
    </w:p>
    <w:p w14:paraId="10D9B660" w14:textId="77777777" w:rsidR="00093A5E" w:rsidRDefault="00093A5E" w:rsidP="004255F8">
      <w:pPr>
        <w:pStyle w:val="a3"/>
        <w:widowControl/>
      </w:pPr>
    </w:p>
    <w:p w14:paraId="6F1B1761" w14:textId="77777777" w:rsidR="0087631F" w:rsidRPr="006A64EE" w:rsidRDefault="0087631F" w:rsidP="004255F8">
      <w:pPr>
        <w:pStyle w:val="a3"/>
        <w:widowControl/>
      </w:pPr>
    </w:p>
    <w:p w14:paraId="3BEA56B1" w14:textId="77777777" w:rsidR="00093A5E" w:rsidRPr="006A64EE" w:rsidRDefault="00BC08B2" w:rsidP="004255F8">
      <w:pPr>
        <w:pStyle w:val="tabele"/>
        <w:widowControl/>
      </w:pPr>
      <w:r w:rsidRPr="006A64EE">
        <w:t>2.</w:t>
      </w:r>
      <w:r w:rsidRPr="006A64EE">
        <w:tab/>
        <w:t>WIRKSTOFF(E)</w:t>
      </w:r>
    </w:p>
    <w:p w14:paraId="280C9E24" w14:textId="77777777" w:rsidR="00093A5E" w:rsidRPr="006A64EE" w:rsidRDefault="00093A5E" w:rsidP="004255F8">
      <w:pPr>
        <w:pStyle w:val="a3"/>
        <w:widowControl/>
      </w:pPr>
    </w:p>
    <w:p w14:paraId="49594B24" w14:textId="77777777" w:rsidR="00093A5E" w:rsidRPr="006A64EE" w:rsidRDefault="009C2544" w:rsidP="004255F8">
      <w:pPr>
        <w:pStyle w:val="a3"/>
        <w:widowControl/>
      </w:pPr>
      <w:r w:rsidRPr="006A64EE">
        <w:t>1 Fertigpen enthält 162 mg Tocilizumab</w:t>
      </w:r>
    </w:p>
    <w:p w14:paraId="01A4724F" w14:textId="77777777" w:rsidR="00093A5E" w:rsidRPr="006A64EE" w:rsidRDefault="00093A5E" w:rsidP="004255F8">
      <w:pPr>
        <w:pStyle w:val="a3"/>
        <w:widowControl/>
      </w:pPr>
    </w:p>
    <w:p w14:paraId="1CC1E617" w14:textId="77777777" w:rsidR="00093A5E" w:rsidRPr="006A64EE" w:rsidRDefault="00093A5E" w:rsidP="004255F8">
      <w:pPr>
        <w:pStyle w:val="a3"/>
        <w:widowControl/>
      </w:pPr>
    </w:p>
    <w:p w14:paraId="2E3FC544" w14:textId="77777777" w:rsidR="00093A5E" w:rsidRPr="006A64EE" w:rsidRDefault="00B75195" w:rsidP="004255F8">
      <w:pPr>
        <w:pStyle w:val="tabele"/>
        <w:widowControl/>
      </w:pPr>
      <w:r w:rsidRPr="006A64EE">
        <w:t>3.</w:t>
      </w:r>
      <w:r w:rsidRPr="006A64EE">
        <w:tab/>
        <w:t>SONSTIGE BESTANDTEILE</w:t>
      </w:r>
    </w:p>
    <w:p w14:paraId="5F7F7E8B" w14:textId="77777777" w:rsidR="00093A5E" w:rsidRPr="006A64EE" w:rsidRDefault="00093A5E" w:rsidP="004255F8">
      <w:pPr>
        <w:pStyle w:val="a3"/>
        <w:widowControl/>
      </w:pPr>
    </w:p>
    <w:p w14:paraId="15565D66" w14:textId="1E795C70" w:rsidR="00A27271" w:rsidRDefault="00A27271" w:rsidP="00A27271">
      <w:pPr>
        <w:pStyle w:val="a3"/>
        <w:widowControl/>
      </w:pPr>
      <w:r>
        <w:t>Sonstige Bestandteile: L-Histidin,</w:t>
      </w:r>
      <w:r w:rsidR="00C242B8">
        <w:rPr>
          <w:rFonts w:eastAsia="맑은 고딕" w:hint="eastAsia"/>
          <w:lang w:eastAsia="ko-KR"/>
        </w:rPr>
        <w:t xml:space="preserve">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w:t>
      </w:r>
      <w:r>
        <w:t xml:space="preserve"> L-Threonin, L-Methionin, Polysorbat 80 und Wasser für Injektionszwecke</w:t>
      </w:r>
      <w:r w:rsidRPr="006A64EE">
        <w:t>.</w:t>
      </w:r>
    </w:p>
    <w:p w14:paraId="23DD3062" w14:textId="3876EAD5" w:rsidR="00A27271" w:rsidRPr="006A64EE" w:rsidRDefault="00A27271" w:rsidP="00A27271">
      <w:pPr>
        <w:pStyle w:val="a3"/>
        <w:widowControl/>
      </w:pPr>
      <w:r>
        <w:t>Siehe Packungsbeilage für weitere Informationen.</w:t>
      </w:r>
    </w:p>
    <w:p w14:paraId="0D9BE3E6" w14:textId="77777777" w:rsidR="00093A5E" w:rsidRPr="006A64EE" w:rsidRDefault="00093A5E" w:rsidP="004255F8">
      <w:pPr>
        <w:pStyle w:val="a3"/>
        <w:widowControl/>
      </w:pPr>
    </w:p>
    <w:p w14:paraId="3082AD0C" w14:textId="77777777" w:rsidR="00093A5E" w:rsidRPr="006A64EE" w:rsidRDefault="00093A5E" w:rsidP="004255F8">
      <w:pPr>
        <w:pStyle w:val="a3"/>
        <w:widowControl/>
      </w:pPr>
    </w:p>
    <w:p w14:paraId="3C6C7B15" w14:textId="77777777" w:rsidR="00093A5E" w:rsidRPr="006A64EE" w:rsidRDefault="00B75195" w:rsidP="004255F8">
      <w:pPr>
        <w:pStyle w:val="tabele"/>
        <w:widowControl/>
      </w:pPr>
      <w:r w:rsidRPr="006A64EE">
        <w:t>4.</w:t>
      </w:r>
      <w:r w:rsidRPr="006A64EE">
        <w:tab/>
        <w:t>DARREICHUNGSFORM UND INHALT</w:t>
      </w:r>
    </w:p>
    <w:p w14:paraId="28BAB391" w14:textId="77777777" w:rsidR="00093A5E" w:rsidRPr="006A64EE" w:rsidRDefault="00093A5E" w:rsidP="004255F8">
      <w:pPr>
        <w:pStyle w:val="a3"/>
        <w:widowControl/>
      </w:pPr>
    </w:p>
    <w:p w14:paraId="717241A8" w14:textId="598AE21B" w:rsidR="00093A5E" w:rsidRPr="006A64EE" w:rsidRDefault="009C2544" w:rsidP="004255F8">
      <w:pPr>
        <w:pStyle w:val="a3"/>
        <w:widowControl/>
      </w:pPr>
      <w:r w:rsidRPr="006A64EE">
        <w:t>Injektionslösung in einem Fertigpen</w:t>
      </w:r>
    </w:p>
    <w:p w14:paraId="0AA83BC3" w14:textId="77777777" w:rsidR="00093A5E" w:rsidRPr="006A64EE" w:rsidRDefault="009C2544" w:rsidP="004255F8">
      <w:pPr>
        <w:pStyle w:val="a3"/>
        <w:widowControl/>
      </w:pPr>
      <w:r w:rsidRPr="006A64EE">
        <w:t>Bündelpackung: 12 (3 Packungen mit 4) Fertigpens.</w:t>
      </w:r>
    </w:p>
    <w:p w14:paraId="49AA9C78" w14:textId="77777777" w:rsidR="00093A5E" w:rsidRPr="006A64EE" w:rsidRDefault="009C2544" w:rsidP="004255F8">
      <w:pPr>
        <w:pStyle w:val="a3"/>
        <w:widowControl/>
      </w:pPr>
      <w:r w:rsidRPr="006A64EE">
        <w:t>162 mg/0,9 ml</w:t>
      </w:r>
    </w:p>
    <w:p w14:paraId="31417419" w14:textId="77777777" w:rsidR="00093A5E" w:rsidRPr="006A64EE" w:rsidRDefault="00093A5E" w:rsidP="004255F8">
      <w:pPr>
        <w:pStyle w:val="a3"/>
        <w:widowControl/>
      </w:pPr>
    </w:p>
    <w:p w14:paraId="370FA804" w14:textId="77777777" w:rsidR="00093A5E" w:rsidRPr="006A64EE" w:rsidRDefault="00093A5E" w:rsidP="004255F8">
      <w:pPr>
        <w:pStyle w:val="a3"/>
        <w:widowControl/>
      </w:pPr>
    </w:p>
    <w:p w14:paraId="1100B6AE" w14:textId="77777777" w:rsidR="00093A5E" w:rsidRPr="006A64EE" w:rsidRDefault="00B75195" w:rsidP="004255F8">
      <w:pPr>
        <w:pStyle w:val="tabele"/>
        <w:widowControl/>
      </w:pPr>
      <w:r w:rsidRPr="006A64EE">
        <w:t>5.</w:t>
      </w:r>
      <w:r w:rsidRPr="006A64EE">
        <w:tab/>
        <w:t>HINWEISE ZUR UND ART(EN) DER ANWENDUNG</w:t>
      </w:r>
    </w:p>
    <w:p w14:paraId="636CE3C9" w14:textId="77777777" w:rsidR="00093A5E" w:rsidRPr="006A64EE" w:rsidRDefault="00093A5E" w:rsidP="004255F8">
      <w:pPr>
        <w:pStyle w:val="a3"/>
        <w:widowControl/>
      </w:pPr>
    </w:p>
    <w:p w14:paraId="2F2D1460" w14:textId="30DBFDAB" w:rsidR="00093A5E" w:rsidRPr="006A64EE" w:rsidRDefault="009C2544" w:rsidP="004255F8">
      <w:pPr>
        <w:pStyle w:val="a3"/>
        <w:widowControl/>
      </w:pPr>
      <w:r w:rsidRPr="006A64EE">
        <w:t>Subkutane Anwendung</w:t>
      </w:r>
    </w:p>
    <w:p w14:paraId="3AB3B9F5" w14:textId="59A202D3" w:rsidR="00093A5E" w:rsidRPr="006A64EE" w:rsidRDefault="009C2544" w:rsidP="004255F8">
      <w:pPr>
        <w:pStyle w:val="a3"/>
        <w:widowControl/>
      </w:pPr>
      <w:r w:rsidRPr="006A64EE">
        <w:t>Packungsbeilage beachten</w:t>
      </w:r>
    </w:p>
    <w:p w14:paraId="1BF1C924" w14:textId="77777777" w:rsidR="00093A5E" w:rsidRPr="006A64EE" w:rsidRDefault="00093A5E" w:rsidP="004255F8">
      <w:pPr>
        <w:pStyle w:val="a3"/>
        <w:widowControl/>
      </w:pPr>
    </w:p>
    <w:p w14:paraId="25BE3B74" w14:textId="77777777" w:rsidR="00093A5E" w:rsidRPr="006A64EE" w:rsidRDefault="00093A5E" w:rsidP="004255F8">
      <w:pPr>
        <w:pStyle w:val="a3"/>
        <w:widowControl/>
      </w:pPr>
    </w:p>
    <w:p w14:paraId="069CA1BF" w14:textId="77777777" w:rsidR="00093A5E" w:rsidRPr="006A64EE" w:rsidRDefault="0053368C" w:rsidP="004255F8">
      <w:pPr>
        <w:pStyle w:val="tabele"/>
        <w:widowControl/>
      </w:pPr>
      <w:r w:rsidRPr="006A64EE">
        <w:t>6.</w:t>
      </w:r>
      <w:r w:rsidR="00B75195" w:rsidRPr="006A64EE">
        <w:tab/>
        <w:t>WARNHINWEIS, DASS DAS ARZNEIMITTEL FÜR KINDER UNZUGÄNGLICH AUFZUBEWAHREN IST</w:t>
      </w:r>
    </w:p>
    <w:p w14:paraId="41F5C047" w14:textId="77777777" w:rsidR="00093A5E" w:rsidRPr="006A64EE" w:rsidRDefault="00093A5E" w:rsidP="004255F8">
      <w:pPr>
        <w:pStyle w:val="a3"/>
        <w:widowControl/>
      </w:pPr>
    </w:p>
    <w:p w14:paraId="67F7E122" w14:textId="6F18527A" w:rsidR="00093A5E" w:rsidRPr="006A64EE" w:rsidRDefault="009C2544" w:rsidP="00E77D99">
      <w:pPr>
        <w:pStyle w:val="a3"/>
        <w:widowControl/>
      </w:pPr>
      <w:r w:rsidRPr="006A64EE">
        <w:t>Arzneimittel für Kinder unzugänglich aufbewahren</w:t>
      </w:r>
    </w:p>
    <w:p w14:paraId="2B84C8BE" w14:textId="77777777" w:rsidR="00093A5E" w:rsidRPr="006A64EE" w:rsidRDefault="00093A5E" w:rsidP="004255F8">
      <w:pPr>
        <w:pStyle w:val="a3"/>
        <w:widowControl/>
      </w:pPr>
    </w:p>
    <w:p w14:paraId="2015F060" w14:textId="77777777" w:rsidR="00093A5E" w:rsidRPr="006A64EE" w:rsidRDefault="00093A5E" w:rsidP="004255F8">
      <w:pPr>
        <w:pStyle w:val="a3"/>
        <w:widowControl/>
      </w:pPr>
    </w:p>
    <w:p w14:paraId="6EACC4B3" w14:textId="77777777" w:rsidR="00093A5E" w:rsidRPr="006A64EE" w:rsidRDefault="00B75195" w:rsidP="004255F8">
      <w:pPr>
        <w:pStyle w:val="tabele"/>
        <w:widowControl/>
      </w:pPr>
      <w:r w:rsidRPr="006A64EE">
        <w:t>7.</w:t>
      </w:r>
      <w:r w:rsidRPr="006A64EE">
        <w:tab/>
        <w:t>WEITERE WARNHINWEISE, FALLS ERFORDERLICH</w:t>
      </w:r>
    </w:p>
    <w:p w14:paraId="7502ED87" w14:textId="77777777" w:rsidR="00093A5E" w:rsidRPr="006A64EE" w:rsidRDefault="00093A5E" w:rsidP="004255F8">
      <w:pPr>
        <w:pStyle w:val="a3"/>
        <w:widowControl/>
      </w:pPr>
    </w:p>
    <w:p w14:paraId="3D38E8C7" w14:textId="732714C3" w:rsidR="00093A5E" w:rsidRPr="006A64EE" w:rsidRDefault="009C2544" w:rsidP="004255F8">
      <w:pPr>
        <w:pStyle w:val="a3"/>
        <w:widowControl/>
      </w:pPr>
      <w:r w:rsidRPr="006A64EE">
        <w:t>Den Fertigpen vor Anwendung mindestens 45 Minuten außerhalb der Faltschachtel bei Raumtemperatur aufbewahren</w:t>
      </w:r>
    </w:p>
    <w:p w14:paraId="4B46E213" w14:textId="77777777" w:rsidR="00093A5E" w:rsidRPr="006A64EE" w:rsidRDefault="00093A5E" w:rsidP="004255F8">
      <w:pPr>
        <w:pStyle w:val="a3"/>
        <w:widowControl/>
      </w:pPr>
    </w:p>
    <w:p w14:paraId="795BCD30" w14:textId="77777777" w:rsidR="00093A5E" w:rsidRPr="006A64EE" w:rsidRDefault="00093A5E" w:rsidP="004255F8">
      <w:pPr>
        <w:pStyle w:val="a3"/>
        <w:widowControl/>
      </w:pPr>
    </w:p>
    <w:p w14:paraId="72790F65" w14:textId="77777777" w:rsidR="00093A5E" w:rsidRPr="006A64EE" w:rsidRDefault="00B75195" w:rsidP="004255F8">
      <w:pPr>
        <w:pStyle w:val="tabele"/>
        <w:widowControl/>
      </w:pPr>
      <w:r w:rsidRPr="006A64EE">
        <w:t>8.</w:t>
      </w:r>
      <w:r w:rsidRPr="006A64EE">
        <w:tab/>
        <w:t>VERFALLDATUM</w:t>
      </w:r>
    </w:p>
    <w:p w14:paraId="29508C88" w14:textId="77777777" w:rsidR="00093A5E" w:rsidRPr="006A64EE" w:rsidRDefault="00093A5E" w:rsidP="004255F8">
      <w:pPr>
        <w:pStyle w:val="a3"/>
        <w:widowControl/>
      </w:pPr>
    </w:p>
    <w:p w14:paraId="3B435A15" w14:textId="77777777" w:rsidR="00093A5E" w:rsidRPr="006A64EE" w:rsidRDefault="009C2544" w:rsidP="004255F8">
      <w:pPr>
        <w:pStyle w:val="a3"/>
        <w:widowControl/>
      </w:pPr>
      <w:r w:rsidRPr="006A64EE">
        <w:t>verwendbar bis</w:t>
      </w:r>
    </w:p>
    <w:p w14:paraId="21E3BB83" w14:textId="77777777" w:rsidR="00093A5E" w:rsidRPr="006A64EE" w:rsidRDefault="00093A5E" w:rsidP="004255F8">
      <w:pPr>
        <w:pStyle w:val="a3"/>
        <w:widowControl/>
      </w:pPr>
    </w:p>
    <w:p w14:paraId="389D48F0" w14:textId="77777777" w:rsidR="00093A5E" w:rsidRPr="006A64EE" w:rsidRDefault="00093A5E" w:rsidP="004255F8">
      <w:pPr>
        <w:pStyle w:val="a3"/>
        <w:widowControl/>
      </w:pPr>
    </w:p>
    <w:p w14:paraId="021F6E1E" w14:textId="77777777" w:rsidR="00093A5E" w:rsidRPr="006A64EE" w:rsidRDefault="00B75195" w:rsidP="00E66AB0">
      <w:pPr>
        <w:pStyle w:val="tabele"/>
        <w:keepNext/>
        <w:keepLines/>
        <w:widowControl/>
      </w:pPr>
      <w:r w:rsidRPr="006A64EE">
        <w:lastRenderedPageBreak/>
        <w:t>9.</w:t>
      </w:r>
      <w:r w:rsidRPr="006A64EE">
        <w:tab/>
        <w:t>BESONDERE VORSICHTSMASSNAHMEN FÜR DIE AUFBEWAHRUNG</w:t>
      </w:r>
    </w:p>
    <w:p w14:paraId="0AD0351E" w14:textId="77777777" w:rsidR="00093A5E" w:rsidRPr="006A64EE" w:rsidRDefault="00093A5E" w:rsidP="00E66AB0">
      <w:pPr>
        <w:keepNext/>
        <w:keepLines/>
        <w:widowControl/>
        <w:tabs>
          <w:tab w:val="left" w:pos="669"/>
        </w:tabs>
        <w:rPr>
          <w:b/>
        </w:rPr>
      </w:pPr>
    </w:p>
    <w:p w14:paraId="3B7588A8" w14:textId="029F5FD1" w:rsidR="00093A5E" w:rsidRPr="006A64EE" w:rsidRDefault="009C2544" w:rsidP="00E66AB0">
      <w:pPr>
        <w:keepNext/>
        <w:keepLines/>
        <w:widowControl/>
      </w:pPr>
      <w:r w:rsidRPr="006A64EE">
        <w:t>Im Kühlschrank lagern</w:t>
      </w:r>
    </w:p>
    <w:p w14:paraId="07FFC4CB" w14:textId="37894AF7" w:rsidR="00093A5E" w:rsidRPr="006A64EE" w:rsidRDefault="009C2544" w:rsidP="004255F8">
      <w:pPr>
        <w:widowControl/>
      </w:pPr>
      <w:r w:rsidRPr="006A64EE">
        <w:t>Nicht einfrieren</w:t>
      </w:r>
    </w:p>
    <w:p w14:paraId="3806C192" w14:textId="6BAFE0FC" w:rsidR="00093A5E" w:rsidRPr="006A64EE" w:rsidRDefault="009C2544" w:rsidP="004255F8">
      <w:pPr>
        <w:pStyle w:val="a3"/>
        <w:widowControl/>
      </w:pPr>
      <w:r w:rsidRPr="006A64EE">
        <w:t xml:space="preserve">Nach Entnahme aus dem Kühlschrank kann der Fertigpen bis zu </w:t>
      </w:r>
      <w:r w:rsidR="00A27271">
        <w:t>3 </w:t>
      </w:r>
      <w:r w:rsidRPr="006A64EE">
        <w:t>Wochen bei maximal 30 °C aufbewahrt werden</w:t>
      </w:r>
    </w:p>
    <w:p w14:paraId="143BC68E" w14:textId="524E01E4" w:rsidR="00093A5E" w:rsidRPr="006A64EE" w:rsidRDefault="009C2544" w:rsidP="004255F8">
      <w:pPr>
        <w:pStyle w:val="a3"/>
        <w:widowControl/>
      </w:pPr>
      <w:r w:rsidRPr="006A64EE">
        <w:t>Die Fertigpens im Umkarton aufbewahren, um den Inhalt vor Licht und Feuchtigkeit zu schützen</w:t>
      </w:r>
    </w:p>
    <w:p w14:paraId="543CF68C" w14:textId="77777777" w:rsidR="00093A5E" w:rsidRPr="006A64EE" w:rsidRDefault="00093A5E" w:rsidP="004255F8">
      <w:pPr>
        <w:pStyle w:val="a3"/>
        <w:widowControl/>
      </w:pPr>
    </w:p>
    <w:p w14:paraId="41CB4535" w14:textId="77777777" w:rsidR="00093A5E" w:rsidRPr="006A64EE" w:rsidRDefault="00093A5E" w:rsidP="004255F8">
      <w:pPr>
        <w:pStyle w:val="a3"/>
        <w:widowControl/>
      </w:pPr>
    </w:p>
    <w:p w14:paraId="3B4AAD69" w14:textId="77777777" w:rsidR="00093A5E" w:rsidRPr="006A64EE" w:rsidRDefault="00B75195" w:rsidP="004255F8">
      <w:pPr>
        <w:pStyle w:val="tabele"/>
        <w:widowControl/>
      </w:pPr>
      <w:r w:rsidRPr="006A64EE">
        <w:t>10.</w:t>
      </w:r>
      <w:r w:rsidRPr="006A64EE">
        <w:tab/>
        <w:t>GEGEBENENFALLS BESONDERE VORSICHTSMASSNAHMEN FÜR DIE BESEITIGUNG VON NICHT VERWENDETEM ARZNEIMITTEL ODER DAVON STAMMENDEN ABFALLMATERIALIEN</w:t>
      </w:r>
    </w:p>
    <w:p w14:paraId="3AEB732E" w14:textId="77777777" w:rsidR="00093A5E" w:rsidRPr="006A64EE" w:rsidRDefault="00093A5E" w:rsidP="004255F8">
      <w:pPr>
        <w:pStyle w:val="a3"/>
        <w:widowControl/>
      </w:pPr>
    </w:p>
    <w:p w14:paraId="75AE83F9" w14:textId="77777777" w:rsidR="00093A5E" w:rsidRPr="006A64EE" w:rsidRDefault="00093A5E" w:rsidP="004255F8">
      <w:pPr>
        <w:pStyle w:val="a3"/>
        <w:widowControl/>
      </w:pPr>
    </w:p>
    <w:p w14:paraId="6DE0D1F3" w14:textId="77777777" w:rsidR="00093A5E" w:rsidRPr="006A64EE" w:rsidRDefault="00B75195" w:rsidP="004255F8">
      <w:pPr>
        <w:pStyle w:val="tabele"/>
        <w:widowControl/>
      </w:pPr>
      <w:r w:rsidRPr="006A64EE">
        <w:t>11.</w:t>
      </w:r>
      <w:r w:rsidRPr="006A64EE">
        <w:tab/>
        <w:t>NAME UND ANSCHRIFT DES PHARMAZEUTISCHEN UNTERNEHMERS</w:t>
      </w:r>
    </w:p>
    <w:p w14:paraId="64E34AF7" w14:textId="77777777" w:rsidR="00093A5E" w:rsidRPr="006A64EE" w:rsidRDefault="00093A5E" w:rsidP="004255F8">
      <w:pPr>
        <w:pStyle w:val="a3"/>
        <w:widowControl/>
      </w:pPr>
    </w:p>
    <w:p w14:paraId="5329C2C2" w14:textId="372B8E79" w:rsidR="00A27271" w:rsidRPr="00B320E1" w:rsidRDefault="00A27271" w:rsidP="00A27271">
      <w:pPr>
        <w:keepNext/>
        <w:rPr>
          <w:lang w:val="en-US"/>
        </w:rPr>
      </w:pPr>
      <w:r w:rsidRPr="00B320E1">
        <w:rPr>
          <w:lang w:val="en-US"/>
        </w:rPr>
        <w:t>Celltrion Healthcare Hungary Kft.</w:t>
      </w:r>
    </w:p>
    <w:p w14:paraId="04216B1D" w14:textId="77777777" w:rsidR="00A27271" w:rsidRPr="00B320E1" w:rsidRDefault="00A27271" w:rsidP="00A27271">
      <w:pPr>
        <w:keepNext/>
        <w:rPr>
          <w:lang w:val="en-US"/>
        </w:rPr>
      </w:pPr>
      <w:r w:rsidRPr="00B320E1">
        <w:rPr>
          <w:lang w:val="en-US"/>
        </w:rPr>
        <w:t>1062 Budapest</w:t>
      </w:r>
    </w:p>
    <w:p w14:paraId="1116FAD3" w14:textId="77777777" w:rsidR="00A27271" w:rsidRPr="00B320E1" w:rsidRDefault="00A27271" w:rsidP="00A27271">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56E204EE" w14:textId="77777777" w:rsidR="00A27271" w:rsidRPr="00B320E1" w:rsidRDefault="00A27271" w:rsidP="00A27271">
      <w:pPr>
        <w:pStyle w:val="a3"/>
        <w:widowControl/>
        <w:rPr>
          <w:lang w:val="en-US"/>
        </w:rPr>
      </w:pPr>
      <w:proofErr w:type="spellStart"/>
      <w:r w:rsidRPr="00B320E1">
        <w:rPr>
          <w:lang w:val="en-US"/>
        </w:rPr>
        <w:t>Ungarn</w:t>
      </w:r>
      <w:proofErr w:type="spellEnd"/>
    </w:p>
    <w:p w14:paraId="40641085" w14:textId="77777777" w:rsidR="00093A5E" w:rsidRPr="00B320E1" w:rsidRDefault="00093A5E" w:rsidP="004255F8">
      <w:pPr>
        <w:pStyle w:val="a3"/>
        <w:widowControl/>
        <w:rPr>
          <w:lang w:val="en-US"/>
        </w:rPr>
      </w:pPr>
    </w:p>
    <w:p w14:paraId="59DAA0FF" w14:textId="77777777" w:rsidR="00093A5E" w:rsidRPr="00B320E1" w:rsidRDefault="00093A5E" w:rsidP="004255F8">
      <w:pPr>
        <w:pStyle w:val="a3"/>
        <w:widowControl/>
        <w:rPr>
          <w:lang w:val="en-US"/>
        </w:rPr>
      </w:pPr>
    </w:p>
    <w:p w14:paraId="67185B60" w14:textId="77777777" w:rsidR="00093A5E" w:rsidRPr="006A64EE" w:rsidRDefault="00B75195" w:rsidP="004255F8">
      <w:pPr>
        <w:pStyle w:val="tabele"/>
        <w:widowControl/>
      </w:pPr>
      <w:r w:rsidRPr="006A64EE">
        <w:t>12.</w:t>
      </w:r>
      <w:r w:rsidRPr="006A64EE">
        <w:tab/>
        <w:t>ZULASSUNGSNUMMER(N)</w:t>
      </w:r>
    </w:p>
    <w:p w14:paraId="2C766C4F" w14:textId="77777777" w:rsidR="00093A5E" w:rsidRPr="006A64EE" w:rsidRDefault="00093A5E" w:rsidP="004255F8">
      <w:pPr>
        <w:pStyle w:val="a3"/>
        <w:widowControl/>
      </w:pPr>
    </w:p>
    <w:p w14:paraId="02620502" w14:textId="738DB5F1" w:rsidR="00A27271" w:rsidRPr="00840707" w:rsidRDefault="00A27271" w:rsidP="00A27271">
      <w:r w:rsidRPr="00840707">
        <w:t>EU/</w:t>
      </w:r>
      <w:r w:rsidR="002F6CA4">
        <w:t>1/24/1896/012 12 (3 x 4) Fertigpens (Bündelpackung)</w:t>
      </w:r>
    </w:p>
    <w:p w14:paraId="3624F661" w14:textId="77777777" w:rsidR="00093A5E" w:rsidRPr="006A64EE" w:rsidRDefault="00093A5E" w:rsidP="004255F8">
      <w:pPr>
        <w:pStyle w:val="a3"/>
        <w:widowControl/>
      </w:pPr>
    </w:p>
    <w:p w14:paraId="430CB59D" w14:textId="77777777" w:rsidR="00093A5E" w:rsidRPr="006A64EE" w:rsidRDefault="00093A5E" w:rsidP="004255F8">
      <w:pPr>
        <w:pStyle w:val="a3"/>
        <w:widowControl/>
      </w:pPr>
    </w:p>
    <w:p w14:paraId="6F3AA04E" w14:textId="77777777" w:rsidR="00093A5E" w:rsidRPr="006A64EE" w:rsidRDefault="00B75195" w:rsidP="004255F8">
      <w:pPr>
        <w:pStyle w:val="tabele"/>
        <w:widowControl/>
      </w:pPr>
      <w:r w:rsidRPr="006A64EE">
        <w:t>13.</w:t>
      </w:r>
      <w:r w:rsidRPr="006A64EE">
        <w:tab/>
        <w:t>CHARGENBEZEICHNUNG</w:t>
      </w:r>
    </w:p>
    <w:p w14:paraId="3724B1F8" w14:textId="77777777" w:rsidR="00093A5E" w:rsidRPr="006A64EE" w:rsidRDefault="00093A5E" w:rsidP="004255F8">
      <w:pPr>
        <w:pStyle w:val="a3"/>
        <w:widowControl/>
      </w:pPr>
    </w:p>
    <w:p w14:paraId="587247B4" w14:textId="77777777" w:rsidR="00093A5E" w:rsidRPr="006A64EE" w:rsidRDefault="009C2544" w:rsidP="004255F8">
      <w:pPr>
        <w:pStyle w:val="a3"/>
        <w:widowControl/>
      </w:pPr>
      <w:r w:rsidRPr="006A64EE">
        <w:t>Ch.-B.</w:t>
      </w:r>
    </w:p>
    <w:p w14:paraId="3335B575" w14:textId="77777777" w:rsidR="00093A5E" w:rsidRPr="006A64EE" w:rsidRDefault="00093A5E" w:rsidP="004255F8">
      <w:pPr>
        <w:pStyle w:val="a3"/>
        <w:widowControl/>
      </w:pPr>
    </w:p>
    <w:p w14:paraId="2E7F2704" w14:textId="77777777" w:rsidR="00093A5E" w:rsidRPr="006A64EE" w:rsidRDefault="00093A5E" w:rsidP="004255F8">
      <w:pPr>
        <w:pStyle w:val="a3"/>
        <w:widowControl/>
      </w:pPr>
    </w:p>
    <w:p w14:paraId="66E1899C" w14:textId="77777777" w:rsidR="00093A5E" w:rsidRPr="006A64EE" w:rsidRDefault="00B75195" w:rsidP="004255F8">
      <w:pPr>
        <w:pStyle w:val="tabele"/>
        <w:widowControl/>
      </w:pPr>
      <w:r w:rsidRPr="006A64EE">
        <w:t>14.</w:t>
      </w:r>
      <w:r w:rsidRPr="006A64EE">
        <w:tab/>
        <w:t>VERKAUFSABGRENZUNG</w:t>
      </w:r>
    </w:p>
    <w:p w14:paraId="75690640" w14:textId="77777777" w:rsidR="00093A5E" w:rsidRPr="006A64EE" w:rsidRDefault="00093A5E" w:rsidP="004255F8">
      <w:pPr>
        <w:pStyle w:val="a3"/>
        <w:widowControl/>
      </w:pPr>
    </w:p>
    <w:p w14:paraId="5921CA9F" w14:textId="77777777" w:rsidR="00093A5E" w:rsidRPr="006A64EE" w:rsidRDefault="00093A5E" w:rsidP="004255F8">
      <w:pPr>
        <w:pStyle w:val="a3"/>
        <w:widowControl/>
      </w:pPr>
    </w:p>
    <w:p w14:paraId="0EA5C369" w14:textId="77777777" w:rsidR="00093A5E" w:rsidRPr="006A64EE" w:rsidRDefault="00B75195" w:rsidP="004255F8">
      <w:pPr>
        <w:pStyle w:val="tabele"/>
        <w:widowControl/>
      </w:pPr>
      <w:r w:rsidRPr="006A64EE">
        <w:t>15.</w:t>
      </w:r>
      <w:r w:rsidRPr="006A64EE">
        <w:tab/>
        <w:t>HINWEISE FÜR DEN GEBRAUCH</w:t>
      </w:r>
    </w:p>
    <w:p w14:paraId="084654DD" w14:textId="77777777" w:rsidR="00093A5E" w:rsidRPr="006A64EE" w:rsidRDefault="00093A5E" w:rsidP="004255F8">
      <w:pPr>
        <w:pStyle w:val="a3"/>
        <w:widowControl/>
      </w:pPr>
    </w:p>
    <w:p w14:paraId="0D32493C" w14:textId="77777777" w:rsidR="00093A5E" w:rsidRPr="006A64EE" w:rsidRDefault="00093A5E" w:rsidP="004255F8">
      <w:pPr>
        <w:pStyle w:val="a3"/>
        <w:widowControl/>
      </w:pPr>
    </w:p>
    <w:p w14:paraId="1BA72BC5" w14:textId="77777777" w:rsidR="00093A5E" w:rsidRPr="006A64EE" w:rsidRDefault="00B75195" w:rsidP="004255F8">
      <w:pPr>
        <w:pStyle w:val="tabele"/>
        <w:widowControl/>
      </w:pPr>
      <w:r w:rsidRPr="006A64EE">
        <w:t>16.</w:t>
      </w:r>
      <w:r w:rsidRPr="006A64EE">
        <w:tab/>
        <w:t>ANGABEN IN BLINDENSCHRIFT</w:t>
      </w:r>
    </w:p>
    <w:p w14:paraId="7746DA83" w14:textId="77777777" w:rsidR="00093A5E" w:rsidRPr="006A64EE" w:rsidRDefault="00093A5E" w:rsidP="004255F8">
      <w:pPr>
        <w:pStyle w:val="a3"/>
        <w:widowControl/>
      </w:pPr>
    </w:p>
    <w:p w14:paraId="683CF2FA" w14:textId="1E89C73A" w:rsidR="00093A5E" w:rsidRPr="006A64EE" w:rsidRDefault="00A27271" w:rsidP="004255F8">
      <w:pPr>
        <w:pStyle w:val="a3"/>
        <w:widowControl/>
      </w:pPr>
      <w:r>
        <w:t>avtozma</w:t>
      </w:r>
      <w:r w:rsidRPr="006A64EE">
        <w:t xml:space="preserve"> </w:t>
      </w:r>
      <w:r w:rsidR="009C2544" w:rsidRPr="006A64EE">
        <w:t>162 mg</w:t>
      </w:r>
    </w:p>
    <w:p w14:paraId="05424275" w14:textId="77777777" w:rsidR="00093A5E" w:rsidRPr="006A64EE" w:rsidRDefault="00093A5E" w:rsidP="004255F8">
      <w:pPr>
        <w:pStyle w:val="a3"/>
        <w:widowControl/>
      </w:pPr>
    </w:p>
    <w:p w14:paraId="59FC299D" w14:textId="77777777" w:rsidR="00093A5E" w:rsidRPr="006A64EE" w:rsidRDefault="00093A5E" w:rsidP="004255F8">
      <w:pPr>
        <w:pStyle w:val="a3"/>
        <w:widowControl/>
      </w:pPr>
    </w:p>
    <w:p w14:paraId="4A97FDFD" w14:textId="77777777" w:rsidR="00093A5E" w:rsidRPr="006A64EE" w:rsidRDefault="00B75195" w:rsidP="004255F8">
      <w:pPr>
        <w:pStyle w:val="tabele"/>
        <w:widowControl/>
      </w:pPr>
      <w:r w:rsidRPr="006A64EE">
        <w:t>17.</w:t>
      </w:r>
      <w:r w:rsidRPr="006A64EE">
        <w:tab/>
        <w:t>INDIVIDUELLES ERKENNUNGSMERKMAL – 2D-BARCODE</w:t>
      </w:r>
    </w:p>
    <w:p w14:paraId="43F7B00C" w14:textId="77777777" w:rsidR="00093A5E" w:rsidRPr="006A64EE" w:rsidRDefault="00093A5E" w:rsidP="004255F8">
      <w:pPr>
        <w:pStyle w:val="a3"/>
        <w:widowControl/>
      </w:pPr>
    </w:p>
    <w:p w14:paraId="252F22D1" w14:textId="77777777" w:rsidR="00093A5E" w:rsidRPr="006A64EE" w:rsidRDefault="009C2544" w:rsidP="004255F8">
      <w:pPr>
        <w:pStyle w:val="a3"/>
        <w:widowControl/>
        <w:rPr>
          <w:shd w:val="pct15" w:color="auto" w:fill="FFFFFF"/>
        </w:rPr>
      </w:pPr>
      <w:r w:rsidRPr="006A64EE">
        <w:rPr>
          <w:shd w:val="pct15" w:color="auto" w:fill="FFFFFF"/>
        </w:rPr>
        <w:t>&lt;2D-Barcode mit individuellem Erkennungsmerkmal.&gt;</w:t>
      </w:r>
    </w:p>
    <w:p w14:paraId="1C576446" w14:textId="77777777" w:rsidR="00093A5E" w:rsidRPr="006A64EE" w:rsidRDefault="00093A5E" w:rsidP="004255F8">
      <w:pPr>
        <w:pStyle w:val="a3"/>
        <w:widowControl/>
      </w:pPr>
    </w:p>
    <w:p w14:paraId="5FAE9BAF" w14:textId="77777777" w:rsidR="00093A5E" w:rsidRPr="006A64EE" w:rsidRDefault="00093A5E" w:rsidP="004255F8">
      <w:pPr>
        <w:pStyle w:val="a3"/>
        <w:widowControl/>
      </w:pPr>
    </w:p>
    <w:p w14:paraId="72AFEDCA" w14:textId="77777777" w:rsidR="00093A5E" w:rsidRPr="006A64EE" w:rsidRDefault="00B75195" w:rsidP="004255F8">
      <w:pPr>
        <w:pStyle w:val="tabele"/>
        <w:widowControl/>
      </w:pPr>
      <w:r w:rsidRPr="006A64EE">
        <w:t>18.</w:t>
      </w:r>
      <w:r w:rsidRPr="006A64EE">
        <w:tab/>
        <w:t>INDIVIDUELLES ERKENNUNGSMERKMAL – VOM MENSCHEN LESBARES FORMAT</w:t>
      </w:r>
    </w:p>
    <w:p w14:paraId="18779E72" w14:textId="77777777" w:rsidR="00A27271" w:rsidRDefault="00A27271" w:rsidP="004255F8">
      <w:pPr>
        <w:pStyle w:val="a3"/>
        <w:widowControl/>
        <w:jc w:val="both"/>
      </w:pPr>
    </w:p>
    <w:p w14:paraId="2547E848" w14:textId="52C2DBD0" w:rsidR="00093A5E" w:rsidRPr="006A64EE" w:rsidRDefault="009C2544" w:rsidP="004255F8">
      <w:pPr>
        <w:pStyle w:val="a3"/>
        <w:widowControl/>
        <w:jc w:val="both"/>
      </w:pPr>
      <w:r w:rsidRPr="006A64EE">
        <w:t xml:space="preserve">PC </w:t>
      </w:r>
    </w:p>
    <w:p w14:paraId="6506B1DB" w14:textId="77777777" w:rsidR="00093A5E" w:rsidRPr="006A64EE" w:rsidRDefault="009C2544" w:rsidP="004255F8">
      <w:pPr>
        <w:pStyle w:val="a3"/>
        <w:widowControl/>
        <w:jc w:val="both"/>
      </w:pPr>
      <w:r w:rsidRPr="006A64EE">
        <w:t xml:space="preserve">SN </w:t>
      </w:r>
    </w:p>
    <w:p w14:paraId="1219B7DD" w14:textId="2A639F88" w:rsidR="00093A5E" w:rsidRPr="006A64EE" w:rsidRDefault="00D40A94">
      <w:pPr>
        <w:rPr>
          <w:b/>
        </w:rPr>
      </w:pPr>
      <w:r w:rsidRPr="00E303AE">
        <w:rPr>
          <w:rFonts w:eastAsia="맑은 고딕"/>
          <w:highlight w:val="lightGray"/>
          <w:lang w:eastAsia="ko-KR"/>
        </w:rPr>
        <w:t>NN</w:t>
      </w:r>
      <w:r w:rsidR="00E66AB0" w:rsidRPr="006A64EE">
        <w:br w:type="page"/>
      </w:r>
    </w:p>
    <w:p w14:paraId="03CFFEA0" w14:textId="77777777" w:rsidR="00093A5E" w:rsidRPr="006A64EE" w:rsidRDefault="00B75195" w:rsidP="004255F8">
      <w:pPr>
        <w:pStyle w:val="tabele"/>
        <w:widowControl/>
      </w:pPr>
      <w:r w:rsidRPr="006A64EE">
        <w:lastRenderedPageBreak/>
        <w:t>ANGABEN AUF DER ÄUSSEREN UMHÜLLUNG</w:t>
      </w:r>
    </w:p>
    <w:p w14:paraId="5D680462" w14:textId="77777777" w:rsidR="00093A5E" w:rsidRPr="006A64EE" w:rsidRDefault="00093A5E" w:rsidP="004255F8">
      <w:pPr>
        <w:pStyle w:val="tabele"/>
        <w:widowControl/>
      </w:pPr>
    </w:p>
    <w:p w14:paraId="2ACE2A4C" w14:textId="26ACCC78" w:rsidR="00093A5E" w:rsidRPr="006A64EE" w:rsidRDefault="00B75195" w:rsidP="004255F8">
      <w:pPr>
        <w:pStyle w:val="tabele"/>
        <w:widowControl/>
      </w:pPr>
      <w:r w:rsidRPr="006A64EE">
        <w:t>FERTIGPEN FALTSCHACHTEL (OHNE BLUEBOX) – BÜNDELPACKUNG</w:t>
      </w:r>
    </w:p>
    <w:p w14:paraId="42397B1A" w14:textId="77777777" w:rsidR="00093A5E" w:rsidRPr="006A64EE" w:rsidRDefault="00093A5E" w:rsidP="004255F8">
      <w:pPr>
        <w:widowControl/>
        <w:tabs>
          <w:tab w:val="left" w:pos="669"/>
        </w:tabs>
        <w:rPr>
          <w:b/>
        </w:rPr>
      </w:pPr>
    </w:p>
    <w:p w14:paraId="323477F4" w14:textId="77777777" w:rsidR="00093A5E" w:rsidRPr="006A64EE" w:rsidRDefault="00093A5E" w:rsidP="004255F8">
      <w:pPr>
        <w:widowControl/>
        <w:tabs>
          <w:tab w:val="left" w:pos="669"/>
        </w:tabs>
        <w:rPr>
          <w:b/>
        </w:rPr>
      </w:pPr>
    </w:p>
    <w:p w14:paraId="3D5D6516" w14:textId="77777777" w:rsidR="00093A5E" w:rsidRPr="006A64EE" w:rsidRDefault="00B75195" w:rsidP="004255F8">
      <w:pPr>
        <w:pStyle w:val="tabele"/>
        <w:widowControl/>
      </w:pPr>
      <w:r w:rsidRPr="006A64EE">
        <w:t>1.</w:t>
      </w:r>
      <w:r w:rsidRPr="006A64EE">
        <w:tab/>
        <w:t>BEZEICHNUNG DES ARZNEIMITTELS</w:t>
      </w:r>
    </w:p>
    <w:p w14:paraId="42FBD52F" w14:textId="77777777" w:rsidR="00093A5E" w:rsidRPr="006A64EE" w:rsidRDefault="00093A5E" w:rsidP="004255F8">
      <w:pPr>
        <w:pStyle w:val="a3"/>
        <w:widowControl/>
      </w:pPr>
    </w:p>
    <w:p w14:paraId="14BD780D" w14:textId="1D057E9F" w:rsidR="00CF001A" w:rsidRDefault="00A27271" w:rsidP="004255F8">
      <w:pPr>
        <w:pStyle w:val="a3"/>
        <w:widowControl/>
      </w:pPr>
      <w:r>
        <w:t>Avtozma</w:t>
      </w:r>
      <w:r w:rsidRPr="006A64EE">
        <w:t xml:space="preserve"> </w:t>
      </w:r>
      <w:r w:rsidR="009C2544" w:rsidRPr="006A64EE">
        <w:t>162 mg Injektionslösung in einem Fertigpen</w:t>
      </w:r>
    </w:p>
    <w:p w14:paraId="53096184" w14:textId="3AD1913C" w:rsidR="00093A5E" w:rsidRPr="006A64EE" w:rsidRDefault="009C2544" w:rsidP="004255F8">
      <w:pPr>
        <w:pStyle w:val="a3"/>
        <w:widowControl/>
      </w:pPr>
      <w:r w:rsidRPr="006A64EE">
        <w:t>Tocilizumab</w:t>
      </w:r>
    </w:p>
    <w:p w14:paraId="29EEF14D" w14:textId="77777777" w:rsidR="00093A5E" w:rsidRPr="006A64EE" w:rsidRDefault="00093A5E" w:rsidP="004255F8">
      <w:pPr>
        <w:widowControl/>
        <w:tabs>
          <w:tab w:val="left" w:pos="669"/>
        </w:tabs>
        <w:rPr>
          <w:b/>
        </w:rPr>
      </w:pPr>
    </w:p>
    <w:p w14:paraId="4EABE379" w14:textId="77777777" w:rsidR="00093A5E" w:rsidRPr="006A64EE" w:rsidRDefault="00093A5E" w:rsidP="004255F8">
      <w:pPr>
        <w:widowControl/>
        <w:tabs>
          <w:tab w:val="left" w:pos="669"/>
        </w:tabs>
        <w:rPr>
          <w:b/>
        </w:rPr>
      </w:pPr>
    </w:p>
    <w:p w14:paraId="19D88FA7" w14:textId="77777777" w:rsidR="00093A5E" w:rsidRPr="006A64EE" w:rsidRDefault="00B75195" w:rsidP="004255F8">
      <w:pPr>
        <w:pStyle w:val="tabele"/>
        <w:widowControl/>
      </w:pPr>
      <w:r w:rsidRPr="006A64EE">
        <w:t>2.</w:t>
      </w:r>
      <w:r w:rsidRPr="006A64EE">
        <w:tab/>
        <w:t>WIRKSTOFF(E)</w:t>
      </w:r>
    </w:p>
    <w:p w14:paraId="240BAB92" w14:textId="77777777" w:rsidR="00093A5E" w:rsidRPr="006A64EE" w:rsidRDefault="00093A5E" w:rsidP="004255F8">
      <w:pPr>
        <w:pStyle w:val="a3"/>
        <w:widowControl/>
      </w:pPr>
    </w:p>
    <w:p w14:paraId="1DA82039" w14:textId="77777777" w:rsidR="00093A5E" w:rsidRPr="006A64EE" w:rsidRDefault="009C2544" w:rsidP="004255F8">
      <w:pPr>
        <w:pStyle w:val="a3"/>
        <w:widowControl/>
      </w:pPr>
      <w:r w:rsidRPr="006A64EE">
        <w:t>1 Fertigpen enthält 162 mg Tocilizumab</w:t>
      </w:r>
    </w:p>
    <w:p w14:paraId="55E8F110" w14:textId="77777777" w:rsidR="00093A5E" w:rsidRPr="006A64EE" w:rsidRDefault="00093A5E" w:rsidP="004255F8">
      <w:pPr>
        <w:pStyle w:val="a3"/>
        <w:widowControl/>
      </w:pPr>
    </w:p>
    <w:p w14:paraId="6474E227" w14:textId="77777777" w:rsidR="00093A5E" w:rsidRPr="006A64EE" w:rsidRDefault="00093A5E" w:rsidP="004255F8">
      <w:pPr>
        <w:pStyle w:val="a3"/>
        <w:widowControl/>
      </w:pPr>
    </w:p>
    <w:p w14:paraId="052A3D9F" w14:textId="77777777" w:rsidR="00093A5E" w:rsidRPr="006A64EE" w:rsidRDefault="00B75195" w:rsidP="004255F8">
      <w:pPr>
        <w:pStyle w:val="tabele"/>
        <w:widowControl/>
      </w:pPr>
      <w:r w:rsidRPr="006A64EE">
        <w:t>3.</w:t>
      </w:r>
      <w:r w:rsidRPr="006A64EE">
        <w:tab/>
        <w:t>SONSTIGE BESTANDTEILE</w:t>
      </w:r>
    </w:p>
    <w:p w14:paraId="408A9D0E" w14:textId="77777777" w:rsidR="00093A5E" w:rsidRPr="006A64EE" w:rsidRDefault="00093A5E" w:rsidP="004255F8">
      <w:pPr>
        <w:pStyle w:val="a3"/>
        <w:widowControl/>
      </w:pPr>
    </w:p>
    <w:p w14:paraId="2A1DEA64" w14:textId="6E753D1B" w:rsidR="00A27271" w:rsidRDefault="00A27271" w:rsidP="00A27271">
      <w:pPr>
        <w:pStyle w:val="a3"/>
        <w:widowControl/>
      </w:pPr>
      <w:r>
        <w:t xml:space="preserve">Sonstige Bestandteile: L-Histidin,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t>L-Threonin, L-Methionin, Polysorbat 80 und Wasser für Injektionszwecke</w:t>
      </w:r>
      <w:r w:rsidRPr="006A64EE">
        <w:t>.</w:t>
      </w:r>
    </w:p>
    <w:p w14:paraId="219FBEAC" w14:textId="16A4D362" w:rsidR="00A27271" w:rsidRPr="006A64EE" w:rsidRDefault="00A27271" w:rsidP="00A27271">
      <w:pPr>
        <w:pStyle w:val="a3"/>
        <w:widowControl/>
      </w:pPr>
      <w:r>
        <w:t>Siehe Packungsbeilage für weitere Informationen.</w:t>
      </w:r>
    </w:p>
    <w:p w14:paraId="5761016D" w14:textId="77777777" w:rsidR="00093A5E" w:rsidRPr="006A64EE" w:rsidRDefault="00093A5E" w:rsidP="004255F8">
      <w:pPr>
        <w:pStyle w:val="a3"/>
        <w:widowControl/>
      </w:pPr>
    </w:p>
    <w:p w14:paraId="3F80A6A9" w14:textId="77777777" w:rsidR="00093A5E" w:rsidRPr="006A64EE" w:rsidRDefault="00093A5E" w:rsidP="004255F8">
      <w:pPr>
        <w:pStyle w:val="a3"/>
        <w:widowControl/>
      </w:pPr>
    </w:p>
    <w:p w14:paraId="5546468B" w14:textId="77777777" w:rsidR="00093A5E" w:rsidRPr="006A64EE" w:rsidRDefault="00B75195" w:rsidP="004255F8">
      <w:pPr>
        <w:pStyle w:val="tabele"/>
        <w:widowControl/>
      </w:pPr>
      <w:r w:rsidRPr="006A64EE">
        <w:t>4.</w:t>
      </w:r>
      <w:r w:rsidRPr="006A64EE">
        <w:tab/>
        <w:t>DARREICHUNGSFORM UND INHALT</w:t>
      </w:r>
    </w:p>
    <w:p w14:paraId="040D20C3" w14:textId="77777777" w:rsidR="00093A5E" w:rsidRPr="006A64EE" w:rsidRDefault="00093A5E" w:rsidP="004255F8">
      <w:pPr>
        <w:pStyle w:val="a3"/>
        <w:widowControl/>
      </w:pPr>
    </w:p>
    <w:p w14:paraId="6E6FB1F2" w14:textId="023F8D2A" w:rsidR="00093A5E" w:rsidRPr="006A64EE" w:rsidRDefault="009C2544" w:rsidP="004255F8">
      <w:pPr>
        <w:pStyle w:val="a3"/>
        <w:widowControl/>
      </w:pPr>
      <w:r w:rsidRPr="006A64EE">
        <w:t>Injektionslösung in einem Fertigpen</w:t>
      </w:r>
    </w:p>
    <w:p w14:paraId="06D4BF05" w14:textId="22B63A09" w:rsidR="00107B53" w:rsidRPr="006A64EE" w:rsidRDefault="009C2544" w:rsidP="004255F8">
      <w:pPr>
        <w:pStyle w:val="a3"/>
        <w:widowControl/>
      </w:pPr>
      <w:r w:rsidRPr="006A64EE">
        <w:t>4 Fertigpens. Teil einer Bündelpackung, Einzelverkauf unzulässig</w:t>
      </w:r>
    </w:p>
    <w:p w14:paraId="0240ADC2" w14:textId="0C0DC1E9" w:rsidR="00093A5E" w:rsidRPr="006A64EE" w:rsidRDefault="009C2544" w:rsidP="004255F8">
      <w:pPr>
        <w:pStyle w:val="a3"/>
        <w:widowControl/>
      </w:pPr>
      <w:r w:rsidRPr="006A64EE">
        <w:t>162 mg/0,9 ml</w:t>
      </w:r>
    </w:p>
    <w:p w14:paraId="0656A3FA" w14:textId="77777777" w:rsidR="00093A5E" w:rsidRPr="006A64EE" w:rsidRDefault="00093A5E" w:rsidP="004255F8">
      <w:pPr>
        <w:pStyle w:val="a3"/>
        <w:widowControl/>
      </w:pPr>
    </w:p>
    <w:p w14:paraId="44DD5FA6" w14:textId="77777777" w:rsidR="00093A5E" w:rsidRPr="006A64EE" w:rsidRDefault="00093A5E" w:rsidP="004255F8">
      <w:pPr>
        <w:pStyle w:val="a3"/>
        <w:widowControl/>
      </w:pPr>
    </w:p>
    <w:p w14:paraId="7594103C" w14:textId="77777777" w:rsidR="00093A5E" w:rsidRPr="006A64EE" w:rsidRDefault="00B75195" w:rsidP="004255F8">
      <w:pPr>
        <w:pStyle w:val="tabele"/>
        <w:widowControl/>
      </w:pPr>
      <w:r w:rsidRPr="006A64EE">
        <w:t>5.</w:t>
      </w:r>
      <w:r w:rsidRPr="006A64EE">
        <w:tab/>
        <w:t>HINWEISE ZUR UND ART(EN) DER ANWENDUNG</w:t>
      </w:r>
    </w:p>
    <w:p w14:paraId="4C3FB905" w14:textId="77777777" w:rsidR="00093A5E" w:rsidRPr="006A64EE" w:rsidRDefault="00093A5E" w:rsidP="004255F8">
      <w:pPr>
        <w:pStyle w:val="a3"/>
        <w:widowControl/>
      </w:pPr>
    </w:p>
    <w:p w14:paraId="793EFB87" w14:textId="353BEF04" w:rsidR="00A27271" w:rsidRDefault="009C2544" w:rsidP="00E77D99">
      <w:pPr>
        <w:pStyle w:val="a3"/>
        <w:widowControl/>
      </w:pPr>
      <w:r w:rsidRPr="006A64EE">
        <w:t>Subkutane Anwendung</w:t>
      </w:r>
    </w:p>
    <w:p w14:paraId="6402595B" w14:textId="5B173A94" w:rsidR="00093A5E" w:rsidRPr="006A64EE" w:rsidRDefault="009C2544" w:rsidP="004255F8">
      <w:pPr>
        <w:pStyle w:val="a3"/>
        <w:widowControl/>
      </w:pPr>
      <w:r w:rsidRPr="006A64EE">
        <w:t>Packungsbeilage beachten</w:t>
      </w:r>
    </w:p>
    <w:p w14:paraId="492AF2B7" w14:textId="77777777" w:rsidR="00093A5E" w:rsidRPr="006A64EE" w:rsidRDefault="00093A5E" w:rsidP="004255F8">
      <w:pPr>
        <w:pStyle w:val="a3"/>
        <w:widowControl/>
      </w:pPr>
    </w:p>
    <w:p w14:paraId="0FAE3D96" w14:textId="77777777" w:rsidR="00093A5E" w:rsidRPr="006A64EE" w:rsidRDefault="00093A5E" w:rsidP="004255F8">
      <w:pPr>
        <w:pStyle w:val="a3"/>
        <w:widowControl/>
      </w:pPr>
    </w:p>
    <w:p w14:paraId="25223DE8" w14:textId="77777777" w:rsidR="00093A5E" w:rsidRPr="006A64EE" w:rsidRDefault="0053368C" w:rsidP="004255F8">
      <w:pPr>
        <w:pStyle w:val="tabele"/>
        <w:widowControl/>
      </w:pPr>
      <w:r w:rsidRPr="006A64EE">
        <w:t>6.</w:t>
      </w:r>
      <w:r w:rsidR="00B75195" w:rsidRPr="006A64EE">
        <w:tab/>
        <w:t>WARNHINWEIS, DASS DAS ARZNEIMITTEL FÜR KINDER UNZUGÄNGLICH AUFZUBEWAHREN IST</w:t>
      </w:r>
    </w:p>
    <w:p w14:paraId="2DADB118" w14:textId="77777777" w:rsidR="00093A5E" w:rsidRPr="006A64EE" w:rsidRDefault="00093A5E" w:rsidP="004255F8">
      <w:pPr>
        <w:pStyle w:val="a3"/>
        <w:widowControl/>
      </w:pPr>
    </w:p>
    <w:p w14:paraId="058B2B5D" w14:textId="127FD24D" w:rsidR="00093A5E" w:rsidRPr="006A64EE" w:rsidRDefault="009C2544" w:rsidP="004255F8">
      <w:pPr>
        <w:pStyle w:val="a3"/>
        <w:widowControl/>
      </w:pPr>
      <w:r w:rsidRPr="006A64EE">
        <w:t>Arzneimittel für Kinder unzugänglich aufbewahren</w:t>
      </w:r>
    </w:p>
    <w:p w14:paraId="470B3BAB" w14:textId="77777777" w:rsidR="00093A5E" w:rsidRPr="006A64EE" w:rsidRDefault="00093A5E" w:rsidP="004255F8">
      <w:pPr>
        <w:pStyle w:val="a3"/>
        <w:widowControl/>
      </w:pPr>
    </w:p>
    <w:p w14:paraId="14FCE165" w14:textId="77777777" w:rsidR="00093A5E" w:rsidRPr="006A64EE" w:rsidRDefault="00093A5E" w:rsidP="004255F8">
      <w:pPr>
        <w:pStyle w:val="a3"/>
        <w:widowControl/>
      </w:pPr>
    </w:p>
    <w:p w14:paraId="24274D11" w14:textId="77777777" w:rsidR="00093A5E" w:rsidRPr="006A64EE" w:rsidRDefault="00B75195" w:rsidP="004255F8">
      <w:pPr>
        <w:pStyle w:val="tabele"/>
        <w:widowControl/>
      </w:pPr>
      <w:r w:rsidRPr="006A64EE">
        <w:t>7.</w:t>
      </w:r>
      <w:r w:rsidRPr="006A64EE">
        <w:tab/>
        <w:t>WEITERE WARNHINWEISE, FALLS ERFORDERLICH</w:t>
      </w:r>
    </w:p>
    <w:p w14:paraId="12C453EE" w14:textId="77777777" w:rsidR="00093A5E" w:rsidRPr="006A64EE" w:rsidRDefault="00093A5E" w:rsidP="004255F8">
      <w:pPr>
        <w:pStyle w:val="a3"/>
        <w:widowControl/>
      </w:pPr>
    </w:p>
    <w:p w14:paraId="436FE332" w14:textId="0CE926E3" w:rsidR="00093A5E" w:rsidRPr="006A64EE" w:rsidRDefault="009C2544" w:rsidP="004255F8">
      <w:pPr>
        <w:pStyle w:val="a3"/>
        <w:widowControl/>
      </w:pPr>
      <w:r w:rsidRPr="006A64EE">
        <w:t>Den Fertigpen vor Anwendung mindestens 45 Minuten außerhalb der Faltschachtel bei Raumtemperatur aufbewahren</w:t>
      </w:r>
    </w:p>
    <w:p w14:paraId="366BD8AB" w14:textId="77777777" w:rsidR="00093A5E" w:rsidRPr="006A64EE" w:rsidRDefault="00093A5E" w:rsidP="004255F8">
      <w:pPr>
        <w:pStyle w:val="a3"/>
        <w:widowControl/>
      </w:pPr>
    </w:p>
    <w:p w14:paraId="6263FA5A" w14:textId="77777777" w:rsidR="00093A5E" w:rsidRPr="006A64EE" w:rsidRDefault="00093A5E" w:rsidP="004255F8">
      <w:pPr>
        <w:pStyle w:val="a3"/>
        <w:widowControl/>
      </w:pPr>
    </w:p>
    <w:p w14:paraId="734878C6" w14:textId="77777777" w:rsidR="00093A5E" w:rsidRPr="006A64EE" w:rsidRDefault="00B75195" w:rsidP="004255F8">
      <w:pPr>
        <w:pStyle w:val="tabele"/>
        <w:widowControl/>
      </w:pPr>
      <w:r w:rsidRPr="006A64EE">
        <w:t>8.</w:t>
      </w:r>
      <w:r w:rsidRPr="006A64EE">
        <w:tab/>
        <w:t>VERFALLDATUM</w:t>
      </w:r>
    </w:p>
    <w:p w14:paraId="3E4E3C1D" w14:textId="77777777" w:rsidR="00093A5E" w:rsidRPr="006A64EE" w:rsidRDefault="00093A5E" w:rsidP="004255F8">
      <w:pPr>
        <w:pStyle w:val="a3"/>
        <w:widowControl/>
      </w:pPr>
    </w:p>
    <w:p w14:paraId="7184E344" w14:textId="77777777" w:rsidR="00093A5E" w:rsidRPr="006A64EE" w:rsidRDefault="009C2544" w:rsidP="004255F8">
      <w:pPr>
        <w:pStyle w:val="a3"/>
        <w:widowControl/>
      </w:pPr>
      <w:r w:rsidRPr="006A64EE">
        <w:t>verwendbar bis</w:t>
      </w:r>
    </w:p>
    <w:p w14:paraId="120F9A92" w14:textId="77777777" w:rsidR="00093A5E" w:rsidRPr="006A64EE" w:rsidRDefault="00093A5E" w:rsidP="004255F8">
      <w:pPr>
        <w:pStyle w:val="a3"/>
        <w:widowControl/>
      </w:pPr>
    </w:p>
    <w:p w14:paraId="7BA9980B" w14:textId="77777777" w:rsidR="00093A5E" w:rsidRPr="006A64EE" w:rsidRDefault="00093A5E" w:rsidP="004255F8">
      <w:pPr>
        <w:pStyle w:val="a3"/>
        <w:widowControl/>
      </w:pPr>
    </w:p>
    <w:p w14:paraId="531768EE" w14:textId="77777777" w:rsidR="00093A5E" w:rsidRPr="006A64EE" w:rsidRDefault="00B117D3" w:rsidP="00E66AB0">
      <w:pPr>
        <w:pStyle w:val="tabele"/>
        <w:keepNext/>
        <w:keepLines/>
        <w:widowControl/>
      </w:pPr>
      <w:r w:rsidRPr="006A64EE">
        <w:lastRenderedPageBreak/>
        <w:t>9.</w:t>
      </w:r>
      <w:r w:rsidRPr="006A64EE">
        <w:tab/>
        <w:t>BESONDERE VORSICHTSMASSNAHMEN FÜR DIE AUFBEWAHRUNG</w:t>
      </w:r>
    </w:p>
    <w:p w14:paraId="44214BA0" w14:textId="77777777" w:rsidR="00093A5E" w:rsidRPr="006A64EE" w:rsidRDefault="00093A5E" w:rsidP="00E66AB0">
      <w:pPr>
        <w:keepNext/>
        <w:keepLines/>
        <w:widowControl/>
      </w:pPr>
    </w:p>
    <w:p w14:paraId="77479550" w14:textId="43DD1D3F" w:rsidR="00093A5E" w:rsidRPr="006A64EE" w:rsidRDefault="009C2544" w:rsidP="00E66AB0">
      <w:pPr>
        <w:keepNext/>
        <w:keepLines/>
        <w:widowControl/>
      </w:pPr>
      <w:r w:rsidRPr="006A64EE">
        <w:t>Im Kühlschrank lagern</w:t>
      </w:r>
    </w:p>
    <w:p w14:paraId="51AF0250" w14:textId="560B878F" w:rsidR="00093A5E" w:rsidRPr="006A64EE" w:rsidRDefault="009C2544" w:rsidP="00E66AB0">
      <w:pPr>
        <w:keepNext/>
        <w:keepLines/>
        <w:widowControl/>
      </w:pPr>
      <w:r w:rsidRPr="006A64EE">
        <w:t>Nicht einfrieren</w:t>
      </w:r>
    </w:p>
    <w:p w14:paraId="7B9EB443" w14:textId="252F340F" w:rsidR="00093A5E" w:rsidRPr="006A64EE" w:rsidRDefault="009C2544" w:rsidP="004255F8">
      <w:pPr>
        <w:pStyle w:val="a3"/>
        <w:widowControl/>
      </w:pPr>
      <w:r w:rsidRPr="006A64EE">
        <w:t xml:space="preserve">Nach Entnahme aus dem Kühlschrank kann der Fertigpen bis zu </w:t>
      </w:r>
      <w:r w:rsidR="00A27271">
        <w:t>3 </w:t>
      </w:r>
      <w:r w:rsidRPr="006A64EE">
        <w:t>Wochen bei maximal 30 °C aufbewahrt werden</w:t>
      </w:r>
    </w:p>
    <w:p w14:paraId="647E7C09" w14:textId="2E9FCCE9" w:rsidR="00093A5E" w:rsidRPr="006A64EE" w:rsidRDefault="009C2544" w:rsidP="004255F8">
      <w:pPr>
        <w:pStyle w:val="a3"/>
        <w:widowControl/>
      </w:pPr>
      <w:r w:rsidRPr="006A64EE">
        <w:t>Die Fertigpens im Umkarton aufbewahren, um den Inhalt vor Licht und Feuchtigkeit zu schützen</w:t>
      </w:r>
    </w:p>
    <w:p w14:paraId="636960E6" w14:textId="77777777" w:rsidR="00093A5E" w:rsidRPr="006A64EE" w:rsidRDefault="00093A5E" w:rsidP="004255F8">
      <w:pPr>
        <w:pStyle w:val="a3"/>
        <w:widowControl/>
      </w:pPr>
    </w:p>
    <w:p w14:paraId="5CB74C84" w14:textId="77777777" w:rsidR="00093A5E" w:rsidRPr="006A64EE" w:rsidRDefault="00093A5E" w:rsidP="004255F8">
      <w:pPr>
        <w:pStyle w:val="a3"/>
        <w:widowControl/>
      </w:pPr>
    </w:p>
    <w:p w14:paraId="240EA299" w14:textId="77777777" w:rsidR="00093A5E" w:rsidRPr="006A64EE" w:rsidRDefault="00B117D3" w:rsidP="004255F8">
      <w:pPr>
        <w:pStyle w:val="tabele"/>
        <w:widowControl/>
      </w:pPr>
      <w:r w:rsidRPr="006A64EE">
        <w:t>10.</w:t>
      </w:r>
      <w:r w:rsidRPr="006A64EE">
        <w:tab/>
        <w:t>GEGEBENENFALLS BESONDERE VORSICHTSMASSNAHMEN FÜR DIE BESEITIGUNG VON NICHT VERWENDETEM ARZNEIMITTEL ODER DAVON STAMMENDEN ABFALLMATERIALIEN</w:t>
      </w:r>
    </w:p>
    <w:p w14:paraId="6080840C" w14:textId="77777777" w:rsidR="00093A5E" w:rsidRPr="006A64EE" w:rsidRDefault="00093A5E" w:rsidP="004255F8">
      <w:pPr>
        <w:pStyle w:val="a3"/>
        <w:widowControl/>
      </w:pPr>
    </w:p>
    <w:p w14:paraId="3D56B09A" w14:textId="77777777" w:rsidR="00093A5E" w:rsidRPr="006A64EE" w:rsidRDefault="00093A5E" w:rsidP="004255F8">
      <w:pPr>
        <w:pStyle w:val="a3"/>
        <w:widowControl/>
      </w:pPr>
    </w:p>
    <w:p w14:paraId="45F5F33A" w14:textId="77777777" w:rsidR="00093A5E" w:rsidRPr="006A64EE" w:rsidRDefault="00B117D3" w:rsidP="004255F8">
      <w:pPr>
        <w:pStyle w:val="tabele"/>
        <w:widowControl/>
      </w:pPr>
      <w:r w:rsidRPr="006A64EE">
        <w:t>11.</w:t>
      </w:r>
      <w:r w:rsidRPr="006A64EE">
        <w:tab/>
        <w:t>NAME UND ANSCHRIFT DES PHARMAZEUTISCHEN UNTERNEHMERS</w:t>
      </w:r>
    </w:p>
    <w:p w14:paraId="0780C33A" w14:textId="77777777" w:rsidR="00093A5E" w:rsidRPr="006A64EE" w:rsidRDefault="00093A5E" w:rsidP="004255F8">
      <w:pPr>
        <w:pStyle w:val="a3"/>
        <w:widowControl/>
      </w:pPr>
    </w:p>
    <w:p w14:paraId="165F23C2" w14:textId="14B7D9A6" w:rsidR="00A27271" w:rsidRPr="00B320E1" w:rsidRDefault="00A27271" w:rsidP="00A27271">
      <w:pPr>
        <w:keepNext/>
        <w:rPr>
          <w:lang w:val="en-US"/>
        </w:rPr>
      </w:pPr>
      <w:r w:rsidRPr="00B320E1">
        <w:rPr>
          <w:lang w:val="en-US"/>
        </w:rPr>
        <w:t>Celltrion Healthcare Hungary Kft.</w:t>
      </w:r>
    </w:p>
    <w:p w14:paraId="5AEB9813" w14:textId="77777777" w:rsidR="00A27271" w:rsidRPr="00B320E1" w:rsidRDefault="00A27271" w:rsidP="00A27271">
      <w:pPr>
        <w:keepNext/>
        <w:rPr>
          <w:lang w:val="en-US"/>
        </w:rPr>
      </w:pPr>
      <w:r w:rsidRPr="00B320E1">
        <w:rPr>
          <w:lang w:val="en-US"/>
        </w:rPr>
        <w:t>1062 Budapest</w:t>
      </w:r>
    </w:p>
    <w:p w14:paraId="1B35FF80" w14:textId="77777777" w:rsidR="00A27271" w:rsidRPr="00B320E1" w:rsidRDefault="00A27271" w:rsidP="00A27271">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4EC52493" w14:textId="77777777" w:rsidR="00A27271" w:rsidRPr="00B320E1" w:rsidRDefault="00A27271" w:rsidP="00A27271">
      <w:pPr>
        <w:pStyle w:val="a3"/>
        <w:widowControl/>
        <w:rPr>
          <w:lang w:val="en-US"/>
        </w:rPr>
      </w:pPr>
      <w:proofErr w:type="spellStart"/>
      <w:r w:rsidRPr="00B320E1">
        <w:rPr>
          <w:lang w:val="en-US"/>
        </w:rPr>
        <w:t>Ungarn</w:t>
      </w:r>
      <w:proofErr w:type="spellEnd"/>
    </w:p>
    <w:p w14:paraId="30365E6C" w14:textId="77777777" w:rsidR="00093A5E" w:rsidRPr="00B320E1" w:rsidRDefault="00093A5E" w:rsidP="004255F8">
      <w:pPr>
        <w:pStyle w:val="a3"/>
        <w:widowControl/>
        <w:rPr>
          <w:lang w:val="en-US"/>
        </w:rPr>
      </w:pPr>
    </w:p>
    <w:p w14:paraId="30D11620" w14:textId="77777777" w:rsidR="00093A5E" w:rsidRPr="00B320E1" w:rsidRDefault="00093A5E" w:rsidP="004255F8">
      <w:pPr>
        <w:pStyle w:val="a3"/>
        <w:widowControl/>
        <w:rPr>
          <w:lang w:val="en-US"/>
        </w:rPr>
      </w:pPr>
    </w:p>
    <w:p w14:paraId="2668CC34" w14:textId="77777777" w:rsidR="00093A5E" w:rsidRPr="006A64EE" w:rsidRDefault="00B117D3" w:rsidP="004255F8">
      <w:pPr>
        <w:pStyle w:val="tabele"/>
        <w:widowControl/>
      </w:pPr>
      <w:r w:rsidRPr="006A64EE">
        <w:t>12.</w:t>
      </w:r>
      <w:r w:rsidRPr="006A64EE">
        <w:tab/>
        <w:t>ZULASSUNGSNUMMER(N)</w:t>
      </w:r>
    </w:p>
    <w:p w14:paraId="1D6EAB74" w14:textId="77777777" w:rsidR="00093A5E" w:rsidRPr="006A64EE" w:rsidRDefault="00093A5E" w:rsidP="004255F8">
      <w:pPr>
        <w:pStyle w:val="a3"/>
        <w:widowControl/>
      </w:pPr>
    </w:p>
    <w:p w14:paraId="6FD0B037" w14:textId="4E2CED9C" w:rsidR="00A27271" w:rsidRPr="00840707" w:rsidRDefault="00A27271" w:rsidP="00A27271">
      <w:r w:rsidRPr="00840707">
        <w:t>EU/</w:t>
      </w:r>
      <w:r w:rsidR="002F6CA4">
        <w:t>1/24/1896/012 12 (3 x 4) Fertigpens (Bündelpackung)</w:t>
      </w:r>
    </w:p>
    <w:p w14:paraId="65611DAA" w14:textId="77777777" w:rsidR="00093A5E" w:rsidRPr="006A64EE" w:rsidRDefault="00093A5E" w:rsidP="004255F8">
      <w:pPr>
        <w:pStyle w:val="a3"/>
        <w:widowControl/>
      </w:pPr>
    </w:p>
    <w:p w14:paraId="59BBF792" w14:textId="77777777" w:rsidR="00093A5E" w:rsidRPr="006A64EE" w:rsidRDefault="00093A5E" w:rsidP="004255F8">
      <w:pPr>
        <w:pStyle w:val="a3"/>
        <w:widowControl/>
      </w:pPr>
    </w:p>
    <w:p w14:paraId="225D9EA5" w14:textId="77777777" w:rsidR="00093A5E" w:rsidRPr="006A64EE" w:rsidRDefault="00B117D3" w:rsidP="004255F8">
      <w:pPr>
        <w:pStyle w:val="tabele"/>
        <w:widowControl/>
      </w:pPr>
      <w:r w:rsidRPr="006A64EE">
        <w:t>13.</w:t>
      </w:r>
      <w:r w:rsidRPr="006A64EE">
        <w:tab/>
        <w:t>CHARGENBEZEICHNUNG</w:t>
      </w:r>
    </w:p>
    <w:p w14:paraId="7C9BDB95" w14:textId="77777777" w:rsidR="00093A5E" w:rsidRPr="006A64EE" w:rsidRDefault="00093A5E" w:rsidP="004255F8">
      <w:pPr>
        <w:pStyle w:val="a3"/>
        <w:widowControl/>
      </w:pPr>
    </w:p>
    <w:p w14:paraId="7F13A10A" w14:textId="77777777" w:rsidR="00093A5E" w:rsidRPr="006A64EE" w:rsidRDefault="009C2544" w:rsidP="004255F8">
      <w:pPr>
        <w:pStyle w:val="a3"/>
        <w:widowControl/>
      </w:pPr>
      <w:r w:rsidRPr="006A64EE">
        <w:t>Ch.-B.</w:t>
      </w:r>
    </w:p>
    <w:p w14:paraId="2F15FAAA" w14:textId="77777777" w:rsidR="00093A5E" w:rsidRPr="006A64EE" w:rsidRDefault="00093A5E" w:rsidP="004255F8">
      <w:pPr>
        <w:pStyle w:val="a3"/>
        <w:widowControl/>
      </w:pPr>
    </w:p>
    <w:p w14:paraId="793E2A3D" w14:textId="77777777" w:rsidR="00093A5E" w:rsidRPr="006A64EE" w:rsidRDefault="00093A5E" w:rsidP="004255F8">
      <w:pPr>
        <w:pStyle w:val="a3"/>
        <w:widowControl/>
      </w:pPr>
    </w:p>
    <w:p w14:paraId="2896AC3A" w14:textId="77777777" w:rsidR="00093A5E" w:rsidRPr="006A64EE" w:rsidRDefault="00B117D3" w:rsidP="004255F8">
      <w:pPr>
        <w:pStyle w:val="tabele"/>
        <w:widowControl/>
      </w:pPr>
      <w:r w:rsidRPr="006A64EE">
        <w:t>14.</w:t>
      </w:r>
      <w:r w:rsidRPr="006A64EE">
        <w:tab/>
        <w:t>VERKAUFSABGRENZUNG</w:t>
      </w:r>
    </w:p>
    <w:p w14:paraId="3759EC29" w14:textId="77777777" w:rsidR="00093A5E" w:rsidRPr="006A64EE" w:rsidRDefault="00093A5E" w:rsidP="004255F8">
      <w:pPr>
        <w:pStyle w:val="a3"/>
        <w:widowControl/>
      </w:pPr>
    </w:p>
    <w:p w14:paraId="0FC5B87D" w14:textId="77777777" w:rsidR="00093A5E" w:rsidRPr="006A64EE" w:rsidRDefault="00093A5E" w:rsidP="004255F8">
      <w:pPr>
        <w:pStyle w:val="a3"/>
        <w:widowControl/>
      </w:pPr>
    </w:p>
    <w:p w14:paraId="44F48DC3" w14:textId="77777777" w:rsidR="00093A5E" w:rsidRPr="006A64EE" w:rsidRDefault="00B117D3" w:rsidP="004255F8">
      <w:pPr>
        <w:pStyle w:val="tabele"/>
        <w:widowControl/>
      </w:pPr>
      <w:r w:rsidRPr="006A64EE">
        <w:t>15.</w:t>
      </w:r>
      <w:r w:rsidRPr="006A64EE">
        <w:tab/>
        <w:t>HINWEISE FÜR DEN GEBRAUCH</w:t>
      </w:r>
    </w:p>
    <w:p w14:paraId="74EF5B30" w14:textId="77777777" w:rsidR="00093A5E" w:rsidRPr="006A64EE" w:rsidRDefault="00093A5E" w:rsidP="004255F8">
      <w:pPr>
        <w:pStyle w:val="a3"/>
        <w:widowControl/>
      </w:pPr>
    </w:p>
    <w:p w14:paraId="1D8A291D" w14:textId="77777777" w:rsidR="00093A5E" w:rsidRPr="006A64EE" w:rsidRDefault="00093A5E" w:rsidP="004255F8">
      <w:pPr>
        <w:pStyle w:val="a3"/>
        <w:widowControl/>
      </w:pPr>
    </w:p>
    <w:p w14:paraId="451B5FD8" w14:textId="77777777" w:rsidR="00093A5E" w:rsidRPr="006A64EE" w:rsidRDefault="00B117D3" w:rsidP="004255F8">
      <w:pPr>
        <w:pStyle w:val="tabele"/>
        <w:widowControl/>
      </w:pPr>
      <w:r w:rsidRPr="006A64EE">
        <w:t>16.</w:t>
      </w:r>
      <w:r w:rsidRPr="006A64EE">
        <w:tab/>
        <w:t>ANGABEN IN BLINDENSCHRIFT</w:t>
      </w:r>
    </w:p>
    <w:p w14:paraId="4638A906" w14:textId="77777777" w:rsidR="00093A5E" w:rsidRPr="006A64EE" w:rsidRDefault="00093A5E" w:rsidP="004255F8">
      <w:pPr>
        <w:pStyle w:val="a3"/>
        <w:widowControl/>
      </w:pPr>
    </w:p>
    <w:p w14:paraId="0A7D0395" w14:textId="2CA46798" w:rsidR="00093A5E" w:rsidRPr="006A64EE" w:rsidRDefault="00A27271" w:rsidP="004255F8">
      <w:pPr>
        <w:pStyle w:val="a3"/>
        <w:widowControl/>
      </w:pPr>
      <w:r>
        <w:t>avtozma</w:t>
      </w:r>
      <w:r w:rsidRPr="006A64EE">
        <w:t xml:space="preserve"> </w:t>
      </w:r>
      <w:r w:rsidR="009C2544" w:rsidRPr="006A64EE">
        <w:t>162 mg</w:t>
      </w:r>
    </w:p>
    <w:p w14:paraId="78FF2AAA" w14:textId="77777777" w:rsidR="00093A5E" w:rsidRPr="006A64EE" w:rsidRDefault="00093A5E" w:rsidP="004255F8">
      <w:pPr>
        <w:pStyle w:val="a3"/>
        <w:widowControl/>
      </w:pPr>
    </w:p>
    <w:p w14:paraId="7014BD28" w14:textId="77777777" w:rsidR="00093A5E" w:rsidRPr="006A64EE" w:rsidRDefault="00093A5E" w:rsidP="004255F8">
      <w:pPr>
        <w:pStyle w:val="a3"/>
        <w:widowControl/>
      </w:pPr>
    </w:p>
    <w:p w14:paraId="13D43D39" w14:textId="77777777" w:rsidR="00093A5E" w:rsidRPr="006A64EE" w:rsidRDefault="00B117D3" w:rsidP="004255F8">
      <w:pPr>
        <w:pStyle w:val="tabele"/>
        <w:widowControl/>
      </w:pPr>
      <w:r w:rsidRPr="006A64EE">
        <w:t>17.</w:t>
      </w:r>
      <w:r w:rsidRPr="006A64EE">
        <w:tab/>
        <w:t>INDIVIDUELLES ERKENNUNGSMERKMAL – 2D-BARCODE</w:t>
      </w:r>
    </w:p>
    <w:p w14:paraId="503D6469" w14:textId="77777777" w:rsidR="00093A5E" w:rsidRPr="006A64EE" w:rsidRDefault="00093A5E" w:rsidP="004255F8">
      <w:pPr>
        <w:pStyle w:val="a3"/>
        <w:widowControl/>
      </w:pPr>
    </w:p>
    <w:p w14:paraId="221BF5D3" w14:textId="77777777" w:rsidR="00093A5E" w:rsidRPr="006A64EE" w:rsidRDefault="009C2544" w:rsidP="004255F8">
      <w:pPr>
        <w:pStyle w:val="a3"/>
        <w:widowControl/>
        <w:rPr>
          <w:shd w:val="pct15" w:color="auto" w:fill="FFFFFF"/>
        </w:rPr>
      </w:pPr>
      <w:r w:rsidRPr="006A64EE">
        <w:rPr>
          <w:shd w:val="pct15" w:color="auto" w:fill="FFFFFF"/>
        </w:rPr>
        <w:t>&lt;2D-Barcode mit individuellem Erkennungsmerkmal.&gt;</w:t>
      </w:r>
    </w:p>
    <w:p w14:paraId="25B26005" w14:textId="77777777" w:rsidR="00093A5E" w:rsidRPr="006A64EE" w:rsidRDefault="00093A5E" w:rsidP="004255F8">
      <w:pPr>
        <w:pStyle w:val="a3"/>
        <w:widowControl/>
      </w:pPr>
    </w:p>
    <w:p w14:paraId="471A546A" w14:textId="77777777" w:rsidR="00093A5E" w:rsidRPr="006A64EE" w:rsidRDefault="00093A5E" w:rsidP="004255F8">
      <w:pPr>
        <w:pStyle w:val="a3"/>
        <w:widowControl/>
      </w:pPr>
    </w:p>
    <w:p w14:paraId="2B13861F" w14:textId="77777777" w:rsidR="00093A5E" w:rsidRPr="006A64EE" w:rsidRDefault="00B117D3" w:rsidP="00E66AB0">
      <w:pPr>
        <w:pStyle w:val="tabele"/>
        <w:keepNext/>
        <w:widowControl/>
      </w:pPr>
      <w:r w:rsidRPr="006A64EE">
        <w:t>18.</w:t>
      </w:r>
      <w:r w:rsidRPr="006A64EE">
        <w:tab/>
        <w:t>INDIVIDUELLES ERKENNUNGSMERKMAL – VOM MENSCHEN LESBARES FORMAT</w:t>
      </w:r>
    </w:p>
    <w:p w14:paraId="270D271C" w14:textId="77777777" w:rsidR="00093A5E" w:rsidRPr="006A64EE" w:rsidRDefault="00093A5E" w:rsidP="00E66AB0">
      <w:pPr>
        <w:pStyle w:val="a3"/>
        <w:keepNext/>
        <w:widowControl/>
        <w:jc w:val="both"/>
      </w:pPr>
    </w:p>
    <w:p w14:paraId="526441F3" w14:textId="77777777" w:rsidR="00093A5E" w:rsidRPr="006A64EE" w:rsidRDefault="00E66AB0">
      <w:pPr>
        <w:rPr>
          <w:b/>
        </w:rPr>
      </w:pPr>
      <w:r w:rsidRPr="006A64EE">
        <w:br w:type="page"/>
      </w:r>
    </w:p>
    <w:p w14:paraId="003EA803" w14:textId="77777777" w:rsidR="00093A5E" w:rsidRPr="006A64EE" w:rsidRDefault="00CC3AE9" w:rsidP="004255F8">
      <w:pPr>
        <w:pStyle w:val="tabele"/>
        <w:widowControl/>
      </w:pPr>
      <w:r w:rsidRPr="006A64EE">
        <w:lastRenderedPageBreak/>
        <w:t>MINDESTANGABEN AUF KLEINEN BEHÄLTNISSEN</w:t>
      </w:r>
    </w:p>
    <w:p w14:paraId="7EC03CCC" w14:textId="77777777" w:rsidR="00093A5E" w:rsidRPr="006A64EE" w:rsidRDefault="00093A5E" w:rsidP="004255F8">
      <w:pPr>
        <w:pStyle w:val="tabele"/>
        <w:widowControl/>
      </w:pPr>
    </w:p>
    <w:p w14:paraId="288BCF56" w14:textId="77777777" w:rsidR="00093A5E" w:rsidRPr="006A64EE" w:rsidRDefault="00CC3AE9" w:rsidP="004255F8">
      <w:pPr>
        <w:pStyle w:val="tabele"/>
        <w:widowControl/>
      </w:pPr>
      <w:r w:rsidRPr="006A64EE">
        <w:t>DURCHSTECHFLASCHE</w:t>
      </w:r>
    </w:p>
    <w:p w14:paraId="169DDA21" w14:textId="77777777" w:rsidR="00093A5E" w:rsidRPr="006A64EE" w:rsidRDefault="00093A5E" w:rsidP="004255F8">
      <w:pPr>
        <w:widowControl/>
        <w:tabs>
          <w:tab w:val="left" w:pos="669"/>
        </w:tabs>
        <w:rPr>
          <w:b/>
        </w:rPr>
      </w:pPr>
    </w:p>
    <w:p w14:paraId="40C5ED32" w14:textId="77777777" w:rsidR="00093A5E" w:rsidRPr="006A64EE" w:rsidRDefault="00093A5E" w:rsidP="004255F8">
      <w:pPr>
        <w:widowControl/>
        <w:tabs>
          <w:tab w:val="left" w:pos="669"/>
        </w:tabs>
        <w:rPr>
          <w:b/>
        </w:rPr>
      </w:pPr>
    </w:p>
    <w:p w14:paraId="41CA889A" w14:textId="77777777" w:rsidR="00093A5E" w:rsidRPr="006A64EE" w:rsidRDefault="00CC3AE9" w:rsidP="004255F8">
      <w:pPr>
        <w:pStyle w:val="tabele"/>
        <w:widowControl/>
      </w:pPr>
      <w:r w:rsidRPr="006A64EE">
        <w:t>1.</w:t>
      </w:r>
      <w:r w:rsidRPr="006A64EE">
        <w:tab/>
        <w:t>BEZEICHNUNG DES ARZNEIMITTELS SOWIE ART(EN) DER ANWENDUNG</w:t>
      </w:r>
    </w:p>
    <w:p w14:paraId="11E743BB" w14:textId="77777777" w:rsidR="00093A5E" w:rsidRPr="006A64EE" w:rsidRDefault="00093A5E" w:rsidP="004255F8">
      <w:pPr>
        <w:pStyle w:val="a3"/>
        <w:widowControl/>
      </w:pPr>
    </w:p>
    <w:p w14:paraId="4C799D0A" w14:textId="1A086E41" w:rsidR="00093A5E" w:rsidRPr="006A64EE" w:rsidRDefault="00494CFF" w:rsidP="004255F8">
      <w:pPr>
        <w:pStyle w:val="a3"/>
        <w:widowControl/>
      </w:pPr>
      <w:r>
        <w:t>Avtozma</w:t>
      </w:r>
      <w:r w:rsidRPr="006A64EE">
        <w:t xml:space="preserve"> </w:t>
      </w:r>
      <w:r w:rsidR="009C2544" w:rsidRPr="006A64EE">
        <w:t>20 mg/ml steriles Konzentrat</w:t>
      </w:r>
    </w:p>
    <w:p w14:paraId="09EA76DF" w14:textId="77777777" w:rsidR="00093A5E" w:rsidRPr="006A64EE" w:rsidRDefault="009C2544" w:rsidP="004255F8">
      <w:pPr>
        <w:pStyle w:val="a3"/>
        <w:widowControl/>
      </w:pPr>
      <w:r w:rsidRPr="006A64EE">
        <w:t>Tocilizumab</w:t>
      </w:r>
    </w:p>
    <w:p w14:paraId="40079364" w14:textId="77777777" w:rsidR="00093A5E" w:rsidRPr="006A64EE" w:rsidRDefault="009C2544" w:rsidP="004255F8">
      <w:pPr>
        <w:pStyle w:val="a3"/>
        <w:widowControl/>
      </w:pPr>
      <w:r w:rsidRPr="006A64EE">
        <w:t>i.v.</w:t>
      </w:r>
    </w:p>
    <w:p w14:paraId="7DAE4735" w14:textId="77777777" w:rsidR="00093A5E" w:rsidRPr="006A64EE" w:rsidRDefault="00093A5E" w:rsidP="004255F8">
      <w:pPr>
        <w:pStyle w:val="a3"/>
        <w:widowControl/>
      </w:pPr>
    </w:p>
    <w:p w14:paraId="21EEB1F8" w14:textId="77777777" w:rsidR="00093A5E" w:rsidRPr="006A64EE" w:rsidRDefault="00093A5E" w:rsidP="004255F8">
      <w:pPr>
        <w:pStyle w:val="a3"/>
        <w:widowControl/>
      </w:pPr>
    </w:p>
    <w:p w14:paraId="5134DCEA" w14:textId="77777777" w:rsidR="00093A5E" w:rsidRPr="006A64EE" w:rsidRDefault="00CC3AE9" w:rsidP="004255F8">
      <w:pPr>
        <w:pStyle w:val="tabele"/>
        <w:widowControl/>
      </w:pPr>
      <w:r w:rsidRPr="006A64EE">
        <w:t>2.</w:t>
      </w:r>
      <w:r w:rsidRPr="006A64EE">
        <w:tab/>
        <w:t>HINWEISE ZUR ANWENDUNG</w:t>
      </w:r>
    </w:p>
    <w:p w14:paraId="740BDF63" w14:textId="77777777" w:rsidR="00093A5E" w:rsidRPr="006A64EE" w:rsidRDefault="00093A5E" w:rsidP="004255F8">
      <w:pPr>
        <w:pStyle w:val="a3"/>
        <w:widowControl/>
      </w:pPr>
    </w:p>
    <w:p w14:paraId="550099CA" w14:textId="07F4A647" w:rsidR="00093A5E" w:rsidRPr="006A64EE" w:rsidRDefault="009C2544" w:rsidP="004255F8">
      <w:pPr>
        <w:pStyle w:val="a3"/>
        <w:widowControl/>
      </w:pPr>
      <w:r w:rsidRPr="006A64EE">
        <w:t>Zur i.v.</w:t>
      </w:r>
      <w:r w:rsidR="00494CFF">
        <w:t>-Anwendung</w:t>
      </w:r>
    </w:p>
    <w:p w14:paraId="1318ACF5" w14:textId="77777777" w:rsidR="00093A5E" w:rsidRPr="006A64EE" w:rsidRDefault="00093A5E" w:rsidP="004255F8">
      <w:pPr>
        <w:pStyle w:val="a3"/>
        <w:widowControl/>
      </w:pPr>
    </w:p>
    <w:p w14:paraId="34AFECED" w14:textId="77777777" w:rsidR="00093A5E" w:rsidRPr="006A64EE" w:rsidRDefault="00093A5E" w:rsidP="004255F8">
      <w:pPr>
        <w:pStyle w:val="a3"/>
        <w:widowControl/>
      </w:pPr>
    </w:p>
    <w:p w14:paraId="7985E50B" w14:textId="77777777" w:rsidR="00093A5E" w:rsidRPr="006A64EE" w:rsidRDefault="00CC3AE9" w:rsidP="004255F8">
      <w:pPr>
        <w:pStyle w:val="tabele"/>
        <w:widowControl/>
      </w:pPr>
      <w:r w:rsidRPr="006A64EE">
        <w:t>3.</w:t>
      </w:r>
      <w:r w:rsidRPr="006A64EE">
        <w:tab/>
        <w:t>VERFALLDATUM</w:t>
      </w:r>
    </w:p>
    <w:p w14:paraId="20B0C571" w14:textId="77777777" w:rsidR="00093A5E" w:rsidRPr="006A64EE" w:rsidRDefault="00093A5E" w:rsidP="004255F8">
      <w:pPr>
        <w:pStyle w:val="a3"/>
        <w:widowControl/>
      </w:pPr>
    </w:p>
    <w:p w14:paraId="0670E293" w14:textId="77777777" w:rsidR="00093A5E" w:rsidRPr="006A64EE" w:rsidRDefault="009C2544" w:rsidP="004255F8">
      <w:pPr>
        <w:pStyle w:val="a3"/>
        <w:widowControl/>
      </w:pPr>
      <w:r w:rsidRPr="006A64EE">
        <w:t>EXP</w:t>
      </w:r>
    </w:p>
    <w:p w14:paraId="33B0DB53" w14:textId="77777777" w:rsidR="00093A5E" w:rsidRPr="006A64EE" w:rsidRDefault="00093A5E" w:rsidP="004255F8">
      <w:pPr>
        <w:pStyle w:val="a3"/>
        <w:widowControl/>
      </w:pPr>
    </w:p>
    <w:p w14:paraId="22DAC24A" w14:textId="77777777" w:rsidR="00093A5E" w:rsidRPr="006A64EE" w:rsidRDefault="00093A5E" w:rsidP="004255F8">
      <w:pPr>
        <w:pStyle w:val="a3"/>
        <w:widowControl/>
      </w:pPr>
    </w:p>
    <w:p w14:paraId="1C071D6F" w14:textId="77777777" w:rsidR="00093A5E" w:rsidRPr="006A64EE" w:rsidRDefault="00CC3AE9" w:rsidP="004255F8">
      <w:pPr>
        <w:pStyle w:val="tabele"/>
        <w:widowControl/>
      </w:pPr>
      <w:r w:rsidRPr="006A64EE">
        <w:t>4.</w:t>
      </w:r>
      <w:r w:rsidRPr="006A64EE">
        <w:tab/>
        <w:t>CHARGENBEZEICHNUNG</w:t>
      </w:r>
    </w:p>
    <w:p w14:paraId="5800FB1F" w14:textId="77777777" w:rsidR="00093A5E" w:rsidRPr="006A64EE" w:rsidRDefault="00093A5E" w:rsidP="004255F8">
      <w:pPr>
        <w:pStyle w:val="a3"/>
        <w:widowControl/>
      </w:pPr>
    </w:p>
    <w:p w14:paraId="22EC2F81" w14:textId="77777777" w:rsidR="00093A5E" w:rsidRPr="006A64EE" w:rsidRDefault="009C2544" w:rsidP="004255F8">
      <w:pPr>
        <w:pStyle w:val="a3"/>
        <w:widowControl/>
      </w:pPr>
      <w:r w:rsidRPr="006A64EE">
        <w:t>Lot</w:t>
      </w:r>
    </w:p>
    <w:p w14:paraId="59E72A40" w14:textId="77777777" w:rsidR="00093A5E" w:rsidRPr="006A64EE" w:rsidRDefault="00093A5E" w:rsidP="004255F8">
      <w:pPr>
        <w:pStyle w:val="a3"/>
        <w:widowControl/>
      </w:pPr>
    </w:p>
    <w:p w14:paraId="144CB08B" w14:textId="77777777" w:rsidR="00093A5E" w:rsidRPr="006A64EE" w:rsidRDefault="00093A5E" w:rsidP="004255F8">
      <w:pPr>
        <w:pStyle w:val="a3"/>
        <w:widowControl/>
      </w:pPr>
    </w:p>
    <w:p w14:paraId="521414A6" w14:textId="77777777" w:rsidR="00093A5E" w:rsidRPr="006A64EE" w:rsidRDefault="00CC3AE9" w:rsidP="004255F8">
      <w:pPr>
        <w:pStyle w:val="tabele"/>
        <w:widowControl/>
      </w:pPr>
      <w:r w:rsidRPr="006A64EE">
        <w:t>5.</w:t>
      </w:r>
      <w:r w:rsidRPr="006A64EE">
        <w:tab/>
        <w:t>INHALT NACH GEWICHT, VOLUMEN ODER EINHEITEN</w:t>
      </w:r>
    </w:p>
    <w:p w14:paraId="67690C27" w14:textId="77777777" w:rsidR="00093A5E" w:rsidRPr="006A64EE" w:rsidRDefault="00093A5E" w:rsidP="004255F8">
      <w:pPr>
        <w:pStyle w:val="a3"/>
        <w:widowControl/>
      </w:pPr>
    </w:p>
    <w:p w14:paraId="6EEFC27A" w14:textId="77777777" w:rsidR="00093A5E" w:rsidRPr="006A64EE" w:rsidRDefault="009C2544" w:rsidP="004255F8">
      <w:pPr>
        <w:pStyle w:val="a3"/>
        <w:widowControl/>
      </w:pPr>
      <w:r w:rsidRPr="006A64EE">
        <w:t>80 mg/4 ml</w:t>
      </w:r>
    </w:p>
    <w:p w14:paraId="7F04B03D" w14:textId="77777777" w:rsidR="00093A5E" w:rsidRPr="006A64EE" w:rsidRDefault="00093A5E" w:rsidP="004255F8">
      <w:pPr>
        <w:pStyle w:val="a3"/>
        <w:widowControl/>
      </w:pPr>
    </w:p>
    <w:p w14:paraId="71E9FFFB" w14:textId="77777777" w:rsidR="00093A5E" w:rsidRPr="006A64EE" w:rsidRDefault="00093A5E" w:rsidP="004255F8">
      <w:pPr>
        <w:pStyle w:val="a3"/>
        <w:widowControl/>
      </w:pPr>
    </w:p>
    <w:p w14:paraId="6F3C9093" w14:textId="77777777" w:rsidR="00093A5E" w:rsidRPr="006A64EE" w:rsidRDefault="00CC3AE9" w:rsidP="004255F8">
      <w:pPr>
        <w:pStyle w:val="tabele"/>
        <w:widowControl/>
      </w:pPr>
      <w:r w:rsidRPr="006A64EE">
        <w:t>6.</w:t>
      </w:r>
      <w:r w:rsidRPr="006A64EE">
        <w:tab/>
        <w:t>WEITERE ANGABEN</w:t>
      </w:r>
    </w:p>
    <w:p w14:paraId="01835C08" w14:textId="77777777" w:rsidR="00093A5E" w:rsidRPr="006A64EE" w:rsidRDefault="00093A5E" w:rsidP="004255F8">
      <w:pPr>
        <w:widowControl/>
      </w:pPr>
    </w:p>
    <w:p w14:paraId="4B86EBDD" w14:textId="77777777" w:rsidR="00093A5E" w:rsidRPr="006A64EE" w:rsidRDefault="00CC3AE9" w:rsidP="004255F8">
      <w:pPr>
        <w:widowControl/>
      </w:pPr>
      <w:r w:rsidRPr="006A64EE">
        <w:br w:type="page"/>
      </w:r>
    </w:p>
    <w:p w14:paraId="0D11B09B" w14:textId="77777777" w:rsidR="00093A5E" w:rsidRPr="006A64EE" w:rsidRDefault="00CC3AE9" w:rsidP="004255F8">
      <w:pPr>
        <w:pStyle w:val="tabele"/>
        <w:widowControl/>
      </w:pPr>
      <w:r w:rsidRPr="006A64EE">
        <w:lastRenderedPageBreak/>
        <w:t>MINDESTANGABEN AUF KLEINEN BEHÄLTNISSEN</w:t>
      </w:r>
    </w:p>
    <w:p w14:paraId="7AB0EBDE" w14:textId="77777777" w:rsidR="00093A5E" w:rsidRPr="006A64EE" w:rsidRDefault="00093A5E" w:rsidP="004255F8">
      <w:pPr>
        <w:pStyle w:val="tabele"/>
        <w:widowControl/>
      </w:pPr>
    </w:p>
    <w:p w14:paraId="201CD849" w14:textId="77777777" w:rsidR="00093A5E" w:rsidRPr="006A64EE" w:rsidRDefault="00CC3AE9" w:rsidP="004255F8">
      <w:pPr>
        <w:pStyle w:val="tabele"/>
        <w:widowControl/>
      </w:pPr>
      <w:r w:rsidRPr="006A64EE">
        <w:t>DURCHSTECHFLASCHE</w:t>
      </w:r>
    </w:p>
    <w:p w14:paraId="0DA23E77" w14:textId="77777777" w:rsidR="00093A5E" w:rsidRPr="006A64EE" w:rsidRDefault="00093A5E" w:rsidP="004255F8">
      <w:pPr>
        <w:widowControl/>
        <w:tabs>
          <w:tab w:val="left" w:pos="669"/>
        </w:tabs>
        <w:rPr>
          <w:b/>
        </w:rPr>
      </w:pPr>
    </w:p>
    <w:p w14:paraId="24431BD2" w14:textId="77777777" w:rsidR="00093A5E" w:rsidRPr="006A64EE" w:rsidRDefault="00093A5E" w:rsidP="004255F8">
      <w:pPr>
        <w:widowControl/>
        <w:tabs>
          <w:tab w:val="left" w:pos="669"/>
        </w:tabs>
        <w:rPr>
          <w:b/>
        </w:rPr>
      </w:pPr>
    </w:p>
    <w:p w14:paraId="34841CDB" w14:textId="77777777" w:rsidR="00093A5E" w:rsidRPr="006A64EE" w:rsidRDefault="00CC3AE9" w:rsidP="004255F8">
      <w:pPr>
        <w:pStyle w:val="tabele"/>
        <w:widowControl/>
      </w:pPr>
      <w:r w:rsidRPr="006A64EE">
        <w:t>1.</w:t>
      </w:r>
      <w:r w:rsidRPr="006A64EE">
        <w:tab/>
        <w:t>BEZEICHNUNG DES ARZNEIMITTELS SOWIE ART(EN) DER ANWENDUNG</w:t>
      </w:r>
    </w:p>
    <w:p w14:paraId="4B53C09E" w14:textId="77777777" w:rsidR="00093A5E" w:rsidRPr="006A64EE" w:rsidRDefault="00093A5E" w:rsidP="004255F8">
      <w:pPr>
        <w:pStyle w:val="a3"/>
        <w:widowControl/>
      </w:pPr>
    </w:p>
    <w:p w14:paraId="202B3B33" w14:textId="507A75C6" w:rsidR="00093A5E" w:rsidRPr="006A64EE" w:rsidRDefault="00494CFF" w:rsidP="004255F8">
      <w:pPr>
        <w:pStyle w:val="a3"/>
        <w:widowControl/>
      </w:pPr>
      <w:r>
        <w:t>Avtozma</w:t>
      </w:r>
      <w:r w:rsidRPr="006A64EE">
        <w:t xml:space="preserve"> </w:t>
      </w:r>
      <w:r w:rsidR="009C2544" w:rsidRPr="006A64EE">
        <w:t>20 mg/ml steriles Konzentrat</w:t>
      </w:r>
    </w:p>
    <w:p w14:paraId="2C3172CC" w14:textId="77777777" w:rsidR="00093A5E" w:rsidRPr="006A64EE" w:rsidRDefault="009C2544" w:rsidP="004255F8">
      <w:pPr>
        <w:pStyle w:val="a3"/>
        <w:widowControl/>
      </w:pPr>
      <w:r w:rsidRPr="006A64EE">
        <w:t>Tocilizumab</w:t>
      </w:r>
    </w:p>
    <w:p w14:paraId="2D5FC241" w14:textId="77777777" w:rsidR="00093A5E" w:rsidRPr="006A64EE" w:rsidRDefault="009C2544" w:rsidP="004255F8">
      <w:pPr>
        <w:pStyle w:val="a3"/>
        <w:widowControl/>
      </w:pPr>
      <w:r w:rsidRPr="006A64EE">
        <w:t>i.v.</w:t>
      </w:r>
    </w:p>
    <w:p w14:paraId="4DABFA27" w14:textId="77777777" w:rsidR="00093A5E" w:rsidRPr="006A64EE" w:rsidRDefault="00093A5E" w:rsidP="004255F8">
      <w:pPr>
        <w:pStyle w:val="a3"/>
        <w:widowControl/>
      </w:pPr>
    </w:p>
    <w:p w14:paraId="59A876AB" w14:textId="77777777" w:rsidR="00093A5E" w:rsidRPr="006A64EE" w:rsidRDefault="00093A5E" w:rsidP="004255F8">
      <w:pPr>
        <w:pStyle w:val="a3"/>
        <w:widowControl/>
      </w:pPr>
    </w:p>
    <w:p w14:paraId="7F220BE7" w14:textId="77777777" w:rsidR="00093A5E" w:rsidRPr="006A64EE" w:rsidRDefault="00CC3AE9" w:rsidP="004255F8">
      <w:pPr>
        <w:pStyle w:val="tabele"/>
        <w:widowControl/>
      </w:pPr>
      <w:r w:rsidRPr="006A64EE">
        <w:t>2.</w:t>
      </w:r>
      <w:r w:rsidRPr="006A64EE">
        <w:tab/>
        <w:t>HINWEISE ZUR ANWENDUNG</w:t>
      </w:r>
    </w:p>
    <w:p w14:paraId="582F9B8C" w14:textId="77777777" w:rsidR="00093A5E" w:rsidRPr="006A64EE" w:rsidRDefault="00093A5E" w:rsidP="004255F8">
      <w:pPr>
        <w:pStyle w:val="a3"/>
        <w:widowControl/>
      </w:pPr>
    </w:p>
    <w:p w14:paraId="0396DD41" w14:textId="1F514E90" w:rsidR="00093A5E" w:rsidRPr="006A64EE" w:rsidRDefault="009C2544" w:rsidP="004255F8">
      <w:pPr>
        <w:pStyle w:val="a3"/>
        <w:widowControl/>
      </w:pPr>
      <w:r w:rsidRPr="006A64EE">
        <w:t>Zur i.v.</w:t>
      </w:r>
      <w:r w:rsidR="00494CFF">
        <w:t>-Anwendung</w:t>
      </w:r>
    </w:p>
    <w:p w14:paraId="4DB2C4BA" w14:textId="77777777" w:rsidR="00093A5E" w:rsidRPr="006A64EE" w:rsidRDefault="00093A5E" w:rsidP="004255F8">
      <w:pPr>
        <w:pStyle w:val="a3"/>
        <w:widowControl/>
      </w:pPr>
    </w:p>
    <w:p w14:paraId="5E3203A9" w14:textId="77777777" w:rsidR="00093A5E" w:rsidRPr="006A64EE" w:rsidRDefault="00093A5E" w:rsidP="004255F8">
      <w:pPr>
        <w:pStyle w:val="a3"/>
        <w:widowControl/>
      </w:pPr>
    </w:p>
    <w:p w14:paraId="455652D8" w14:textId="77777777" w:rsidR="00093A5E" w:rsidRPr="006A64EE" w:rsidRDefault="00CC3AE9" w:rsidP="004255F8">
      <w:pPr>
        <w:pStyle w:val="tabele"/>
        <w:widowControl/>
      </w:pPr>
      <w:r w:rsidRPr="006A64EE">
        <w:t>3.</w:t>
      </w:r>
      <w:r w:rsidRPr="006A64EE">
        <w:tab/>
        <w:t>VERFALLDATUM</w:t>
      </w:r>
    </w:p>
    <w:p w14:paraId="1BB4F2E0" w14:textId="77777777" w:rsidR="00093A5E" w:rsidRPr="006A64EE" w:rsidRDefault="00093A5E" w:rsidP="004255F8">
      <w:pPr>
        <w:pStyle w:val="a3"/>
        <w:widowControl/>
      </w:pPr>
    </w:p>
    <w:p w14:paraId="40EF7A6D" w14:textId="77777777" w:rsidR="00093A5E" w:rsidRPr="006A64EE" w:rsidRDefault="009C2544" w:rsidP="004255F8">
      <w:pPr>
        <w:pStyle w:val="a3"/>
        <w:widowControl/>
      </w:pPr>
      <w:r w:rsidRPr="006A64EE">
        <w:t>EXP</w:t>
      </w:r>
    </w:p>
    <w:p w14:paraId="3E387560" w14:textId="77777777" w:rsidR="00093A5E" w:rsidRPr="006A64EE" w:rsidRDefault="00093A5E" w:rsidP="004255F8">
      <w:pPr>
        <w:pStyle w:val="a3"/>
        <w:widowControl/>
      </w:pPr>
    </w:p>
    <w:p w14:paraId="5009456A" w14:textId="79D19385" w:rsidR="00093A5E" w:rsidRPr="006A64EE" w:rsidRDefault="00A16FF2" w:rsidP="004255F8">
      <w:pPr>
        <w:pStyle w:val="a3"/>
        <w:widowControl/>
      </w:pPr>
      <w:r>
        <w:rPr>
          <w:noProof/>
          <w:lang w:val="en-US" w:eastAsia="ko-KR"/>
        </w:rPr>
        <mc:AlternateContent>
          <mc:Choice Requires="wps">
            <w:drawing>
              <wp:anchor distT="0" distB="0" distL="0" distR="0" simplePos="0" relativeHeight="251658297" behindDoc="1" locked="0" layoutInCell="1" allowOverlap="1" wp14:anchorId="075BC735" wp14:editId="0B593EF9">
                <wp:simplePos x="0" y="0"/>
                <wp:positionH relativeFrom="page">
                  <wp:posOffset>903605</wp:posOffset>
                </wp:positionH>
                <wp:positionV relativeFrom="paragraph">
                  <wp:posOffset>183515</wp:posOffset>
                </wp:positionV>
                <wp:extent cx="5893435" cy="166370"/>
                <wp:effectExtent l="0" t="0" r="0" b="5080"/>
                <wp:wrapTopAndBottom/>
                <wp:docPr id="612414663"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3435" cy="166370"/>
                        </a:xfrm>
                        <a:prstGeom prst="rect">
                          <a:avLst/>
                        </a:prstGeom>
                        <a:ln w="6096">
                          <a:solidFill>
                            <a:srgbClr val="000000"/>
                          </a:solidFill>
                          <a:prstDash val="solid"/>
                        </a:ln>
                      </wps:spPr>
                      <wps:txbx>
                        <w:txbxContent>
                          <w:p w14:paraId="6E99C001" w14:textId="77777777" w:rsidR="00456610" w:rsidRDefault="00456610">
                            <w:pPr>
                              <w:tabs>
                                <w:tab w:val="left" w:pos="669"/>
                              </w:tabs>
                              <w:spacing w:line="252" w:lineRule="exact"/>
                              <w:ind w:left="103"/>
                              <w:rPr>
                                <w:b/>
                              </w:rPr>
                            </w:pPr>
                            <w:r>
                              <w:rPr>
                                <w:b/>
                                <w:spacing w:val="-5"/>
                              </w:rPr>
                              <w:t>4.</w:t>
                            </w:r>
                            <w:r>
                              <w:rPr>
                                <w:b/>
                              </w:rPr>
                              <w:tab/>
                            </w:r>
                            <w:r>
                              <w:rPr>
                                <w:b/>
                                <w:spacing w:val="-2"/>
                              </w:rPr>
                              <w:t>CHARGENBEZEICHNUNG</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75BC735" id="Text Box 121" o:spid="_x0000_s1027" type="#_x0000_t202" style="position:absolute;margin-left:71.15pt;margin-top:14.45pt;width:464.05pt;height:13.1pt;z-index:-25165818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" filled="f" strokeweight=".48pt">
                <v:path arrowok="t"/>
                <v:textbox inset="0,0,0,0">
                  <w:txbxContent>
                    <w:p w14:paraId="6E99C001" w14:textId="77777777" w:rsidR="00456610" w:rsidRDefault="00456610">
                      <w:pPr>
                        <w:tabs>
                          <w:tab w:val="left" w:pos="669"/>
                        </w:tabs>
                        <w:spacing w:line="252" w:lineRule="exact"/>
                        <w:ind w:left="103"/>
                        <w:rPr>
                          <w:b/>
                        </w:rPr>
                      </w:pPr>
                      <w:r>
                        <w:rPr>
                          <w:b/>
                          <w:spacing w:val="-5"/>
                        </w:rPr>
                        <w:t>4.</w:t>
                      </w:r>
                      <w:r>
                        <w:rPr>
                          <w:b/>
                        </w:rPr>
                        <w:tab/>
                      </w:r>
                      <w:r>
                        <w:rPr>
                          <w:b/>
                          <w:spacing w:val="-2"/>
                        </w:rPr>
                        <w:t>CHARGENBEZEICHNUNG</w:t>
                      </w:r>
                    </w:p>
                  </w:txbxContent>
                </v:textbox>
                <w10:wrap type="topAndBottom" anchorx="page"/>
              </v:shape>
            </w:pict>
          </mc:Fallback>
        </mc:AlternateContent>
      </w:r>
    </w:p>
    <w:p w14:paraId="0EB8D225" w14:textId="77777777" w:rsidR="00093A5E" w:rsidRPr="006A64EE" w:rsidRDefault="00093A5E" w:rsidP="004255F8">
      <w:pPr>
        <w:pStyle w:val="a3"/>
        <w:widowControl/>
      </w:pPr>
    </w:p>
    <w:p w14:paraId="5889F5C1" w14:textId="77777777" w:rsidR="00093A5E" w:rsidRPr="006A64EE" w:rsidRDefault="009C2544" w:rsidP="004255F8">
      <w:pPr>
        <w:pStyle w:val="a3"/>
        <w:widowControl/>
      </w:pPr>
      <w:r w:rsidRPr="006A64EE">
        <w:t>Lot</w:t>
      </w:r>
    </w:p>
    <w:p w14:paraId="3FA5D351" w14:textId="77777777" w:rsidR="00093A5E" w:rsidRPr="006A64EE" w:rsidRDefault="00093A5E" w:rsidP="004255F8">
      <w:pPr>
        <w:pStyle w:val="a3"/>
        <w:widowControl/>
      </w:pPr>
    </w:p>
    <w:p w14:paraId="7A4E2668" w14:textId="628895E9" w:rsidR="00093A5E" w:rsidRPr="006A64EE" w:rsidRDefault="00A16FF2" w:rsidP="004255F8">
      <w:pPr>
        <w:pStyle w:val="a3"/>
        <w:widowControl/>
      </w:pPr>
      <w:r>
        <w:rPr>
          <w:noProof/>
          <w:lang w:val="en-US" w:eastAsia="ko-KR"/>
        </w:rPr>
        <mc:AlternateContent>
          <mc:Choice Requires="wps">
            <w:drawing>
              <wp:anchor distT="0" distB="0" distL="0" distR="0" simplePos="0" relativeHeight="251658298" behindDoc="1" locked="0" layoutInCell="1" allowOverlap="1" wp14:anchorId="16E2329B" wp14:editId="4F64A130">
                <wp:simplePos x="0" y="0"/>
                <wp:positionH relativeFrom="page">
                  <wp:posOffset>903605</wp:posOffset>
                </wp:positionH>
                <wp:positionV relativeFrom="paragraph">
                  <wp:posOffset>181610</wp:posOffset>
                </wp:positionV>
                <wp:extent cx="5893435" cy="167640"/>
                <wp:effectExtent l="0" t="0" r="0" b="3810"/>
                <wp:wrapTopAndBottom/>
                <wp:docPr id="3731170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3435" cy="167640"/>
                        </a:xfrm>
                        <a:prstGeom prst="rect">
                          <a:avLst/>
                        </a:prstGeom>
                        <a:ln w="6096">
                          <a:solidFill>
                            <a:srgbClr val="000000"/>
                          </a:solidFill>
                          <a:prstDash val="solid"/>
                        </a:ln>
                      </wps:spPr>
                      <wps:txbx>
                        <w:txbxContent>
                          <w:p w14:paraId="78BDC02F" w14:textId="77777777" w:rsidR="00456610" w:rsidRDefault="00456610">
                            <w:pPr>
                              <w:tabs>
                                <w:tab w:val="left" w:pos="669"/>
                              </w:tabs>
                              <w:spacing w:line="252" w:lineRule="exact"/>
                              <w:ind w:left="103"/>
                              <w:rPr>
                                <w:b/>
                              </w:rPr>
                            </w:pPr>
                            <w:r>
                              <w:rPr>
                                <w:b/>
                                <w:spacing w:val="-5"/>
                              </w:rPr>
                              <w:t>5.</w:t>
                            </w:r>
                            <w:r>
                              <w:rPr>
                                <w:b/>
                              </w:rPr>
                              <w:tab/>
                              <w:t>INHALT</w:t>
                            </w:r>
                            <w:r>
                              <w:rPr>
                                <w:b/>
                                <w:spacing w:val="-8"/>
                              </w:rPr>
                              <w:t xml:space="preserve"> </w:t>
                            </w:r>
                            <w:r>
                              <w:rPr>
                                <w:b/>
                              </w:rPr>
                              <w:t>NACH</w:t>
                            </w:r>
                            <w:r>
                              <w:rPr>
                                <w:b/>
                                <w:spacing w:val="-4"/>
                              </w:rPr>
                              <w:t xml:space="preserve"> </w:t>
                            </w:r>
                            <w:r>
                              <w:rPr>
                                <w:b/>
                              </w:rPr>
                              <w:t>GEWICHT,</w:t>
                            </w:r>
                            <w:r>
                              <w:rPr>
                                <w:b/>
                                <w:spacing w:val="-5"/>
                              </w:rPr>
                              <w:t xml:space="preserve"> </w:t>
                            </w:r>
                            <w:r>
                              <w:rPr>
                                <w:b/>
                              </w:rPr>
                              <w:t>VOLUMEN</w:t>
                            </w:r>
                            <w:r>
                              <w:rPr>
                                <w:b/>
                                <w:spacing w:val="-9"/>
                              </w:rPr>
                              <w:t xml:space="preserve"> </w:t>
                            </w:r>
                            <w:r>
                              <w:rPr>
                                <w:b/>
                              </w:rPr>
                              <w:t>ODER</w:t>
                            </w:r>
                            <w:r>
                              <w:rPr>
                                <w:b/>
                                <w:spacing w:val="-5"/>
                              </w:rPr>
                              <w:t xml:space="preserve"> </w:t>
                            </w:r>
                            <w:r>
                              <w:rPr>
                                <w:b/>
                                <w:spacing w:val="-2"/>
                              </w:rPr>
                              <w:t>EINHEITEN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6E2329B" id="Text Box 119" o:spid="_x0000_s1028" type="#_x0000_t202" style="position:absolute;margin-left:71.15pt;margin-top:14.3pt;width:464.05pt;height:13.2pt;z-index:-25165818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" filled="f" strokeweight=".48pt">
                <v:path arrowok="t"/>
                <v:textbox inset="0,0,0,0">
                  <w:txbxContent>
                    <w:p w14:paraId="78BDC02F" w14:textId="77777777" w:rsidR="00456610" w:rsidRDefault="00456610">
                      <w:pPr>
                        <w:tabs>
                          <w:tab w:val="left" w:pos="669"/>
                        </w:tabs>
                        <w:spacing w:line="252" w:lineRule="exact"/>
                        <w:ind w:left="103"/>
                        <w:rPr>
                          <w:b/>
                        </w:rPr>
                      </w:pPr>
                      <w:r>
                        <w:rPr>
                          <w:b/>
                          <w:spacing w:val="-5"/>
                        </w:rPr>
                        <w:t>5.</w:t>
                      </w:r>
                      <w:r>
                        <w:rPr>
                          <w:b/>
                        </w:rPr>
                        <w:tab/>
                        <w:t>INHALT</w:t>
                      </w:r>
                      <w:r>
                        <w:rPr>
                          <w:b/>
                          <w:spacing w:val="-8"/>
                        </w:rPr>
                        <w:t xml:space="preserve"> </w:t>
                      </w:r>
                      <w:r>
                        <w:rPr>
                          <w:b/>
                        </w:rPr>
                        <w:t>NACH</w:t>
                      </w:r>
                      <w:r>
                        <w:rPr>
                          <w:b/>
                          <w:spacing w:val="-4"/>
                        </w:rPr>
                        <w:t xml:space="preserve"> </w:t>
                      </w:r>
                      <w:r>
                        <w:rPr>
                          <w:b/>
                        </w:rPr>
                        <w:t>GEWICHT,</w:t>
                      </w:r>
                      <w:r>
                        <w:rPr>
                          <w:b/>
                          <w:spacing w:val="-5"/>
                        </w:rPr>
                        <w:t xml:space="preserve"> </w:t>
                      </w:r>
                      <w:r>
                        <w:rPr>
                          <w:b/>
                        </w:rPr>
                        <w:t>VOLUMEN</w:t>
                      </w:r>
                      <w:r>
                        <w:rPr>
                          <w:b/>
                          <w:spacing w:val="-9"/>
                        </w:rPr>
                        <w:t xml:space="preserve"> </w:t>
                      </w:r>
                      <w:r>
                        <w:rPr>
                          <w:b/>
                        </w:rPr>
                        <w:t>ODER</w:t>
                      </w:r>
                      <w:r>
                        <w:rPr>
                          <w:b/>
                          <w:spacing w:val="-5"/>
                        </w:rPr>
                        <w:t xml:space="preserve"> </w:t>
                      </w:r>
                      <w:r>
                        <w:rPr>
                          <w:b/>
                          <w:spacing w:val="-2"/>
                        </w:rPr>
                        <w:t>EINHEITEN</w:t>
                      </w:r>
                    </w:p>
                  </w:txbxContent>
                </v:textbox>
                <w10:wrap type="topAndBottom" anchorx="page"/>
              </v:shape>
            </w:pict>
          </mc:Fallback>
        </mc:AlternateContent>
      </w:r>
    </w:p>
    <w:p w14:paraId="23246FD3" w14:textId="77777777" w:rsidR="00093A5E" w:rsidRPr="006A64EE" w:rsidRDefault="00093A5E" w:rsidP="004255F8">
      <w:pPr>
        <w:pStyle w:val="a3"/>
        <w:widowControl/>
      </w:pPr>
    </w:p>
    <w:p w14:paraId="5FB45454" w14:textId="77777777" w:rsidR="00093A5E" w:rsidRPr="006A64EE" w:rsidRDefault="009C2544" w:rsidP="004255F8">
      <w:pPr>
        <w:pStyle w:val="a3"/>
        <w:widowControl/>
      </w:pPr>
      <w:r w:rsidRPr="006A64EE">
        <w:t>200 mg/10 ml</w:t>
      </w:r>
    </w:p>
    <w:p w14:paraId="2413F974" w14:textId="77777777" w:rsidR="00093A5E" w:rsidRPr="006A64EE" w:rsidRDefault="00093A5E" w:rsidP="004255F8">
      <w:pPr>
        <w:pStyle w:val="a3"/>
        <w:widowControl/>
      </w:pPr>
    </w:p>
    <w:p w14:paraId="2D558FF0" w14:textId="77777777" w:rsidR="00093A5E" w:rsidRPr="006A64EE" w:rsidRDefault="00093A5E" w:rsidP="004255F8">
      <w:pPr>
        <w:pStyle w:val="a3"/>
        <w:widowControl/>
      </w:pPr>
    </w:p>
    <w:p w14:paraId="2CBE672B" w14:textId="77777777" w:rsidR="00093A5E" w:rsidRPr="006A64EE" w:rsidRDefault="00CC3AE9" w:rsidP="004255F8">
      <w:pPr>
        <w:pStyle w:val="tabele"/>
        <w:widowControl/>
      </w:pPr>
      <w:r w:rsidRPr="006A64EE">
        <w:t>6.</w:t>
      </w:r>
      <w:r w:rsidRPr="006A64EE">
        <w:tab/>
        <w:t>WEITERE ANGABEN</w:t>
      </w:r>
    </w:p>
    <w:p w14:paraId="1F889F16" w14:textId="77777777" w:rsidR="00093A5E" w:rsidRPr="006A64EE" w:rsidRDefault="00093A5E" w:rsidP="004255F8">
      <w:pPr>
        <w:pStyle w:val="a3"/>
        <w:widowControl/>
      </w:pPr>
    </w:p>
    <w:p w14:paraId="1119DFA3" w14:textId="77777777" w:rsidR="00093A5E" w:rsidRPr="006A64EE" w:rsidRDefault="00E66AB0">
      <w:pPr>
        <w:rPr>
          <w:b/>
        </w:rPr>
      </w:pPr>
      <w:r w:rsidRPr="006A64EE">
        <w:br w:type="page"/>
      </w:r>
    </w:p>
    <w:p w14:paraId="661443E8" w14:textId="77777777" w:rsidR="00093A5E" w:rsidRPr="006A64EE" w:rsidRDefault="006749B5" w:rsidP="004255F8">
      <w:pPr>
        <w:pStyle w:val="tabele"/>
        <w:widowControl/>
      </w:pPr>
      <w:r w:rsidRPr="006A64EE">
        <w:lastRenderedPageBreak/>
        <w:t>MINDESTANGABEN AUF KLEINEN BEHÄLTNISSEN</w:t>
      </w:r>
    </w:p>
    <w:p w14:paraId="327DFD70" w14:textId="77777777" w:rsidR="00093A5E" w:rsidRPr="006A64EE" w:rsidRDefault="00093A5E" w:rsidP="004255F8">
      <w:pPr>
        <w:pStyle w:val="tabele"/>
        <w:widowControl/>
      </w:pPr>
    </w:p>
    <w:p w14:paraId="465ACF14" w14:textId="77777777" w:rsidR="00093A5E" w:rsidRPr="006A64EE" w:rsidRDefault="006749B5" w:rsidP="004255F8">
      <w:pPr>
        <w:pStyle w:val="tabele"/>
        <w:widowControl/>
      </w:pPr>
      <w:r w:rsidRPr="006A64EE">
        <w:t>DURCHSTECHFLASCHE</w:t>
      </w:r>
    </w:p>
    <w:p w14:paraId="24C703B7" w14:textId="77777777" w:rsidR="00093A5E" w:rsidRPr="006A64EE" w:rsidRDefault="00093A5E" w:rsidP="004255F8">
      <w:pPr>
        <w:widowControl/>
        <w:tabs>
          <w:tab w:val="left" w:pos="669"/>
        </w:tabs>
        <w:rPr>
          <w:b/>
        </w:rPr>
      </w:pPr>
    </w:p>
    <w:p w14:paraId="01E647F8" w14:textId="77777777" w:rsidR="00093A5E" w:rsidRPr="006A64EE" w:rsidRDefault="00093A5E" w:rsidP="004255F8">
      <w:pPr>
        <w:widowControl/>
        <w:tabs>
          <w:tab w:val="left" w:pos="669"/>
        </w:tabs>
        <w:rPr>
          <w:b/>
        </w:rPr>
      </w:pPr>
    </w:p>
    <w:p w14:paraId="5C63796B" w14:textId="77777777" w:rsidR="00093A5E" w:rsidRPr="006A64EE" w:rsidRDefault="006749B5" w:rsidP="004255F8">
      <w:pPr>
        <w:pStyle w:val="tabele"/>
        <w:widowControl/>
      </w:pPr>
      <w:r w:rsidRPr="006A64EE">
        <w:t>1.</w:t>
      </w:r>
      <w:r w:rsidRPr="006A64EE">
        <w:tab/>
        <w:t>BEZEICHNUNG DES ARZNEIMITTELS SOWIE ART(EN) DER ANWENDUNG</w:t>
      </w:r>
    </w:p>
    <w:p w14:paraId="6F35EB7D" w14:textId="77777777" w:rsidR="00093A5E" w:rsidRPr="006A64EE" w:rsidRDefault="00093A5E" w:rsidP="004255F8">
      <w:pPr>
        <w:pStyle w:val="a3"/>
        <w:widowControl/>
      </w:pPr>
    </w:p>
    <w:p w14:paraId="1EC37C0F" w14:textId="050515AF" w:rsidR="00093A5E" w:rsidRPr="006A64EE" w:rsidRDefault="00494CFF" w:rsidP="004255F8">
      <w:pPr>
        <w:pStyle w:val="a3"/>
        <w:widowControl/>
      </w:pPr>
      <w:r>
        <w:t>Avtozma</w:t>
      </w:r>
      <w:r w:rsidRPr="006A64EE">
        <w:t xml:space="preserve"> </w:t>
      </w:r>
      <w:r w:rsidR="009C2544" w:rsidRPr="006A64EE">
        <w:t>20 mg/ml steriles Konzentrat</w:t>
      </w:r>
    </w:p>
    <w:p w14:paraId="293EA87C" w14:textId="77777777" w:rsidR="00093A5E" w:rsidRPr="006A64EE" w:rsidRDefault="009C2544" w:rsidP="004255F8">
      <w:pPr>
        <w:pStyle w:val="a3"/>
        <w:widowControl/>
      </w:pPr>
      <w:r w:rsidRPr="006A64EE">
        <w:t>Tocilizumab</w:t>
      </w:r>
    </w:p>
    <w:p w14:paraId="19FFCCF8" w14:textId="77777777" w:rsidR="00093A5E" w:rsidRPr="006A64EE" w:rsidRDefault="009C2544" w:rsidP="004255F8">
      <w:pPr>
        <w:pStyle w:val="a3"/>
        <w:widowControl/>
      </w:pPr>
      <w:r w:rsidRPr="006A64EE">
        <w:t>i.v.</w:t>
      </w:r>
    </w:p>
    <w:p w14:paraId="0567111A" w14:textId="77777777" w:rsidR="00093A5E" w:rsidRPr="006A64EE" w:rsidRDefault="00093A5E" w:rsidP="004255F8">
      <w:pPr>
        <w:pStyle w:val="a3"/>
        <w:widowControl/>
      </w:pPr>
    </w:p>
    <w:p w14:paraId="5E07BF1A" w14:textId="77777777" w:rsidR="00093A5E" w:rsidRPr="006A64EE" w:rsidRDefault="00093A5E" w:rsidP="004255F8">
      <w:pPr>
        <w:pStyle w:val="a3"/>
        <w:widowControl/>
      </w:pPr>
    </w:p>
    <w:p w14:paraId="7B1A8B1E" w14:textId="77777777" w:rsidR="00093A5E" w:rsidRPr="006A64EE" w:rsidRDefault="006749B5" w:rsidP="004255F8">
      <w:pPr>
        <w:pStyle w:val="tabele"/>
        <w:widowControl/>
      </w:pPr>
      <w:r w:rsidRPr="006A64EE">
        <w:t>2.</w:t>
      </w:r>
      <w:r w:rsidRPr="006A64EE">
        <w:tab/>
        <w:t>HINWEISE ZUR ANWENDUNG</w:t>
      </w:r>
    </w:p>
    <w:p w14:paraId="4457F6C2" w14:textId="77777777" w:rsidR="00093A5E" w:rsidRPr="006A64EE" w:rsidRDefault="00093A5E" w:rsidP="004255F8">
      <w:pPr>
        <w:pStyle w:val="a3"/>
        <w:widowControl/>
      </w:pPr>
    </w:p>
    <w:p w14:paraId="55F897DF" w14:textId="5E35ED4D" w:rsidR="00093A5E" w:rsidRPr="006A64EE" w:rsidRDefault="009C2544" w:rsidP="004255F8">
      <w:pPr>
        <w:pStyle w:val="a3"/>
        <w:widowControl/>
      </w:pPr>
      <w:r w:rsidRPr="006A64EE">
        <w:t>Zur i.v.-</w:t>
      </w:r>
      <w:r w:rsidR="00494CFF">
        <w:t>Anwendung</w:t>
      </w:r>
    </w:p>
    <w:p w14:paraId="3CE73821" w14:textId="77777777" w:rsidR="00093A5E" w:rsidRPr="006A64EE" w:rsidRDefault="00093A5E" w:rsidP="004255F8">
      <w:pPr>
        <w:pStyle w:val="a3"/>
        <w:widowControl/>
      </w:pPr>
    </w:p>
    <w:p w14:paraId="0D6115F8" w14:textId="77777777" w:rsidR="00093A5E" w:rsidRPr="006A64EE" w:rsidRDefault="00093A5E" w:rsidP="004255F8">
      <w:pPr>
        <w:pStyle w:val="a3"/>
        <w:widowControl/>
      </w:pPr>
    </w:p>
    <w:p w14:paraId="3CD6AC8E" w14:textId="77777777" w:rsidR="00093A5E" w:rsidRPr="006A64EE" w:rsidRDefault="006749B5" w:rsidP="004255F8">
      <w:pPr>
        <w:pStyle w:val="tabele"/>
        <w:widowControl/>
      </w:pPr>
      <w:r w:rsidRPr="006A64EE">
        <w:t>3.</w:t>
      </w:r>
      <w:r w:rsidRPr="006A64EE">
        <w:tab/>
        <w:t>VERFALLDATUM</w:t>
      </w:r>
    </w:p>
    <w:p w14:paraId="12A6993B" w14:textId="77777777" w:rsidR="00093A5E" w:rsidRPr="006A64EE" w:rsidRDefault="00093A5E" w:rsidP="004255F8">
      <w:pPr>
        <w:pStyle w:val="a3"/>
        <w:widowControl/>
      </w:pPr>
    </w:p>
    <w:p w14:paraId="72CB7693" w14:textId="77777777" w:rsidR="00093A5E" w:rsidRPr="006A64EE" w:rsidRDefault="009C2544" w:rsidP="004255F8">
      <w:pPr>
        <w:pStyle w:val="a3"/>
        <w:widowControl/>
      </w:pPr>
      <w:r w:rsidRPr="006A64EE">
        <w:t>EXP</w:t>
      </w:r>
    </w:p>
    <w:p w14:paraId="0290EB61" w14:textId="77777777" w:rsidR="00093A5E" w:rsidRPr="006A64EE" w:rsidRDefault="00093A5E" w:rsidP="004255F8">
      <w:pPr>
        <w:pStyle w:val="a3"/>
        <w:widowControl/>
      </w:pPr>
    </w:p>
    <w:p w14:paraId="0CA29307" w14:textId="77777777" w:rsidR="00093A5E" w:rsidRPr="006A64EE" w:rsidRDefault="00093A5E" w:rsidP="004255F8">
      <w:pPr>
        <w:pStyle w:val="a3"/>
        <w:widowControl/>
      </w:pPr>
    </w:p>
    <w:p w14:paraId="1718063D" w14:textId="77777777" w:rsidR="00093A5E" w:rsidRPr="006A64EE" w:rsidRDefault="006749B5" w:rsidP="004255F8">
      <w:pPr>
        <w:pStyle w:val="tabele"/>
        <w:widowControl/>
      </w:pPr>
      <w:r w:rsidRPr="006A64EE">
        <w:t>4.</w:t>
      </w:r>
      <w:r w:rsidRPr="006A64EE">
        <w:tab/>
        <w:t>CHARGENBEZEICHNUNG</w:t>
      </w:r>
    </w:p>
    <w:p w14:paraId="0FB402F1" w14:textId="77777777" w:rsidR="00093A5E" w:rsidRPr="006A64EE" w:rsidRDefault="00093A5E" w:rsidP="004255F8">
      <w:pPr>
        <w:pStyle w:val="a3"/>
        <w:widowControl/>
      </w:pPr>
    </w:p>
    <w:p w14:paraId="740C6CCA" w14:textId="77777777" w:rsidR="00093A5E" w:rsidRPr="006A64EE" w:rsidRDefault="009C2544" w:rsidP="004255F8">
      <w:pPr>
        <w:pStyle w:val="a3"/>
        <w:widowControl/>
      </w:pPr>
      <w:r w:rsidRPr="006A64EE">
        <w:t>Lot</w:t>
      </w:r>
    </w:p>
    <w:p w14:paraId="1BB6687D" w14:textId="77777777" w:rsidR="00093A5E" w:rsidRPr="006A64EE" w:rsidRDefault="00093A5E" w:rsidP="004255F8">
      <w:pPr>
        <w:pStyle w:val="a3"/>
        <w:widowControl/>
      </w:pPr>
    </w:p>
    <w:p w14:paraId="3FD3347D" w14:textId="77777777" w:rsidR="00093A5E" w:rsidRPr="006A64EE" w:rsidRDefault="00093A5E" w:rsidP="004255F8">
      <w:pPr>
        <w:pStyle w:val="a3"/>
        <w:widowControl/>
      </w:pPr>
    </w:p>
    <w:p w14:paraId="7BBFFF9A" w14:textId="77777777" w:rsidR="00093A5E" w:rsidRPr="006A64EE" w:rsidRDefault="006749B5" w:rsidP="004255F8">
      <w:pPr>
        <w:pStyle w:val="tabele"/>
        <w:widowControl/>
      </w:pPr>
      <w:r w:rsidRPr="006A64EE">
        <w:t>5.</w:t>
      </w:r>
      <w:r w:rsidRPr="006A64EE">
        <w:tab/>
        <w:t>INHALT NACH GEWICHT, VOLUMEN ODER EINHEITEN</w:t>
      </w:r>
    </w:p>
    <w:p w14:paraId="0FBD9F8C" w14:textId="77777777" w:rsidR="00093A5E" w:rsidRPr="006A64EE" w:rsidRDefault="00093A5E" w:rsidP="004255F8">
      <w:pPr>
        <w:pStyle w:val="a3"/>
        <w:widowControl/>
      </w:pPr>
    </w:p>
    <w:p w14:paraId="74B61C26" w14:textId="77777777" w:rsidR="00093A5E" w:rsidRPr="006A64EE" w:rsidRDefault="009C2544" w:rsidP="004255F8">
      <w:pPr>
        <w:pStyle w:val="a3"/>
        <w:widowControl/>
      </w:pPr>
      <w:r w:rsidRPr="006A64EE">
        <w:t>400 mg/20 ml</w:t>
      </w:r>
    </w:p>
    <w:p w14:paraId="0962CFA0" w14:textId="77777777" w:rsidR="00093A5E" w:rsidRPr="006A64EE" w:rsidRDefault="00093A5E" w:rsidP="004255F8">
      <w:pPr>
        <w:pStyle w:val="a3"/>
        <w:widowControl/>
      </w:pPr>
    </w:p>
    <w:p w14:paraId="2EC3DD4E" w14:textId="77777777" w:rsidR="00093A5E" w:rsidRPr="006A64EE" w:rsidRDefault="00093A5E" w:rsidP="004255F8">
      <w:pPr>
        <w:pStyle w:val="a3"/>
        <w:widowControl/>
      </w:pPr>
    </w:p>
    <w:p w14:paraId="4B3D6499" w14:textId="77777777" w:rsidR="00093A5E" w:rsidRPr="006A64EE" w:rsidRDefault="006749B5" w:rsidP="004255F8">
      <w:pPr>
        <w:pStyle w:val="tabele"/>
        <w:widowControl/>
      </w:pPr>
      <w:r w:rsidRPr="006A64EE">
        <w:t>6.</w:t>
      </w:r>
      <w:r w:rsidRPr="006A64EE">
        <w:tab/>
        <w:t>WEITERE ANGABEN</w:t>
      </w:r>
    </w:p>
    <w:p w14:paraId="0D4925B1" w14:textId="77777777" w:rsidR="00093A5E" w:rsidRPr="006A64EE" w:rsidRDefault="00093A5E" w:rsidP="004255F8">
      <w:pPr>
        <w:pStyle w:val="a3"/>
        <w:widowControl/>
      </w:pPr>
    </w:p>
    <w:p w14:paraId="52BC7BB1" w14:textId="77777777" w:rsidR="00093A5E" w:rsidRPr="006A64EE" w:rsidRDefault="00E66AB0">
      <w:pPr>
        <w:rPr>
          <w:b/>
        </w:rPr>
      </w:pPr>
      <w:r w:rsidRPr="006A64EE">
        <w:br w:type="page"/>
      </w:r>
    </w:p>
    <w:p w14:paraId="329F676C" w14:textId="77777777" w:rsidR="00093A5E" w:rsidRPr="006A64EE" w:rsidRDefault="006749B5" w:rsidP="004255F8">
      <w:pPr>
        <w:pStyle w:val="tabele"/>
        <w:widowControl/>
      </w:pPr>
      <w:r w:rsidRPr="006A64EE">
        <w:lastRenderedPageBreak/>
        <w:t>MINDESTANGABEN AUF KLEINEN BEHÄLTNISSEN</w:t>
      </w:r>
    </w:p>
    <w:p w14:paraId="284F762C" w14:textId="77777777" w:rsidR="00093A5E" w:rsidRPr="006A64EE" w:rsidRDefault="00093A5E" w:rsidP="004255F8">
      <w:pPr>
        <w:pStyle w:val="tabele"/>
        <w:widowControl/>
      </w:pPr>
    </w:p>
    <w:p w14:paraId="2DC94BBB" w14:textId="77777777" w:rsidR="00093A5E" w:rsidRPr="006A64EE" w:rsidRDefault="006749B5" w:rsidP="004255F8">
      <w:pPr>
        <w:pStyle w:val="tabele"/>
        <w:widowControl/>
      </w:pPr>
      <w:r w:rsidRPr="006A64EE">
        <w:t>ETIKETT FERTIGSPRITZE</w:t>
      </w:r>
    </w:p>
    <w:p w14:paraId="1E6B1DA7" w14:textId="77777777" w:rsidR="00093A5E" w:rsidRPr="006A64EE" w:rsidRDefault="00093A5E" w:rsidP="004255F8">
      <w:pPr>
        <w:widowControl/>
        <w:tabs>
          <w:tab w:val="left" w:pos="669"/>
        </w:tabs>
        <w:rPr>
          <w:b/>
        </w:rPr>
      </w:pPr>
    </w:p>
    <w:p w14:paraId="5E6FDD87" w14:textId="77777777" w:rsidR="00107B53" w:rsidRPr="006A64EE" w:rsidRDefault="00107B53" w:rsidP="004255F8">
      <w:pPr>
        <w:widowControl/>
        <w:tabs>
          <w:tab w:val="left" w:pos="669"/>
        </w:tabs>
        <w:rPr>
          <w:b/>
        </w:rPr>
      </w:pPr>
    </w:p>
    <w:p w14:paraId="2B41AFFA" w14:textId="77777777" w:rsidR="00093A5E" w:rsidRPr="006A64EE" w:rsidRDefault="006749B5" w:rsidP="004255F8">
      <w:pPr>
        <w:pStyle w:val="tabele"/>
        <w:widowControl/>
      </w:pPr>
      <w:r w:rsidRPr="006A64EE">
        <w:t>1.</w:t>
      </w:r>
      <w:r w:rsidRPr="006A64EE">
        <w:tab/>
        <w:t>BEZEICHNUNG DES ARZNEIMITTELS SOWIE ART(EN) DER ANWENDUNG</w:t>
      </w:r>
    </w:p>
    <w:p w14:paraId="1208D26E" w14:textId="77777777" w:rsidR="00093A5E" w:rsidRPr="006A64EE" w:rsidRDefault="00093A5E" w:rsidP="004255F8">
      <w:pPr>
        <w:pStyle w:val="a3"/>
        <w:widowControl/>
      </w:pPr>
    </w:p>
    <w:p w14:paraId="23B6EEB7" w14:textId="2F1D8B81" w:rsidR="00093A5E" w:rsidRPr="008370F3" w:rsidRDefault="00494CFF" w:rsidP="004255F8">
      <w:pPr>
        <w:pStyle w:val="a3"/>
        <w:widowControl/>
      </w:pPr>
      <w:r w:rsidRPr="00B320E1">
        <w:t>Avtozma</w:t>
      </w:r>
      <w:r w:rsidRPr="008370F3">
        <w:t xml:space="preserve"> </w:t>
      </w:r>
      <w:r w:rsidR="009C2544" w:rsidRPr="008370F3">
        <w:t>162 mg Injektion</w:t>
      </w:r>
    </w:p>
    <w:p w14:paraId="1A508BAD" w14:textId="77777777" w:rsidR="00093A5E" w:rsidRPr="008370F3" w:rsidRDefault="009C2544" w:rsidP="004255F8">
      <w:pPr>
        <w:pStyle w:val="a3"/>
        <w:widowControl/>
      </w:pPr>
      <w:r w:rsidRPr="008370F3">
        <w:t>Tocilizumab</w:t>
      </w:r>
    </w:p>
    <w:p w14:paraId="091F406E" w14:textId="77777777" w:rsidR="00093A5E" w:rsidRPr="008370F3" w:rsidRDefault="009C2544" w:rsidP="004255F8">
      <w:pPr>
        <w:pStyle w:val="a3"/>
        <w:widowControl/>
      </w:pPr>
      <w:r w:rsidRPr="008370F3">
        <w:t>s.c.</w:t>
      </w:r>
    </w:p>
    <w:p w14:paraId="0EF77C54" w14:textId="77777777" w:rsidR="00093A5E" w:rsidRPr="008370F3" w:rsidRDefault="00093A5E" w:rsidP="004255F8">
      <w:pPr>
        <w:pStyle w:val="a3"/>
        <w:widowControl/>
      </w:pPr>
    </w:p>
    <w:p w14:paraId="4769571D" w14:textId="77777777" w:rsidR="00093A5E" w:rsidRPr="008370F3" w:rsidRDefault="00093A5E" w:rsidP="004255F8">
      <w:pPr>
        <w:pStyle w:val="a3"/>
        <w:widowControl/>
      </w:pPr>
    </w:p>
    <w:p w14:paraId="40A7CBAA" w14:textId="77777777" w:rsidR="00093A5E" w:rsidRPr="006A64EE" w:rsidRDefault="006749B5" w:rsidP="004255F8">
      <w:pPr>
        <w:pStyle w:val="tabele"/>
        <w:widowControl/>
      </w:pPr>
      <w:r w:rsidRPr="006A64EE">
        <w:t>2.</w:t>
      </w:r>
      <w:r w:rsidRPr="006A64EE">
        <w:tab/>
        <w:t>HINWEISE ZUR ANWENDUNG</w:t>
      </w:r>
    </w:p>
    <w:p w14:paraId="003D0C9B" w14:textId="77777777" w:rsidR="00093A5E" w:rsidRPr="006A64EE" w:rsidRDefault="00093A5E" w:rsidP="004255F8">
      <w:pPr>
        <w:pStyle w:val="a3"/>
        <w:widowControl/>
      </w:pPr>
    </w:p>
    <w:p w14:paraId="4119539A" w14:textId="77777777" w:rsidR="00093A5E" w:rsidRPr="006A64EE" w:rsidRDefault="00093A5E" w:rsidP="004255F8">
      <w:pPr>
        <w:pStyle w:val="a3"/>
        <w:widowControl/>
      </w:pPr>
    </w:p>
    <w:p w14:paraId="06281EC2" w14:textId="77777777" w:rsidR="00093A5E" w:rsidRPr="006A64EE" w:rsidRDefault="006749B5" w:rsidP="004255F8">
      <w:pPr>
        <w:pStyle w:val="tabele"/>
        <w:widowControl/>
      </w:pPr>
      <w:r w:rsidRPr="006A64EE">
        <w:t>3.</w:t>
      </w:r>
      <w:r w:rsidRPr="006A64EE">
        <w:tab/>
        <w:t>VERFALLDATUM</w:t>
      </w:r>
    </w:p>
    <w:p w14:paraId="4C30A642" w14:textId="77777777" w:rsidR="00093A5E" w:rsidRPr="006A64EE" w:rsidRDefault="00093A5E" w:rsidP="004255F8">
      <w:pPr>
        <w:pStyle w:val="a3"/>
        <w:widowControl/>
      </w:pPr>
    </w:p>
    <w:p w14:paraId="692343C2" w14:textId="77777777" w:rsidR="00093A5E" w:rsidRPr="006A64EE" w:rsidRDefault="009C2544" w:rsidP="004255F8">
      <w:pPr>
        <w:pStyle w:val="a3"/>
        <w:widowControl/>
      </w:pPr>
      <w:r w:rsidRPr="006A64EE">
        <w:t>EXP</w:t>
      </w:r>
    </w:p>
    <w:p w14:paraId="08EB67F6" w14:textId="77777777" w:rsidR="00093A5E" w:rsidRPr="006A64EE" w:rsidRDefault="00093A5E" w:rsidP="004255F8">
      <w:pPr>
        <w:pStyle w:val="a3"/>
        <w:widowControl/>
      </w:pPr>
    </w:p>
    <w:p w14:paraId="49FFF852" w14:textId="77777777" w:rsidR="00093A5E" w:rsidRPr="006A64EE" w:rsidRDefault="00093A5E" w:rsidP="004255F8">
      <w:pPr>
        <w:pStyle w:val="a3"/>
        <w:widowControl/>
      </w:pPr>
    </w:p>
    <w:p w14:paraId="4BFA509B" w14:textId="77777777" w:rsidR="00093A5E" w:rsidRPr="006A64EE" w:rsidRDefault="006749B5" w:rsidP="004255F8">
      <w:pPr>
        <w:pStyle w:val="tabele"/>
        <w:widowControl/>
      </w:pPr>
      <w:r w:rsidRPr="006A64EE">
        <w:t>4.</w:t>
      </w:r>
      <w:r w:rsidRPr="006A64EE">
        <w:tab/>
        <w:t>CHARGENBEZEICHNUNG</w:t>
      </w:r>
    </w:p>
    <w:p w14:paraId="5CF32D70" w14:textId="77777777" w:rsidR="00093A5E" w:rsidRPr="006A64EE" w:rsidRDefault="00093A5E" w:rsidP="004255F8">
      <w:pPr>
        <w:pStyle w:val="a3"/>
        <w:widowControl/>
      </w:pPr>
    </w:p>
    <w:p w14:paraId="72E14726" w14:textId="77777777" w:rsidR="00093A5E" w:rsidRPr="006A64EE" w:rsidRDefault="009C2544" w:rsidP="004255F8">
      <w:pPr>
        <w:pStyle w:val="a3"/>
        <w:widowControl/>
      </w:pPr>
      <w:r w:rsidRPr="006A64EE">
        <w:t>Lot</w:t>
      </w:r>
    </w:p>
    <w:p w14:paraId="4773798F" w14:textId="77777777" w:rsidR="00093A5E" w:rsidRPr="006A64EE" w:rsidRDefault="00093A5E" w:rsidP="004255F8">
      <w:pPr>
        <w:pStyle w:val="a3"/>
        <w:widowControl/>
      </w:pPr>
    </w:p>
    <w:p w14:paraId="340B4D6C" w14:textId="77777777" w:rsidR="00093A5E" w:rsidRPr="006A64EE" w:rsidRDefault="00093A5E" w:rsidP="004255F8">
      <w:pPr>
        <w:pStyle w:val="a3"/>
        <w:widowControl/>
      </w:pPr>
    </w:p>
    <w:p w14:paraId="6C4E3D33" w14:textId="77777777" w:rsidR="00093A5E" w:rsidRPr="006A64EE" w:rsidRDefault="006749B5" w:rsidP="004255F8">
      <w:pPr>
        <w:pStyle w:val="tabele"/>
        <w:widowControl/>
      </w:pPr>
      <w:r w:rsidRPr="006A64EE">
        <w:t>5.</w:t>
      </w:r>
      <w:r w:rsidRPr="006A64EE">
        <w:tab/>
        <w:t>INHALT NACH GEWICHT, VOLUMEN ODER EINHEITEN</w:t>
      </w:r>
    </w:p>
    <w:p w14:paraId="108EC890" w14:textId="77777777" w:rsidR="00093A5E" w:rsidRPr="006A64EE" w:rsidRDefault="00093A5E" w:rsidP="004255F8">
      <w:pPr>
        <w:pStyle w:val="a3"/>
        <w:widowControl/>
      </w:pPr>
    </w:p>
    <w:p w14:paraId="306758FC" w14:textId="77777777" w:rsidR="00093A5E" w:rsidRPr="006A64EE" w:rsidRDefault="009C2544" w:rsidP="004255F8">
      <w:pPr>
        <w:pStyle w:val="a3"/>
        <w:widowControl/>
      </w:pPr>
      <w:r w:rsidRPr="006A64EE">
        <w:t>162 mg/0,9 ml</w:t>
      </w:r>
    </w:p>
    <w:p w14:paraId="07CD8E0C" w14:textId="77777777" w:rsidR="00093A5E" w:rsidRPr="006A64EE" w:rsidRDefault="00093A5E" w:rsidP="004255F8">
      <w:pPr>
        <w:pStyle w:val="a3"/>
        <w:widowControl/>
      </w:pPr>
    </w:p>
    <w:p w14:paraId="73CF154F" w14:textId="77777777" w:rsidR="00093A5E" w:rsidRPr="006A64EE" w:rsidRDefault="00093A5E" w:rsidP="004255F8">
      <w:pPr>
        <w:pStyle w:val="a3"/>
        <w:widowControl/>
      </w:pPr>
    </w:p>
    <w:p w14:paraId="1B48CABD" w14:textId="77777777" w:rsidR="00093A5E" w:rsidRPr="006A64EE" w:rsidRDefault="006749B5" w:rsidP="004255F8">
      <w:pPr>
        <w:pStyle w:val="tabele"/>
        <w:widowControl/>
      </w:pPr>
      <w:r w:rsidRPr="006A64EE">
        <w:t>6.</w:t>
      </w:r>
      <w:r w:rsidRPr="006A64EE">
        <w:tab/>
        <w:t>WEITERE ANGABEN</w:t>
      </w:r>
    </w:p>
    <w:p w14:paraId="5296873B" w14:textId="77777777" w:rsidR="00093A5E" w:rsidRPr="006A64EE" w:rsidRDefault="00093A5E" w:rsidP="004255F8">
      <w:pPr>
        <w:pStyle w:val="a3"/>
        <w:widowControl/>
      </w:pPr>
    </w:p>
    <w:p w14:paraId="5E10CFFA" w14:textId="77777777" w:rsidR="00093A5E" w:rsidRPr="006A64EE" w:rsidRDefault="00E66AB0">
      <w:pPr>
        <w:rPr>
          <w:b/>
        </w:rPr>
      </w:pPr>
      <w:r w:rsidRPr="006A64EE">
        <w:br w:type="page"/>
      </w:r>
    </w:p>
    <w:p w14:paraId="2DA28A68" w14:textId="77777777" w:rsidR="00093A5E" w:rsidRPr="006A64EE" w:rsidRDefault="006749B5" w:rsidP="004255F8">
      <w:pPr>
        <w:pStyle w:val="tabele"/>
        <w:widowControl/>
      </w:pPr>
      <w:r w:rsidRPr="006A64EE">
        <w:lastRenderedPageBreak/>
        <w:t>MINDESTANGABEN AUF KLEINEN BEHÄLTNISSEN</w:t>
      </w:r>
    </w:p>
    <w:p w14:paraId="4FA48794" w14:textId="77777777" w:rsidR="00093A5E" w:rsidRPr="006A64EE" w:rsidRDefault="00093A5E" w:rsidP="004255F8">
      <w:pPr>
        <w:pStyle w:val="tabele"/>
        <w:widowControl/>
      </w:pPr>
    </w:p>
    <w:p w14:paraId="6552D85D" w14:textId="77777777" w:rsidR="00093A5E" w:rsidRPr="006A64EE" w:rsidRDefault="006749B5" w:rsidP="004255F8">
      <w:pPr>
        <w:pStyle w:val="tabele"/>
        <w:widowControl/>
      </w:pPr>
      <w:r w:rsidRPr="006A64EE">
        <w:t>ETIKETT FERTIGPEN</w:t>
      </w:r>
    </w:p>
    <w:p w14:paraId="3643509C" w14:textId="77777777" w:rsidR="00093A5E" w:rsidRPr="006A64EE" w:rsidRDefault="00093A5E" w:rsidP="004255F8">
      <w:pPr>
        <w:widowControl/>
        <w:tabs>
          <w:tab w:val="left" w:pos="669"/>
        </w:tabs>
        <w:rPr>
          <w:b/>
        </w:rPr>
      </w:pPr>
    </w:p>
    <w:p w14:paraId="4F784EEE" w14:textId="77777777" w:rsidR="00093A5E" w:rsidRPr="006A64EE" w:rsidRDefault="00093A5E" w:rsidP="004255F8">
      <w:pPr>
        <w:widowControl/>
        <w:tabs>
          <w:tab w:val="left" w:pos="669"/>
        </w:tabs>
        <w:rPr>
          <w:b/>
        </w:rPr>
      </w:pPr>
    </w:p>
    <w:p w14:paraId="1B412C48" w14:textId="77777777" w:rsidR="00093A5E" w:rsidRPr="006A64EE" w:rsidRDefault="006749B5" w:rsidP="004255F8">
      <w:pPr>
        <w:pStyle w:val="tabele"/>
        <w:widowControl/>
      </w:pPr>
      <w:r w:rsidRPr="006A64EE">
        <w:t>1.</w:t>
      </w:r>
      <w:r w:rsidRPr="006A64EE">
        <w:tab/>
        <w:t>BEZEICHNUNG DES ARZNEIMITTELS SOWIE ART(EN) DER ANWENDUNG</w:t>
      </w:r>
    </w:p>
    <w:p w14:paraId="2E4C8420" w14:textId="77777777" w:rsidR="00093A5E" w:rsidRPr="006A64EE" w:rsidRDefault="00093A5E" w:rsidP="004255F8">
      <w:pPr>
        <w:pStyle w:val="a3"/>
        <w:widowControl/>
      </w:pPr>
    </w:p>
    <w:p w14:paraId="5E0C8FC3" w14:textId="1B7D9ECB" w:rsidR="00093A5E" w:rsidRPr="008370F3" w:rsidRDefault="00494CFF" w:rsidP="004255F8">
      <w:pPr>
        <w:pStyle w:val="a3"/>
        <w:widowControl/>
      </w:pPr>
      <w:r w:rsidRPr="00B320E1">
        <w:t>Avtozma</w:t>
      </w:r>
      <w:r w:rsidRPr="008370F3">
        <w:t xml:space="preserve"> </w:t>
      </w:r>
      <w:r w:rsidR="009C2544" w:rsidRPr="008370F3">
        <w:t>162 mg Injektion</w:t>
      </w:r>
    </w:p>
    <w:p w14:paraId="06E9919E" w14:textId="77777777" w:rsidR="00093A5E" w:rsidRPr="008370F3" w:rsidRDefault="009C2544" w:rsidP="004255F8">
      <w:pPr>
        <w:pStyle w:val="a3"/>
        <w:widowControl/>
      </w:pPr>
      <w:r w:rsidRPr="008370F3">
        <w:t>Tocilizumab</w:t>
      </w:r>
    </w:p>
    <w:p w14:paraId="6CA19EB0" w14:textId="77777777" w:rsidR="00093A5E" w:rsidRPr="008370F3" w:rsidRDefault="009C2544" w:rsidP="004255F8">
      <w:pPr>
        <w:pStyle w:val="a3"/>
        <w:widowControl/>
      </w:pPr>
      <w:r w:rsidRPr="008370F3">
        <w:t>s.c.</w:t>
      </w:r>
    </w:p>
    <w:p w14:paraId="0F51B6EF" w14:textId="77777777" w:rsidR="00093A5E" w:rsidRPr="008370F3" w:rsidRDefault="00093A5E" w:rsidP="004255F8">
      <w:pPr>
        <w:pStyle w:val="a3"/>
        <w:widowControl/>
      </w:pPr>
    </w:p>
    <w:p w14:paraId="4CE39F01" w14:textId="77777777" w:rsidR="00093A5E" w:rsidRPr="008370F3" w:rsidRDefault="00093A5E" w:rsidP="004255F8">
      <w:pPr>
        <w:pStyle w:val="a3"/>
        <w:widowControl/>
      </w:pPr>
    </w:p>
    <w:p w14:paraId="67BAA124" w14:textId="77777777" w:rsidR="00093A5E" w:rsidRPr="006A64EE" w:rsidRDefault="006749B5" w:rsidP="004255F8">
      <w:pPr>
        <w:pStyle w:val="tabele"/>
        <w:widowControl/>
      </w:pPr>
      <w:r w:rsidRPr="006A64EE">
        <w:t>2.</w:t>
      </w:r>
      <w:r w:rsidRPr="006A64EE">
        <w:tab/>
        <w:t>HINWEISE ZUR ANWENDUNG</w:t>
      </w:r>
    </w:p>
    <w:p w14:paraId="7DC4C62E" w14:textId="77777777" w:rsidR="00093A5E" w:rsidRPr="006A64EE" w:rsidRDefault="00093A5E" w:rsidP="004255F8">
      <w:pPr>
        <w:pStyle w:val="a3"/>
        <w:widowControl/>
      </w:pPr>
    </w:p>
    <w:p w14:paraId="00F3C654" w14:textId="77777777" w:rsidR="00093A5E" w:rsidRPr="006A64EE" w:rsidRDefault="00093A5E" w:rsidP="004255F8">
      <w:pPr>
        <w:pStyle w:val="a3"/>
        <w:widowControl/>
      </w:pPr>
    </w:p>
    <w:p w14:paraId="285F4AD8" w14:textId="77777777" w:rsidR="00093A5E" w:rsidRPr="006A64EE" w:rsidRDefault="006749B5" w:rsidP="004255F8">
      <w:pPr>
        <w:pStyle w:val="tabele"/>
        <w:widowControl/>
      </w:pPr>
      <w:r w:rsidRPr="006A64EE">
        <w:t>3.</w:t>
      </w:r>
      <w:r w:rsidRPr="006A64EE">
        <w:tab/>
        <w:t>VERFALLDATUM</w:t>
      </w:r>
    </w:p>
    <w:p w14:paraId="6AC6FD7F" w14:textId="77777777" w:rsidR="00093A5E" w:rsidRPr="006A64EE" w:rsidRDefault="00093A5E" w:rsidP="004255F8">
      <w:pPr>
        <w:pStyle w:val="a3"/>
        <w:widowControl/>
      </w:pPr>
    </w:p>
    <w:p w14:paraId="35C37CFB" w14:textId="77777777" w:rsidR="00093A5E" w:rsidRPr="006A64EE" w:rsidRDefault="009C2544" w:rsidP="004255F8">
      <w:pPr>
        <w:pStyle w:val="a3"/>
        <w:widowControl/>
      </w:pPr>
      <w:r w:rsidRPr="006A64EE">
        <w:t>EXP</w:t>
      </w:r>
    </w:p>
    <w:p w14:paraId="279E7131" w14:textId="77777777" w:rsidR="00093A5E" w:rsidRPr="006A64EE" w:rsidRDefault="00093A5E" w:rsidP="004255F8">
      <w:pPr>
        <w:pStyle w:val="a3"/>
        <w:widowControl/>
      </w:pPr>
    </w:p>
    <w:p w14:paraId="04692DA3" w14:textId="77777777" w:rsidR="00093A5E" w:rsidRPr="006A64EE" w:rsidRDefault="00093A5E" w:rsidP="004255F8">
      <w:pPr>
        <w:pStyle w:val="a3"/>
        <w:widowControl/>
      </w:pPr>
    </w:p>
    <w:p w14:paraId="27A1EA76" w14:textId="77777777" w:rsidR="00093A5E" w:rsidRPr="006A64EE" w:rsidRDefault="006749B5" w:rsidP="004255F8">
      <w:pPr>
        <w:pStyle w:val="tabele"/>
        <w:widowControl/>
      </w:pPr>
      <w:r w:rsidRPr="006A64EE">
        <w:t>4.</w:t>
      </w:r>
      <w:r w:rsidRPr="006A64EE">
        <w:tab/>
        <w:t>CHARGENBEZEICHNUNG</w:t>
      </w:r>
    </w:p>
    <w:p w14:paraId="09AC76C7" w14:textId="77777777" w:rsidR="00093A5E" w:rsidRPr="006A64EE" w:rsidRDefault="00093A5E" w:rsidP="004255F8">
      <w:pPr>
        <w:pStyle w:val="a3"/>
        <w:widowControl/>
      </w:pPr>
    </w:p>
    <w:p w14:paraId="41960F12" w14:textId="77777777" w:rsidR="00093A5E" w:rsidRPr="006A64EE" w:rsidRDefault="009C2544" w:rsidP="004255F8">
      <w:pPr>
        <w:pStyle w:val="a3"/>
        <w:widowControl/>
      </w:pPr>
      <w:r w:rsidRPr="006A64EE">
        <w:t>Lot</w:t>
      </w:r>
    </w:p>
    <w:p w14:paraId="34CD0333" w14:textId="77777777" w:rsidR="00093A5E" w:rsidRPr="006A64EE" w:rsidRDefault="00093A5E" w:rsidP="004255F8">
      <w:pPr>
        <w:pStyle w:val="a3"/>
        <w:widowControl/>
      </w:pPr>
    </w:p>
    <w:p w14:paraId="38009751" w14:textId="77777777" w:rsidR="00093A5E" w:rsidRPr="006A64EE" w:rsidRDefault="00093A5E" w:rsidP="004255F8">
      <w:pPr>
        <w:pStyle w:val="a3"/>
        <w:widowControl/>
      </w:pPr>
    </w:p>
    <w:p w14:paraId="36D8FAD6" w14:textId="77777777" w:rsidR="00093A5E" w:rsidRPr="006A64EE" w:rsidRDefault="006749B5" w:rsidP="004255F8">
      <w:pPr>
        <w:pStyle w:val="tabele"/>
        <w:widowControl/>
      </w:pPr>
      <w:r w:rsidRPr="006A64EE">
        <w:t>5.</w:t>
      </w:r>
      <w:r w:rsidRPr="006A64EE">
        <w:tab/>
        <w:t>INHALT NACH GEWICHT, VOLUMEN ODER EINHEITEN</w:t>
      </w:r>
    </w:p>
    <w:p w14:paraId="3D1BBBB5" w14:textId="77777777" w:rsidR="00093A5E" w:rsidRPr="006A64EE" w:rsidRDefault="00093A5E" w:rsidP="004255F8">
      <w:pPr>
        <w:pStyle w:val="a3"/>
        <w:widowControl/>
      </w:pPr>
    </w:p>
    <w:p w14:paraId="61DE1098" w14:textId="77777777" w:rsidR="00093A5E" w:rsidRPr="006A64EE" w:rsidRDefault="009C2544" w:rsidP="004255F8">
      <w:pPr>
        <w:pStyle w:val="a3"/>
        <w:widowControl/>
      </w:pPr>
      <w:r w:rsidRPr="006A64EE">
        <w:t>162 mg/0,9 ml</w:t>
      </w:r>
    </w:p>
    <w:p w14:paraId="1F2F8272" w14:textId="77777777" w:rsidR="00093A5E" w:rsidRPr="006A64EE" w:rsidRDefault="00093A5E" w:rsidP="004255F8">
      <w:pPr>
        <w:pStyle w:val="a3"/>
        <w:widowControl/>
      </w:pPr>
    </w:p>
    <w:p w14:paraId="7CAC001D" w14:textId="77777777" w:rsidR="00093A5E" w:rsidRPr="006A64EE" w:rsidRDefault="00093A5E" w:rsidP="004255F8">
      <w:pPr>
        <w:pStyle w:val="a3"/>
        <w:widowControl/>
      </w:pPr>
    </w:p>
    <w:p w14:paraId="62F3D802" w14:textId="77777777" w:rsidR="00093A5E" w:rsidRPr="006A64EE" w:rsidRDefault="006749B5" w:rsidP="004255F8">
      <w:pPr>
        <w:pStyle w:val="tabele"/>
        <w:widowControl/>
      </w:pPr>
      <w:r w:rsidRPr="006A64EE">
        <w:t>6.</w:t>
      </w:r>
      <w:r w:rsidRPr="006A64EE">
        <w:tab/>
        <w:t>WEITERE ANGABEN</w:t>
      </w:r>
    </w:p>
    <w:p w14:paraId="45768FF2" w14:textId="77777777" w:rsidR="00093A5E" w:rsidRPr="006A64EE" w:rsidRDefault="007D680A" w:rsidP="004255F8">
      <w:pPr>
        <w:widowControl/>
      </w:pPr>
      <w:r w:rsidRPr="006A64EE">
        <w:br w:type="page"/>
      </w:r>
    </w:p>
    <w:p w14:paraId="707D20A3" w14:textId="77777777" w:rsidR="00093A5E" w:rsidRPr="006A64EE" w:rsidRDefault="00093A5E" w:rsidP="004255F8">
      <w:pPr>
        <w:pStyle w:val="a3"/>
        <w:widowControl/>
      </w:pPr>
    </w:p>
    <w:p w14:paraId="0B59F25F" w14:textId="77777777" w:rsidR="00093A5E" w:rsidRPr="006A64EE" w:rsidRDefault="00093A5E" w:rsidP="004255F8">
      <w:pPr>
        <w:pStyle w:val="a3"/>
        <w:widowControl/>
      </w:pPr>
    </w:p>
    <w:p w14:paraId="14B3E262" w14:textId="77777777" w:rsidR="00093A5E" w:rsidRPr="006A64EE" w:rsidRDefault="00093A5E" w:rsidP="004255F8">
      <w:pPr>
        <w:pStyle w:val="a3"/>
        <w:widowControl/>
      </w:pPr>
    </w:p>
    <w:p w14:paraId="54008219" w14:textId="77777777" w:rsidR="00093A5E" w:rsidRPr="006A64EE" w:rsidRDefault="00093A5E" w:rsidP="004255F8">
      <w:pPr>
        <w:pStyle w:val="a3"/>
        <w:widowControl/>
      </w:pPr>
    </w:p>
    <w:p w14:paraId="328BD146" w14:textId="77777777" w:rsidR="00093A5E" w:rsidRPr="006A64EE" w:rsidRDefault="00093A5E" w:rsidP="004255F8">
      <w:pPr>
        <w:pStyle w:val="a3"/>
        <w:widowControl/>
      </w:pPr>
    </w:p>
    <w:p w14:paraId="38E83C41" w14:textId="77777777" w:rsidR="00093A5E" w:rsidRPr="006A64EE" w:rsidRDefault="00093A5E" w:rsidP="004255F8">
      <w:pPr>
        <w:pStyle w:val="a3"/>
        <w:widowControl/>
      </w:pPr>
    </w:p>
    <w:p w14:paraId="405C4A94" w14:textId="77777777" w:rsidR="00093A5E" w:rsidRPr="006A64EE" w:rsidRDefault="00093A5E" w:rsidP="004255F8">
      <w:pPr>
        <w:pStyle w:val="a3"/>
        <w:widowControl/>
      </w:pPr>
    </w:p>
    <w:p w14:paraId="2FA5D5C0" w14:textId="77777777" w:rsidR="00093A5E" w:rsidRPr="006A64EE" w:rsidRDefault="00093A5E" w:rsidP="004255F8">
      <w:pPr>
        <w:pStyle w:val="a3"/>
        <w:widowControl/>
      </w:pPr>
    </w:p>
    <w:p w14:paraId="0805F341" w14:textId="77777777" w:rsidR="00093A5E" w:rsidRPr="006A64EE" w:rsidRDefault="00093A5E" w:rsidP="004255F8">
      <w:pPr>
        <w:pStyle w:val="a3"/>
        <w:widowControl/>
      </w:pPr>
    </w:p>
    <w:p w14:paraId="6751C98C" w14:textId="77777777" w:rsidR="00093A5E" w:rsidRPr="006A64EE" w:rsidRDefault="00093A5E" w:rsidP="004255F8">
      <w:pPr>
        <w:pStyle w:val="a3"/>
        <w:widowControl/>
      </w:pPr>
    </w:p>
    <w:p w14:paraId="47ADDDE5" w14:textId="77777777" w:rsidR="00093A5E" w:rsidRPr="006A64EE" w:rsidRDefault="00093A5E" w:rsidP="004255F8">
      <w:pPr>
        <w:pStyle w:val="a3"/>
        <w:widowControl/>
      </w:pPr>
    </w:p>
    <w:p w14:paraId="74267274" w14:textId="77777777" w:rsidR="00093A5E" w:rsidRPr="006A64EE" w:rsidRDefault="00093A5E" w:rsidP="004255F8">
      <w:pPr>
        <w:pStyle w:val="a3"/>
        <w:widowControl/>
      </w:pPr>
    </w:p>
    <w:p w14:paraId="19E0DF87" w14:textId="77777777" w:rsidR="00093A5E" w:rsidRPr="006A64EE" w:rsidRDefault="00093A5E" w:rsidP="004255F8">
      <w:pPr>
        <w:pStyle w:val="a3"/>
        <w:widowControl/>
      </w:pPr>
    </w:p>
    <w:p w14:paraId="62EC0B5F" w14:textId="77777777" w:rsidR="00093A5E" w:rsidRPr="006A64EE" w:rsidRDefault="00093A5E" w:rsidP="004255F8">
      <w:pPr>
        <w:pStyle w:val="a3"/>
        <w:widowControl/>
      </w:pPr>
    </w:p>
    <w:p w14:paraId="147D1760" w14:textId="77777777" w:rsidR="00093A5E" w:rsidRPr="006A64EE" w:rsidRDefault="00093A5E" w:rsidP="004255F8">
      <w:pPr>
        <w:pStyle w:val="a3"/>
        <w:widowControl/>
      </w:pPr>
    </w:p>
    <w:p w14:paraId="1DF68BE1" w14:textId="77777777" w:rsidR="00093A5E" w:rsidRPr="006A64EE" w:rsidRDefault="00093A5E" w:rsidP="004255F8">
      <w:pPr>
        <w:pStyle w:val="a3"/>
        <w:widowControl/>
      </w:pPr>
    </w:p>
    <w:p w14:paraId="1660ED97" w14:textId="77777777" w:rsidR="00093A5E" w:rsidRPr="006A64EE" w:rsidRDefault="00093A5E" w:rsidP="004255F8">
      <w:pPr>
        <w:pStyle w:val="a3"/>
        <w:widowControl/>
      </w:pPr>
    </w:p>
    <w:p w14:paraId="1F876BD6" w14:textId="77777777" w:rsidR="00093A5E" w:rsidRPr="006A64EE" w:rsidRDefault="00093A5E" w:rsidP="004255F8">
      <w:pPr>
        <w:pStyle w:val="a3"/>
        <w:widowControl/>
      </w:pPr>
    </w:p>
    <w:p w14:paraId="2940AA24" w14:textId="77777777" w:rsidR="00093A5E" w:rsidRPr="006A64EE" w:rsidRDefault="00093A5E" w:rsidP="004255F8">
      <w:pPr>
        <w:pStyle w:val="a3"/>
        <w:widowControl/>
      </w:pPr>
    </w:p>
    <w:p w14:paraId="30CBDFCD" w14:textId="77777777" w:rsidR="00093A5E" w:rsidRPr="006A64EE" w:rsidRDefault="00093A5E" w:rsidP="004255F8">
      <w:pPr>
        <w:pStyle w:val="a3"/>
        <w:widowControl/>
      </w:pPr>
    </w:p>
    <w:p w14:paraId="18558235" w14:textId="77777777" w:rsidR="00093A5E" w:rsidRPr="006A64EE" w:rsidRDefault="00093A5E" w:rsidP="004255F8">
      <w:pPr>
        <w:pStyle w:val="a3"/>
        <w:widowControl/>
      </w:pPr>
    </w:p>
    <w:p w14:paraId="2370F0B7" w14:textId="77777777" w:rsidR="00093A5E" w:rsidRPr="006A64EE" w:rsidRDefault="00093A5E" w:rsidP="004255F8">
      <w:pPr>
        <w:pStyle w:val="a3"/>
        <w:widowControl/>
      </w:pPr>
    </w:p>
    <w:p w14:paraId="346BC275" w14:textId="77777777" w:rsidR="00093A5E" w:rsidRPr="006A64EE" w:rsidRDefault="0059713A" w:rsidP="00121CB7">
      <w:pPr>
        <w:pStyle w:val="1"/>
        <w:jc w:val="center"/>
      </w:pPr>
      <w:bookmarkStart w:id="38" w:name="B._PACKUNGSBEILAGE"/>
      <w:bookmarkEnd w:id="38"/>
      <w:r w:rsidRPr="006A64EE">
        <w:rPr>
          <w:spacing w:val="-2"/>
        </w:rPr>
        <w:t>B.</w:t>
      </w:r>
      <w:r w:rsidRPr="006A64EE">
        <w:rPr>
          <w:spacing w:val="-2"/>
        </w:rPr>
        <w:tab/>
      </w:r>
      <w:r w:rsidRPr="00121CB7">
        <w:rPr>
          <w:spacing w:val="-2"/>
        </w:rPr>
        <w:t>PACKUNGSBEILAGE</w:t>
      </w:r>
    </w:p>
    <w:p w14:paraId="6CC14AEC" w14:textId="77777777" w:rsidR="00093A5E" w:rsidRPr="006A64EE" w:rsidRDefault="00E66AB0">
      <w:r w:rsidRPr="006A64EE">
        <w:br w:type="page"/>
      </w:r>
    </w:p>
    <w:p w14:paraId="756BDDB9" w14:textId="77777777" w:rsidR="00093A5E" w:rsidRPr="006A64EE" w:rsidRDefault="007D680A" w:rsidP="004255F8">
      <w:pPr>
        <w:widowControl/>
        <w:jc w:val="center"/>
        <w:rPr>
          <w:b/>
        </w:rPr>
      </w:pPr>
      <w:r w:rsidRPr="006A64EE">
        <w:rPr>
          <w:b/>
        </w:rPr>
        <w:lastRenderedPageBreak/>
        <w:t>Gebrauchsinformation: Information für Anwender</w:t>
      </w:r>
    </w:p>
    <w:p w14:paraId="46260508" w14:textId="77777777" w:rsidR="00093A5E" w:rsidRPr="006A64EE" w:rsidRDefault="00093A5E" w:rsidP="004255F8">
      <w:pPr>
        <w:pStyle w:val="a3"/>
        <w:widowControl/>
        <w:rPr>
          <w:b/>
        </w:rPr>
      </w:pPr>
    </w:p>
    <w:p w14:paraId="6671303A" w14:textId="591A631D" w:rsidR="00093A5E" w:rsidRPr="006A64EE" w:rsidRDefault="00494CFF" w:rsidP="004255F8">
      <w:pPr>
        <w:widowControl/>
        <w:jc w:val="center"/>
        <w:rPr>
          <w:b/>
        </w:rPr>
      </w:pPr>
      <w:r>
        <w:rPr>
          <w:b/>
        </w:rPr>
        <w:t>Avtozma</w:t>
      </w:r>
      <w:r w:rsidRPr="006A64EE">
        <w:rPr>
          <w:b/>
        </w:rPr>
        <w:t xml:space="preserve"> </w:t>
      </w:r>
      <w:r w:rsidR="009C2544" w:rsidRPr="006A64EE">
        <w:rPr>
          <w:b/>
        </w:rPr>
        <w:t>20 mg/ml Konzentrat zur Herstellung einer Infusionslösung</w:t>
      </w:r>
    </w:p>
    <w:p w14:paraId="788A97BD" w14:textId="77777777" w:rsidR="00093A5E" w:rsidRPr="006A64EE" w:rsidRDefault="009C2544" w:rsidP="004255F8">
      <w:pPr>
        <w:pStyle w:val="a3"/>
        <w:widowControl/>
        <w:jc w:val="center"/>
      </w:pPr>
      <w:r w:rsidRPr="006A64EE">
        <w:t>Tocilizumab</w:t>
      </w:r>
    </w:p>
    <w:p w14:paraId="77EC20AC" w14:textId="77777777" w:rsidR="00093A5E" w:rsidRPr="006A64EE" w:rsidRDefault="00093A5E" w:rsidP="004255F8">
      <w:pPr>
        <w:pStyle w:val="a3"/>
        <w:widowControl/>
      </w:pPr>
    </w:p>
    <w:p w14:paraId="377D8825" w14:textId="62D59F0C" w:rsidR="00494CFF" w:rsidRPr="00890245" w:rsidRDefault="00A16FF2" w:rsidP="00494CFF">
      <w:r>
        <w:rPr>
          <w:noProof/>
          <w:lang w:val="en-US" w:eastAsia="ko-KR"/>
        </w:rPr>
        <w:drawing>
          <wp:inline distT="0" distB="0" distL="0" distR="0" wp14:anchorId="625FD34C" wp14:editId="601A0F9B">
            <wp:extent cx="201930" cy="170180"/>
            <wp:effectExtent l="0" t="0" r="0" b="0"/>
            <wp:docPr id="5" name="그림 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494CFF" w:rsidRPr="00C119D8">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r w:rsidR="00494CFF" w:rsidRPr="00890245">
        <w:t>.</w:t>
      </w:r>
    </w:p>
    <w:p w14:paraId="3F1169E3" w14:textId="77777777" w:rsidR="00494CFF" w:rsidRPr="00B320E1" w:rsidRDefault="00494CFF" w:rsidP="00121CB7">
      <w:pPr>
        <w:rPr>
          <w:b/>
          <w:bCs/>
        </w:rPr>
      </w:pPr>
    </w:p>
    <w:p w14:paraId="149DCB96" w14:textId="26A26535" w:rsidR="00093A5E" w:rsidRPr="008D6825" w:rsidRDefault="009C2544" w:rsidP="008D6825">
      <w:pPr>
        <w:rPr>
          <w:b/>
          <w:bCs/>
        </w:rPr>
      </w:pPr>
      <w:r w:rsidRPr="008D6825">
        <w:rPr>
          <w:b/>
          <w:bCs/>
        </w:rPr>
        <w:t>Lesen Sie die gesamte Packungsbeilage sorgfältig durch, bevor Sie mit der Anwendung dieses Arzneimittels beginnen, denn sie enthält wichtige Informationen.</w:t>
      </w:r>
    </w:p>
    <w:p w14:paraId="0497EEFF" w14:textId="77777777" w:rsidR="00093A5E" w:rsidRPr="006A64EE" w:rsidRDefault="00093A5E" w:rsidP="00121CB7"/>
    <w:p w14:paraId="6185DEA4" w14:textId="77777777" w:rsidR="00093A5E" w:rsidRPr="006A64EE" w:rsidRDefault="0059713A" w:rsidP="004255F8">
      <w:pPr>
        <w:widowControl/>
      </w:pPr>
      <w:r w:rsidRPr="006A64EE">
        <w:rPr>
          <w:rFonts w:ascii="Symbol" w:hAnsi="Symbol"/>
        </w:rPr>
        <w:t></w:t>
      </w:r>
      <w:r w:rsidRPr="006A64EE">
        <w:rPr>
          <w:rFonts w:ascii="Symbol" w:hAnsi="Symbol"/>
        </w:rPr>
        <w:tab/>
      </w:r>
      <w:r w:rsidRPr="006A64EE">
        <w:t>Heben Sie die Packungsbeilage auf. Vielleicht möchten Sie diese später nochmals lesen.</w:t>
      </w:r>
    </w:p>
    <w:p w14:paraId="0EAB4422"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Wenn Sie weitere Fragen haben, wenden Sie sich an Ihren Arzt oder das medizinische Fachpersonal.</w:t>
      </w:r>
    </w:p>
    <w:p w14:paraId="473AF0A2"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Dieses Arzneimittel wurde Ihnen persönlich verschrieben. Geben Sie es nicht an Dritte weiter. Es kann anderen Menschen schaden, auch wenn diese die gleichen Beschwerden haben wie Sie.</w:t>
      </w:r>
    </w:p>
    <w:p w14:paraId="7D8C48EE"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Wenn Sie Nebenwirkungen bemerken, wenden Sie sich an Ihren Arzt oder das medizinische Fachpersonal. Dies gilt auch für Nebenwirkungen, die nicht in dieser Packungsbeilage angegeben sind. Siehe Abschnitt 4.</w:t>
      </w:r>
    </w:p>
    <w:p w14:paraId="09D6DA9C" w14:textId="77777777" w:rsidR="00093A5E" w:rsidRPr="006A64EE" w:rsidRDefault="00093A5E" w:rsidP="004255F8">
      <w:pPr>
        <w:widowControl/>
      </w:pPr>
    </w:p>
    <w:p w14:paraId="51082EA1" w14:textId="64594672" w:rsidR="00093A5E" w:rsidRPr="006A64EE" w:rsidRDefault="009C2544" w:rsidP="004255F8">
      <w:pPr>
        <w:pStyle w:val="a3"/>
        <w:widowControl/>
      </w:pPr>
      <w:r w:rsidRPr="006A64EE">
        <w:t xml:space="preserve">Zusätzlich zu dieser Gebrauchsinformation werden Sie einen </w:t>
      </w:r>
      <w:r w:rsidRPr="006A64EE">
        <w:rPr>
          <w:b/>
        </w:rPr>
        <w:t>Patientenpa</w:t>
      </w:r>
      <w:r w:rsidRPr="0087631F">
        <w:rPr>
          <w:b/>
        </w:rPr>
        <w:t>ss</w:t>
      </w:r>
      <w:r w:rsidRPr="006A64EE">
        <w:rPr>
          <w:b/>
        </w:rPr>
        <w:t xml:space="preserve"> </w:t>
      </w:r>
      <w:r w:rsidRPr="006A64EE">
        <w:t xml:space="preserve">erhalten, der wichtige Sicherheitsinformationen enthält, über die Sie vor und während Ihrer Behandlung mit </w:t>
      </w:r>
      <w:r w:rsidR="00494CFF">
        <w:t>Avtozma</w:t>
      </w:r>
      <w:r w:rsidR="00494CFF" w:rsidRPr="006A64EE">
        <w:t xml:space="preserve"> </w:t>
      </w:r>
      <w:r w:rsidRPr="006A64EE">
        <w:t>Bescheid wissen müssen.</w:t>
      </w:r>
    </w:p>
    <w:p w14:paraId="41F1C84E" w14:textId="77777777" w:rsidR="00093A5E" w:rsidRPr="006A64EE" w:rsidRDefault="00093A5E" w:rsidP="004255F8">
      <w:pPr>
        <w:pStyle w:val="a3"/>
        <w:widowControl/>
      </w:pPr>
    </w:p>
    <w:p w14:paraId="16765FD8" w14:textId="77777777" w:rsidR="00093A5E" w:rsidRPr="008D6825" w:rsidRDefault="009C2544" w:rsidP="008D6825">
      <w:pPr>
        <w:rPr>
          <w:b/>
          <w:bCs/>
        </w:rPr>
      </w:pPr>
      <w:r w:rsidRPr="008D6825">
        <w:rPr>
          <w:b/>
          <w:bCs/>
        </w:rPr>
        <w:t>Was in dieser Packungsbeilage steht</w:t>
      </w:r>
    </w:p>
    <w:p w14:paraId="1227253A" w14:textId="4FF0675E" w:rsidR="00093A5E" w:rsidRPr="006A64EE" w:rsidRDefault="0059713A" w:rsidP="004255F8">
      <w:pPr>
        <w:widowControl/>
      </w:pPr>
      <w:r w:rsidRPr="006A64EE">
        <w:t>1.</w:t>
      </w:r>
      <w:r w:rsidRPr="006A64EE">
        <w:tab/>
        <w:t xml:space="preserve">Was ist </w:t>
      </w:r>
      <w:r w:rsidR="00494CFF">
        <w:t>Avtozma</w:t>
      </w:r>
      <w:r w:rsidRPr="006A64EE">
        <w:t xml:space="preserve"> und wofür wird es angewendet?</w:t>
      </w:r>
    </w:p>
    <w:p w14:paraId="64920213" w14:textId="54BA66D3" w:rsidR="00093A5E" w:rsidRPr="006A64EE" w:rsidRDefault="0059713A" w:rsidP="004255F8">
      <w:pPr>
        <w:widowControl/>
      </w:pPr>
      <w:r w:rsidRPr="006A64EE">
        <w:t>2.</w:t>
      </w:r>
      <w:r w:rsidRPr="006A64EE">
        <w:tab/>
        <w:t xml:space="preserve">Was sollten Sie beachten, bevor Ihnen </w:t>
      </w:r>
      <w:r w:rsidR="00494CFF">
        <w:t>Avtozma</w:t>
      </w:r>
      <w:r w:rsidRPr="006A64EE">
        <w:t xml:space="preserve"> verabreicht wird?</w:t>
      </w:r>
    </w:p>
    <w:p w14:paraId="098B2278" w14:textId="0E079927" w:rsidR="00093A5E" w:rsidRPr="006A64EE" w:rsidRDefault="0059713A" w:rsidP="004255F8">
      <w:pPr>
        <w:widowControl/>
      </w:pPr>
      <w:r w:rsidRPr="006A64EE">
        <w:t>3.</w:t>
      </w:r>
      <w:r w:rsidRPr="006A64EE">
        <w:tab/>
        <w:t xml:space="preserve">Wie wird </w:t>
      </w:r>
      <w:r w:rsidR="00494CFF">
        <w:t>Avtozma</w:t>
      </w:r>
      <w:r w:rsidRPr="006A64EE">
        <w:t xml:space="preserve"> verabreicht?</w:t>
      </w:r>
    </w:p>
    <w:p w14:paraId="1AB4449D" w14:textId="77777777" w:rsidR="00093A5E" w:rsidRPr="006A64EE" w:rsidRDefault="0059713A" w:rsidP="004255F8">
      <w:pPr>
        <w:widowControl/>
      </w:pPr>
      <w:r w:rsidRPr="006A64EE">
        <w:t>4.</w:t>
      </w:r>
      <w:r w:rsidRPr="006A64EE">
        <w:tab/>
        <w:t>Welche Nebenwirkungen sind möglich?</w:t>
      </w:r>
    </w:p>
    <w:p w14:paraId="25042256" w14:textId="548B213E" w:rsidR="00093A5E" w:rsidRPr="006A64EE" w:rsidRDefault="0059713A" w:rsidP="004255F8">
      <w:pPr>
        <w:widowControl/>
      </w:pPr>
      <w:r w:rsidRPr="006A64EE">
        <w:t>5.</w:t>
      </w:r>
      <w:r w:rsidRPr="006A64EE">
        <w:tab/>
        <w:t xml:space="preserve">Wie ist </w:t>
      </w:r>
      <w:r w:rsidR="00494CFF">
        <w:t>Avtozma</w:t>
      </w:r>
      <w:r w:rsidRPr="006A64EE">
        <w:t xml:space="preserve"> aufzubewahren?</w:t>
      </w:r>
    </w:p>
    <w:p w14:paraId="3ED38931" w14:textId="77777777" w:rsidR="00093A5E" w:rsidRPr="006A64EE" w:rsidRDefault="0059713A" w:rsidP="004255F8">
      <w:pPr>
        <w:widowControl/>
      </w:pPr>
      <w:r w:rsidRPr="006A64EE">
        <w:t>6.</w:t>
      </w:r>
      <w:r w:rsidRPr="006A64EE">
        <w:tab/>
        <w:t>Inhalt der Packung und weitere Informationen</w:t>
      </w:r>
    </w:p>
    <w:p w14:paraId="5442F6B7" w14:textId="77777777" w:rsidR="00093A5E" w:rsidRPr="006A64EE" w:rsidRDefault="00093A5E" w:rsidP="004255F8">
      <w:pPr>
        <w:pStyle w:val="a3"/>
        <w:widowControl/>
      </w:pPr>
    </w:p>
    <w:p w14:paraId="27FFA31F" w14:textId="77777777" w:rsidR="00093A5E" w:rsidRPr="006A64EE" w:rsidRDefault="00093A5E" w:rsidP="004255F8">
      <w:pPr>
        <w:pStyle w:val="a3"/>
        <w:widowControl/>
      </w:pPr>
    </w:p>
    <w:p w14:paraId="48A47D01" w14:textId="78872A93" w:rsidR="00093A5E" w:rsidRPr="006A64EE" w:rsidRDefault="0059713A" w:rsidP="00E66AB0">
      <w:pPr>
        <w:pStyle w:val="1"/>
      </w:pPr>
      <w:r w:rsidRPr="006A64EE">
        <w:t>1.</w:t>
      </w:r>
      <w:r w:rsidRPr="006A64EE">
        <w:tab/>
        <w:t xml:space="preserve">Was ist </w:t>
      </w:r>
      <w:r w:rsidR="00B31BF5">
        <w:t>Avtozma</w:t>
      </w:r>
      <w:r w:rsidRPr="006A64EE">
        <w:t xml:space="preserve"> und wofür wird es angewendet?</w:t>
      </w:r>
    </w:p>
    <w:p w14:paraId="695C7DF5" w14:textId="77777777" w:rsidR="00093A5E" w:rsidRPr="006A64EE" w:rsidRDefault="00093A5E" w:rsidP="00121CB7"/>
    <w:p w14:paraId="1D0B1E6B" w14:textId="3435F34E" w:rsidR="00093A5E" w:rsidRPr="006A64EE" w:rsidRDefault="00B31BF5" w:rsidP="004255F8">
      <w:pPr>
        <w:pStyle w:val="a3"/>
        <w:widowControl/>
      </w:pPr>
      <w:r>
        <w:t>Avtozma</w:t>
      </w:r>
      <w:r w:rsidR="009C2544" w:rsidRPr="006A64EE">
        <w:t xml:space="preserve"> enthält den Wirkstoff Tocilizumab, ein Protein, welches aus bestimmten Immunzellen gewonnen wird (ein monoklonaler Antikörper), das die Wirkung eines bestimmten Proteins (Zytokin), das Interleukin-6 genannt wird, blockiert. Dieses Protein spielt bei Entzündungsvorgängen im Körper</w:t>
      </w:r>
      <w:r w:rsidR="000B6E11" w:rsidRPr="006A64EE">
        <w:t xml:space="preserve"> </w:t>
      </w:r>
      <w:r w:rsidR="009C2544" w:rsidRPr="006A64EE">
        <w:t>eine Rolle und durch seine Blockade kann die Entzündung in Ihrem Körper verringert werden.</w:t>
      </w:r>
      <w:r w:rsidR="000B6E11" w:rsidRPr="006A64EE">
        <w:t xml:space="preserve"> </w:t>
      </w:r>
      <w:r>
        <w:t>Avtozma</w:t>
      </w:r>
      <w:r w:rsidR="009C2544" w:rsidRPr="006A64EE">
        <w:t xml:space="preserve"> hilft, die Beschwerden, wie Schmerzen und Schwellungen Ihrer Gelenke, zu verringern und kann auch Ihre Leistungsfähigkeit in Hinblick auf Ihre täglichen Aufgaben verbessern.</w:t>
      </w:r>
      <w:r w:rsidR="000B6E11" w:rsidRPr="006A64EE">
        <w:t xml:space="preserve"> </w:t>
      </w:r>
      <w:r>
        <w:t>Avtozma</w:t>
      </w:r>
      <w:r w:rsidR="009C2544" w:rsidRPr="006A64EE">
        <w:t xml:space="preserve"> verlangsamt das Fortschreiten der durch die Erkrankung verursachten Knorpel- und Knochenschädigungen der Gelenke und verbessert Ihre Fähigkeit, die normalen täglichen Tätigkeiten auszuführen.</w:t>
      </w:r>
    </w:p>
    <w:p w14:paraId="4E9AB1C8" w14:textId="77777777" w:rsidR="00093A5E" w:rsidRPr="006A64EE" w:rsidRDefault="00093A5E" w:rsidP="004255F8">
      <w:pPr>
        <w:pStyle w:val="a3"/>
        <w:widowControl/>
      </w:pPr>
    </w:p>
    <w:p w14:paraId="5129EF3B" w14:textId="489DBECA" w:rsidR="00093A5E" w:rsidRPr="006A64EE" w:rsidRDefault="0059713A" w:rsidP="00E66AB0">
      <w:pPr>
        <w:pStyle w:val="bullet"/>
      </w:pPr>
      <w:r w:rsidRPr="006A64EE">
        <w:rPr>
          <w:rFonts w:ascii="Symbol" w:hAnsi="Symbol"/>
        </w:rPr>
        <w:t></w:t>
      </w:r>
      <w:r w:rsidRPr="006A64EE">
        <w:rPr>
          <w:rFonts w:ascii="Symbol" w:hAnsi="Symbol"/>
        </w:rPr>
        <w:tab/>
      </w:r>
      <w:r w:rsidR="00B31BF5" w:rsidRPr="00B320E1">
        <w:rPr>
          <w:b/>
          <w:bCs/>
        </w:rPr>
        <w:t>Avtozma</w:t>
      </w:r>
      <w:r w:rsidRPr="006A64EE">
        <w:rPr>
          <w:b/>
        </w:rPr>
        <w:t xml:space="preserve"> wird angewendet, um erwachsene Patienten </w:t>
      </w:r>
      <w:r w:rsidRPr="006A64EE">
        <w:t xml:space="preserve">mit mäßiger bis schwerer aktiver </w:t>
      </w:r>
      <w:r w:rsidRPr="006A64EE">
        <w:rPr>
          <w:b/>
          <w:i/>
        </w:rPr>
        <w:t>rheumatoider Arthritis (RA)</w:t>
      </w:r>
      <w:r w:rsidRPr="006A64EE">
        <w:t xml:space="preserve">, einer Autoimmunerkrankung, zu behandeln, wenn vorangegangene Behandlungen nicht gut genug gewirkt haben. </w:t>
      </w:r>
      <w:r w:rsidR="00B31BF5">
        <w:t>Avtozma</w:t>
      </w:r>
      <w:r w:rsidRPr="006A64EE">
        <w:t xml:space="preserve"> wird normalerweise zusammen mit Methotrexat angewendet. Wenn Ihr Arzt jedoch feststellt, dass Methotrexat nicht für Sie geeignet ist, kann er Ihnen auch nur </w:t>
      </w:r>
      <w:r w:rsidR="00B31BF5">
        <w:t>Avtozma</w:t>
      </w:r>
      <w:r w:rsidRPr="006A64EE">
        <w:t xml:space="preserve"> allein geben.</w:t>
      </w:r>
    </w:p>
    <w:p w14:paraId="50CB791C" w14:textId="77777777" w:rsidR="00093A5E" w:rsidRPr="006A64EE" w:rsidRDefault="00093A5E" w:rsidP="004255F8">
      <w:pPr>
        <w:widowControl/>
      </w:pPr>
    </w:p>
    <w:p w14:paraId="65857420" w14:textId="3D419DCC" w:rsidR="00093A5E" w:rsidRPr="006A64EE" w:rsidRDefault="0059713A" w:rsidP="00E66AB0">
      <w:pPr>
        <w:pStyle w:val="bullet"/>
      </w:pPr>
      <w:r w:rsidRPr="006A64EE">
        <w:rPr>
          <w:rFonts w:ascii="Symbol" w:hAnsi="Symbol"/>
        </w:rPr>
        <w:lastRenderedPageBreak/>
        <w:t></w:t>
      </w:r>
      <w:r w:rsidRPr="006A64EE">
        <w:rPr>
          <w:rFonts w:ascii="Symbol" w:hAnsi="Symbol"/>
        </w:rPr>
        <w:tab/>
      </w:r>
      <w:r w:rsidR="00B31BF5">
        <w:t>Avtozma</w:t>
      </w:r>
      <w:r w:rsidRPr="006A64EE">
        <w:t xml:space="preserve"> kann bei Erwachsenen auch zur Behandlung einer schweren aktiven und fortschreitenden (progressiven) rheumatoiden Arthritis ohne vorherige Methotrexat-Behandlung eingesetzt werden.</w:t>
      </w:r>
    </w:p>
    <w:p w14:paraId="4BC4D2C1" w14:textId="77777777" w:rsidR="00093A5E" w:rsidRPr="006A64EE" w:rsidRDefault="00093A5E" w:rsidP="004255F8">
      <w:pPr>
        <w:pStyle w:val="a4"/>
        <w:widowControl/>
        <w:ind w:left="0" w:firstLine="0"/>
        <w:jc w:val="both"/>
      </w:pPr>
    </w:p>
    <w:p w14:paraId="28F7E0C0" w14:textId="0F20579D" w:rsidR="00093A5E" w:rsidRPr="006A64EE" w:rsidRDefault="0059713A" w:rsidP="00E66AB0">
      <w:pPr>
        <w:pStyle w:val="bullet"/>
      </w:pPr>
      <w:r w:rsidRPr="006A64EE">
        <w:rPr>
          <w:rFonts w:ascii="Symbol" w:hAnsi="Symbol"/>
        </w:rPr>
        <w:t></w:t>
      </w:r>
      <w:r w:rsidRPr="006A64EE">
        <w:rPr>
          <w:rFonts w:ascii="Symbol" w:hAnsi="Symbol"/>
        </w:rPr>
        <w:tab/>
      </w:r>
      <w:r w:rsidR="00B31BF5" w:rsidRPr="00B320E1">
        <w:rPr>
          <w:b/>
          <w:bCs/>
        </w:rPr>
        <w:t>Avtozma</w:t>
      </w:r>
      <w:r w:rsidR="007D680A" w:rsidRPr="006A64EE">
        <w:rPr>
          <w:b/>
        </w:rPr>
        <w:t xml:space="preserve"> wird zur Behandlung von Kindern mit sJIA angewendet</w:t>
      </w:r>
      <w:r w:rsidR="007D680A" w:rsidRPr="006A64EE">
        <w:t xml:space="preserve">. </w:t>
      </w:r>
      <w:r w:rsidR="00B31BF5">
        <w:t>Avtozma</w:t>
      </w:r>
      <w:r w:rsidR="007D680A" w:rsidRPr="006A64EE">
        <w:t xml:space="preserve"> wird bei Kindern im Alter von 2 Jahren und älter angewendet, die an </w:t>
      </w:r>
      <w:r w:rsidR="007D680A" w:rsidRPr="006A64EE">
        <w:rPr>
          <w:b/>
          <w:i/>
        </w:rPr>
        <w:t xml:space="preserve">aktiver systemischer juveniler idiopathischer Arthritis (sJIA) </w:t>
      </w:r>
      <w:r w:rsidR="007D680A" w:rsidRPr="006A64EE">
        <w:t xml:space="preserve">leiden, einer entzündlichen Erkrankung, die zu Schmerzen und Schwellungen in einem oder mehreren Gelenken, sowie Fieber und Ausschlag führt. </w:t>
      </w:r>
      <w:r w:rsidR="00B31BF5">
        <w:t>Avtozma</w:t>
      </w:r>
      <w:r w:rsidR="007D680A" w:rsidRPr="006A64EE">
        <w:t xml:space="preserve"> wird zur Verbesserung der Symptome einer sJIA angewendet und kann in Kombination mit Methotrexat oder allein gegeben werden.</w:t>
      </w:r>
    </w:p>
    <w:p w14:paraId="4875FC11" w14:textId="77777777" w:rsidR="00093A5E" w:rsidRPr="006A64EE" w:rsidRDefault="00093A5E" w:rsidP="004255F8">
      <w:pPr>
        <w:pStyle w:val="a3"/>
        <w:widowControl/>
      </w:pPr>
    </w:p>
    <w:p w14:paraId="3DE84492" w14:textId="3BC129FA" w:rsidR="00093A5E" w:rsidRPr="006A64EE" w:rsidRDefault="0059713A" w:rsidP="00E66AB0">
      <w:pPr>
        <w:pStyle w:val="bullet"/>
      </w:pPr>
      <w:r w:rsidRPr="006A64EE">
        <w:rPr>
          <w:rFonts w:ascii="Symbol" w:hAnsi="Symbol"/>
        </w:rPr>
        <w:t></w:t>
      </w:r>
      <w:r w:rsidRPr="006A64EE">
        <w:rPr>
          <w:rFonts w:ascii="Symbol" w:hAnsi="Symbol"/>
        </w:rPr>
        <w:tab/>
      </w:r>
      <w:r w:rsidR="00B31BF5" w:rsidRPr="00B320E1">
        <w:rPr>
          <w:b/>
          <w:bCs/>
        </w:rPr>
        <w:t>Avtozma</w:t>
      </w:r>
      <w:r w:rsidRPr="006A64EE">
        <w:rPr>
          <w:b/>
        </w:rPr>
        <w:t xml:space="preserve"> wird zur Behandlung von Kindern mit pJIA angewendet. </w:t>
      </w:r>
      <w:r w:rsidR="00B31BF5">
        <w:t>Avtozma</w:t>
      </w:r>
      <w:r w:rsidRPr="006A64EE">
        <w:t xml:space="preserve"> wird bei Kindern im Alter von 2 Jahren und älter mit aktiver </w:t>
      </w:r>
      <w:r w:rsidRPr="006A64EE">
        <w:rPr>
          <w:b/>
          <w:i/>
        </w:rPr>
        <w:t xml:space="preserve">polyartikulärer juveniler idiopathischer Arthritis (pJIA) </w:t>
      </w:r>
      <w:r w:rsidRPr="006A64EE">
        <w:t xml:space="preserve">angewendet, einer entzündlichen Erkrankung, die zu Schmerzen und Schwellungen in einem oder mehreren Gelenken führt. </w:t>
      </w:r>
      <w:r w:rsidR="00B31BF5">
        <w:t>Avtozma</w:t>
      </w:r>
      <w:r w:rsidRPr="006A64EE">
        <w:t xml:space="preserve"> wird zur Verbesserung der Symptome einer pJIA angewendet und kann in Kombination mit Methotrexat oder allein gegeben werden.</w:t>
      </w:r>
    </w:p>
    <w:p w14:paraId="129B782C" w14:textId="77777777" w:rsidR="00093A5E" w:rsidRPr="006A64EE" w:rsidRDefault="00093A5E" w:rsidP="004255F8">
      <w:pPr>
        <w:pStyle w:val="a3"/>
        <w:widowControl/>
      </w:pPr>
    </w:p>
    <w:p w14:paraId="3BB502FA" w14:textId="7C743176" w:rsidR="00093A5E" w:rsidRPr="006A64EE" w:rsidRDefault="0059713A" w:rsidP="00E66AB0">
      <w:pPr>
        <w:pStyle w:val="bullet"/>
      </w:pPr>
      <w:r w:rsidRPr="006A64EE">
        <w:rPr>
          <w:rFonts w:ascii="Symbol" w:hAnsi="Symbol"/>
        </w:rPr>
        <w:t></w:t>
      </w:r>
      <w:r w:rsidRPr="006A64EE">
        <w:rPr>
          <w:rFonts w:ascii="Symbol" w:hAnsi="Symbol"/>
        </w:rPr>
        <w:tab/>
      </w:r>
      <w:r w:rsidR="00B31BF5" w:rsidRPr="00B320E1">
        <w:rPr>
          <w:b/>
          <w:bCs/>
        </w:rPr>
        <w:t>Avtozma</w:t>
      </w:r>
      <w:r w:rsidRPr="006A64EE">
        <w:rPr>
          <w:b/>
        </w:rPr>
        <w:t xml:space="preserve"> wird zur Behandlung von Erwachsenen und Kindern </w:t>
      </w:r>
      <w:r w:rsidRPr="006A64EE">
        <w:t xml:space="preserve">im Alter von 2 Jahren und älter mit schwerem oder lebensbedrohlichem </w:t>
      </w:r>
      <w:r w:rsidRPr="006A64EE">
        <w:rPr>
          <w:b/>
          <w:i/>
        </w:rPr>
        <w:t xml:space="preserve">Zytokin-Freisetzungs-Syndrom (CRS) </w:t>
      </w:r>
      <w:r w:rsidRPr="006A64EE">
        <w:t>angewendet. Das ist eine Nebenwirkung bei Patienten, die mit chimären Antigenrezeptor (CAR) T-Zell-Therapien behandelt werden, die zur Behandlung verschiedener Arten von Krebs angewendet werden.</w:t>
      </w:r>
    </w:p>
    <w:p w14:paraId="2A400737" w14:textId="77777777" w:rsidR="00093A5E" w:rsidRPr="006A64EE" w:rsidRDefault="00093A5E" w:rsidP="004255F8">
      <w:pPr>
        <w:widowControl/>
        <w:tabs>
          <w:tab w:val="left" w:pos="1185"/>
        </w:tabs>
      </w:pPr>
    </w:p>
    <w:p w14:paraId="3A6BA998" w14:textId="109A6D50" w:rsidR="00093A5E" w:rsidRPr="006A64EE" w:rsidRDefault="0059713A" w:rsidP="00E66AB0">
      <w:pPr>
        <w:pStyle w:val="bullet"/>
      </w:pPr>
      <w:r w:rsidRPr="006A64EE">
        <w:rPr>
          <w:rFonts w:ascii="Symbol" w:hAnsi="Symbol"/>
        </w:rPr>
        <w:t></w:t>
      </w:r>
      <w:r w:rsidRPr="006A64EE">
        <w:rPr>
          <w:rFonts w:ascii="Symbol" w:hAnsi="Symbol"/>
        </w:rPr>
        <w:tab/>
      </w:r>
      <w:r w:rsidR="00B31BF5" w:rsidRPr="00B320E1">
        <w:rPr>
          <w:b/>
          <w:bCs/>
        </w:rPr>
        <w:t>Avtozma</w:t>
      </w:r>
      <w:r w:rsidRPr="006A64EE">
        <w:rPr>
          <w:b/>
        </w:rPr>
        <w:t xml:space="preserve"> wird zur Behandlung von Erwachsenen </w:t>
      </w:r>
      <w:r w:rsidRPr="006A64EE">
        <w:t>mit Coronavirus-Erkrankung (COVID-19) angewendet, die systemische Corticosteroide erhalten und zusätzlichen Sauerstoff oder eine maschinelle Beatmung benötigen.</w:t>
      </w:r>
    </w:p>
    <w:p w14:paraId="4F560FA6" w14:textId="77777777" w:rsidR="00093A5E" w:rsidRPr="006A64EE" w:rsidRDefault="00093A5E" w:rsidP="004255F8">
      <w:pPr>
        <w:pStyle w:val="a3"/>
        <w:widowControl/>
      </w:pPr>
    </w:p>
    <w:p w14:paraId="33A32E92" w14:textId="77777777" w:rsidR="00093A5E" w:rsidRPr="006A64EE" w:rsidRDefault="00093A5E" w:rsidP="004255F8">
      <w:pPr>
        <w:pStyle w:val="a3"/>
        <w:widowControl/>
      </w:pPr>
    </w:p>
    <w:p w14:paraId="701C2BD8" w14:textId="0F6049D7" w:rsidR="00093A5E" w:rsidRPr="006A64EE" w:rsidRDefault="0059713A" w:rsidP="00E66AB0">
      <w:pPr>
        <w:pStyle w:val="1"/>
      </w:pPr>
      <w:r w:rsidRPr="006A64EE">
        <w:t>2.</w:t>
      </w:r>
      <w:r w:rsidRPr="006A64EE">
        <w:tab/>
        <w:t xml:space="preserve">Was sollten Sie beachten, bevor Ihnen </w:t>
      </w:r>
      <w:r w:rsidR="00B31BF5">
        <w:t>Avtozma</w:t>
      </w:r>
      <w:r w:rsidRPr="006A64EE">
        <w:t xml:space="preserve"> verabreicht wird?</w:t>
      </w:r>
    </w:p>
    <w:p w14:paraId="03CAF92E" w14:textId="77777777" w:rsidR="00093A5E" w:rsidRPr="006A64EE" w:rsidRDefault="00093A5E" w:rsidP="004255F8">
      <w:pPr>
        <w:pStyle w:val="a3"/>
        <w:widowControl/>
        <w:rPr>
          <w:b/>
        </w:rPr>
      </w:pPr>
    </w:p>
    <w:p w14:paraId="7453C359" w14:textId="7BFD8449" w:rsidR="00093A5E" w:rsidRPr="006A64EE" w:rsidRDefault="00B31BF5" w:rsidP="004255F8">
      <w:pPr>
        <w:widowControl/>
        <w:rPr>
          <w:b/>
        </w:rPr>
      </w:pPr>
      <w:r w:rsidRPr="00B320E1">
        <w:rPr>
          <w:b/>
          <w:bCs/>
        </w:rPr>
        <w:t>Avtozma</w:t>
      </w:r>
      <w:r w:rsidR="009C2544" w:rsidRPr="006A64EE">
        <w:rPr>
          <w:b/>
        </w:rPr>
        <w:t xml:space="preserve"> darf Ihnen nicht verabreicht werden,</w:t>
      </w:r>
    </w:p>
    <w:p w14:paraId="75131488" w14:textId="1A57A88A" w:rsidR="00065697" w:rsidRPr="006A64EE" w:rsidRDefault="0059713A" w:rsidP="00E66AB0">
      <w:pPr>
        <w:pStyle w:val="bullet"/>
      </w:pPr>
      <w:r w:rsidRPr="006A64EE">
        <w:rPr>
          <w:rFonts w:ascii="Symbol" w:hAnsi="Symbol"/>
        </w:rPr>
        <w:t></w:t>
      </w:r>
      <w:r w:rsidRPr="006A64EE">
        <w:rPr>
          <w:rFonts w:ascii="Symbol" w:hAnsi="Symbol"/>
        </w:rPr>
        <w:tab/>
      </w:r>
      <w:r w:rsidRPr="006A64EE">
        <w:t xml:space="preserve">wenn Sie </w:t>
      </w:r>
      <w:r w:rsidRPr="006A64EE">
        <w:rPr>
          <w:b/>
        </w:rPr>
        <w:t xml:space="preserve">allergisch </w:t>
      </w:r>
      <w:r w:rsidRPr="006A64EE">
        <w:t>gegen Tocilizumab oder einen der in Abschnitt 6. genannten sonstigen Bestandteile dieses Arzneimittels sind</w:t>
      </w:r>
      <w:r w:rsidR="00CC161D">
        <w:t xml:space="preserve"> (siehe besondere Warnhinweise am Ende dieses Abschnitts unter der Zwischenüberschrift „Avtozma enthält Polysorbat“).</w:t>
      </w:r>
    </w:p>
    <w:p w14:paraId="30ED3193"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wenn Sie eine aktive, schwere Infektion haben.</w:t>
      </w:r>
    </w:p>
    <w:p w14:paraId="1693997D" w14:textId="77777777" w:rsidR="00093A5E" w:rsidRPr="006A64EE" w:rsidRDefault="00093A5E" w:rsidP="004255F8">
      <w:pPr>
        <w:pStyle w:val="a3"/>
        <w:widowControl/>
      </w:pPr>
    </w:p>
    <w:p w14:paraId="7B7D8DD6" w14:textId="77777777" w:rsidR="00093A5E" w:rsidRPr="006A64EE" w:rsidRDefault="009C2544" w:rsidP="004255F8">
      <w:pPr>
        <w:pStyle w:val="a3"/>
        <w:widowControl/>
      </w:pPr>
      <w:r w:rsidRPr="006A64EE">
        <w:t>Wenn einer dieser Punkte auf Sie zutrifft, informieren Sie den Arzt oder das medizinische Fachpersonal, das Ihnen die Infusion verabreicht.</w:t>
      </w:r>
    </w:p>
    <w:p w14:paraId="1AB74AA6" w14:textId="77777777" w:rsidR="00093A5E" w:rsidRPr="006A64EE" w:rsidRDefault="00093A5E" w:rsidP="004255F8">
      <w:pPr>
        <w:pStyle w:val="a3"/>
        <w:widowControl/>
      </w:pPr>
    </w:p>
    <w:p w14:paraId="0D8A4731" w14:textId="77777777" w:rsidR="00093A5E" w:rsidRPr="008D6825" w:rsidRDefault="009C2544" w:rsidP="008D6825">
      <w:pPr>
        <w:rPr>
          <w:b/>
          <w:bCs/>
        </w:rPr>
      </w:pPr>
      <w:r w:rsidRPr="008D6825">
        <w:rPr>
          <w:b/>
          <w:bCs/>
        </w:rPr>
        <w:t>Warnhinweise und Vorsichtsmaßnahmen</w:t>
      </w:r>
    </w:p>
    <w:p w14:paraId="1F28CEFF" w14:textId="47C8D3CA" w:rsidR="00093A5E" w:rsidRPr="006A64EE" w:rsidRDefault="009C2544" w:rsidP="004255F8">
      <w:pPr>
        <w:pStyle w:val="a3"/>
        <w:widowControl/>
      </w:pPr>
      <w:r w:rsidRPr="006A64EE">
        <w:t xml:space="preserve">Bitte sprechen Sie mit Ihrem Arzt oder dem medizinischen Fachpersonal, bevor Ihnen </w:t>
      </w:r>
      <w:r w:rsidR="00B31BF5">
        <w:t>Avtozma</w:t>
      </w:r>
      <w:r w:rsidRPr="006A64EE">
        <w:t xml:space="preserve"> verabreicht wird,</w:t>
      </w:r>
    </w:p>
    <w:p w14:paraId="586B3C2A"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wenn Sie während oder nach der Infusion </w:t>
      </w:r>
      <w:r w:rsidRPr="006A64EE">
        <w:rPr>
          <w:b/>
        </w:rPr>
        <w:t xml:space="preserve">allergische Reaktionen </w:t>
      </w:r>
      <w:r w:rsidRPr="006A64EE">
        <w:t xml:space="preserve">wie Engegefühl in der Brust, Atemgeräusche, starken Schwindel oder Benommenheit, Schwellung der Lippen oder Hautausschlag bemerken, </w:t>
      </w:r>
      <w:r w:rsidRPr="006A64EE">
        <w:rPr>
          <w:b/>
        </w:rPr>
        <w:t>teilen Sie dies sofort Ihrem Arzt mit</w:t>
      </w:r>
      <w:r w:rsidRPr="006A64EE">
        <w:t>.</w:t>
      </w:r>
    </w:p>
    <w:p w14:paraId="24F00DDF" w14:textId="77777777" w:rsidR="00093A5E" w:rsidRPr="006A64EE" w:rsidRDefault="00093A5E" w:rsidP="004255F8">
      <w:pPr>
        <w:widowControl/>
      </w:pPr>
    </w:p>
    <w:p w14:paraId="437E2484" w14:textId="7E71BC2E"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wenn Sie, seit Kurzem oder seit Langem, irgendeine Art von </w:t>
      </w:r>
      <w:r w:rsidRPr="006A64EE">
        <w:rPr>
          <w:b/>
        </w:rPr>
        <w:t xml:space="preserve">Infektion </w:t>
      </w:r>
      <w:r w:rsidRPr="006A64EE">
        <w:t xml:space="preserve">haben oder wenn Sie oft Infektionen bekommen. </w:t>
      </w:r>
      <w:r w:rsidRPr="006A64EE">
        <w:rPr>
          <w:b/>
        </w:rPr>
        <w:t>Teilen Sie Ihrem Arzt sofort mit</w:t>
      </w:r>
      <w:r w:rsidRPr="006A64EE">
        <w:t xml:space="preserve">, wenn Sie sich nicht wohl fühlen. </w:t>
      </w:r>
      <w:r w:rsidR="00B31BF5">
        <w:t>Avtozma</w:t>
      </w:r>
      <w:r w:rsidRPr="006A64EE">
        <w:t xml:space="preserve"> kann die Fähigkeit Ihres Körpers gegen Infektionen vorzugehen vermindern und kann eine bestehende Infektion verschlimmern oder die Wahrscheinlichkeit eine neue Infektion zu bekommen erhöhen.</w:t>
      </w:r>
    </w:p>
    <w:p w14:paraId="594BC6F3" w14:textId="77777777" w:rsidR="00093A5E" w:rsidRPr="006A64EE" w:rsidRDefault="00093A5E" w:rsidP="004255F8">
      <w:pPr>
        <w:pStyle w:val="a3"/>
        <w:widowControl/>
      </w:pPr>
    </w:p>
    <w:p w14:paraId="15EEE13A" w14:textId="6C4D1BB5"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wenn Sie eine </w:t>
      </w:r>
      <w:r w:rsidRPr="006A64EE">
        <w:rPr>
          <w:b/>
        </w:rPr>
        <w:t xml:space="preserve">Tuberkulose </w:t>
      </w:r>
      <w:r w:rsidRPr="006A64EE">
        <w:t xml:space="preserve">hatten. Dies müssen Sie Ihrem Arzt mitteilen. Ihr Arzt wird Sie auf Anzeichen und Symptome einer Tuberkulose untersuchen, bevor er die Behandlung mit </w:t>
      </w:r>
      <w:r w:rsidR="00B31BF5">
        <w:lastRenderedPageBreak/>
        <w:t>Avtozma</w:t>
      </w:r>
      <w:r w:rsidRPr="006A64EE">
        <w:t xml:space="preserve"> beginnt. Wenn während oder nach der Behandlung Symptome einer Tuberkulose (anhaltender Husten, Gewichtsverlust, Teilnahmslosigkeit, leichtes Fieber) oder andere Infektionen auftreten, informieren Sie umgehend Ihren Arzt.</w:t>
      </w:r>
    </w:p>
    <w:p w14:paraId="08431F01" w14:textId="77777777" w:rsidR="00093A5E" w:rsidRPr="006A64EE" w:rsidRDefault="00093A5E" w:rsidP="00E66AB0">
      <w:pPr>
        <w:pStyle w:val="bullet"/>
      </w:pPr>
    </w:p>
    <w:p w14:paraId="00682F84" w14:textId="77777777" w:rsidR="00093A5E" w:rsidRPr="006A64EE" w:rsidRDefault="0059713A" w:rsidP="00E66AB0">
      <w:pPr>
        <w:pStyle w:val="bullet"/>
      </w:pPr>
      <w:r w:rsidRPr="006A64EE">
        <w:rPr>
          <w:rFonts w:ascii="Symbol" w:hAnsi="Symbol"/>
        </w:rPr>
        <w:t></w:t>
      </w:r>
      <w:r w:rsidRPr="006A64EE">
        <w:rPr>
          <w:rFonts w:ascii="Symbol" w:hAnsi="Symbol"/>
        </w:rPr>
        <w:tab/>
      </w:r>
      <w:r w:rsidR="007D680A" w:rsidRPr="006A64EE">
        <w:t xml:space="preserve">wenn Sie </w:t>
      </w:r>
      <w:r w:rsidR="007D680A" w:rsidRPr="006A64EE">
        <w:rPr>
          <w:b/>
        </w:rPr>
        <w:t xml:space="preserve">Magen- </w:t>
      </w:r>
      <w:r w:rsidR="007D680A" w:rsidRPr="006A64EE">
        <w:t xml:space="preserve">bzw. </w:t>
      </w:r>
      <w:r w:rsidR="007D680A" w:rsidRPr="006A64EE">
        <w:rPr>
          <w:b/>
        </w:rPr>
        <w:t xml:space="preserve">Darmgeschwüre </w:t>
      </w:r>
      <w:r w:rsidR="007D680A" w:rsidRPr="006A64EE">
        <w:t xml:space="preserve">oder </w:t>
      </w:r>
      <w:r w:rsidR="007D680A" w:rsidRPr="006A64EE">
        <w:rPr>
          <w:b/>
        </w:rPr>
        <w:t xml:space="preserve">Divertikulitis </w:t>
      </w:r>
      <w:r w:rsidR="007D680A" w:rsidRPr="006A64EE">
        <w:t>hatten. Dies müssen Sie Ihrem Arzt mitteilen. Symptome sind z. B. Magen- bzw. Bauchschmerzen und ungeklärte Veränderungen bei der Verdauung mit Fieber.</w:t>
      </w:r>
    </w:p>
    <w:p w14:paraId="37F39C71" w14:textId="77777777" w:rsidR="00093A5E" w:rsidRPr="006A64EE" w:rsidRDefault="00093A5E" w:rsidP="004255F8">
      <w:pPr>
        <w:pStyle w:val="a3"/>
        <w:widowControl/>
      </w:pPr>
    </w:p>
    <w:p w14:paraId="0BB7FF2F" w14:textId="652CD74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wenn Sie eine </w:t>
      </w:r>
      <w:r w:rsidRPr="006A64EE">
        <w:rPr>
          <w:b/>
        </w:rPr>
        <w:t xml:space="preserve">Lebererkrankung </w:t>
      </w:r>
      <w:r w:rsidRPr="006A64EE">
        <w:t xml:space="preserve">haben. Dies müssen Sie Ihrem Arzt mitteilen. Bevor Sie </w:t>
      </w:r>
      <w:r w:rsidR="00B31BF5">
        <w:t>Avtozma</w:t>
      </w:r>
      <w:r w:rsidRPr="006A64EE">
        <w:t xml:space="preserve"> anwenden, wird Ihr Arzt möglicherweise eine Blutuntersuchung durchführen, um Ihre Leberfunktion zu messen.</w:t>
      </w:r>
    </w:p>
    <w:p w14:paraId="2CC570D6" w14:textId="77777777" w:rsidR="00093A5E" w:rsidRPr="006A64EE" w:rsidRDefault="00093A5E" w:rsidP="004255F8">
      <w:pPr>
        <w:pStyle w:val="a3"/>
        <w:widowControl/>
      </w:pPr>
    </w:p>
    <w:p w14:paraId="1F229F47" w14:textId="656A36A8" w:rsidR="00093A5E" w:rsidRPr="006A64EE" w:rsidRDefault="0059713A" w:rsidP="00E66AB0">
      <w:pPr>
        <w:pStyle w:val="bullet"/>
      </w:pPr>
      <w:r w:rsidRPr="006A64EE">
        <w:rPr>
          <w:rFonts w:ascii="Symbol" w:hAnsi="Symbol"/>
        </w:rPr>
        <w:t></w:t>
      </w:r>
      <w:r w:rsidRPr="006A64EE">
        <w:rPr>
          <w:rFonts w:ascii="Symbol" w:hAnsi="Symbol"/>
        </w:rPr>
        <w:tab/>
      </w:r>
      <w:r w:rsidRPr="006A64EE">
        <w:rPr>
          <w:b/>
        </w:rPr>
        <w:t xml:space="preserve">wenn ein Patient vor Kurzem geimpft wurde </w:t>
      </w:r>
      <w:r w:rsidRPr="006A64EE">
        <w:t xml:space="preserve">(gilt für Erwachsene und Kinder), oder eine Impfung geplant ist. Dies müssen Sie Ihrem Arzt mitteilen. Alle Patienten, insbesondere Kinder, sollten alle notwendigen Impfungen erhalten, bevor eine Behandlung mit </w:t>
      </w:r>
      <w:r w:rsidR="00B31BF5">
        <w:t>Avtozma</w:t>
      </w:r>
      <w:r w:rsidRPr="006A64EE">
        <w:t xml:space="preserve"> begonnen wird, es sei denn eine Notfallbehandlung ist erforderlich. Während Sie </w:t>
      </w:r>
      <w:r w:rsidR="00B31BF5">
        <w:t>Avtozma</w:t>
      </w:r>
      <w:r w:rsidRPr="006A64EE">
        <w:t xml:space="preserve"> erhalten, sollten bestimmte Impfstoffe nicht verwendet werden.</w:t>
      </w:r>
    </w:p>
    <w:p w14:paraId="0E4534B9" w14:textId="77777777" w:rsidR="00093A5E" w:rsidRPr="006A64EE" w:rsidRDefault="00093A5E" w:rsidP="004255F8">
      <w:pPr>
        <w:widowControl/>
        <w:tabs>
          <w:tab w:val="left" w:pos="1186"/>
          <w:tab w:val="left" w:pos="1191"/>
        </w:tabs>
      </w:pPr>
    </w:p>
    <w:p w14:paraId="100E2175" w14:textId="36BFB834"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wenn Sie </w:t>
      </w:r>
      <w:r w:rsidRPr="006A64EE">
        <w:rPr>
          <w:b/>
        </w:rPr>
        <w:t xml:space="preserve">Krebs </w:t>
      </w:r>
      <w:r w:rsidRPr="006A64EE">
        <w:t xml:space="preserve">haben. Dies müssen Sie Ihrem Arzt mitteilen. Ihr Arzt muss dann entscheiden, ob Sie </w:t>
      </w:r>
      <w:r w:rsidR="00B31BF5">
        <w:t>Avtozma</w:t>
      </w:r>
      <w:r w:rsidRPr="006A64EE">
        <w:t xml:space="preserve"> dennoch erhalten können.</w:t>
      </w:r>
    </w:p>
    <w:p w14:paraId="09263E87" w14:textId="77777777" w:rsidR="00093A5E" w:rsidRPr="006A64EE" w:rsidRDefault="00093A5E" w:rsidP="004255F8">
      <w:pPr>
        <w:pStyle w:val="a3"/>
        <w:widowControl/>
      </w:pPr>
    </w:p>
    <w:p w14:paraId="078834DC" w14:textId="740A6F51"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wenn Sie </w:t>
      </w:r>
      <w:r w:rsidRPr="006A64EE">
        <w:rPr>
          <w:b/>
        </w:rPr>
        <w:t>Herz-/Kreislauf-Risikofaktoren</w:t>
      </w:r>
      <w:r w:rsidRPr="006A64EE">
        <w:t xml:space="preserve">, wie Bluthochdruck und erhöhte Cholesterinwerte haben. Dies müssen Sie Ihrem Arzt mitteilen. Diese Faktoren müssen überwacht werden, während Sie </w:t>
      </w:r>
      <w:r w:rsidR="00B31BF5">
        <w:t>Avtozma</w:t>
      </w:r>
      <w:r w:rsidRPr="006A64EE">
        <w:t xml:space="preserve"> erhalten.</w:t>
      </w:r>
    </w:p>
    <w:p w14:paraId="0F609F83" w14:textId="77777777" w:rsidR="00093A5E" w:rsidRPr="006A64EE" w:rsidRDefault="00093A5E" w:rsidP="004255F8">
      <w:pPr>
        <w:pStyle w:val="a3"/>
        <w:widowControl/>
      </w:pPr>
    </w:p>
    <w:p w14:paraId="4AC06074"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wenn Sie eine mäßige bis schwere </w:t>
      </w:r>
      <w:r w:rsidRPr="006A64EE">
        <w:rPr>
          <w:b/>
        </w:rPr>
        <w:t xml:space="preserve">Nierenfunktionsstörung </w:t>
      </w:r>
      <w:r w:rsidRPr="006A64EE">
        <w:t>haben, wird Sie Ihr Arzt kontrollieren.</w:t>
      </w:r>
    </w:p>
    <w:p w14:paraId="51411430" w14:textId="77777777" w:rsidR="00093A5E" w:rsidRPr="006A64EE" w:rsidRDefault="00093A5E" w:rsidP="004255F8">
      <w:pPr>
        <w:widowControl/>
        <w:tabs>
          <w:tab w:val="left" w:pos="1187"/>
          <w:tab w:val="left" w:pos="1199"/>
        </w:tabs>
      </w:pPr>
    </w:p>
    <w:p w14:paraId="2E45CF52"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wenn Sie an </w:t>
      </w:r>
      <w:r w:rsidRPr="00E303AE">
        <w:rPr>
          <w:b/>
        </w:rPr>
        <w:t>anhaltenden Kopfschmerzen</w:t>
      </w:r>
      <w:r w:rsidRPr="006A64EE">
        <w:t xml:space="preserve"> leiden.</w:t>
      </w:r>
    </w:p>
    <w:p w14:paraId="472F4A6A" w14:textId="77777777" w:rsidR="00093A5E" w:rsidRPr="006A64EE" w:rsidRDefault="00093A5E" w:rsidP="004255F8">
      <w:pPr>
        <w:widowControl/>
        <w:tabs>
          <w:tab w:val="left" w:pos="1187"/>
        </w:tabs>
      </w:pPr>
    </w:p>
    <w:p w14:paraId="3D3E021B" w14:textId="4F5D5AC1" w:rsidR="00093A5E" w:rsidRPr="006A64EE" w:rsidRDefault="009C2544" w:rsidP="004255F8">
      <w:pPr>
        <w:pStyle w:val="a3"/>
        <w:widowControl/>
      </w:pPr>
      <w:r w:rsidRPr="006A64EE">
        <w:t xml:space="preserve">Ihr Arzt wird, bevor Sie </w:t>
      </w:r>
      <w:r w:rsidR="00B31BF5">
        <w:t>Avtozma</w:t>
      </w:r>
      <w:r w:rsidRPr="006A64EE">
        <w:t xml:space="preserve"> erhalten und während Ihrer Behandlung, Bluttests machen, um herauszufinden, ob Sie eine niedrige Anzahl weißer Blutzellen und Blutplättchen oder hohe Leberenzymwerte haben.</w:t>
      </w:r>
    </w:p>
    <w:p w14:paraId="0EE3A3D9" w14:textId="77777777" w:rsidR="00093A5E" w:rsidRPr="006A64EE" w:rsidRDefault="00093A5E" w:rsidP="004255F8">
      <w:pPr>
        <w:pStyle w:val="a3"/>
        <w:widowControl/>
      </w:pPr>
    </w:p>
    <w:p w14:paraId="0DAB9E17" w14:textId="77777777" w:rsidR="00093A5E" w:rsidRPr="008D6825" w:rsidRDefault="009C2544" w:rsidP="008D6825">
      <w:pPr>
        <w:widowControl/>
        <w:rPr>
          <w:b/>
          <w:bCs/>
        </w:rPr>
      </w:pPr>
      <w:r w:rsidRPr="008D6825">
        <w:rPr>
          <w:b/>
          <w:bCs/>
        </w:rPr>
        <w:t>Kinder und Jugendliche</w:t>
      </w:r>
    </w:p>
    <w:p w14:paraId="28548BE3" w14:textId="4B6F8058" w:rsidR="00093A5E" w:rsidRPr="006A64EE" w:rsidRDefault="00B31BF5" w:rsidP="004255F8">
      <w:pPr>
        <w:pStyle w:val="a3"/>
        <w:widowControl/>
      </w:pPr>
      <w:r>
        <w:t>Avtozma</w:t>
      </w:r>
      <w:r w:rsidR="009C2544" w:rsidRPr="006A64EE">
        <w:t xml:space="preserve"> wird nicht für die Behandlung von Kindern unter 2 Jahren empfohlen.</w:t>
      </w:r>
    </w:p>
    <w:p w14:paraId="4E874C72" w14:textId="77777777" w:rsidR="00093A5E" w:rsidRPr="006A64EE" w:rsidRDefault="00093A5E" w:rsidP="004255F8">
      <w:pPr>
        <w:pStyle w:val="a3"/>
        <w:widowControl/>
      </w:pPr>
    </w:p>
    <w:p w14:paraId="254E53B8" w14:textId="0F9B8ED5" w:rsidR="00093A5E" w:rsidRPr="006A64EE" w:rsidRDefault="009C2544" w:rsidP="004255F8">
      <w:pPr>
        <w:pStyle w:val="a3"/>
        <w:widowControl/>
      </w:pPr>
      <w:r w:rsidRPr="006A64EE">
        <w:t xml:space="preserve">Wenn ein Kind in der Vergangenheit schon einmal ein </w:t>
      </w:r>
      <w:r w:rsidRPr="006A64EE">
        <w:rPr>
          <w:b/>
          <w:i/>
        </w:rPr>
        <w:t xml:space="preserve">Makrophagenaktivierungssyndrom </w:t>
      </w:r>
      <w:r w:rsidRPr="006A64EE">
        <w:t xml:space="preserve">(Aktivierung und unkontrollierte Vermehrung bestimmter Blutzellen) hatte, teilen Sie dies Ihrem Arzt mit. Ihr Arzt muss dann entscheiden, ob es </w:t>
      </w:r>
      <w:r w:rsidR="00B31BF5">
        <w:t>Avtozma</w:t>
      </w:r>
      <w:r w:rsidRPr="006A64EE">
        <w:t xml:space="preserve"> trotzdem erhalten kann.</w:t>
      </w:r>
    </w:p>
    <w:p w14:paraId="48EE8080" w14:textId="77777777" w:rsidR="00093A5E" w:rsidRPr="006A64EE" w:rsidRDefault="00093A5E" w:rsidP="004255F8">
      <w:pPr>
        <w:pStyle w:val="a3"/>
        <w:widowControl/>
      </w:pPr>
    </w:p>
    <w:p w14:paraId="1055D045" w14:textId="5DC33334" w:rsidR="00093A5E" w:rsidRPr="008D6825" w:rsidRDefault="009C2544" w:rsidP="008D6825">
      <w:pPr>
        <w:rPr>
          <w:b/>
          <w:bCs/>
        </w:rPr>
      </w:pPr>
      <w:r w:rsidRPr="008D6825">
        <w:rPr>
          <w:b/>
          <w:bCs/>
        </w:rPr>
        <w:t xml:space="preserve">Anwendung von </w:t>
      </w:r>
      <w:r w:rsidR="00B31BF5" w:rsidRPr="008D6825">
        <w:rPr>
          <w:b/>
          <w:bCs/>
        </w:rPr>
        <w:t>Avtozma</w:t>
      </w:r>
      <w:r w:rsidRPr="008D6825">
        <w:rPr>
          <w:b/>
          <w:bCs/>
        </w:rPr>
        <w:t xml:space="preserve"> zusammen mit anderen Arzneimitteln</w:t>
      </w:r>
    </w:p>
    <w:p w14:paraId="3D0EF69C" w14:textId="24904A14" w:rsidR="00093A5E" w:rsidRPr="006A64EE" w:rsidRDefault="009C2544" w:rsidP="004255F8">
      <w:pPr>
        <w:pStyle w:val="a3"/>
        <w:widowControl/>
      </w:pPr>
      <w:r w:rsidRPr="006A64EE">
        <w:t xml:space="preserve">Informieren Sie Ihren Arzt, wenn Sie andere Arzneimittel einnehmen/anwenden (oder Ihr Kind, wenn Ihr Kind der Patient ist) oder kürzlich andere Arzneimittel eingenommen/angewendet haben. Dies betrifft auch Arzneimittel, die Sie ohne Verschreibung erhalten haben. </w:t>
      </w:r>
      <w:r w:rsidR="00B31BF5">
        <w:t>Avtozma</w:t>
      </w:r>
      <w:r w:rsidRPr="006A64EE">
        <w:t xml:space="preserve"> kann die Art der Wirkung einiger Arzneimittel beeinträchtigen und möglicherweise muss deren Dosierung angepasst werden. Wenn Sie Arzneimittel anwenden, die einen der folgenden Wirkstoffe enthalten, </w:t>
      </w:r>
      <w:r w:rsidRPr="006A64EE">
        <w:rPr>
          <w:b/>
        </w:rPr>
        <w:t>teilen Sie dies Ihrem Arzt mit</w:t>
      </w:r>
      <w:r w:rsidRPr="006A64EE">
        <w:t>:</w:t>
      </w:r>
    </w:p>
    <w:p w14:paraId="02178628" w14:textId="77777777" w:rsidR="00093A5E" w:rsidRPr="006A64EE" w:rsidRDefault="00093A5E" w:rsidP="004255F8">
      <w:pPr>
        <w:pStyle w:val="a3"/>
        <w:widowControl/>
      </w:pPr>
    </w:p>
    <w:p w14:paraId="354DAB85"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Methylprednisolon, Dexamethason, die zur Verringerung von Entzündungen angewendet werden</w:t>
      </w:r>
    </w:p>
    <w:p w14:paraId="1958E18B"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Simvastatin oder Atorvastatin, die angewendet werden, um die </w:t>
      </w:r>
      <w:r w:rsidRPr="006A64EE">
        <w:rPr>
          <w:b/>
        </w:rPr>
        <w:t xml:space="preserve">Cholesterinwerte </w:t>
      </w:r>
      <w:r w:rsidRPr="006A64EE">
        <w:t>zu senken</w:t>
      </w:r>
    </w:p>
    <w:p w14:paraId="55C58551" w14:textId="1A5FE7C5" w:rsidR="00093A5E" w:rsidRPr="006A64EE" w:rsidRDefault="0059713A" w:rsidP="00E66AB0">
      <w:pPr>
        <w:pStyle w:val="bullet"/>
      </w:pPr>
      <w:r w:rsidRPr="006A64EE">
        <w:rPr>
          <w:rFonts w:ascii="Symbol" w:hAnsi="Symbol"/>
        </w:rPr>
        <w:t></w:t>
      </w:r>
      <w:r w:rsidRPr="006A64EE">
        <w:rPr>
          <w:rFonts w:ascii="Symbol" w:hAnsi="Symbol"/>
        </w:rPr>
        <w:tab/>
      </w:r>
      <w:r w:rsidRPr="006A64EE">
        <w:t>Calciumkanalblocker (z. B. Amlodipin), d</w:t>
      </w:r>
      <w:r w:rsidR="00CF1594">
        <w:t>ie</w:t>
      </w:r>
      <w:r w:rsidRPr="006A64EE">
        <w:t xml:space="preserve"> angewendet w</w:t>
      </w:r>
      <w:r w:rsidR="00CF1594">
        <w:t>e</w:t>
      </w:r>
      <w:r w:rsidRPr="006A64EE">
        <w:t>rd</w:t>
      </w:r>
      <w:r w:rsidR="00CF1594">
        <w:t>en</w:t>
      </w:r>
      <w:r w:rsidRPr="006A64EE">
        <w:t xml:space="preserve">, um </w:t>
      </w:r>
      <w:r w:rsidRPr="006A64EE">
        <w:rPr>
          <w:b/>
        </w:rPr>
        <w:t xml:space="preserve">Bluthochdruck </w:t>
      </w:r>
      <w:r w:rsidRPr="006A64EE">
        <w:t>zu behandeln</w:t>
      </w:r>
    </w:p>
    <w:p w14:paraId="0F21EDD4"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Theophyllin, das angewendet wird, um </w:t>
      </w:r>
      <w:r w:rsidRPr="006A64EE">
        <w:rPr>
          <w:b/>
        </w:rPr>
        <w:t xml:space="preserve">Asthma </w:t>
      </w:r>
      <w:r w:rsidRPr="006A64EE">
        <w:t>zu behandeln</w:t>
      </w:r>
    </w:p>
    <w:p w14:paraId="575CA1CB" w14:textId="77777777" w:rsidR="00093A5E" w:rsidRPr="006A64EE" w:rsidRDefault="0059713A" w:rsidP="00E66AB0">
      <w:pPr>
        <w:pStyle w:val="bullet"/>
      </w:pPr>
      <w:r w:rsidRPr="006A64EE">
        <w:rPr>
          <w:rFonts w:ascii="Symbol" w:hAnsi="Symbol"/>
        </w:rPr>
        <w:lastRenderedPageBreak/>
        <w:t></w:t>
      </w:r>
      <w:r w:rsidRPr="006A64EE">
        <w:rPr>
          <w:rFonts w:ascii="Symbol" w:hAnsi="Symbol"/>
        </w:rPr>
        <w:tab/>
      </w:r>
      <w:r w:rsidRPr="006A64EE">
        <w:t xml:space="preserve">Warfarin oder Phenprocoumon, die als </w:t>
      </w:r>
      <w:r w:rsidRPr="006A64EE">
        <w:rPr>
          <w:b/>
        </w:rPr>
        <w:t xml:space="preserve">Blutverdünner </w:t>
      </w:r>
      <w:r w:rsidRPr="006A64EE">
        <w:t>angewendet werden</w:t>
      </w:r>
    </w:p>
    <w:p w14:paraId="02BBC31F"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Phenytoin, das angewendet wird, um </w:t>
      </w:r>
      <w:r w:rsidRPr="006A64EE">
        <w:rPr>
          <w:b/>
        </w:rPr>
        <w:t xml:space="preserve">Krämpfe </w:t>
      </w:r>
      <w:r w:rsidRPr="006A64EE">
        <w:t>zu behandeln</w:t>
      </w:r>
    </w:p>
    <w:p w14:paraId="44341F7B"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Ciclosporin, das angewendet wird, um Ihr </w:t>
      </w:r>
      <w:r w:rsidRPr="006A64EE">
        <w:rPr>
          <w:b/>
        </w:rPr>
        <w:t xml:space="preserve">Immunsystem </w:t>
      </w:r>
      <w:r w:rsidRPr="006A64EE">
        <w:t>während Organtransplantationen z</w:t>
      </w:r>
      <w:r w:rsidR="006F4671" w:rsidRPr="006A64EE">
        <w:t xml:space="preserve">u </w:t>
      </w:r>
      <w:r w:rsidRPr="006A64EE">
        <w:rPr>
          <w:b/>
          <w:bCs/>
        </w:rPr>
        <w:t>unterdrücken</w:t>
      </w:r>
    </w:p>
    <w:p w14:paraId="45088DD0" w14:textId="191FF244" w:rsidR="00093A5E" w:rsidRPr="006A64EE" w:rsidRDefault="0059713A" w:rsidP="00E66AB0">
      <w:pPr>
        <w:pStyle w:val="bullet"/>
      </w:pPr>
      <w:r w:rsidRPr="006A64EE">
        <w:rPr>
          <w:rFonts w:ascii="Symbol" w:hAnsi="Symbol"/>
        </w:rPr>
        <w:t></w:t>
      </w:r>
      <w:r w:rsidRPr="006A64EE">
        <w:rPr>
          <w:rFonts w:ascii="Symbol" w:hAnsi="Symbol"/>
        </w:rPr>
        <w:tab/>
      </w:r>
      <w:r w:rsidRPr="006A64EE">
        <w:t>Benzodiazepine (z. B. Temazepam), d</w:t>
      </w:r>
      <w:r w:rsidR="00082C20">
        <w:t>ie</w:t>
      </w:r>
      <w:r w:rsidRPr="006A64EE">
        <w:t xml:space="preserve"> angewendet w</w:t>
      </w:r>
      <w:r w:rsidR="00082C20">
        <w:t>e</w:t>
      </w:r>
      <w:r w:rsidRPr="006A64EE">
        <w:t>rd</w:t>
      </w:r>
      <w:r w:rsidR="00082C20">
        <w:t>en</w:t>
      </w:r>
      <w:r w:rsidRPr="006A64EE">
        <w:t xml:space="preserve">, um </w:t>
      </w:r>
      <w:r w:rsidRPr="006A64EE">
        <w:rPr>
          <w:b/>
        </w:rPr>
        <w:t>Angstzustände zu lindern</w:t>
      </w:r>
      <w:r w:rsidRPr="006A64EE">
        <w:t>.</w:t>
      </w:r>
    </w:p>
    <w:p w14:paraId="74354F2F" w14:textId="77777777" w:rsidR="00093A5E" w:rsidRPr="006A64EE" w:rsidRDefault="00093A5E" w:rsidP="00E66AB0">
      <w:pPr>
        <w:pStyle w:val="bullet"/>
      </w:pPr>
    </w:p>
    <w:p w14:paraId="722A3E67" w14:textId="4E76A23A" w:rsidR="00093A5E" w:rsidRPr="006A64EE" w:rsidRDefault="007D680A" w:rsidP="004255F8">
      <w:pPr>
        <w:widowControl/>
      </w:pPr>
      <w:r w:rsidRPr="006A64EE">
        <w:t xml:space="preserve">Aufgrund fehlender klinischer Erfahrung wird nicht empfohlen, </w:t>
      </w:r>
      <w:r w:rsidR="00B31BF5">
        <w:t>Tocilizumab</w:t>
      </w:r>
      <w:r w:rsidRPr="006A64EE">
        <w:t xml:space="preserve"> zusammen mit anderen biologischen Arzneimitteln zur Behandlung der RA, sJIA oder pJIA anzuwenden.</w:t>
      </w:r>
    </w:p>
    <w:p w14:paraId="59A8D8C6" w14:textId="77777777" w:rsidR="00093A5E" w:rsidRPr="006A64EE" w:rsidRDefault="00093A5E" w:rsidP="004255F8">
      <w:pPr>
        <w:pStyle w:val="a3"/>
        <w:widowControl/>
      </w:pPr>
    </w:p>
    <w:p w14:paraId="7D95498C" w14:textId="77777777" w:rsidR="00093A5E" w:rsidRPr="006A64EE" w:rsidRDefault="009C2544" w:rsidP="008D6825">
      <w:pPr>
        <w:widowControl/>
      </w:pPr>
      <w:r w:rsidRPr="008D6825">
        <w:rPr>
          <w:b/>
          <w:bCs/>
        </w:rPr>
        <w:t>Schwangerschaft, Stillzeit und Fortpflanzungsfähigkeit</w:t>
      </w:r>
    </w:p>
    <w:p w14:paraId="6333756C" w14:textId="77777777" w:rsidR="00093A5E" w:rsidRPr="006A64EE" w:rsidRDefault="00093A5E" w:rsidP="00121CB7"/>
    <w:p w14:paraId="6FB40CD5" w14:textId="383A776B" w:rsidR="00093A5E" w:rsidRPr="006A64EE" w:rsidRDefault="00B31BF5" w:rsidP="004255F8">
      <w:pPr>
        <w:widowControl/>
      </w:pPr>
      <w:r w:rsidRPr="00B320E1">
        <w:rPr>
          <w:b/>
          <w:bCs/>
        </w:rPr>
        <w:t>Avtozma</w:t>
      </w:r>
      <w:r w:rsidR="009C2544" w:rsidRPr="006A64EE">
        <w:rPr>
          <w:b/>
        </w:rPr>
        <w:t xml:space="preserve"> sollte während der Schwangerschaft nicht angewendet werden</w:t>
      </w:r>
      <w:r w:rsidR="009C2544" w:rsidRPr="006A64EE">
        <w:t>, es sei denn es ist eindeutig erforderlich. Wenn Sie schwanger sind oder stillen, oder wenn Sie vermuten, schwanger zu sein oder beabsichtigen, schwanger zu werden, fragen Sie vor der Anwendung dieses Arzneimittels Ihren Arzt um Rat.</w:t>
      </w:r>
    </w:p>
    <w:p w14:paraId="695D2902" w14:textId="77777777" w:rsidR="00093A5E" w:rsidRPr="006A64EE" w:rsidRDefault="00093A5E" w:rsidP="004255F8">
      <w:pPr>
        <w:pStyle w:val="a3"/>
        <w:widowControl/>
      </w:pPr>
    </w:p>
    <w:p w14:paraId="7EDFDE57" w14:textId="77777777" w:rsidR="00093A5E" w:rsidRPr="006A64EE" w:rsidRDefault="009C2544" w:rsidP="004255F8">
      <w:pPr>
        <w:widowControl/>
      </w:pPr>
      <w:r w:rsidRPr="006A64EE">
        <w:rPr>
          <w:b/>
        </w:rPr>
        <w:t xml:space="preserve">Frauen im gebärfähigen Alter </w:t>
      </w:r>
      <w:r w:rsidRPr="006A64EE">
        <w:t>müssen während der Behandlung und während 3 Monaten danach eine wirksame Schwangerschaftsverhütung durchführen.</w:t>
      </w:r>
    </w:p>
    <w:p w14:paraId="6D61A0AB" w14:textId="77777777" w:rsidR="00093A5E" w:rsidRPr="006A64EE" w:rsidRDefault="00093A5E" w:rsidP="004255F8">
      <w:pPr>
        <w:widowControl/>
      </w:pPr>
    </w:p>
    <w:p w14:paraId="0937BB70" w14:textId="54F4F7CF" w:rsidR="00093A5E" w:rsidRPr="006A64EE" w:rsidRDefault="009C2544" w:rsidP="004255F8">
      <w:pPr>
        <w:widowControl/>
      </w:pPr>
      <w:r w:rsidRPr="006A64EE">
        <w:rPr>
          <w:b/>
        </w:rPr>
        <w:t xml:space="preserve">Stillen Sie ab, wenn Sie </w:t>
      </w:r>
      <w:r w:rsidR="00B31BF5" w:rsidRPr="00B320E1">
        <w:rPr>
          <w:b/>
          <w:bCs/>
        </w:rPr>
        <w:t>Avtozma</w:t>
      </w:r>
      <w:r w:rsidRPr="006A64EE">
        <w:rPr>
          <w:b/>
        </w:rPr>
        <w:t xml:space="preserve"> erhalten sollen </w:t>
      </w:r>
      <w:r w:rsidRPr="006A64EE">
        <w:t xml:space="preserve">und sprechen Sie mit Ihrem Arzt. Warten Sie nach Ihrer letzten Behandlung mindestens drei Monate ab, bevor Sie mit dem Stillen beginnen. Es ist nicht bekannt, ob </w:t>
      </w:r>
      <w:r w:rsidR="00B31BF5">
        <w:t>Avtozma</w:t>
      </w:r>
      <w:r w:rsidRPr="006A64EE">
        <w:t xml:space="preserve"> in die Muttermilch übergeht.</w:t>
      </w:r>
    </w:p>
    <w:p w14:paraId="3A1E6372" w14:textId="77777777" w:rsidR="00093A5E" w:rsidRPr="006A64EE" w:rsidRDefault="00093A5E" w:rsidP="004255F8">
      <w:pPr>
        <w:pStyle w:val="a3"/>
        <w:widowControl/>
      </w:pPr>
    </w:p>
    <w:p w14:paraId="54D6181C" w14:textId="77777777" w:rsidR="00093A5E" w:rsidRPr="006A64EE" w:rsidRDefault="009C2544" w:rsidP="004255F8">
      <w:pPr>
        <w:pStyle w:val="a3"/>
        <w:widowControl/>
      </w:pPr>
      <w:r w:rsidRPr="006A64EE">
        <w:t>Die bisher verfügbaren Daten geben keinen Hinweis auf eine Wirkung dieser Behandlung auf die Fertilität.</w:t>
      </w:r>
    </w:p>
    <w:p w14:paraId="3467DE89" w14:textId="77777777" w:rsidR="00093A5E" w:rsidRPr="006A64EE" w:rsidRDefault="00093A5E" w:rsidP="004255F8">
      <w:pPr>
        <w:pStyle w:val="a3"/>
        <w:widowControl/>
      </w:pPr>
    </w:p>
    <w:p w14:paraId="619F1786" w14:textId="77777777" w:rsidR="00093A5E" w:rsidRPr="008D6825" w:rsidRDefault="009C2544" w:rsidP="008D6825">
      <w:pPr>
        <w:widowControl/>
        <w:rPr>
          <w:b/>
          <w:bCs/>
        </w:rPr>
      </w:pPr>
      <w:r w:rsidRPr="008D6825">
        <w:rPr>
          <w:b/>
          <w:bCs/>
        </w:rPr>
        <w:t>Verkehrstüchtigkeit und Fähigkeit zum Bedienen von Maschinen</w:t>
      </w:r>
    </w:p>
    <w:p w14:paraId="1D325AC6" w14:textId="77777777" w:rsidR="00093A5E" w:rsidRPr="006A64EE" w:rsidRDefault="009C2544" w:rsidP="004255F8">
      <w:pPr>
        <w:pStyle w:val="a3"/>
        <w:widowControl/>
      </w:pPr>
      <w:r w:rsidRPr="006A64EE">
        <w:t>Dieses Arzneimittel kann Schwindel verursachen. Wenn Sie Schwindel verspüren, dann sollten Sie nicht fahren oder Maschinen bedienen.</w:t>
      </w:r>
    </w:p>
    <w:p w14:paraId="2FD124AA" w14:textId="77777777" w:rsidR="00093A5E" w:rsidRPr="006A64EE" w:rsidRDefault="00093A5E" w:rsidP="004255F8">
      <w:pPr>
        <w:pStyle w:val="a3"/>
        <w:widowControl/>
      </w:pPr>
    </w:p>
    <w:p w14:paraId="741D4D6D" w14:textId="556A3C10" w:rsidR="00093A5E" w:rsidRPr="008D6825" w:rsidRDefault="00B31BF5" w:rsidP="008D6825">
      <w:pPr>
        <w:widowControl/>
        <w:rPr>
          <w:b/>
          <w:bCs/>
        </w:rPr>
      </w:pPr>
      <w:r w:rsidRPr="008D6825">
        <w:rPr>
          <w:b/>
          <w:bCs/>
        </w:rPr>
        <w:t>Avtozma</w:t>
      </w:r>
      <w:r w:rsidR="009C2544" w:rsidRPr="008D6825">
        <w:rPr>
          <w:b/>
          <w:bCs/>
        </w:rPr>
        <w:t xml:space="preserve"> enthält </w:t>
      </w:r>
      <w:r w:rsidRPr="008D6825">
        <w:rPr>
          <w:b/>
          <w:bCs/>
        </w:rPr>
        <w:t>Polysorbat</w:t>
      </w:r>
    </w:p>
    <w:p w14:paraId="107C9284" w14:textId="4D641BBE" w:rsidR="00093A5E" w:rsidRPr="006A64EE" w:rsidRDefault="009C2544" w:rsidP="004255F8">
      <w:pPr>
        <w:pStyle w:val="a3"/>
        <w:widowControl/>
      </w:pPr>
      <w:r w:rsidRPr="006A64EE">
        <w:t>Dieses Arzneimittel enthält</w:t>
      </w:r>
      <w:r w:rsidR="00B31BF5">
        <w:t xml:space="preserve"> 0,5 mg Polysorbat 80 pro ml. Polysorbate können allergische Reaktionen hervorrufen. Informieren Sie Ihren Arzt, wenn Sie bekannte Allergien haben</w:t>
      </w:r>
      <w:r w:rsidRPr="006A64EE">
        <w:t>.</w:t>
      </w:r>
    </w:p>
    <w:p w14:paraId="160D7D1D" w14:textId="77777777" w:rsidR="00093A5E" w:rsidRPr="006A64EE" w:rsidRDefault="00093A5E" w:rsidP="004255F8">
      <w:pPr>
        <w:pStyle w:val="a3"/>
        <w:widowControl/>
      </w:pPr>
    </w:p>
    <w:p w14:paraId="1E858CFE" w14:textId="77777777" w:rsidR="00093A5E" w:rsidRPr="006A64EE" w:rsidRDefault="00093A5E" w:rsidP="004255F8">
      <w:pPr>
        <w:pStyle w:val="a3"/>
        <w:widowControl/>
      </w:pPr>
    </w:p>
    <w:p w14:paraId="0842003F" w14:textId="148923D0" w:rsidR="00093A5E" w:rsidRPr="006A64EE" w:rsidRDefault="0059713A" w:rsidP="00E66AB0">
      <w:pPr>
        <w:pStyle w:val="1"/>
      </w:pPr>
      <w:r w:rsidRPr="006A64EE">
        <w:t>3.</w:t>
      </w:r>
      <w:r w:rsidRPr="006A64EE">
        <w:tab/>
        <w:t xml:space="preserve">Wie wird </w:t>
      </w:r>
      <w:r w:rsidR="00B31BF5">
        <w:t>Avtozma</w:t>
      </w:r>
      <w:r w:rsidRPr="006A64EE">
        <w:t xml:space="preserve"> verabreicht?</w:t>
      </w:r>
    </w:p>
    <w:p w14:paraId="67101D8B" w14:textId="77777777" w:rsidR="00093A5E" w:rsidRPr="006A64EE" w:rsidRDefault="00093A5E" w:rsidP="004255F8">
      <w:pPr>
        <w:pStyle w:val="a3"/>
        <w:widowControl/>
      </w:pPr>
    </w:p>
    <w:p w14:paraId="6BB51ED7" w14:textId="77777777" w:rsidR="00093A5E" w:rsidRPr="006A64EE" w:rsidRDefault="009C2544" w:rsidP="004255F8">
      <w:pPr>
        <w:pStyle w:val="a3"/>
        <w:widowControl/>
      </w:pPr>
      <w:r w:rsidRPr="006A64EE">
        <w:t>Dieses Arzneimittel unterliegt einer eingeschränkten ärztlichen Verschreibung durch Ihren Arzt.</w:t>
      </w:r>
    </w:p>
    <w:p w14:paraId="1E6D171E" w14:textId="77777777" w:rsidR="00093A5E" w:rsidRPr="006A64EE" w:rsidRDefault="00093A5E" w:rsidP="004255F8">
      <w:pPr>
        <w:pStyle w:val="a3"/>
        <w:widowControl/>
      </w:pPr>
    </w:p>
    <w:p w14:paraId="166DD645" w14:textId="6C2FA998" w:rsidR="00093A5E" w:rsidRPr="006A64EE" w:rsidRDefault="00B31BF5" w:rsidP="004255F8">
      <w:pPr>
        <w:widowControl/>
      </w:pPr>
      <w:r>
        <w:t>Avtozma</w:t>
      </w:r>
      <w:r w:rsidR="009C2544" w:rsidRPr="006A64EE">
        <w:t xml:space="preserve"> wird Ihnen </w:t>
      </w:r>
      <w:r w:rsidR="009C2544" w:rsidRPr="006A64EE">
        <w:rPr>
          <w:b/>
        </w:rPr>
        <w:t xml:space="preserve">von einem Arzt oder medizinischem Fachpersonal über einen Tropf in die Vene verabreicht. </w:t>
      </w:r>
      <w:r w:rsidR="009C2544" w:rsidRPr="006A64EE">
        <w:t>Diese werden die Lösung verdünnen, die intravenöse Infusion anlegen und Sie während und nach der Behandlung überwachen.</w:t>
      </w:r>
    </w:p>
    <w:p w14:paraId="0EC1E192" w14:textId="77777777" w:rsidR="00093A5E" w:rsidRPr="006A64EE" w:rsidRDefault="00093A5E" w:rsidP="004255F8">
      <w:pPr>
        <w:pStyle w:val="a3"/>
        <w:widowControl/>
      </w:pPr>
    </w:p>
    <w:p w14:paraId="339CC87E" w14:textId="77777777" w:rsidR="00093A5E" w:rsidRPr="006A64EE" w:rsidRDefault="009C2544" w:rsidP="004255F8">
      <w:pPr>
        <w:widowControl/>
        <w:rPr>
          <w:b/>
        </w:rPr>
      </w:pPr>
      <w:r w:rsidRPr="006A64EE">
        <w:rPr>
          <w:b/>
          <w:u w:val="single"/>
        </w:rPr>
        <w:t>Erwachsene Patienten mit RA</w:t>
      </w:r>
    </w:p>
    <w:p w14:paraId="28F1F26D" w14:textId="7B8A0D8C" w:rsidR="00093A5E" w:rsidRPr="006A64EE" w:rsidRDefault="009C2544" w:rsidP="004255F8">
      <w:pPr>
        <w:pStyle w:val="a3"/>
        <w:widowControl/>
      </w:pPr>
      <w:r w:rsidRPr="006A64EE">
        <w:t xml:space="preserve">Die normale Dosis von </w:t>
      </w:r>
      <w:r w:rsidR="00B31BF5">
        <w:t>Avtozma</w:t>
      </w:r>
      <w:r w:rsidR="00B31BF5" w:rsidRPr="006A64EE">
        <w:t xml:space="preserve"> </w:t>
      </w:r>
      <w:r w:rsidRPr="006A64EE">
        <w:t>ist 8 mg pro kg Körpergewicht. Abhängig von Ihrem Ansprechen kann Ihr Arzt die Dosis auf 4 mg/kg herabsetzen und dann, falls angemessen, wieder auf 8 mg/kg erhöhen.</w:t>
      </w:r>
    </w:p>
    <w:p w14:paraId="64EDFC70" w14:textId="77777777" w:rsidR="00093A5E" w:rsidRPr="006A64EE" w:rsidRDefault="00093A5E" w:rsidP="004255F8">
      <w:pPr>
        <w:pStyle w:val="a3"/>
        <w:widowControl/>
      </w:pPr>
    </w:p>
    <w:p w14:paraId="53AC2220" w14:textId="7A36B243" w:rsidR="00093A5E" w:rsidRPr="006A64EE" w:rsidRDefault="009C2544" w:rsidP="004255F8">
      <w:pPr>
        <w:pStyle w:val="a3"/>
        <w:widowControl/>
      </w:pPr>
      <w:r w:rsidRPr="006A64EE">
        <w:t xml:space="preserve">Erwachsenen Patienten wird </w:t>
      </w:r>
      <w:r w:rsidR="00B31BF5">
        <w:t>Avtozma</w:t>
      </w:r>
      <w:r w:rsidRPr="006A64EE">
        <w:t xml:space="preserve"> einmal alle 4 Wochen, während einer Stunde, über einen Tropf in die Vene (intravenöse Infusion) verabreicht.</w:t>
      </w:r>
    </w:p>
    <w:p w14:paraId="0DA5FC52" w14:textId="77777777" w:rsidR="00093A5E" w:rsidRPr="006A64EE" w:rsidRDefault="00093A5E" w:rsidP="004255F8">
      <w:pPr>
        <w:pStyle w:val="a3"/>
        <w:widowControl/>
      </w:pPr>
    </w:p>
    <w:p w14:paraId="70009CE6" w14:textId="77777777" w:rsidR="00093A5E" w:rsidRPr="006A64EE" w:rsidRDefault="009C2544" w:rsidP="004255F8">
      <w:pPr>
        <w:widowControl/>
        <w:rPr>
          <w:b/>
        </w:rPr>
      </w:pPr>
      <w:r w:rsidRPr="006A64EE">
        <w:rPr>
          <w:b/>
          <w:u w:val="single"/>
        </w:rPr>
        <w:t>Kinder mit sJIA (2 Jahre und älter)</w:t>
      </w:r>
    </w:p>
    <w:p w14:paraId="4A9F6A80" w14:textId="1F619EAA" w:rsidR="00093A5E" w:rsidRPr="006A64EE" w:rsidRDefault="009C2544" w:rsidP="004255F8">
      <w:pPr>
        <w:pStyle w:val="a3"/>
        <w:widowControl/>
      </w:pPr>
      <w:r w:rsidRPr="006A64EE">
        <w:t xml:space="preserve">Die normale Dosis von </w:t>
      </w:r>
      <w:r w:rsidR="00B31BF5">
        <w:t>Avtozma</w:t>
      </w:r>
      <w:r w:rsidRPr="006A64EE">
        <w:t xml:space="preserve"> ist vom Gewicht abhängig.</w:t>
      </w:r>
    </w:p>
    <w:p w14:paraId="1891F82A" w14:textId="77777777" w:rsidR="00093A5E" w:rsidRPr="006A64EE" w:rsidRDefault="0059713A" w:rsidP="00E66AB0">
      <w:pPr>
        <w:pStyle w:val="bullet"/>
        <w:rPr>
          <w:b/>
        </w:rPr>
      </w:pPr>
      <w:r w:rsidRPr="006A64EE">
        <w:rPr>
          <w:rFonts w:ascii="Symbol" w:hAnsi="Symbol"/>
        </w:rPr>
        <w:t></w:t>
      </w:r>
      <w:r w:rsidRPr="006A64EE">
        <w:rPr>
          <w:rFonts w:ascii="Symbol" w:hAnsi="Symbol"/>
        </w:rPr>
        <w:tab/>
      </w:r>
      <w:r w:rsidRPr="006A64EE">
        <w:t xml:space="preserve">Wenn das Kind weniger als 30 kg wiegt: die Dosis beträgt </w:t>
      </w:r>
      <w:r w:rsidRPr="006A64EE">
        <w:rPr>
          <w:b/>
        </w:rPr>
        <w:t>12 mg pro Kilogramm Körpergewicht</w:t>
      </w:r>
    </w:p>
    <w:p w14:paraId="5A5FD17E" w14:textId="77777777" w:rsidR="00093A5E" w:rsidRPr="006A64EE" w:rsidRDefault="0059713A" w:rsidP="00E66AB0">
      <w:pPr>
        <w:pStyle w:val="bullet"/>
        <w:rPr>
          <w:b/>
        </w:rPr>
      </w:pPr>
      <w:r w:rsidRPr="006A64EE">
        <w:rPr>
          <w:rFonts w:ascii="Symbol" w:hAnsi="Symbol"/>
        </w:rPr>
        <w:lastRenderedPageBreak/>
        <w:t></w:t>
      </w:r>
      <w:r w:rsidRPr="006A64EE">
        <w:rPr>
          <w:rFonts w:ascii="Symbol" w:hAnsi="Symbol"/>
        </w:rPr>
        <w:tab/>
      </w:r>
      <w:r w:rsidRPr="006A64EE">
        <w:t xml:space="preserve">Wenn das Kind 30 kg oder mehr wiegt: die Dosis beträgt </w:t>
      </w:r>
      <w:r w:rsidRPr="006A64EE">
        <w:rPr>
          <w:b/>
        </w:rPr>
        <w:t>8 mg pro Kilogramm Körpergewicht</w:t>
      </w:r>
    </w:p>
    <w:p w14:paraId="4E9BEDB2" w14:textId="77777777" w:rsidR="00093A5E" w:rsidRPr="006A64EE" w:rsidRDefault="009C2544" w:rsidP="004255F8">
      <w:pPr>
        <w:pStyle w:val="a3"/>
        <w:widowControl/>
      </w:pPr>
      <w:r w:rsidRPr="006A64EE">
        <w:t>Die Dosis wird vor jeder Verabreichung anhand des Körpergewichts des Kindes berechnet.</w:t>
      </w:r>
    </w:p>
    <w:p w14:paraId="4EFAA712" w14:textId="77777777" w:rsidR="00093A5E" w:rsidRPr="006A64EE" w:rsidRDefault="00093A5E" w:rsidP="004255F8">
      <w:pPr>
        <w:widowControl/>
      </w:pPr>
    </w:p>
    <w:p w14:paraId="6864CD1D" w14:textId="7F10B001" w:rsidR="00093A5E" w:rsidRPr="006A64EE" w:rsidRDefault="007D680A" w:rsidP="004255F8">
      <w:pPr>
        <w:widowControl/>
      </w:pPr>
      <w:r w:rsidRPr="006A64EE">
        <w:t xml:space="preserve">Kindern mit sJIA wird </w:t>
      </w:r>
      <w:r w:rsidR="00B31BF5">
        <w:t>Avtozma</w:t>
      </w:r>
      <w:r w:rsidRPr="006A64EE">
        <w:t xml:space="preserve"> einmal alle 2 Wochen, während einer Stunde, über einen Tropf in die Vene (intravenöse Infusion) verabreicht.</w:t>
      </w:r>
    </w:p>
    <w:p w14:paraId="7E1DC599" w14:textId="77777777" w:rsidR="00093A5E" w:rsidRPr="006A64EE" w:rsidRDefault="00093A5E" w:rsidP="004255F8">
      <w:pPr>
        <w:pStyle w:val="a3"/>
        <w:widowControl/>
      </w:pPr>
    </w:p>
    <w:p w14:paraId="45428D45" w14:textId="77777777" w:rsidR="00093A5E" w:rsidRPr="006A64EE" w:rsidRDefault="009C2544" w:rsidP="004255F8">
      <w:pPr>
        <w:keepNext/>
        <w:widowControl/>
        <w:rPr>
          <w:b/>
        </w:rPr>
      </w:pPr>
      <w:r w:rsidRPr="006A64EE">
        <w:rPr>
          <w:b/>
          <w:u w:val="single"/>
        </w:rPr>
        <w:t>Kinder mit pJIA (2 Jahre und älter)</w:t>
      </w:r>
    </w:p>
    <w:p w14:paraId="1949A423" w14:textId="3E3D04CF" w:rsidR="00093A5E" w:rsidRPr="006A64EE" w:rsidRDefault="009C2544" w:rsidP="004255F8">
      <w:pPr>
        <w:pStyle w:val="a3"/>
        <w:widowControl/>
      </w:pPr>
      <w:r w:rsidRPr="006A64EE">
        <w:t xml:space="preserve">Die normale Dosis von </w:t>
      </w:r>
      <w:r w:rsidR="00B31BF5">
        <w:t>Avtozma</w:t>
      </w:r>
      <w:r w:rsidRPr="006A64EE">
        <w:t xml:space="preserve"> ist vom Gewicht abhängig.</w:t>
      </w:r>
    </w:p>
    <w:p w14:paraId="32F44EBC" w14:textId="77777777" w:rsidR="00093A5E" w:rsidRPr="006A64EE" w:rsidRDefault="0059713A" w:rsidP="00E66AB0">
      <w:pPr>
        <w:pStyle w:val="bullet"/>
        <w:rPr>
          <w:b/>
        </w:rPr>
      </w:pPr>
      <w:r w:rsidRPr="006A64EE">
        <w:rPr>
          <w:rFonts w:ascii="Symbol" w:hAnsi="Symbol"/>
        </w:rPr>
        <w:t></w:t>
      </w:r>
      <w:r w:rsidRPr="006A64EE">
        <w:rPr>
          <w:rFonts w:ascii="Symbol" w:hAnsi="Symbol"/>
        </w:rPr>
        <w:tab/>
      </w:r>
      <w:r w:rsidRPr="006A64EE">
        <w:t xml:space="preserve">Wenn das Kind weniger als 30 kg wiegt: die Dosis beträgt </w:t>
      </w:r>
      <w:r w:rsidRPr="006A64EE">
        <w:rPr>
          <w:b/>
        </w:rPr>
        <w:t>10 mg pro Kilogramm Körpergewicht</w:t>
      </w:r>
    </w:p>
    <w:p w14:paraId="2221D26E" w14:textId="77777777" w:rsidR="00093A5E" w:rsidRPr="006A64EE" w:rsidRDefault="0059713A" w:rsidP="00E66AB0">
      <w:pPr>
        <w:pStyle w:val="bullet"/>
        <w:rPr>
          <w:b/>
        </w:rPr>
      </w:pPr>
      <w:r w:rsidRPr="006A64EE">
        <w:rPr>
          <w:rFonts w:ascii="Symbol" w:hAnsi="Symbol"/>
        </w:rPr>
        <w:t></w:t>
      </w:r>
      <w:r w:rsidRPr="006A64EE">
        <w:rPr>
          <w:rFonts w:ascii="Symbol" w:hAnsi="Symbol"/>
        </w:rPr>
        <w:tab/>
      </w:r>
      <w:r w:rsidRPr="006A64EE">
        <w:t xml:space="preserve">Wenn das Kind 30 kg oder mehr wiegt: die Dosis beträgt </w:t>
      </w:r>
      <w:r w:rsidRPr="006A64EE">
        <w:rPr>
          <w:b/>
        </w:rPr>
        <w:t>8 mg pro Kilogramm Körpergewicht</w:t>
      </w:r>
    </w:p>
    <w:p w14:paraId="40687FE6" w14:textId="77777777" w:rsidR="00093A5E" w:rsidRPr="006A64EE" w:rsidRDefault="009C2544" w:rsidP="004255F8">
      <w:pPr>
        <w:pStyle w:val="a3"/>
        <w:widowControl/>
      </w:pPr>
      <w:r w:rsidRPr="006A64EE">
        <w:t>Die Dosis wird vor jeder Verabreichung anhand des Körpergewichts des Kindes berechnet.</w:t>
      </w:r>
    </w:p>
    <w:p w14:paraId="03FF63B0" w14:textId="77777777" w:rsidR="00093A5E" w:rsidRPr="006A64EE" w:rsidRDefault="00093A5E" w:rsidP="004255F8">
      <w:pPr>
        <w:pStyle w:val="a3"/>
        <w:widowControl/>
      </w:pPr>
    </w:p>
    <w:p w14:paraId="535A438E" w14:textId="45EE4926" w:rsidR="00093A5E" w:rsidRPr="006A64EE" w:rsidRDefault="009C2544" w:rsidP="004255F8">
      <w:pPr>
        <w:pStyle w:val="a3"/>
        <w:widowControl/>
      </w:pPr>
      <w:r w:rsidRPr="006A64EE">
        <w:t xml:space="preserve">Kindern mit pJIA wird </w:t>
      </w:r>
      <w:r w:rsidR="00B31BF5">
        <w:t>Avtozma</w:t>
      </w:r>
      <w:r w:rsidRPr="006A64EE">
        <w:t xml:space="preserve"> einmal alle 4 Wochen, während einer Stunde, über einen Tropf in die Vene (intravenöse Infusion) verabreicht.</w:t>
      </w:r>
    </w:p>
    <w:p w14:paraId="48DE8C81" w14:textId="77777777" w:rsidR="00093A5E" w:rsidRPr="006A64EE" w:rsidRDefault="00093A5E" w:rsidP="004255F8">
      <w:pPr>
        <w:pStyle w:val="a3"/>
        <w:widowControl/>
      </w:pPr>
    </w:p>
    <w:p w14:paraId="37736E28" w14:textId="77777777" w:rsidR="00093A5E" w:rsidRPr="008D6825" w:rsidRDefault="009C2544" w:rsidP="008D6825">
      <w:pPr>
        <w:widowControl/>
        <w:rPr>
          <w:b/>
          <w:bCs/>
        </w:rPr>
      </w:pPr>
      <w:r w:rsidRPr="008D6825">
        <w:rPr>
          <w:b/>
          <w:bCs/>
        </w:rPr>
        <w:t>Patienten mit CRS</w:t>
      </w:r>
    </w:p>
    <w:p w14:paraId="0CE9F195" w14:textId="799DE029" w:rsidR="00093A5E" w:rsidRPr="006A64EE" w:rsidRDefault="009C2544" w:rsidP="00E66AB0">
      <w:pPr>
        <w:widowControl/>
      </w:pPr>
      <w:r w:rsidRPr="006A64EE">
        <w:t xml:space="preserve">Die normale Dosis von </w:t>
      </w:r>
      <w:r w:rsidR="00B31BF5">
        <w:t>Avtozma</w:t>
      </w:r>
      <w:r w:rsidRPr="006A64EE">
        <w:t xml:space="preserve"> beträgt </w:t>
      </w:r>
      <w:r w:rsidRPr="006A64EE">
        <w:rPr>
          <w:b/>
        </w:rPr>
        <w:t>8 mg pro Kilogramm Körpergewicht, wenn Sie 30 kg oder mehr wiegen</w:t>
      </w:r>
      <w:r w:rsidRPr="006A64EE">
        <w:t xml:space="preserve">. Die Dosis beträgt </w:t>
      </w:r>
      <w:r w:rsidRPr="006A64EE">
        <w:rPr>
          <w:b/>
        </w:rPr>
        <w:t>12 mg pro Kilogramm Körpergewicht, wenn Sie weniger als 30</w:t>
      </w:r>
      <w:r w:rsidR="00F21AA2">
        <w:rPr>
          <w:b/>
        </w:rPr>
        <w:t> </w:t>
      </w:r>
      <w:r w:rsidRPr="006A64EE">
        <w:rPr>
          <w:b/>
        </w:rPr>
        <w:t>kg wiegen</w:t>
      </w:r>
      <w:r w:rsidRPr="006A64EE">
        <w:t>.</w:t>
      </w:r>
    </w:p>
    <w:p w14:paraId="7ED11BB9" w14:textId="77777777" w:rsidR="00613BFB" w:rsidRPr="006A64EE" w:rsidRDefault="00613BFB" w:rsidP="00613BFB">
      <w:pPr>
        <w:pStyle w:val="a3"/>
        <w:widowControl/>
      </w:pPr>
      <w:r>
        <w:t>Avtozma</w:t>
      </w:r>
      <w:r w:rsidRPr="006A64EE">
        <w:t xml:space="preserve"> kann alleine oder zusammen mit Corticosteroiden verabreicht werden.</w:t>
      </w:r>
    </w:p>
    <w:p w14:paraId="05E588D8" w14:textId="77777777" w:rsidR="00093A5E" w:rsidRPr="006A64EE" w:rsidRDefault="00093A5E" w:rsidP="00E66AB0">
      <w:pPr>
        <w:pStyle w:val="a3"/>
        <w:widowControl/>
      </w:pPr>
    </w:p>
    <w:p w14:paraId="3B42B8BD" w14:textId="77777777" w:rsidR="00093A5E" w:rsidRPr="008D6825" w:rsidRDefault="009C2544" w:rsidP="008D6825">
      <w:pPr>
        <w:widowControl/>
        <w:rPr>
          <w:b/>
          <w:bCs/>
        </w:rPr>
      </w:pPr>
      <w:r w:rsidRPr="008D6825">
        <w:rPr>
          <w:b/>
          <w:bCs/>
        </w:rPr>
        <w:t>Patienten mit COVID-19</w:t>
      </w:r>
    </w:p>
    <w:p w14:paraId="27C8E94F" w14:textId="7B698828" w:rsidR="00093A5E" w:rsidRPr="006A64EE" w:rsidRDefault="009C2544" w:rsidP="00E66AB0">
      <w:pPr>
        <w:widowControl/>
      </w:pPr>
      <w:r w:rsidRPr="006A64EE">
        <w:t xml:space="preserve">Die normale Dosis von </w:t>
      </w:r>
      <w:r w:rsidR="00B31BF5">
        <w:t>Avtozma</w:t>
      </w:r>
      <w:r w:rsidRPr="006A64EE">
        <w:t xml:space="preserve"> beträgt </w:t>
      </w:r>
      <w:r w:rsidRPr="006A64EE">
        <w:rPr>
          <w:b/>
        </w:rPr>
        <w:t xml:space="preserve">8 mg pro Kilogramm Körpergewicht. </w:t>
      </w:r>
      <w:r w:rsidRPr="006A64EE">
        <w:t>Eine zweite Dosis kann erforderlich sein.</w:t>
      </w:r>
    </w:p>
    <w:p w14:paraId="56BA13A5" w14:textId="77777777" w:rsidR="00093A5E" w:rsidRPr="006A64EE" w:rsidRDefault="00093A5E" w:rsidP="00E66AB0">
      <w:pPr>
        <w:pStyle w:val="a3"/>
        <w:widowControl/>
      </w:pPr>
    </w:p>
    <w:p w14:paraId="3266C973" w14:textId="460BAD9D" w:rsidR="00093A5E" w:rsidRPr="008D6825" w:rsidRDefault="009C2544" w:rsidP="008D6825">
      <w:pPr>
        <w:widowControl/>
        <w:rPr>
          <w:b/>
          <w:bCs/>
        </w:rPr>
      </w:pPr>
      <w:r w:rsidRPr="008D6825">
        <w:rPr>
          <w:b/>
          <w:bCs/>
        </w:rPr>
        <w:t xml:space="preserve">Wenn Sie eine größere Menge von </w:t>
      </w:r>
      <w:r w:rsidR="00B31BF5" w:rsidRPr="008D6825">
        <w:rPr>
          <w:b/>
          <w:bCs/>
        </w:rPr>
        <w:t>Avtozma</w:t>
      </w:r>
      <w:r w:rsidRPr="008D6825">
        <w:rPr>
          <w:b/>
          <w:bCs/>
        </w:rPr>
        <w:t xml:space="preserve"> erhalten haben, als Sie sollten</w:t>
      </w:r>
    </w:p>
    <w:p w14:paraId="54499F1C" w14:textId="49102FD5" w:rsidR="00093A5E" w:rsidRPr="006A64EE" w:rsidRDefault="009C2544" w:rsidP="00E66AB0">
      <w:pPr>
        <w:pStyle w:val="a3"/>
        <w:widowControl/>
      </w:pPr>
      <w:r w:rsidRPr="006A64EE">
        <w:t xml:space="preserve">Da Ihnen </w:t>
      </w:r>
      <w:r w:rsidR="00B31BF5">
        <w:t>Avtozma</w:t>
      </w:r>
      <w:r w:rsidRPr="006A64EE">
        <w:t xml:space="preserve"> von einem Arzt oder medizinischem Fachpersonal gegeben wird, ist es unwahrscheinlich, dass man Ihnen zu viel geben wird. Sollten Sie jedoch beunruhigt sein, sprechen Sie mit Ihrem Arzt.</w:t>
      </w:r>
    </w:p>
    <w:p w14:paraId="2769D7DB" w14:textId="77777777" w:rsidR="00093A5E" w:rsidRPr="006A64EE" w:rsidRDefault="00093A5E" w:rsidP="00E66AB0">
      <w:pPr>
        <w:pStyle w:val="a3"/>
        <w:widowControl/>
      </w:pPr>
    </w:p>
    <w:p w14:paraId="3C6F1C54" w14:textId="0D07E961" w:rsidR="00093A5E" w:rsidRPr="008D6825" w:rsidRDefault="009C2544" w:rsidP="008D6825">
      <w:pPr>
        <w:widowControl/>
        <w:rPr>
          <w:b/>
          <w:bCs/>
        </w:rPr>
      </w:pPr>
      <w:r w:rsidRPr="008D6825">
        <w:rPr>
          <w:b/>
          <w:bCs/>
        </w:rPr>
        <w:t xml:space="preserve">Wenn Sie eine Dosis von </w:t>
      </w:r>
      <w:r w:rsidR="00B31BF5" w:rsidRPr="008D6825">
        <w:rPr>
          <w:b/>
          <w:bCs/>
        </w:rPr>
        <w:t>Avtozma</w:t>
      </w:r>
      <w:r w:rsidRPr="008D6825">
        <w:rPr>
          <w:b/>
          <w:bCs/>
        </w:rPr>
        <w:t xml:space="preserve"> verpassen</w:t>
      </w:r>
    </w:p>
    <w:p w14:paraId="1803CAB1" w14:textId="0390F067" w:rsidR="00093A5E" w:rsidRPr="006A64EE" w:rsidRDefault="009C2544" w:rsidP="00E66AB0">
      <w:pPr>
        <w:pStyle w:val="a3"/>
        <w:widowControl/>
      </w:pPr>
      <w:r w:rsidRPr="006A64EE">
        <w:t xml:space="preserve">Da Ihnen </w:t>
      </w:r>
      <w:r w:rsidR="00B31BF5">
        <w:t>Avtozma</w:t>
      </w:r>
      <w:r w:rsidRPr="006A64EE">
        <w:t xml:space="preserve"> von einem Arzt oder medizinischem Fachpersonal gegeben wird, ist es unwahrscheinlich, dass eine Anwendung vergessen wird. Sollten Sie jedoch beunruhigt sein, sprechen Sie mit Ihrem Arzt oder dem medizinischen Fachpersonal.</w:t>
      </w:r>
    </w:p>
    <w:p w14:paraId="6483A5BD" w14:textId="77777777" w:rsidR="00093A5E" w:rsidRPr="006A64EE" w:rsidRDefault="00093A5E" w:rsidP="00E66AB0">
      <w:pPr>
        <w:pStyle w:val="a3"/>
        <w:widowControl/>
      </w:pPr>
    </w:p>
    <w:p w14:paraId="5239CA94" w14:textId="6A6361CD" w:rsidR="00093A5E" w:rsidRPr="008D6825" w:rsidRDefault="009C2544" w:rsidP="008D6825">
      <w:pPr>
        <w:widowControl/>
        <w:rPr>
          <w:b/>
          <w:bCs/>
        </w:rPr>
      </w:pPr>
      <w:r w:rsidRPr="008D6825">
        <w:rPr>
          <w:b/>
          <w:bCs/>
        </w:rPr>
        <w:t xml:space="preserve">Wenn Sie die Anwendung von </w:t>
      </w:r>
      <w:r w:rsidR="00B31BF5" w:rsidRPr="008D6825">
        <w:rPr>
          <w:b/>
          <w:bCs/>
        </w:rPr>
        <w:t>Avtozma</w:t>
      </w:r>
      <w:r w:rsidRPr="008D6825">
        <w:rPr>
          <w:b/>
          <w:bCs/>
        </w:rPr>
        <w:t xml:space="preserve"> abbrechen</w:t>
      </w:r>
    </w:p>
    <w:p w14:paraId="1963713E" w14:textId="01ABF322" w:rsidR="00093A5E" w:rsidRPr="006A64EE" w:rsidRDefault="009C2544" w:rsidP="004255F8">
      <w:pPr>
        <w:pStyle w:val="a3"/>
        <w:widowControl/>
      </w:pPr>
      <w:r w:rsidRPr="006A64EE">
        <w:t xml:space="preserve">Sie sollten die Anwendung von </w:t>
      </w:r>
      <w:r w:rsidR="00B31BF5">
        <w:t>Avtozma</w:t>
      </w:r>
      <w:r w:rsidRPr="006A64EE">
        <w:t xml:space="preserve"> nicht abbrechen, ohne vorher mit Ihrem Arzt darüber gesprochen zu haben.</w:t>
      </w:r>
    </w:p>
    <w:p w14:paraId="16FC12CB" w14:textId="77777777" w:rsidR="00093A5E" w:rsidRPr="006A64EE" w:rsidRDefault="00093A5E" w:rsidP="004255F8">
      <w:pPr>
        <w:pStyle w:val="a3"/>
        <w:widowControl/>
      </w:pPr>
    </w:p>
    <w:p w14:paraId="77733480" w14:textId="77777777" w:rsidR="00093A5E" w:rsidRPr="006A64EE" w:rsidRDefault="009C2544" w:rsidP="004255F8">
      <w:pPr>
        <w:pStyle w:val="a3"/>
        <w:widowControl/>
      </w:pPr>
      <w:r w:rsidRPr="006A64EE">
        <w:t>Wenn Sie weitere Fragen zur Anwendung dieses Arzneimittels haben, wenden Sie sich an Ihren Arzt oder das medizinische Fachpersonal.</w:t>
      </w:r>
    </w:p>
    <w:p w14:paraId="19B207B1" w14:textId="77777777" w:rsidR="00093A5E" w:rsidRPr="006A64EE" w:rsidRDefault="00093A5E" w:rsidP="004255F8">
      <w:pPr>
        <w:pStyle w:val="a3"/>
        <w:widowControl/>
      </w:pPr>
    </w:p>
    <w:p w14:paraId="5DDDC812" w14:textId="77777777" w:rsidR="00093A5E" w:rsidRPr="006A64EE" w:rsidRDefault="00093A5E" w:rsidP="004255F8">
      <w:pPr>
        <w:pStyle w:val="a3"/>
        <w:widowControl/>
      </w:pPr>
    </w:p>
    <w:p w14:paraId="6ACE2B4F" w14:textId="77777777" w:rsidR="00093A5E" w:rsidRPr="006A64EE" w:rsidRDefault="0059713A" w:rsidP="00E66AB0">
      <w:pPr>
        <w:pStyle w:val="1"/>
      </w:pPr>
      <w:r w:rsidRPr="006A64EE">
        <w:t>4.</w:t>
      </w:r>
      <w:r w:rsidRPr="006A64EE">
        <w:tab/>
        <w:t>Welche Nebenwirkungen sind möglich?</w:t>
      </w:r>
    </w:p>
    <w:p w14:paraId="7F564B31" w14:textId="77777777" w:rsidR="00107B53" w:rsidRPr="006A64EE" w:rsidRDefault="00107B53" w:rsidP="00121CB7"/>
    <w:p w14:paraId="44930A66" w14:textId="3C9B03EB" w:rsidR="00093A5E" w:rsidRPr="006A64EE" w:rsidRDefault="009C2544" w:rsidP="004255F8">
      <w:pPr>
        <w:pStyle w:val="a3"/>
        <w:widowControl/>
      </w:pPr>
      <w:r w:rsidRPr="006A64EE">
        <w:t xml:space="preserve">Wie alle Arzneimittel kann auch dieses Arzneimittel Nebenwirkungen haben, die aber nicht bei jedem auftreten müssen. Nebenwirkungen können bis mindestens 3 Monate nach der letzten Dosis von </w:t>
      </w:r>
      <w:r w:rsidR="00900A71">
        <w:t>Avtozma</w:t>
      </w:r>
      <w:r w:rsidRPr="006A64EE">
        <w:t xml:space="preserve"> auftreten.</w:t>
      </w:r>
    </w:p>
    <w:p w14:paraId="5802C51F" w14:textId="77777777" w:rsidR="00093A5E" w:rsidRPr="006A64EE" w:rsidRDefault="00093A5E" w:rsidP="004255F8">
      <w:pPr>
        <w:pStyle w:val="a3"/>
        <w:widowControl/>
      </w:pPr>
    </w:p>
    <w:p w14:paraId="297EEBA5" w14:textId="77777777" w:rsidR="00093A5E" w:rsidRPr="006A64EE" w:rsidRDefault="009C2544" w:rsidP="004255F8">
      <w:pPr>
        <w:widowControl/>
      </w:pPr>
      <w:r w:rsidRPr="006A64EE">
        <w:rPr>
          <w:b/>
        </w:rPr>
        <w:t>Mögliche schwerwiegende Nebenwirkungen</w:t>
      </w:r>
      <w:r w:rsidRPr="008D6825">
        <w:rPr>
          <w:bCs/>
        </w:rPr>
        <w:t>:</w:t>
      </w:r>
      <w:r w:rsidRPr="006A64EE">
        <w:rPr>
          <w:b/>
        </w:rPr>
        <w:t xml:space="preserve"> </w:t>
      </w:r>
      <w:r w:rsidRPr="006A64EE">
        <w:t>Informieren Sie umgehend Ihren Arzt.</w:t>
      </w:r>
    </w:p>
    <w:p w14:paraId="2758C4E2" w14:textId="77777777" w:rsidR="00093A5E" w:rsidRPr="006A64EE" w:rsidRDefault="009C2544" w:rsidP="004255F8">
      <w:pPr>
        <w:widowControl/>
        <w:rPr>
          <w:i/>
        </w:rPr>
      </w:pPr>
      <w:r w:rsidRPr="006A64EE">
        <w:rPr>
          <w:i/>
        </w:rPr>
        <w:t>Diese sind häufig: sie können bei bis zu 1 von 10 Behandelten auftreten</w:t>
      </w:r>
    </w:p>
    <w:p w14:paraId="1385E1E7" w14:textId="77777777" w:rsidR="00093A5E" w:rsidRPr="006A64EE" w:rsidRDefault="00093A5E" w:rsidP="004255F8">
      <w:pPr>
        <w:widowControl/>
        <w:rPr>
          <w:i/>
        </w:rPr>
      </w:pPr>
    </w:p>
    <w:p w14:paraId="0E1F4CC0" w14:textId="77777777" w:rsidR="00093A5E" w:rsidRPr="006A64EE" w:rsidRDefault="009C2544" w:rsidP="004255F8">
      <w:pPr>
        <w:widowControl/>
      </w:pPr>
      <w:r w:rsidRPr="006A64EE">
        <w:rPr>
          <w:b/>
        </w:rPr>
        <w:t xml:space="preserve">Allergische Reaktionen </w:t>
      </w:r>
      <w:r w:rsidRPr="006A64EE">
        <w:t>während oder nach der Infusion:</w:t>
      </w:r>
    </w:p>
    <w:p w14:paraId="09072A03" w14:textId="77777777" w:rsidR="00093A5E" w:rsidRPr="006A64EE" w:rsidRDefault="0059713A" w:rsidP="00E66AB0">
      <w:pPr>
        <w:pStyle w:val="bullet"/>
      </w:pPr>
      <w:r w:rsidRPr="006A64EE">
        <w:rPr>
          <w:rFonts w:ascii="Symbol" w:hAnsi="Symbol"/>
        </w:rPr>
        <w:lastRenderedPageBreak/>
        <w:t></w:t>
      </w:r>
      <w:r w:rsidRPr="006A64EE">
        <w:rPr>
          <w:rFonts w:ascii="Symbol" w:hAnsi="Symbol"/>
        </w:rPr>
        <w:tab/>
      </w:r>
      <w:r w:rsidRPr="006A64EE">
        <w:t>Schwierigkeiten beim Atmen, Engegefühl in der Brust oder Benommenheit</w:t>
      </w:r>
    </w:p>
    <w:p w14:paraId="16F34E16"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 xml:space="preserve">Hautausschlag, Juckreiz, Quaddeln, Schwellung der Lippen, Zunge oder des Gesichts </w:t>
      </w:r>
    </w:p>
    <w:p w14:paraId="0F07638F" w14:textId="77777777" w:rsidR="00093A5E" w:rsidRPr="006A64EE" w:rsidRDefault="00093A5E" w:rsidP="004255F8">
      <w:pPr>
        <w:pStyle w:val="a4"/>
        <w:widowControl/>
        <w:tabs>
          <w:tab w:val="left" w:pos="906"/>
        </w:tabs>
        <w:ind w:left="0" w:firstLine="0"/>
      </w:pPr>
    </w:p>
    <w:p w14:paraId="24EE038A" w14:textId="77777777" w:rsidR="00093A5E" w:rsidRPr="006A64EE" w:rsidRDefault="009C2544" w:rsidP="004255F8">
      <w:pPr>
        <w:pStyle w:val="a4"/>
        <w:widowControl/>
        <w:tabs>
          <w:tab w:val="left" w:pos="906"/>
        </w:tabs>
        <w:ind w:left="0" w:firstLine="0"/>
      </w:pPr>
      <w:r w:rsidRPr="006A64EE">
        <w:t xml:space="preserve">Wenn Sie eine dieser Reaktionen bemerken, informieren Sie </w:t>
      </w:r>
      <w:r w:rsidRPr="006A64EE">
        <w:rPr>
          <w:b/>
        </w:rPr>
        <w:t xml:space="preserve">sofort </w:t>
      </w:r>
      <w:r w:rsidRPr="006A64EE">
        <w:t>Ihren Arzt.</w:t>
      </w:r>
    </w:p>
    <w:p w14:paraId="5A0A8D10" w14:textId="77777777" w:rsidR="00093A5E" w:rsidRPr="006A64EE" w:rsidRDefault="00093A5E" w:rsidP="004255F8">
      <w:pPr>
        <w:widowControl/>
      </w:pPr>
    </w:p>
    <w:p w14:paraId="64935782" w14:textId="77777777" w:rsidR="00093A5E" w:rsidRPr="006A64EE" w:rsidRDefault="007D680A" w:rsidP="00107B53">
      <w:pPr>
        <w:keepNext/>
        <w:widowControl/>
        <w:rPr>
          <w:b/>
          <w:bCs/>
        </w:rPr>
      </w:pPr>
      <w:r w:rsidRPr="006A64EE">
        <w:rPr>
          <w:b/>
          <w:bCs/>
        </w:rPr>
        <w:t>Anzeichen schwerwiegender Infektionen</w:t>
      </w:r>
      <w:r w:rsidRPr="008D6825">
        <w:t>:</w:t>
      </w:r>
    </w:p>
    <w:p w14:paraId="6C6D35CA"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Fieber und Schüttelfrost</w:t>
      </w:r>
    </w:p>
    <w:p w14:paraId="330479B9"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Blasen im Mund oder auf der Haut</w:t>
      </w:r>
    </w:p>
    <w:p w14:paraId="1FF7B73C"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Magen- bzw. Bauchschmerzen.</w:t>
      </w:r>
    </w:p>
    <w:p w14:paraId="7D3D36D6" w14:textId="77777777" w:rsidR="00093A5E" w:rsidRPr="006A64EE" w:rsidRDefault="00093A5E" w:rsidP="004255F8">
      <w:pPr>
        <w:pStyle w:val="a3"/>
        <w:widowControl/>
      </w:pPr>
    </w:p>
    <w:p w14:paraId="778E507D" w14:textId="77777777" w:rsidR="00093A5E" w:rsidRPr="008D6825" w:rsidRDefault="009C2544" w:rsidP="008D6825">
      <w:pPr>
        <w:widowControl/>
        <w:rPr>
          <w:b/>
          <w:bCs/>
        </w:rPr>
      </w:pPr>
      <w:r w:rsidRPr="008D6825">
        <w:rPr>
          <w:b/>
          <w:bCs/>
        </w:rPr>
        <w:t>Anzeichen und Symptome von Lebertoxizität</w:t>
      </w:r>
      <w:r w:rsidRPr="008D6825">
        <w:t>:</w:t>
      </w:r>
    </w:p>
    <w:p w14:paraId="4CB2A6EA" w14:textId="38AD6D58" w:rsidR="00093A5E" w:rsidRPr="006A64EE" w:rsidRDefault="009C2544" w:rsidP="00E66AB0">
      <w:pPr>
        <w:widowControl/>
        <w:rPr>
          <w:i/>
        </w:rPr>
      </w:pPr>
      <w:r w:rsidRPr="006A64EE">
        <w:rPr>
          <w:i/>
        </w:rPr>
        <w:t>Können bei bis zu 1 von 1</w:t>
      </w:r>
      <w:r w:rsidR="00DF3F57">
        <w:rPr>
          <w:i/>
        </w:rPr>
        <w:t> </w:t>
      </w:r>
      <w:r w:rsidRPr="006A64EE">
        <w:rPr>
          <w:i/>
        </w:rPr>
        <w:t>000 Behandelten auftreten</w:t>
      </w:r>
    </w:p>
    <w:p w14:paraId="10BEBC03"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Müdigkeit</w:t>
      </w:r>
    </w:p>
    <w:p w14:paraId="20B88CB5"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Bauchschmerzen</w:t>
      </w:r>
    </w:p>
    <w:p w14:paraId="486BB01C"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Gelbsucht (gelbe Verfärbung der Haut oder der Augen).</w:t>
      </w:r>
    </w:p>
    <w:p w14:paraId="664FFA10" w14:textId="77777777" w:rsidR="00093A5E" w:rsidRPr="006A64EE" w:rsidRDefault="00093A5E" w:rsidP="00E66AB0">
      <w:pPr>
        <w:pStyle w:val="a3"/>
        <w:widowControl/>
      </w:pPr>
    </w:p>
    <w:p w14:paraId="19C5E113" w14:textId="77777777" w:rsidR="00093A5E" w:rsidRPr="006A64EE" w:rsidRDefault="009C2544" w:rsidP="00E66AB0">
      <w:pPr>
        <w:widowControl/>
      </w:pPr>
      <w:r w:rsidRPr="006A64EE">
        <w:t xml:space="preserve">Wenn Sie eine dieser Reaktionen bemerken, informieren Sie </w:t>
      </w:r>
      <w:r w:rsidRPr="006A64EE">
        <w:rPr>
          <w:b/>
        </w:rPr>
        <w:t xml:space="preserve">so schnell wie möglich </w:t>
      </w:r>
      <w:r w:rsidRPr="006A64EE">
        <w:t>Ihren Arzt.</w:t>
      </w:r>
    </w:p>
    <w:p w14:paraId="57585A63" w14:textId="77777777" w:rsidR="00093A5E" w:rsidRPr="006A64EE" w:rsidRDefault="00093A5E" w:rsidP="00E66AB0">
      <w:pPr>
        <w:pStyle w:val="a3"/>
        <w:widowControl/>
      </w:pPr>
    </w:p>
    <w:p w14:paraId="0521AC38" w14:textId="77777777" w:rsidR="00093A5E" w:rsidRPr="008D6825" w:rsidRDefault="009C2544" w:rsidP="008D6825">
      <w:pPr>
        <w:widowControl/>
        <w:rPr>
          <w:b/>
          <w:bCs/>
        </w:rPr>
      </w:pPr>
      <w:r w:rsidRPr="008D6825">
        <w:rPr>
          <w:b/>
          <w:bCs/>
        </w:rPr>
        <w:t>Sehr häufige Nebenwirkungen</w:t>
      </w:r>
      <w:r w:rsidRPr="009D7479">
        <w:t>:</w:t>
      </w:r>
    </w:p>
    <w:p w14:paraId="4A2D36A7" w14:textId="77777777" w:rsidR="00093A5E" w:rsidRPr="006A64EE" w:rsidRDefault="009C2544" w:rsidP="00E66AB0">
      <w:pPr>
        <w:widowControl/>
        <w:rPr>
          <w:i/>
        </w:rPr>
      </w:pPr>
      <w:r w:rsidRPr="006A64EE">
        <w:rPr>
          <w:i/>
        </w:rPr>
        <w:t>Können bei mehr als 1 von 10 Behandelten auftreten</w:t>
      </w:r>
    </w:p>
    <w:p w14:paraId="7DE22585"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Infektionen der oberen Atemwege mit typischen Beschwerden wie Husten, verstopfte Nase, laufende Nase, Halsschmerzen und Kopfschmerzen</w:t>
      </w:r>
    </w:p>
    <w:p w14:paraId="3D2C2704"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hohe Blutfettwerte (Cholesterinwerte).</w:t>
      </w:r>
    </w:p>
    <w:p w14:paraId="61E19F90" w14:textId="77777777" w:rsidR="00093A5E" w:rsidRPr="006A64EE" w:rsidRDefault="00093A5E" w:rsidP="00121CB7"/>
    <w:p w14:paraId="25793CE7" w14:textId="77777777" w:rsidR="00093A5E" w:rsidRPr="008D6825" w:rsidRDefault="009C2544" w:rsidP="008D6825">
      <w:pPr>
        <w:widowControl/>
        <w:rPr>
          <w:b/>
          <w:bCs/>
        </w:rPr>
      </w:pPr>
      <w:r w:rsidRPr="008D6825">
        <w:rPr>
          <w:b/>
          <w:bCs/>
        </w:rPr>
        <w:t>Häufige Nebenwirkungen</w:t>
      </w:r>
      <w:r w:rsidRPr="009D7479">
        <w:t>:</w:t>
      </w:r>
    </w:p>
    <w:p w14:paraId="37C50434" w14:textId="77777777" w:rsidR="00093A5E" w:rsidRPr="006A64EE" w:rsidRDefault="009C2544" w:rsidP="004255F8">
      <w:pPr>
        <w:widowControl/>
        <w:rPr>
          <w:i/>
        </w:rPr>
      </w:pPr>
      <w:r w:rsidRPr="006A64EE">
        <w:rPr>
          <w:i/>
        </w:rPr>
        <w:t>Können bei bis zu 1 von 10 Behandelten auftreten</w:t>
      </w:r>
    </w:p>
    <w:p w14:paraId="38D03032"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Lungenentzündung (Pneumonie)</w:t>
      </w:r>
    </w:p>
    <w:p w14:paraId="15BCDC29"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Gürtelrose (Herpes zoster)</w:t>
      </w:r>
    </w:p>
    <w:p w14:paraId="5F5F51B3"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Fieberblasen (oraler Herpes simplex), Blasen</w:t>
      </w:r>
    </w:p>
    <w:p w14:paraId="10D0B120"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Hautinfektionen (Zellulitis), manchmal mit Fieber und Schüttelfrost</w:t>
      </w:r>
    </w:p>
    <w:p w14:paraId="6288282E"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Hautausschlag und Juckreiz, Quaddeln</w:t>
      </w:r>
    </w:p>
    <w:p w14:paraId="1BCE8B6E"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allergische Reaktionen (Überempfindlichkeitsreaktionen)</w:t>
      </w:r>
    </w:p>
    <w:p w14:paraId="5161C603"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Infektionen der Augen (Konjunktivitis)</w:t>
      </w:r>
    </w:p>
    <w:p w14:paraId="39843402"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Kopfschmerzen, Schwindel, Bluthochdruck</w:t>
      </w:r>
    </w:p>
    <w:p w14:paraId="73679B34"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Geschwüre im Mund, Magen- bzw. Bauchschmerzen</w:t>
      </w:r>
    </w:p>
    <w:p w14:paraId="470C1684"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Flüssigkeitsansammlung (Ödem) der Unterschenkel, Gewichtszunahme</w:t>
      </w:r>
    </w:p>
    <w:p w14:paraId="6DF75149"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Husten, Kurzatmigkeit</w:t>
      </w:r>
    </w:p>
    <w:p w14:paraId="5A209A70"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niedrige Anzahl der weißen Blutkörperchen, die bei Blutuntersuchungen festgestellt wird (Neutropenie, Leukopenie)</w:t>
      </w:r>
    </w:p>
    <w:p w14:paraId="17B45FC7"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abnormale Leberfunktionstests (erhöhte Transaminasenwerte)</w:t>
      </w:r>
    </w:p>
    <w:p w14:paraId="70A0A4CC"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erhöhte Bilirubinwerte bei Blutuntersuchungen</w:t>
      </w:r>
    </w:p>
    <w:p w14:paraId="528EB6AC"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niedrige Fibrinogenspiegel im Blut (ein Protein, das an der Blutgerinnung beteiligt ist).</w:t>
      </w:r>
    </w:p>
    <w:p w14:paraId="4802D76D" w14:textId="77777777" w:rsidR="00093A5E" w:rsidRPr="006A64EE" w:rsidRDefault="00093A5E" w:rsidP="00121CB7"/>
    <w:p w14:paraId="5390D46A" w14:textId="77777777" w:rsidR="00093A5E" w:rsidRPr="008D6825" w:rsidRDefault="009C2544" w:rsidP="008D6825">
      <w:pPr>
        <w:widowControl/>
        <w:rPr>
          <w:b/>
          <w:bCs/>
        </w:rPr>
      </w:pPr>
      <w:r w:rsidRPr="008D6825">
        <w:rPr>
          <w:b/>
          <w:bCs/>
        </w:rPr>
        <w:t>Gelegentliche Nebenwirkungen</w:t>
      </w:r>
      <w:r w:rsidRPr="008D6825">
        <w:t>:</w:t>
      </w:r>
    </w:p>
    <w:p w14:paraId="6D7EEA12" w14:textId="77777777" w:rsidR="00093A5E" w:rsidRPr="006A64EE" w:rsidRDefault="009C2544" w:rsidP="00E66AB0">
      <w:pPr>
        <w:widowControl/>
        <w:rPr>
          <w:i/>
        </w:rPr>
      </w:pPr>
      <w:r w:rsidRPr="006A64EE">
        <w:rPr>
          <w:i/>
        </w:rPr>
        <w:t>Können bei bis zu 1 von 100 Behandelten auftreten</w:t>
      </w:r>
    </w:p>
    <w:p w14:paraId="040741EA"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Divertikulitis (Fieber, Übelkeit, Durchfall, Verstopfung, Magen- bzw. Bauchschmerzen)</w:t>
      </w:r>
    </w:p>
    <w:p w14:paraId="16A53F32"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rote, geschwollene (entzündete) Flächen im Mund</w:t>
      </w:r>
    </w:p>
    <w:p w14:paraId="3A52FA1F"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hohe Blutfettwerte (Triglyzeride)</w:t>
      </w:r>
    </w:p>
    <w:p w14:paraId="19A86A88"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Magengeschwür</w:t>
      </w:r>
    </w:p>
    <w:p w14:paraId="700A14E2"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Nierensteine</w:t>
      </w:r>
    </w:p>
    <w:p w14:paraId="442B62CF"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Schilddrüsenunterfunktion.</w:t>
      </w:r>
    </w:p>
    <w:p w14:paraId="4F7A6FAC" w14:textId="77777777" w:rsidR="00093A5E" w:rsidRPr="006A64EE" w:rsidRDefault="00093A5E" w:rsidP="00E66AB0">
      <w:pPr>
        <w:pStyle w:val="a3"/>
        <w:widowControl/>
      </w:pPr>
    </w:p>
    <w:p w14:paraId="506E4364" w14:textId="77777777" w:rsidR="00093A5E" w:rsidRPr="006A64EE" w:rsidRDefault="009C2544" w:rsidP="00CF6253">
      <w:pPr>
        <w:pStyle w:val="2"/>
        <w:ind w:left="0" w:firstLine="0"/>
      </w:pPr>
      <w:r w:rsidRPr="006A64EE">
        <w:lastRenderedPageBreak/>
        <w:t>Seltene Nebenwirkungen</w:t>
      </w:r>
      <w:r w:rsidRPr="008D6825">
        <w:rPr>
          <w:b w:val="0"/>
          <w:bCs w:val="0"/>
        </w:rPr>
        <w:t>:</w:t>
      </w:r>
    </w:p>
    <w:p w14:paraId="23BAFCBD" w14:textId="2ED122E8" w:rsidR="00093A5E" w:rsidRPr="006A64EE" w:rsidRDefault="009C2544" w:rsidP="00B320E1">
      <w:pPr>
        <w:keepNext/>
        <w:widowControl/>
        <w:rPr>
          <w:i/>
        </w:rPr>
      </w:pPr>
      <w:r w:rsidRPr="006A64EE">
        <w:rPr>
          <w:i/>
        </w:rPr>
        <w:t>Können bei bis zu 1 von 1</w:t>
      </w:r>
      <w:r w:rsidR="00DF3F57">
        <w:rPr>
          <w:i/>
        </w:rPr>
        <w:t> </w:t>
      </w:r>
      <w:r w:rsidRPr="006A64EE">
        <w:rPr>
          <w:i/>
        </w:rPr>
        <w:t>000</w:t>
      </w:r>
      <w:r w:rsidR="00DF3F57">
        <w:rPr>
          <w:i/>
        </w:rPr>
        <w:t> </w:t>
      </w:r>
      <w:r w:rsidRPr="006A64EE">
        <w:rPr>
          <w:i/>
        </w:rPr>
        <w:t>Behandelten auftreten</w:t>
      </w:r>
    </w:p>
    <w:p w14:paraId="323126EB"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Stevens-Johnson-Syndrom (Hautausschlag, welcher zu schwerer Blasenbildung und Abschälung der Haut führen kann)</w:t>
      </w:r>
    </w:p>
    <w:p w14:paraId="254F1EFD"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Tödliche allergische Reaktionen (Anaphylaxie [tödlich])</w:t>
      </w:r>
    </w:p>
    <w:p w14:paraId="16A0F82C"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Entzündung der Leber (Hepatitis), Gelbsucht.</w:t>
      </w:r>
    </w:p>
    <w:p w14:paraId="385D7B23" w14:textId="77777777" w:rsidR="00093A5E" w:rsidRPr="006A64EE" w:rsidRDefault="00093A5E" w:rsidP="004255F8">
      <w:pPr>
        <w:widowControl/>
      </w:pPr>
    </w:p>
    <w:p w14:paraId="2B8A77F9" w14:textId="77777777" w:rsidR="00093A5E" w:rsidRPr="006A64EE" w:rsidRDefault="007D680A" w:rsidP="00E66AB0">
      <w:pPr>
        <w:keepNext/>
        <w:widowControl/>
      </w:pPr>
      <w:r w:rsidRPr="006A64EE">
        <w:t>Sehr seltene Nebenwirkungen:</w:t>
      </w:r>
    </w:p>
    <w:p w14:paraId="1FE3B482" w14:textId="0F9EB749" w:rsidR="00093A5E" w:rsidRPr="006A64EE" w:rsidRDefault="009C2544" w:rsidP="00E66AB0">
      <w:pPr>
        <w:keepNext/>
        <w:widowControl/>
        <w:rPr>
          <w:i/>
        </w:rPr>
      </w:pPr>
      <w:r w:rsidRPr="006A64EE">
        <w:rPr>
          <w:i/>
        </w:rPr>
        <w:t>Können bei bis zu 1 von 10</w:t>
      </w:r>
      <w:r w:rsidR="00DF3F57">
        <w:rPr>
          <w:i/>
        </w:rPr>
        <w:t> </w:t>
      </w:r>
      <w:r w:rsidRPr="006A64EE">
        <w:rPr>
          <w:i/>
        </w:rPr>
        <w:t>000</w:t>
      </w:r>
      <w:r w:rsidR="00DF3F57">
        <w:rPr>
          <w:i/>
        </w:rPr>
        <w:t> </w:t>
      </w:r>
      <w:r w:rsidRPr="006A64EE">
        <w:rPr>
          <w:i/>
        </w:rPr>
        <w:t>Behandelten auftreten</w:t>
      </w:r>
    </w:p>
    <w:p w14:paraId="32F91FC8"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Niedrige Werte der weißen Blutkörperchen, der roten Blutkörperchen und der Thrombozyten in Bluttests</w:t>
      </w:r>
    </w:p>
    <w:p w14:paraId="65CF8C65" w14:textId="77777777" w:rsidR="00093A5E" w:rsidRPr="006A64EE" w:rsidRDefault="0059713A" w:rsidP="00E66AB0">
      <w:pPr>
        <w:pStyle w:val="bullet"/>
      </w:pPr>
      <w:r w:rsidRPr="006A64EE">
        <w:rPr>
          <w:rFonts w:ascii="Symbol" w:hAnsi="Symbol"/>
        </w:rPr>
        <w:t></w:t>
      </w:r>
      <w:r w:rsidRPr="006A64EE">
        <w:rPr>
          <w:rFonts w:ascii="Symbol" w:hAnsi="Symbol"/>
        </w:rPr>
        <w:tab/>
      </w:r>
      <w:r w:rsidRPr="006A64EE">
        <w:t>Leberversagen.</w:t>
      </w:r>
    </w:p>
    <w:p w14:paraId="6649EF75" w14:textId="77777777" w:rsidR="00093A5E" w:rsidRPr="006A64EE" w:rsidRDefault="00093A5E" w:rsidP="004255F8">
      <w:pPr>
        <w:pStyle w:val="a3"/>
        <w:widowControl/>
      </w:pPr>
    </w:p>
    <w:p w14:paraId="304E8A33" w14:textId="77777777" w:rsidR="00093A5E" w:rsidRPr="008D6825" w:rsidRDefault="009C2544" w:rsidP="008D6825">
      <w:pPr>
        <w:widowControl/>
        <w:rPr>
          <w:b/>
          <w:bCs/>
        </w:rPr>
      </w:pPr>
      <w:r w:rsidRPr="008D6825">
        <w:rPr>
          <w:b/>
          <w:bCs/>
        </w:rPr>
        <w:t>Meldung von Nebenwirkungen</w:t>
      </w:r>
    </w:p>
    <w:p w14:paraId="59FE3CA4" w14:textId="0AFBE65D" w:rsidR="00093A5E" w:rsidRPr="006A64EE" w:rsidRDefault="009C2544" w:rsidP="00E66AB0">
      <w:pPr>
        <w:pStyle w:val="a3"/>
        <w:widowControl/>
      </w:pPr>
      <w:r w:rsidRPr="006A64EE">
        <w:t xml:space="preserve">Wenn Sie Nebenwirkungen bemerken, wenden Sie sich an Ihren Arzt, Apotheker oder das medizinische Fachpersonal. Dies gilt auch für Nebenwirkungen, die nicht in dieser Packungsbeilage angegeben sind. Sie können Nebenwirkungen auch direkt über </w:t>
      </w:r>
      <w:r w:rsidRPr="00F0391F">
        <w:rPr>
          <w:shd w:val="pct15" w:color="auto" w:fill="FFFFFF"/>
        </w:rPr>
        <w:t xml:space="preserve">das in </w:t>
      </w:r>
      <w:r w:rsidR="002D5756">
        <w:fldChar w:fldCharType="begin"/>
      </w:r>
      <w:r w:rsidR="002D5756">
        <w:instrText>HYPERLINK "https://www.ema.europa.eu/documents/template-form/appendix-v-adverse-drug-reaction-reporting-details_en.doc"</w:instrText>
      </w:r>
      <w:r w:rsidR="002D5756">
        <w:fldChar w:fldCharType="separate"/>
      </w:r>
      <w:r w:rsidR="002D5756" w:rsidRPr="00F0391F">
        <w:rPr>
          <w:rStyle w:val="a8"/>
          <w:shd w:val="pct15" w:color="auto" w:fill="FFFFFF"/>
        </w:rPr>
        <w:t>Anhang V</w:t>
      </w:r>
      <w:r w:rsidR="002D5756">
        <w:fldChar w:fldCharType="end"/>
      </w:r>
      <w:r w:rsidRPr="00F0391F">
        <w:rPr>
          <w:shd w:val="pct15" w:color="auto" w:fill="FFFFFF"/>
        </w:rPr>
        <w:t xml:space="preserve"> aufgeführte nationale Meldesystem</w:t>
      </w:r>
      <w:r w:rsidRPr="006A64EE">
        <w:t xml:space="preserve"> anzeigen. Indem Sie Nebenwirkungen melden, können Sie dazu beitragen, dass mehr Informationen über die Sicherheit dieses Arzneimittels zur Verfügung gestellt werden.</w:t>
      </w:r>
    </w:p>
    <w:p w14:paraId="09694449" w14:textId="77777777" w:rsidR="00093A5E" w:rsidRPr="006A64EE" w:rsidRDefault="00093A5E" w:rsidP="00E66AB0">
      <w:pPr>
        <w:pStyle w:val="a3"/>
        <w:widowControl/>
      </w:pPr>
    </w:p>
    <w:p w14:paraId="4C8D9B08" w14:textId="77777777" w:rsidR="00093A5E" w:rsidRPr="008D6825" w:rsidRDefault="009C2544" w:rsidP="008D6825">
      <w:pPr>
        <w:widowControl/>
        <w:rPr>
          <w:b/>
          <w:bCs/>
        </w:rPr>
      </w:pPr>
      <w:r w:rsidRPr="008D6825">
        <w:rPr>
          <w:b/>
          <w:bCs/>
        </w:rPr>
        <w:t>Kinder mit sJIA</w:t>
      </w:r>
    </w:p>
    <w:p w14:paraId="5150388F" w14:textId="77777777" w:rsidR="00093A5E" w:rsidRPr="006A64EE" w:rsidRDefault="009C2544" w:rsidP="00E66AB0">
      <w:pPr>
        <w:pStyle w:val="a3"/>
        <w:widowControl/>
        <w:jc w:val="both"/>
      </w:pPr>
      <w:r w:rsidRPr="006A64EE">
        <w:t>Im Allgemeinen waren die Nebenwirkungen bei Patienten mit sJIA vergleichbar mit denen bei Erwachsenen mit RA. Einige Nebenwirkungen traten häufiger auf: entzündete Nase und Hals, Durchfall, niedrigere Anzahl der weißen Blutkörperchen und Erhöhung der Leberenzyme.</w:t>
      </w:r>
    </w:p>
    <w:p w14:paraId="0D969680" w14:textId="77777777" w:rsidR="00093A5E" w:rsidRPr="006A64EE" w:rsidRDefault="00093A5E" w:rsidP="00E66AB0">
      <w:pPr>
        <w:pStyle w:val="a3"/>
        <w:widowControl/>
      </w:pPr>
    </w:p>
    <w:p w14:paraId="74AADA08" w14:textId="77777777" w:rsidR="00093A5E" w:rsidRPr="008D6825" w:rsidRDefault="009C2544" w:rsidP="008D6825">
      <w:pPr>
        <w:widowControl/>
        <w:rPr>
          <w:b/>
          <w:bCs/>
        </w:rPr>
      </w:pPr>
      <w:r w:rsidRPr="008D6825">
        <w:rPr>
          <w:b/>
          <w:bCs/>
        </w:rPr>
        <w:t>Kinder mit pJIA</w:t>
      </w:r>
    </w:p>
    <w:p w14:paraId="6AEEB6DB" w14:textId="77777777" w:rsidR="00093A5E" w:rsidRPr="006A64EE" w:rsidRDefault="009C2544" w:rsidP="00E66AB0">
      <w:pPr>
        <w:pStyle w:val="a3"/>
        <w:widowControl/>
      </w:pPr>
      <w:r w:rsidRPr="006A64EE">
        <w:t>Im Allgemeinen waren die Nebenwirkungen bei Patienten mit pJIA vergleichbar mit denen bei Erwachsenen mit RA. Einige Nebenwirkungen traten häufiger auf: entzündete Nase und Hals, Kopfschmerzen, Übelkeit und niedrigere Anzahl der weißen Blutkörperchen.</w:t>
      </w:r>
    </w:p>
    <w:p w14:paraId="62E9D29D" w14:textId="77777777" w:rsidR="00093A5E" w:rsidRPr="006A64EE" w:rsidRDefault="00093A5E" w:rsidP="004255F8">
      <w:pPr>
        <w:pStyle w:val="a3"/>
        <w:widowControl/>
      </w:pPr>
    </w:p>
    <w:p w14:paraId="3F41AFF8" w14:textId="77777777" w:rsidR="00093A5E" w:rsidRPr="006A64EE" w:rsidRDefault="00093A5E" w:rsidP="004255F8">
      <w:pPr>
        <w:pStyle w:val="a3"/>
        <w:widowControl/>
      </w:pPr>
    </w:p>
    <w:p w14:paraId="235F3751" w14:textId="21F21A6E" w:rsidR="00093A5E" w:rsidRPr="006A64EE" w:rsidRDefault="0059713A" w:rsidP="00E66AB0">
      <w:pPr>
        <w:pStyle w:val="1"/>
      </w:pPr>
      <w:r w:rsidRPr="006A64EE">
        <w:t>5.</w:t>
      </w:r>
      <w:r w:rsidRPr="006A64EE">
        <w:tab/>
        <w:t xml:space="preserve">Wie ist </w:t>
      </w:r>
      <w:r w:rsidR="00900A71">
        <w:t>Avtozma</w:t>
      </w:r>
      <w:r w:rsidRPr="006A64EE">
        <w:t xml:space="preserve"> aufzubewahren?</w:t>
      </w:r>
    </w:p>
    <w:p w14:paraId="16D9DFC4" w14:textId="77777777" w:rsidR="00093A5E" w:rsidRPr="006A64EE" w:rsidRDefault="00093A5E" w:rsidP="00E66AB0">
      <w:pPr>
        <w:pStyle w:val="a3"/>
        <w:widowControl/>
      </w:pPr>
    </w:p>
    <w:p w14:paraId="660D6C04" w14:textId="77777777" w:rsidR="00093A5E" w:rsidRPr="006A64EE" w:rsidRDefault="009C2544" w:rsidP="00E66AB0">
      <w:pPr>
        <w:pStyle w:val="a3"/>
        <w:widowControl/>
      </w:pPr>
      <w:r w:rsidRPr="006A64EE">
        <w:t>Bewahren Sie dieses Arzneimittel für Kinder unzugänglich auf.</w:t>
      </w:r>
    </w:p>
    <w:p w14:paraId="2BF5C2A0" w14:textId="77777777" w:rsidR="00093A5E" w:rsidRPr="006A64EE" w:rsidRDefault="00093A5E" w:rsidP="00E66AB0">
      <w:pPr>
        <w:pStyle w:val="a3"/>
        <w:widowControl/>
      </w:pPr>
    </w:p>
    <w:p w14:paraId="1F11458E" w14:textId="2741BA61" w:rsidR="00093A5E" w:rsidRPr="006A64EE" w:rsidRDefault="009C2544" w:rsidP="00E66AB0">
      <w:pPr>
        <w:pStyle w:val="a3"/>
        <w:widowControl/>
      </w:pPr>
      <w:r w:rsidRPr="006A64EE">
        <w:t>Sie dürfen dieses Arzneimittel nach dem auf dem Umkarton angegebenen Verfalldatum nicht mehr verwenden.</w:t>
      </w:r>
      <w:r w:rsidR="00900A71">
        <w:t xml:space="preserve"> </w:t>
      </w:r>
      <w:r w:rsidR="00900A71" w:rsidRPr="00C119D8">
        <w:t>Das Verfalldatum bezieht sich auf den letzten Tag des angegebenen Monats</w:t>
      </w:r>
      <w:r w:rsidR="00900A71">
        <w:t>.</w:t>
      </w:r>
    </w:p>
    <w:p w14:paraId="74A61460" w14:textId="77777777" w:rsidR="00093A5E" w:rsidRPr="006A64EE" w:rsidRDefault="00093A5E" w:rsidP="00E66AB0">
      <w:pPr>
        <w:pStyle w:val="a3"/>
        <w:widowControl/>
      </w:pPr>
    </w:p>
    <w:p w14:paraId="2393BF60" w14:textId="440CE2F8" w:rsidR="00093A5E" w:rsidRPr="006A64EE" w:rsidRDefault="009C2544" w:rsidP="00E66AB0">
      <w:pPr>
        <w:pStyle w:val="a3"/>
        <w:widowControl/>
      </w:pPr>
      <w:r w:rsidRPr="006A64EE">
        <w:t>Im Kühlschrank lagern (2</w:t>
      </w:r>
      <w:r w:rsidR="001C7BA5">
        <w:t> </w:t>
      </w:r>
      <w:r w:rsidRPr="006A64EE">
        <w:t>°C</w:t>
      </w:r>
      <w:r w:rsidR="001C7BA5">
        <w:t> </w:t>
      </w:r>
      <w:r w:rsidRPr="006A64EE">
        <w:t>-</w:t>
      </w:r>
      <w:r w:rsidR="001C7BA5">
        <w:t> </w:t>
      </w:r>
      <w:r w:rsidRPr="006A64EE">
        <w:t>8</w:t>
      </w:r>
      <w:r w:rsidR="001C7BA5">
        <w:t> </w:t>
      </w:r>
      <w:r w:rsidRPr="006A64EE">
        <w:t>°C). Nicht einfrieren.</w:t>
      </w:r>
    </w:p>
    <w:p w14:paraId="76219E4A" w14:textId="77777777" w:rsidR="00093A5E" w:rsidRPr="006A64EE" w:rsidRDefault="00093A5E" w:rsidP="00E66AB0">
      <w:pPr>
        <w:pStyle w:val="a3"/>
        <w:widowControl/>
      </w:pPr>
    </w:p>
    <w:p w14:paraId="767432B5" w14:textId="77777777" w:rsidR="00093A5E" w:rsidRDefault="009C2544" w:rsidP="00E66AB0">
      <w:pPr>
        <w:pStyle w:val="a3"/>
        <w:widowControl/>
      </w:pPr>
      <w:r w:rsidRPr="006A64EE">
        <w:t>Die Durchstechflaschen im Umkarton aufbewahren, um den Inhalt vor Licht zu schützen.</w:t>
      </w:r>
    </w:p>
    <w:p w14:paraId="27A01773" w14:textId="0472B378" w:rsidR="00611251" w:rsidRPr="00890245" w:rsidRDefault="00611251" w:rsidP="00611251">
      <w:r w:rsidRPr="00890245">
        <w:t>Bei Bedarf kann die verdünnte Infusionslösung mit 0,9%iger Natriumchlorid</w:t>
      </w:r>
      <w:r w:rsidR="00D74E7C">
        <w:rPr>
          <w:rFonts w:eastAsia="맑은 고딕" w:hint="eastAsia"/>
          <w:lang w:eastAsia="ko-KR"/>
        </w:rPr>
        <w:t>-</w:t>
      </w:r>
      <w:r w:rsidR="0024101B">
        <w:rPr>
          <w:rFonts w:eastAsia="맑은 고딕" w:hint="eastAsia"/>
          <w:lang w:eastAsia="ko-KR"/>
        </w:rPr>
        <w:t>L</w:t>
      </w:r>
      <w:r w:rsidRPr="00890245">
        <w:t>ösung oder 0,45%iger Natriumchlorid</w:t>
      </w:r>
      <w:r w:rsidR="00D76D23">
        <w:rPr>
          <w:rFonts w:eastAsia="맑은 고딕" w:hint="eastAsia"/>
          <w:lang w:eastAsia="ko-KR"/>
        </w:rPr>
        <w:t>-</w:t>
      </w:r>
      <w:r w:rsidR="0024101B">
        <w:rPr>
          <w:rFonts w:eastAsia="맑은 고딕" w:hint="eastAsia"/>
          <w:lang w:eastAsia="ko-KR"/>
        </w:rPr>
        <w:t>L</w:t>
      </w:r>
      <w:r w:rsidRPr="00890245">
        <w:t>ösung unter gekühlten Bedingungen bis zu 1 Monat oder bei Raumtemperatur bis zu 30 °C für bis zu 48 Stunden aufbewahrt werden.</w:t>
      </w:r>
    </w:p>
    <w:p w14:paraId="20AC4672" w14:textId="77777777" w:rsidR="00611251" w:rsidRDefault="00611251" w:rsidP="00611251"/>
    <w:p w14:paraId="43CBF50C" w14:textId="4F703249" w:rsidR="00611251" w:rsidRPr="006A64EE" w:rsidRDefault="00611251" w:rsidP="00B320E1">
      <w:r w:rsidRPr="00890245">
        <w:t>Entsorgen Sie Arzneimittel nicht im Abwasser oder Haushaltsabfall. Fragen Sie Ihren Apotheker, wie das Arzneimittel zu entsorgen ist, wenn Sie es nicht mehr verwenden. Sie tragen damit zum Schutz der Umwelt bei.</w:t>
      </w:r>
    </w:p>
    <w:p w14:paraId="62CA3E31" w14:textId="77777777" w:rsidR="00093A5E" w:rsidRPr="006A64EE" w:rsidRDefault="00093A5E" w:rsidP="00E66AB0">
      <w:pPr>
        <w:pStyle w:val="a3"/>
        <w:widowControl/>
      </w:pPr>
    </w:p>
    <w:p w14:paraId="03C0D910" w14:textId="77777777" w:rsidR="00093A5E" w:rsidRPr="006A64EE" w:rsidRDefault="00093A5E" w:rsidP="00E66AB0">
      <w:pPr>
        <w:pStyle w:val="a3"/>
        <w:widowControl/>
      </w:pPr>
    </w:p>
    <w:p w14:paraId="65C14BE0" w14:textId="77777777" w:rsidR="00093A5E" w:rsidRPr="006A64EE" w:rsidRDefault="0059713A" w:rsidP="00E66AB0">
      <w:pPr>
        <w:pStyle w:val="1"/>
      </w:pPr>
      <w:r w:rsidRPr="006A64EE">
        <w:t>6.</w:t>
      </w:r>
      <w:r w:rsidRPr="006A64EE">
        <w:tab/>
        <w:t xml:space="preserve">Inhalt der Packung und weitere Informationen </w:t>
      </w:r>
    </w:p>
    <w:p w14:paraId="4388AC3D" w14:textId="77777777" w:rsidR="00093A5E" w:rsidRPr="006A64EE" w:rsidRDefault="00093A5E" w:rsidP="00121CB7"/>
    <w:p w14:paraId="7542F81A" w14:textId="5FECA016" w:rsidR="00093A5E" w:rsidRPr="008D6825" w:rsidRDefault="009C2544" w:rsidP="008D6825">
      <w:pPr>
        <w:widowControl/>
        <w:rPr>
          <w:b/>
          <w:bCs/>
        </w:rPr>
      </w:pPr>
      <w:r w:rsidRPr="008D6825">
        <w:rPr>
          <w:b/>
          <w:bCs/>
        </w:rPr>
        <w:t xml:space="preserve">Was </w:t>
      </w:r>
      <w:r w:rsidR="00900A71" w:rsidRPr="008D6825">
        <w:rPr>
          <w:b/>
          <w:bCs/>
        </w:rPr>
        <w:t>Avtozma</w:t>
      </w:r>
      <w:r w:rsidRPr="008D6825">
        <w:rPr>
          <w:b/>
          <w:bCs/>
        </w:rPr>
        <w:t xml:space="preserve"> enthält</w:t>
      </w:r>
    </w:p>
    <w:p w14:paraId="7CBA1DA2" w14:textId="77777777" w:rsidR="00093A5E" w:rsidRPr="006A64EE" w:rsidRDefault="0059713A" w:rsidP="004255F8">
      <w:pPr>
        <w:widowControl/>
      </w:pPr>
      <w:r w:rsidRPr="006A64EE">
        <w:rPr>
          <w:rFonts w:ascii="Symbol" w:hAnsi="Symbol"/>
        </w:rPr>
        <w:t></w:t>
      </w:r>
      <w:r w:rsidRPr="006A64EE">
        <w:rPr>
          <w:rFonts w:ascii="Symbol" w:hAnsi="Symbol"/>
        </w:rPr>
        <w:tab/>
      </w:r>
      <w:r w:rsidRPr="006A64EE">
        <w:t>Der Wirkstoff ist: Tocilizumab</w:t>
      </w:r>
    </w:p>
    <w:p w14:paraId="7A8205D3" w14:textId="3D6C22F4" w:rsidR="00093A5E" w:rsidRPr="006A64EE" w:rsidRDefault="009C2544" w:rsidP="00107B53">
      <w:pPr>
        <w:pStyle w:val="a3"/>
        <w:widowControl/>
        <w:ind w:left="567"/>
      </w:pPr>
      <w:r w:rsidRPr="006A64EE">
        <w:t>Jede 4-ml-Durchstechflasche enthält 80 mg Tocilizumab (20 mg/ml).</w:t>
      </w:r>
    </w:p>
    <w:p w14:paraId="01B520DC" w14:textId="7885C2D4" w:rsidR="00093A5E" w:rsidRPr="006A64EE" w:rsidRDefault="009C2544" w:rsidP="00107B53">
      <w:pPr>
        <w:pStyle w:val="a3"/>
        <w:widowControl/>
        <w:ind w:left="567"/>
      </w:pPr>
      <w:r w:rsidRPr="006A64EE">
        <w:t>Jede 10-ml-Durchstechflasche enthält 200 mg Tocilizumab (20 mg/ml).</w:t>
      </w:r>
    </w:p>
    <w:p w14:paraId="3238F63D" w14:textId="77777777" w:rsidR="00093A5E" w:rsidRPr="006A64EE" w:rsidRDefault="009C2544" w:rsidP="00107B53">
      <w:pPr>
        <w:pStyle w:val="a3"/>
        <w:widowControl/>
        <w:ind w:left="567"/>
      </w:pPr>
      <w:r w:rsidRPr="006A64EE">
        <w:lastRenderedPageBreak/>
        <w:t>Jede 20-ml-Durchstechflasche enthält 400 mg Tocilizumab (20 mg/ml).</w:t>
      </w:r>
    </w:p>
    <w:p w14:paraId="4E4B5003" w14:textId="77777777" w:rsidR="00093A5E" w:rsidRPr="006A64EE" w:rsidRDefault="00093A5E" w:rsidP="004255F8">
      <w:pPr>
        <w:pStyle w:val="a3"/>
        <w:widowControl/>
      </w:pPr>
    </w:p>
    <w:p w14:paraId="29E99A5F" w14:textId="1F1C458B" w:rsidR="00093A5E" w:rsidRPr="006A64EE" w:rsidRDefault="0059713A" w:rsidP="00107B53">
      <w:pPr>
        <w:widowControl/>
        <w:ind w:left="567" w:hanging="567"/>
      </w:pPr>
      <w:r w:rsidRPr="006A64EE">
        <w:rPr>
          <w:rFonts w:ascii="Symbol" w:hAnsi="Symbol"/>
        </w:rPr>
        <w:t></w:t>
      </w:r>
      <w:r w:rsidRPr="006A64EE">
        <w:rPr>
          <w:rFonts w:ascii="Symbol" w:hAnsi="Symbol"/>
        </w:rPr>
        <w:tab/>
      </w:r>
      <w:r w:rsidRPr="006A64EE">
        <w:t xml:space="preserve">Die sonstigen Bestandteile sind: </w:t>
      </w:r>
      <w:r w:rsidR="00C53E7C" w:rsidRPr="00840707">
        <w:rPr>
          <w:rFonts w:hint="eastAsia"/>
        </w:rPr>
        <w:t>L</w:t>
      </w:r>
      <w:r w:rsidR="00C53E7C">
        <w:noBreakHyphen/>
      </w:r>
      <w:r w:rsidR="00C53E7C" w:rsidRPr="00840707">
        <w:t xml:space="preserve">Histidin,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rsidR="00C53E7C" w:rsidRPr="00840707">
        <w:rPr>
          <w:rFonts w:hint="eastAsia"/>
        </w:rPr>
        <w:t>L</w:t>
      </w:r>
      <w:r w:rsidR="00C53E7C">
        <w:noBreakHyphen/>
      </w:r>
      <w:r w:rsidR="00C53E7C" w:rsidRPr="00840707">
        <w:t xml:space="preserve">Threonin, </w:t>
      </w:r>
      <w:r w:rsidR="00C53E7C" w:rsidRPr="00840707">
        <w:rPr>
          <w:rFonts w:hint="eastAsia"/>
        </w:rPr>
        <w:t>L</w:t>
      </w:r>
      <w:r w:rsidR="00C53E7C">
        <w:noBreakHyphen/>
      </w:r>
      <w:r w:rsidR="00C53E7C" w:rsidRPr="00840707">
        <w:t>Methionin</w:t>
      </w:r>
      <w:r w:rsidRPr="006A64EE">
        <w:t>, Polysorbat 80 und Wasser für Injektionszwecke.</w:t>
      </w:r>
    </w:p>
    <w:p w14:paraId="01D3E729" w14:textId="77777777" w:rsidR="00093A5E" w:rsidRPr="00653448" w:rsidRDefault="00093A5E" w:rsidP="004255F8">
      <w:pPr>
        <w:pStyle w:val="a3"/>
        <w:widowControl/>
      </w:pPr>
    </w:p>
    <w:p w14:paraId="78C64FF9" w14:textId="1F10D2FB" w:rsidR="00093A5E" w:rsidRPr="008D6825" w:rsidRDefault="009C2544" w:rsidP="008D6825">
      <w:pPr>
        <w:widowControl/>
        <w:rPr>
          <w:b/>
          <w:bCs/>
        </w:rPr>
      </w:pPr>
      <w:r w:rsidRPr="008D6825">
        <w:rPr>
          <w:b/>
          <w:bCs/>
        </w:rPr>
        <w:t xml:space="preserve">Wie </w:t>
      </w:r>
      <w:r w:rsidR="00C53E7C" w:rsidRPr="008D6825">
        <w:rPr>
          <w:b/>
          <w:bCs/>
        </w:rPr>
        <w:t xml:space="preserve">Avtozma </w:t>
      </w:r>
      <w:r w:rsidRPr="008D6825">
        <w:rPr>
          <w:b/>
          <w:bCs/>
        </w:rPr>
        <w:t>aussieht und Inhalt der Packung</w:t>
      </w:r>
    </w:p>
    <w:p w14:paraId="21291E02" w14:textId="637AA380" w:rsidR="00093A5E" w:rsidRPr="006A64EE" w:rsidRDefault="00E26B13" w:rsidP="004255F8">
      <w:pPr>
        <w:pStyle w:val="a3"/>
        <w:widowControl/>
      </w:pPr>
      <w:r>
        <w:t>Avtozma</w:t>
      </w:r>
      <w:r w:rsidR="009C2544" w:rsidRPr="006A64EE">
        <w:t xml:space="preserve"> ist ein Konzentrat zur Herstellung einer Infusionslösung. Das Konzentrat ist eine klare bis </w:t>
      </w:r>
      <w:r w:rsidR="00C53E7C">
        <w:t xml:space="preserve">leicht </w:t>
      </w:r>
      <w:r w:rsidR="009C2544" w:rsidRPr="006A64EE">
        <w:t>opaleszente, farblose bis blassgelbe Flüssigkeit.</w:t>
      </w:r>
    </w:p>
    <w:p w14:paraId="26B182BB" w14:textId="72DF47CE" w:rsidR="00093A5E" w:rsidRPr="006A64EE" w:rsidRDefault="00C53E7C" w:rsidP="004255F8">
      <w:pPr>
        <w:pStyle w:val="a3"/>
        <w:widowControl/>
      </w:pPr>
      <w:r>
        <w:t>Avtozma</w:t>
      </w:r>
      <w:r w:rsidRPr="006A64EE">
        <w:t xml:space="preserve"> </w:t>
      </w:r>
      <w:r w:rsidR="009C2544" w:rsidRPr="006A64EE">
        <w:t>wird in Durchstechflaschen mit 4 ml, 10 ml und 20 ml Konzentrat zur Herstellung einer Infusionslösung zur Verfügung gestellt. Packungsgrößen mit 1 und 4 Durchstechflaschen. Es werden möglicherweise nicht alle Packungsgrößen in den Verkehr gebracht.</w:t>
      </w:r>
    </w:p>
    <w:p w14:paraId="02F11608" w14:textId="77777777" w:rsidR="00093A5E" w:rsidRPr="006A64EE" w:rsidRDefault="00093A5E" w:rsidP="004255F8">
      <w:pPr>
        <w:widowControl/>
        <w:rPr>
          <w:b/>
          <w:bCs/>
        </w:rPr>
      </w:pPr>
    </w:p>
    <w:p w14:paraId="342248CE" w14:textId="77777777" w:rsidR="00093A5E" w:rsidRPr="006A64EE" w:rsidRDefault="007D680A" w:rsidP="008D6825">
      <w:pPr>
        <w:widowControl/>
        <w:rPr>
          <w:b/>
          <w:bCs/>
        </w:rPr>
      </w:pPr>
      <w:r w:rsidRPr="006A64EE">
        <w:rPr>
          <w:b/>
          <w:bCs/>
        </w:rPr>
        <w:t>Pharmazeutischer Unternehmer</w:t>
      </w:r>
    </w:p>
    <w:p w14:paraId="6A9E2D2E" w14:textId="77777777" w:rsidR="00C53E7C" w:rsidRPr="008370F3" w:rsidRDefault="00C53E7C" w:rsidP="00C53E7C">
      <w:pPr>
        <w:keepNext/>
      </w:pPr>
      <w:r w:rsidRPr="008370F3">
        <w:t xml:space="preserve">Celltrion Healthcare Hungary Kft. </w:t>
      </w:r>
    </w:p>
    <w:p w14:paraId="51381DFE" w14:textId="77777777" w:rsidR="00C53E7C" w:rsidRPr="00B320E1" w:rsidRDefault="00C53E7C" w:rsidP="00C53E7C">
      <w:pPr>
        <w:keepNext/>
        <w:rPr>
          <w:lang w:val="en-US"/>
        </w:rPr>
      </w:pPr>
      <w:r w:rsidRPr="00B320E1">
        <w:rPr>
          <w:lang w:val="en-US"/>
        </w:rPr>
        <w:t>1062 Budapest</w:t>
      </w:r>
    </w:p>
    <w:p w14:paraId="70E382C5" w14:textId="77777777" w:rsidR="00C53E7C" w:rsidRPr="00B320E1" w:rsidRDefault="00C53E7C" w:rsidP="00C53E7C">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631CB62D" w14:textId="70C602B7" w:rsidR="00C53E7C" w:rsidRPr="00B320E1" w:rsidRDefault="00C53E7C" w:rsidP="00C53E7C">
      <w:pPr>
        <w:rPr>
          <w:lang w:val="fr-FR"/>
        </w:rPr>
      </w:pPr>
      <w:r w:rsidRPr="00B320E1">
        <w:rPr>
          <w:lang w:val="fr-FR"/>
        </w:rPr>
        <w:t>Ungarn</w:t>
      </w:r>
    </w:p>
    <w:p w14:paraId="726CF459" w14:textId="77777777" w:rsidR="00093A5E" w:rsidRPr="00B320E1" w:rsidRDefault="00093A5E" w:rsidP="004255F8">
      <w:pPr>
        <w:pStyle w:val="a3"/>
        <w:widowControl/>
        <w:rPr>
          <w:lang w:val="fr-FR"/>
        </w:rPr>
      </w:pPr>
    </w:p>
    <w:p w14:paraId="2D96C901" w14:textId="77777777" w:rsidR="00093A5E" w:rsidRPr="00B320E1" w:rsidRDefault="009C2544" w:rsidP="008F757E">
      <w:pPr>
        <w:pStyle w:val="2"/>
        <w:ind w:left="0" w:firstLine="0"/>
        <w:rPr>
          <w:lang w:val="fr-FR"/>
        </w:rPr>
      </w:pPr>
      <w:r w:rsidRPr="00B320E1">
        <w:rPr>
          <w:lang w:val="fr-FR"/>
        </w:rPr>
        <w:t>Hersteller</w:t>
      </w:r>
    </w:p>
    <w:p w14:paraId="61195E23" w14:textId="77777777" w:rsidR="00C53E7C" w:rsidRPr="00B320E1" w:rsidRDefault="00C53E7C" w:rsidP="00C53E7C">
      <w:pPr>
        <w:keepNext/>
        <w:rPr>
          <w:lang w:val="fr-FR"/>
        </w:rPr>
      </w:pPr>
      <w:r w:rsidRPr="00B320E1">
        <w:rPr>
          <w:lang w:val="fr-FR"/>
        </w:rPr>
        <w:t>Nuvisan France SARL</w:t>
      </w:r>
    </w:p>
    <w:p w14:paraId="253D6179" w14:textId="532A705D" w:rsidR="00C53E7C" w:rsidRPr="00B320E1" w:rsidRDefault="00C53E7C" w:rsidP="00C53E7C">
      <w:pPr>
        <w:keepNext/>
        <w:rPr>
          <w:lang w:val="fr-FR"/>
        </w:rPr>
      </w:pPr>
      <w:r w:rsidRPr="00B320E1">
        <w:rPr>
          <w:lang w:val="fr-FR"/>
        </w:rPr>
        <w:t>2400</w:t>
      </w:r>
      <w:del w:id="39" w:author="만든 이">
        <w:r w:rsidRPr="00B320E1" w:rsidDel="00352D0A">
          <w:rPr>
            <w:lang w:val="fr-FR"/>
          </w:rPr>
          <w:delText>,</w:delText>
        </w:r>
      </w:del>
      <w:r w:rsidRPr="00B320E1">
        <w:rPr>
          <w:lang w:val="fr-FR"/>
        </w:rPr>
        <w:t xml:space="preserve"> Route des Colles, </w:t>
      </w:r>
    </w:p>
    <w:p w14:paraId="3ED122FE" w14:textId="2CBCB48A" w:rsidR="00C53E7C" w:rsidRPr="00840707" w:rsidRDefault="00C53E7C" w:rsidP="00C53E7C">
      <w:pPr>
        <w:keepNext/>
      </w:pPr>
      <w:r w:rsidRPr="00840707">
        <w:t>06410</w:t>
      </w:r>
      <w:del w:id="40" w:author="만든 이">
        <w:r w:rsidRPr="00840707" w:rsidDel="00352D0A">
          <w:delText>,</w:delText>
        </w:r>
      </w:del>
      <w:r w:rsidRPr="00840707">
        <w:t xml:space="preserve"> Biot, </w:t>
      </w:r>
    </w:p>
    <w:p w14:paraId="78384169" w14:textId="570195B6" w:rsidR="00C53E7C" w:rsidRPr="00840707" w:rsidRDefault="00C53E7C" w:rsidP="00C53E7C">
      <w:r w:rsidRPr="00840707">
        <w:t>Fran</w:t>
      </w:r>
      <w:r>
        <w:t>kreich</w:t>
      </w:r>
    </w:p>
    <w:p w14:paraId="213262DD" w14:textId="77777777" w:rsidR="00C53E7C" w:rsidRPr="00840707" w:rsidRDefault="00C53E7C" w:rsidP="00C53E7C"/>
    <w:p w14:paraId="25078CBB" w14:textId="77777777" w:rsidR="00C53E7C" w:rsidRPr="00840707" w:rsidRDefault="00C53E7C" w:rsidP="00C53E7C">
      <w:pPr>
        <w:keepNext/>
      </w:pPr>
      <w:r w:rsidRPr="00840707">
        <w:t>Midas Pharma GmbH</w:t>
      </w:r>
    </w:p>
    <w:p w14:paraId="2DAEB09C" w14:textId="77777777" w:rsidR="00C53E7C" w:rsidRPr="00840707" w:rsidRDefault="00C53E7C" w:rsidP="00C53E7C">
      <w:pPr>
        <w:keepNext/>
      </w:pPr>
      <w:r w:rsidRPr="00840707">
        <w:t xml:space="preserve">Rheinstr. 49, </w:t>
      </w:r>
    </w:p>
    <w:p w14:paraId="21BA1FE0" w14:textId="77777777" w:rsidR="00C53E7C" w:rsidRPr="00840707" w:rsidRDefault="00C53E7C" w:rsidP="00C53E7C">
      <w:pPr>
        <w:keepNext/>
      </w:pPr>
      <w:r w:rsidRPr="00840707">
        <w:t>55218 Ingelheim,</w:t>
      </w:r>
    </w:p>
    <w:p w14:paraId="7C65879F" w14:textId="7BD58201" w:rsidR="00C53E7C" w:rsidRPr="00840707" w:rsidRDefault="00C53E7C" w:rsidP="00C53E7C">
      <w:r>
        <w:t>Deutschland</w:t>
      </w:r>
    </w:p>
    <w:p w14:paraId="5E10E841" w14:textId="77777777" w:rsidR="00C53E7C" w:rsidRPr="00840707" w:rsidRDefault="00C53E7C" w:rsidP="00C53E7C"/>
    <w:p w14:paraId="49AAEB71" w14:textId="77777777" w:rsidR="00C53E7C" w:rsidRPr="00840707" w:rsidRDefault="00C53E7C" w:rsidP="00C53E7C">
      <w:pPr>
        <w:keepNext/>
      </w:pPr>
      <w:r w:rsidRPr="00840707">
        <w:t xml:space="preserve">KYMOS S.L. </w:t>
      </w:r>
    </w:p>
    <w:p w14:paraId="3D17221F" w14:textId="77777777" w:rsidR="00C53E7C" w:rsidRPr="00B320E1" w:rsidRDefault="00C53E7C" w:rsidP="00C53E7C">
      <w:pPr>
        <w:keepNext/>
        <w:rPr>
          <w:lang w:val="es-ES"/>
        </w:rPr>
      </w:pPr>
      <w:r w:rsidRPr="00B320E1">
        <w:rPr>
          <w:lang w:val="es-ES"/>
        </w:rPr>
        <w:t xml:space="preserve">Ronda Can Fatjó, 7B. </w:t>
      </w:r>
    </w:p>
    <w:p w14:paraId="3B84D175" w14:textId="77777777" w:rsidR="00C53E7C" w:rsidRPr="00B320E1" w:rsidRDefault="00C53E7C" w:rsidP="00C53E7C">
      <w:pPr>
        <w:keepNext/>
        <w:rPr>
          <w:lang w:val="es-ES"/>
        </w:rPr>
      </w:pPr>
      <w:r w:rsidRPr="00B320E1">
        <w:rPr>
          <w:lang w:val="es-ES"/>
        </w:rPr>
        <w:t xml:space="preserve">08290 Cerdanyola del Vallès, </w:t>
      </w:r>
    </w:p>
    <w:p w14:paraId="7164594E" w14:textId="77777777" w:rsidR="00C53E7C" w:rsidRPr="00B320E1" w:rsidRDefault="00C53E7C" w:rsidP="00C53E7C">
      <w:pPr>
        <w:keepNext/>
        <w:rPr>
          <w:lang w:val="es-ES"/>
        </w:rPr>
      </w:pPr>
      <w:r w:rsidRPr="00B320E1">
        <w:rPr>
          <w:lang w:val="es-ES"/>
        </w:rPr>
        <w:t xml:space="preserve">Barcelona, </w:t>
      </w:r>
    </w:p>
    <w:p w14:paraId="31C30371" w14:textId="1F5F8C48" w:rsidR="00C53E7C" w:rsidRPr="00840707" w:rsidRDefault="00C53E7C" w:rsidP="00C53E7C">
      <w:r w:rsidRPr="00840707">
        <w:t>Span</w:t>
      </w:r>
      <w:r>
        <w:t>ien</w:t>
      </w:r>
    </w:p>
    <w:p w14:paraId="7DA89F1A" w14:textId="77777777" w:rsidR="00093A5E" w:rsidRPr="006A64EE" w:rsidRDefault="00093A5E" w:rsidP="004255F8">
      <w:pPr>
        <w:pStyle w:val="a3"/>
        <w:widowControl/>
      </w:pPr>
    </w:p>
    <w:p w14:paraId="367CA32E" w14:textId="77777777" w:rsidR="00093A5E" w:rsidRPr="006A64EE" w:rsidRDefault="009C2544" w:rsidP="004255F8">
      <w:pPr>
        <w:pStyle w:val="a3"/>
        <w:widowControl/>
      </w:pPr>
      <w:r w:rsidRPr="006A64EE">
        <w:t>Falls Sie weitere Informationen über das Arzneimittel wünschen, setzen Sie sich bitte mit dem örtlichen Vertreter des pharmazeutischen Unternehmers in Verbindung.</w:t>
      </w:r>
    </w:p>
    <w:p w14:paraId="084CE1C9" w14:textId="48EC90D2" w:rsidR="002D5756" w:rsidRPr="006A64EE" w:rsidRDefault="002D5756" w:rsidP="004255F8">
      <w:pPr>
        <w:pStyle w:val="a3"/>
        <w:widowControl/>
      </w:pPr>
    </w:p>
    <w:tbl>
      <w:tblPr>
        <w:tblW w:w="4655" w:type="pct"/>
        <w:tblInd w:w="108" w:type="dxa"/>
        <w:tblLayout w:type="fixed"/>
        <w:tblCellMar>
          <w:top w:w="28" w:type="dxa"/>
          <w:bottom w:w="28" w:type="dxa"/>
        </w:tblCellMar>
        <w:tblLook w:val="04A0" w:firstRow="1" w:lastRow="0" w:firstColumn="1" w:lastColumn="0" w:noHBand="0" w:noVBand="1"/>
      </w:tblPr>
      <w:tblGrid>
        <w:gridCol w:w="4569"/>
        <w:gridCol w:w="3876"/>
      </w:tblGrid>
      <w:tr w:rsidR="00CF6253" w:rsidRPr="00CC161D" w14:paraId="0D8D279A" w14:textId="77777777" w:rsidTr="00B320E1">
        <w:trPr>
          <w:cantSplit/>
        </w:trPr>
        <w:tc>
          <w:tcPr>
            <w:tcW w:w="2705" w:type="pct"/>
            <w:hideMark/>
          </w:tcPr>
          <w:p w14:paraId="0F61EA28" w14:textId="77777777" w:rsidR="00202B78" w:rsidRPr="00E303AE" w:rsidRDefault="00202B78" w:rsidP="00F0391F">
            <w:pPr>
              <w:suppressAutoHyphens/>
              <w:autoSpaceDE/>
              <w:autoSpaceDN/>
              <w:rPr>
                <w:b/>
                <w:noProof/>
                <w:sz w:val="24"/>
                <w:szCs w:val="24"/>
                <w:lang w:val="en-US" w:eastAsia="fr-FR"/>
              </w:rPr>
            </w:pPr>
            <w:r w:rsidRPr="00E303AE">
              <w:rPr>
                <w:rFonts w:eastAsia="맑은 고딕"/>
                <w:b/>
                <w:noProof/>
                <w:sz w:val="24"/>
                <w:szCs w:val="24"/>
                <w:lang w:val="en-US" w:eastAsia="fr-FR"/>
              </w:rPr>
              <w:t>België/Belgique/Belgien</w:t>
            </w:r>
          </w:p>
          <w:p w14:paraId="3A60A6F8" w14:textId="77777777" w:rsidR="00202B78" w:rsidRPr="00E303AE" w:rsidRDefault="00202B78" w:rsidP="00F0391F">
            <w:pPr>
              <w:suppressAutoHyphens/>
              <w:autoSpaceDE/>
              <w:autoSpaceDN/>
              <w:rPr>
                <w:rFonts w:eastAsia="맑은 고딕"/>
                <w:noProof/>
                <w:sz w:val="24"/>
                <w:szCs w:val="24"/>
                <w:lang w:val="en-US" w:eastAsia="fr-FR"/>
              </w:rPr>
            </w:pPr>
            <w:r w:rsidRPr="00E303AE">
              <w:rPr>
                <w:rFonts w:eastAsia="맑은 고딕"/>
                <w:noProof/>
                <w:sz w:val="24"/>
                <w:szCs w:val="24"/>
                <w:lang w:val="en-US" w:eastAsia="fr-FR"/>
              </w:rPr>
              <w:t>Celltrion Healthcare Belgium BVBA</w:t>
            </w:r>
          </w:p>
          <w:p w14:paraId="28F258E7" w14:textId="77777777" w:rsidR="00202B78" w:rsidRPr="00CC161D" w:rsidRDefault="00202B78" w:rsidP="00F0391F">
            <w:pPr>
              <w:suppressAutoHyphens/>
              <w:autoSpaceDE/>
              <w:autoSpaceDN/>
              <w:rPr>
                <w:b/>
                <w:noProof/>
                <w:sz w:val="24"/>
                <w:szCs w:val="24"/>
                <w:lang w:eastAsia="fr-FR"/>
              </w:rPr>
            </w:pPr>
            <w:r w:rsidRPr="00CC161D">
              <w:rPr>
                <w:rFonts w:eastAsia="맑은 고딕"/>
                <w:noProof/>
                <w:sz w:val="24"/>
                <w:szCs w:val="24"/>
                <w:lang w:eastAsia="fr-FR"/>
              </w:rPr>
              <w:t>Tél/Tel: +32 2 643 71 81</w:t>
            </w:r>
          </w:p>
          <w:p w14:paraId="74496377"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BEinfo@celltrionhc.com</w:t>
            </w:r>
          </w:p>
          <w:p w14:paraId="3E79CC5C" w14:textId="77777777" w:rsidR="00202B78" w:rsidRPr="00CC161D" w:rsidRDefault="00202B78" w:rsidP="00F0391F">
            <w:pPr>
              <w:suppressAutoHyphens/>
              <w:autoSpaceDE/>
              <w:autoSpaceDN/>
              <w:rPr>
                <w:rFonts w:eastAsia="맑은 고딕"/>
                <w:noProof/>
                <w:sz w:val="24"/>
                <w:szCs w:val="24"/>
                <w:lang w:eastAsia="ko-KR"/>
              </w:rPr>
            </w:pPr>
          </w:p>
        </w:tc>
        <w:tc>
          <w:tcPr>
            <w:tcW w:w="2295" w:type="pct"/>
          </w:tcPr>
          <w:p w14:paraId="61A1B046" w14:textId="77777777" w:rsidR="00202B78" w:rsidRPr="00CC161D" w:rsidRDefault="00202B78" w:rsidP="00F0391F">
            <w:pPr>
              <w:tabs>
                <w:tab w:val="left" w:pos="-720"/>
              </w:tabs>
              <w:suppressAutoHyphens/>
              <w:autoSpaceDE/>
              <w:autoSpaceDN/>
              <w:rPr>
                <w:b/>
                <w:noProof/>
                <w:sz w:val="24"/>
                <w:szCs w:val="24"/>
                <w:lang w:val="en-US" w:eastAsia="fr-FR"/>
              </w:rPr>
            </w:pPr>
            <w:r w:rsidRPr="00CC161D">
              <w:rPr>
                <w:b/>
                <w:noProof/>
                <w:sz w:val="24"/>
                <w:szCs w:val="24"/>
                <w:lang w:val="en-US" w:eastAsia="fr-FR"/>
              </w:rPr>
              <w:t>Lietuva</w:t>
            </w:r>
          </w:p>
          <w:p w14:paraId="12F458E1"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43027559" w14:textId="77777777" w:rsidR="00202B78" w:rsidRPr="00CC161D" w:rsidRDefault="00202B78" w:rsidP="00F0391F">
            <w:pPr>
              <w:suppressAutoHyphens/>
              <w:adjustRightInd w:val="0"/>
              <w:rPr>
                <w:noProof/>
                <w:sz w:val="24"/>
                <w:szCs w:val="24"/>
                <w:lang w:eastAsia="fr-FR"/>
              </w:rPr>
            </w:pPr>
            <w:r w:rsidRPr="00CC161D">
              <w:rPr>
                <w:rFonts w:eastAsia="맑은 고딕"/>
                <w:noProof/>
                <w:sz w:val="24"/>
                <w:szCs w:val="24"/>
                <w:lang w:eastAsia="fr-FR"/>
              </w:rPr>
              <w:t>Tel.: +36 1 231 0493</w:t>
            </w:r>
          </w:p>
          <w:p w14:paraId="505CA75B" w14:textId="77777777" w:rsidR="00202B78" w:rsidRPr="00CC161D" w:rsidRDefault="00202B78" w:rsidP="00F0391F">
            <w:pPr>
              <w:suppressAutoHyphens/>
              <w:adjustRightInd w:val="0"/>
              <w:rPr>
                <w:noProof/>
                <w:sz w:val="24"/>
                <w:szCs w:val="24"/>
                <w:lang w:eastAsia="fr-FR"/>
              </w:rPr>
            </w:pPr>
          </w:p>
        </w:tc>
      </w:tr>
      <w:tr w:rsidR="00CF6253" w:rsidRPr="00CC161D" w14:paraId="313A4312" w14:textId="77777777" w:rsidTr="00B320E1">
        <w:trPr>
          <w:cantSplit/>
        </w:trPr>
        <w:tc>
          <w:tcPr>
            <w:tcW w:w="2705" w:type="pct"/>
          </w:tcPr>
          <w:p w14:paraId="7B34F4BE" w14:textId="77777777" w:rsidR="00202B78" w:rsidRPr="00CC161D" w:rsidRDefault="00202B78" w:rsidP="00F0391F">
            <w:pPr>
              <w:suppressAutoHyphens/>
              <w:autoSpaceDE/>
              <w:autoSpaceDN/>
              <w:rPr>
                <w:rFonts w:eastAsia="맑은 고딕"/>
                <w:b/>
                <w:noProof/>
                <w:sz w:val="24"/>
                <w:szCs w:val="24"/>
                <w:lang w:val="en-US" w:eastAsia="fr-FR"/>
              </w:rPr>
            </w:pPr>
            <w:r w:rsidRPr="00CC161D">
              <w:rPr>
                <w:b/>
                <w:bCs/>
                <w:sz w:val="24"/>
                <w:szCs w:val="24"/>
              </w:rPr>
              <w:t>България</w:t>
            </w:r>
          </w:p>
          <w:p w14:paraId="399E06E6"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7E7B725A"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Teл.: +36 1 231 0493</w:t>
            </w:r>
          </w:p>
          <w:p w14:paraId="60DEEDDD" w14:textId="77777777" w:rsidR="00202B78" w:rsidRPr="00CC161D" w:rsidRDefault="00202B78" w:rsidP="00F0391F">
            <w:pPr>
              <w:suppressAutoHyphens/>
              <w:autoSpaceDE/>
              <w:autoSpaceDN/>
              <w:rPr>
                <w:noProof/>
                <w:sz w:val="24"/>
                <w:szCs w:val="24"/>
                <w:lang w:eastAsia="fr-FR"/>
              </w:rPr>
            </w:pPr>
          </w:p>
        </w:tc>
        <w:tc>
          <w:tcPr>
            <w:tcW w:w="2295" w:type="pct"/>
            <w:hideMark/>
          </w:tcPr>
          <w:p w14:paraId="63582B33" w14:textId="77777777" w:rsidR="00202B78" w:rsidRPr="00CC161D" w:rsidRDefault="00202B78" w:rsidP="00F0391F">
            <w:pPr>
              <w:tabs>
                <w:tab w:val="left" w:pos="-720"/>
              </w:tabs>
              <w:suppressAutoHyphens/>
              <w:autoSpaceDE/>
              <w:autoSpaceDN/>
              <w:rPr>
                <w:noProof/>
                <w:sz w:val="24"/>
                <w:szCs w:val="24"/>
                <w:lang w:val="de-CH" w:eastAsia="fr-FR"/>
              </w:rPr>
            </w:pPr>
            <w:r w:rsidRPr="00CC161D">
              <w:rPr>
                <w:rFonts w:eastAsia="맑은 고딕"/>
                <w:b/>
                <w:noProof/>
                <w:sz w:val="24"/>
                <w:szCs w:val="24"/>
                <w:lang w:val="de-CH" w:eastAsia="fr-FR"/>
              </w:rPr>
              <w:t>Luxembourg/Luxemburg</w:t>
            </w:r>
          </w:p>
          <w:p w14:paraId="487E1D4B" w14:textId="77777777" w:rsidR="00202B78" w:rsidRPr="00CC161D" w:rsidRDefault="00202B78" w:rsidP="00F0391F">
            <w:pPr>
              <w:suppressAutoHyphens/>
              <w:autoSpaceDE/>
              <w:autoSpaceDN/>
              <w:rPr>
                <w:rFonts w:eastAsia="맑은 고딕"/>
                <w:noProof/>
                <w:sz w:val="24"/>
                <w:szCs w:val="24"/>
                <w:lang w:val="de-CH" w:eastAsia="fr-FR"/>
              </w:rPr>
            </w:pPr>
            <w:r w:rsidRPr="00CC161D">
              <w:rPr>
                <w:rFonts w:eastAsia="맑은 고딕"/>
                <w:noProof/>
                <w:sz w:val="24"/>
                <w:szCs w:val="24"/>
                <w:lang w:val="de-CH" w:eastAsia="fr-FR"/>
              </w:rPr>
              <w:t>Celltrion Healthcare Belgium BVBA</w:t>
            </w:r>
          </w:p>
          <w:p w14:paraId="293690F4" w14:textId="77777777" w:rsidR="00202B78" w:rsidRPr="00CC161D" w:rsidRDefault="00202B78" w:rsidP="00F0391F">
            <w:pPr>
              <w:tabs>
                <w:tab w:val="left" w:pos="-720"/>
              </w:tabs>
              <w:suppressAutoHyphens/>
              <w:autoSpaceDE/>
              <w:autoSpaceDN/>
              <w:rPr>
                <w:rFonts w:eastAsia="맑은 고딕"/>
                <w:noProof/>
                <w:sz w:val="24"/>
                <w:szCs w:val="24"/>
                <w:lang w:val="fr-FR" w:eastAsia="fr-FR"/>
              </w:rPr>
            </w:pPr>
            <w:r w:rsidRPr="00CC161D">
              <w:rPr>
                <w:rFonts w:eastAsia="맑은 고딕"/>
                <w:noProof/>
                <w:sz w:val="24"/>
                <w:szCs w:val="24"/>
                <w:lang w:val="fr-FR" w:eastAsia="fr-FR"/>
              </w:rPr>
              <w:t xml:space="preserve">Tél/Tel: </w:t>
            </w:r>
            <w:r w:rsidRPr="00CC161D">
              <w:rPr>
                <w:rFonts w:eastAsia="맑은 고딕"/>
                <w:noProof/>
                <w:sz w:val="24"/>
                <w:szCs w:val="24"/>
                <w:lang w:val="de-CH" w:eastAsia="fr-FR"/>
              </w:rPr>
              <w:t>+32 2 643 71 81</w:t>
            </w:r>
          </w:p>
          <w:p w14:paraId="2D6397CA" w14:textId="77777777" w:rsidR="00202B78" w:rsidRPr="00CC161D" w:rsidRDefault="00202B78" w:rsidP="00F0391F">
            <w:pPr>
              <w:suppressAutoHyphens/>
              <w:autoSpaceDE/>
              <w:autoSpaceDN/>
              <w:rPr>
                <w:rFonts w:eastAsia="맑은 고딕"/>
                <w:sz w:val="24"/>
                <w:szCs w:val="24"/>
                <w:lang w:val="pt-PT" w:eastAsia="ko-KR"/>
              </w:rPr>
            </w:pPr>
            <w:r w:rsidRPr="00CC161D">
              <w:rPr>
                <w:rFonts w:eastAsia="맑은 고딕"/>
                <w:noProof/>
                <w:sz w:val="24"/>
                <w:szCs w:val="24"/>
                <w:lang w:val="fr-FR" w:eastAsia="fr-FR"/>
              </w:rPr>
              <w:t>BEinfo@celltrionhc.com</w:t>
            </w:r>
          </w:p>
          <w:p w14:paraId="60C2EE3B" w14:textId="77777777" w:rsidR="00202B78" w:rsidRPr="00CC161D" w:rsidRDefault="00202B78" w:rsidP="00F0391F">
            <w:pPr>
              <w:tabs>
                <w:tab w:val="left" w:pos="-720"/>
              </w:tabs>
              <w:suppressAutoHyphens/>
              <w:autoSpaceDE/>
              <w:autoSpaceDN/>
              <w:rPr>
                <w:rFonts w:eastAsia="맑은 고딕"/>
                <w:sz w:val="24"/>
                <w:szCs w:val="24"/>
                <w:lang w:val="pt-PT" w:eastAsia="ko-KR"/>
              </w:rPr>
            </w:pPr>
          </w:p>
        </w:tc>
      </w:tr>
      <w:tr w:rsidR="00CF6253" w:rsidRPr="00CC161D" w14:paraId="742CB682" w14:textId="77777777" w:rsidTr="00B320E1">
        <w:trPr>
          <w:cantSplit/>
        </w:trPr>
        <w:tc>
          <w:tcPr>
            <w:tcW w:w="2705" w:type="pct"/>
            <w:hideMark/>
          </w:tcPr>
          <w:p w14:paraId="232BEA20" w14:textId="77777777" w:rsidR="00202B78" w:rsidRPr="00CC161D" w:rsidRDefault="00202B78" w:rsidP="00F0391F">
            <w:pPr>
              <w:tabs>
                <w:tab w:val="left" w:pos="-720"/>
              </w:tabs>
              <w:suppressAutoHyphens/>
              <w:autoSpaceDE/>
              <w:autoSpaceDN/>
              <w:rPr>
                <w:rFonts w:eastAsia="맑은 고딕"/>
                <w:b/>
                <w:noProof/>
                <w:sz w:val="24"/>
                <w:szCs w:val="24"/>
                <w:lang w:val="en-US" w:eastAsia="fr-FR"/>
              </w:rPr>
            </w:pPr>
            <w:r w:rsidRPr="00CC161D">
              <w:rPr>
                <w:rFonts w:eastAsia="맑은 고딕"/>
                <w:b/>
                <w:noProof/>
                <w:sz w:val="24"/>
                <w:szCs w:val="24"/>
                <w:lang w:val="en-US" w:eastAsia="fr-FR"/>
              </w:rPr>
              <w:t>Česká republika</w:t>
            </w:r>
          </w:p>
          <w:p w14:paraId="66C18645"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2948EB32" w14:textId="77777777" w:rsidR="00202B78" w:rsidRPr="00CC161D" w:rsidRDefault="00202B78" w:rsidP="00F0391F">
            <w:pPr>
              <w:tabs>
                <w:tab w:val="left" w:pos="-720"/>
              </w:tabs>
              <w:suppressAutoHyphens/>
              <w:autoSpaceDE/>
              <w:autoSpaceDN/>
              <w:rPr>
                <w:rFonts w:eastAsia="맑은 고딕"/>
                <w:noProof/>
                <w:sz w:val="24"/>
                <w:szCs w:val="24"/>
                <w:lang w:eastAsia="fr-FR"/>
              </w:rPr>
            </w:pPr>
            <w:r w:rsidRPr="00CC161D">
              <w:rPr>
                <w:rFonts w:eastAsia="맑은 고딕"/>
                <w:noProof/>
                <w:sz w:val="24"/>
                <w:szCs w:val="24"/>
                <w:lang w:eastAsia="fr-FR"/>
              </w:rPr>
              <w:t>Tel: +36 1 231 0493</w:t>
            </w:r>
          </w:p>
          <w:p w14:paraId="6D73A6BE" w14:textId="77777777" w:rsidR="00202B78" w:rsidRPr="00CC161D" w:rsidRDefault="00202B78" w:rsidP="00F0391F">
            <w:pPr>
              <w:tabs>
                <w:tab w:val="left" w:pos="-720"/>
              </w:tabs>
              <w:suppressAutoHyphens/>
              <w:autoSpaceDE/>
              <w:autoSpaceDN/>
              <w:rPr>
                <w:noProof/>
                <w:sz w:val="24"/>
                <w:szCs w:val="24"/>
                <w:lang w:eastAsia="fr-FR"/>
              </w:rPr>
            </w:pPr>
          </w:p>
        </w:tc>
        <w:tc>
          <w:tcPr>
            <w:tcW w:w="2295" w:type="pct"/>
          </w:tcPr>
          <w:p w14:paraId="08D0AF1A" w14:textId="77777777" w:rsidR="00202B78" w:rsidRPr="00CC161D" w:rsidRDefault="00202B78" w:rsidP="00F0391F">
            <w:pPr>
              <w:suppressAutoHyphens/>
              <w:autoSpaceDE/>
              <w:autoSpaceDN/>
              <w:rPr>
                <w:rFonts w:eastAsia="맑은 고딕"/>
                <w:b/>
                <w:noProof/>
                <w:sz w:val="24"/>
                <w:szCs w:val="24"/>
                <w:lang w:val="en-US" w:eastAsia="fr-FR"/>
              </w:rPr>
            </w:pPr>
            <w:r w:rsidRPr="00CC161D">
              <w:rPr>
                <w:b/>
                <w:noProof/>
                <w:sz w:val="24"/>
                <w:szCs w:val="24"/>
                <w:lang w:val="en-US"/>
              </w:rPr>
              <w:t>Magyarország</w:t>
            </w:r>
          </w:p>
          <w:p w14:paraId="48DA3776"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768E7A7D"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Tel:. +36 1 231 0493</w:t>
            </w:r>
          </w:p>
          <w:p w14:paraId="52FDF855" w14:textId="77777777" w:rsidR="00202B78" w:rsidRPr="00CC161D" w:rsidRDefault="00202B78" w:rsidP="00F0391F">
            <w:pPr>
              <w:suppressAutoHyphens/>
              <w:autoSpaceDE/>
              <w:autoSpaceDN/>
              <w:rPr>
                <w:rFonts w:eastAsia="맑은 고딕"/>
                <w:noProof/>
                <w:sz w:val="24"/>
                <w:szCs w:val="24"/>
                <w:lang w:eastAsia="ko-KR"/>
              </w:rPr>
            </w:pPr>
          </w:p>
        </w:tc>
      </w:tr>
      <w:tr w:rsidR="00CF6253" w:rsidRPr="00D34C2F" w14:paraId="50B40EA1" w14:textId="77777777" w:rsidTr="00B320E1">
        <w:trPr>
          <w:cantSplit/>
        </w:trPr>
        <w:tc>
          <w:tcPr>
            <w:tcW w:w="2705" w:type="pct"/>
            <w:hideMark/>
          </w:tcPr>
          <w:p w14:paraId="72628D10" w14:textId="1AA4B200" w:rsidR="00202B78" w:rsidRPr="00CC161D" w:rsidRDefault="00202B78" w:rsidP="00F0391F">
            <w:pPr>
              <w:tabs>
                <w:tab w:val="left" w:pos="-720"/>
              </w:tabs>
              <w:suppressAutoHyphens/>
              <w:autoSpaceDE/>
              <w:autoSpaceDN/>
              <w:rPr>
                <w:b/>
                <w:bCs/>
                <w:i/>
                <w:iCs/>
                <w:noProof/>
                <w:sz w:val="24"/>
                <w:szCs w:val="24"/>
                <w:lang w:val="en-US" w:eastAsia="fr-FR"/>
              </w:rPr>
            </w:pPr>
            <w:r w:rsidRPr="00CC161D">
              <w:rPr>
                <w:b/>
                <w:noProof/>
                <w:sz w:val="24"/>
                <w:szCs w:val="24"/>
                <w:lang w:val="en-US"/>
              </w:rPr>
              <w:lastRenderedPageBreak/>
              <w:t>D</w:t>
            </w:r>
            <w:r w:rsidR="00516DC3">
              <w:rPr>
                <w:rFonts w:eastAsia="맑은 고딕" w:hint="eastAsia"/>
                <w:b/>
                <w:noProof/>
                <w:sz w:val="24"/>
                <w:szCs w:val="24"/>
                <w:lang w:val="en-US" w:eastAsia="ko-KR"/>
              </w:rPr>
              <w:t>e</w:t>
            </w:r>
            <w:r w:rsidRPr="00CC161D">
              <w:rPr>
                <w:b/>
                <w:noProof/>
                <w:sz w:val="24"/>
                <w:szCs w:val="24"/>
                <w:lang w:val="en-US"/>
              </w:rPr>
              <w:t>nmark</w:t>
            </w:r>
          </w:p>
          <w:p w14:paraId="5A9F41D0" w14:textId="77777777" w:rsidR="00516DC3" w:rsidRPr="00B436C7" w:rsidRDefault="00202B78" w:rsidP="00516DC3">
            <w:pPr>
              <w:tabs>
                <w:tab w:val="left" w:pos="-720"/>
              </w:tabs>
              <w:suppressAutoHyphens/>
              <w:rPr>
                <w:rFonts w:eastAsia="맑은 고딕"/>
                <w:noProof/>
                <w:lang w:val="en-US" w:eastAsia="fr-FR"/>
              </w:rPr>
            </w:pPr>
            <w:r w:rsidRPr="00CC161D">
              <w:rPr>
                <w:rFonts w:eastAsia="맑은 고딕"/>
                <w:noProof/>
                <w:sz w:val="24"/>
                <w:szCs w:val="24"/>
                <w:lang w:val="en-US" w:eastAsia="fr-FR"/>
              </w:rPr>
              <w:t xml:space="preserve">Celltrion Healthcare </w:t>
            </w:r>
            <w:r w:rsidR="00516DC3" w:rsidRPr="00B436C7">
              <w:rPr>
                <w:rFonts w:eastAsia="맑은 고딕"/>
                <w:noProof/>
                <w:lang w:val="en-US" w:eastAsia="fr-FR"/>
              </w:rPr>
              <w:t>Denmark ApS</w:t>
            </w:r>
          </w:p>
          <w:p w14:paraId="2AACA3E7" w14:textId="77777777" w:rsidR="00516DC3" w:rsidRPr="00B436C7" w:rsidRDefault="00516DC3" w:rsidP="00516DC3">
            <w:pPr>
              <w:tabs>
                <w:tab w:val="left" w:pos="-720"/>
              </w:tabs>
              <w:suppressAutoHyphens/>
              <w:rPr>
                <w:rFonts w:eastAsia="맑은 고딕"/>
                <w:noProof/>
                <w:lang w:val="en-US" w:eastAsia="fr-FR"/>
              </w:rPr>
            </w:pPr>
            <w:r w:rsidRPr="00B436C7">
              <w:rPr>
                <w:rFonts w:eastAsia="맑은 고딕"/>
                <w:noProof/>
                <w:lang w:val="en-US" w:eastAsia="fr-FR"/>
              </w:rPr>
              <w:t>Tel: + 45 3535 2989</w:t>
            </w:r>
          </w:p>
          <w:p w14:paraId="3C189881" w14:textId="77777777" w:rsidR="00516DC3" w:rsidRDefault="00516DC3" w:rsidP="00516DC3">
            <w:pPr>
              <w:tabs>
                <w:tab w:val="left" w:pos="-720"/>
              </w:tabs>
              <w:suppressAutoHyphens/>
              <w:rPr>
                <w:rFonts w:eastAsia="맑은 고딕"/>
                <w:noProof/>
                <w:lang w:eastAsia="fr-FR"/>
              </w:rPr>
            </w:pPr>
            <w:r w:rsidRPr="00204A91">
              <w:rPr>
                <w:rFonts w:eastAsia="맑은 고딕"/>
                <w:noProof/>
                <w:lang w:eastAsia="fr-FR"/>
              </w:rPr>
              <w:t>Contact_dk@celltrionhc.com</w:t>
            </w:r>
          </w:p>
          <w:p w14:paraId="7C3ABA18" w14:textId="24A5A4DC" w:rsidR="00202B78" w:rsidRPr="00CC161D" w:rsidRDefault="00202B78" w:rsidP="00F0391F">
            <w:pPr>
              <w:tabs>
                <w:tab w:val="left" w:pos="-720"/>
              </w:tabs>
              <w:suppressAutoHyphens/>
              <w:autoSpaceDE/>
              <w:autoSpaceDN/>
              <w:rPr>
                <w:rFonts w:eastAsia="맑은 고딕"/>
                <w:noProof/>
                <w:sz w:val="24"/>
                <w:szCs w:val="24"/>
                <w:lang w:eastAsia="fr-FR"/>
              </w:rPr>
            </w:pPr>
          </w:p>
        </w:tc>
        <w:tc>
          <w:tcPr>
            <w:tcW w:w="2295" w:type="pct"/>
          </w:tcPr>
          <w:p w14:paraId="74022CF1" w14:textId="77777777" w:rsidR="00202B78" w:rsidRPr="00CC161D" w:rsidRDefault="00202B78" w:rsidP="00F0391F">
            <w:pPr>
              <w:suppressAutoHyphens/>
              <w:autoSpaceDE/>
              <w:autoSpaceDN/>
              <w:rPr>
                <w:noProof/>
                <w:sz w:val="24"/>
                <w:szCs w:val="24"/>
                <w:lang w:val="en-US" w:eastAsia="fr-FR"/>
              </w:rPr>
            </w:pPr>
            <w:r w:rsidRPr="00CC161D">
              <w:rPr>
                <w:rFonts w:eastAsia="맑은 고딕"/>
                <w:b/>
                <w:noProof/>
                <w:sz w:val="24"/>
                <w:szCs w:val="24"/>
                <w:lang w:val="en-US" w:eastAsia="fr-FR"/>
              </w:rPr>
              <w:t>Malta</w:t>
            </w:r>
          </w:p>
          <w:p w14:paraId="12830E11"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Mint Health Ltd.</w:t>
            </w:r>
          </w:p>
          <w:p w14:paraId="48BF6709" w14:textId="77777777" w:rsidR="00202B78" w:rsidRPr="00CC161D" w:rsidRDefault="00202B78" w:rsidP="00F0391F">
            <w:pPr>
              <w:suppressAutoHyphens/>
              <w:autoSpaceDE/>
              <w:autoSpaceDN/>
              <w:rPr>
                <w:rFonts w:eastAsia="맑은 고딕"/>
                <w:noProof/>
                <w:sz w:val="24"/>
                <w:szCs w:val="24"/>
                <w:lang w:val="en-US" w:eastAsia="ko-KR"/>
              </w:rPr>
            </w:pPr>
            <w:r w:rsidRPr="00CC161D">
              <w:rPr>
                <w:rFonts w:eastAsia="맑은 고딕"/>
                <w:noProof/>
                <w:sz w:val="24"/>
                <w:szCs w:val="24"/>
                <w:lang w:val="en-US" w:eastAsia="fr-FR"/>
              </w:rPr>
              <w:t>Tel: +356 2093 9800</w:t>
            </w:r>
          </w:p>
          <w:p w14:paraId="71E09B55" w14:textId="77777777" w:rsidR="00202B78" w:rsidRPr="00CC161D" w:rsidRDefault="00202B78" w:rsidP="00F0391F">
            <w:pPr>
              <w:suppressAutoHyphens/>
              <w:autoSpaceDE/>
              <w:autoSpaceDN/>
              <w:rPr>
                <w:rFonts w:eastAsia="맑은 고딕"/>
                <w:noProof/>
                <w:sz w:val="24"/>
                <w:szCs w:val="24"/>
                <w:lang w:val="en-US" w:eastAsia="ko-KR"/>
              </w:rPr>
            </w:pPr>
          </w:p>
        </w:tc>
      </w:tr>
      <w:tr w:rsidR="00CF6253" w:rsidRPr="00CC161D" w14:paraId="0A2BC763" w14:textId="77777777" w:rsidTr="00B320E1">
        <w:trPr>
          <w:cantSplit/>
        </w:trPr>
        <w:tc>
          <w:tcPr>
            <w:tcW w:w="2705" w:type="pct"/>
            <w:hideMark/>
          </w:tcPr>
          <w:p w14:paraId="26A20EFB" w14:textId="77777777" w:rsidR="00202B78" w:rsidRPr="00CC161D" w:rsidRDefault="00202B78" w:rsidP="00F0391F">
            <w:pPr>
              <w:suppressAutoHyphens/>
              <w:autoSpaceDE/>
              <w:autoSpaceDN/>
              <w:rPr>
                <w:b/>
                <w:noProof/>
                <w:sz w:val="24"/>
                <w:szCs w:val="24"/>
                <w:lang w:eastAsia="fr-FR"/>
              </w:rPr>
            </w:pPr>
            <w:r w:rsidRPr="00CC161D">
              <w:rPr>
                <w:rFonts w:eastAsia="맑은 고딕"/>
                <w:b/>
                <w:noProof/>
                <w:sz w:val="24"/>
                <w:szCs w:val="24"/>
                <w:lang w:eastAsia="fr-FR"/>
              </w:rPr>
              <w:t>Deutschland</w:t>
            </w:r>
          </w:p>
          <w:p w14:paraId="32257A84" w14:textId="77777777" w:rsidR="00202B78" w:rsidRPr="00CC161D" w:rsidRDefault="00202B78" w:rsidP="00F0391F">
            <w:pPr>
              <w:tabs>
                <w:tab w:val="left" w:pos="-720"/>
              </w:tabs>
              <w:suppressAutoHyphens/>
              <w:autoSpaceDE/>
              <w:autoSpaceDN/>
              <w:rPr>
                <w:rFonts w:eastAsia="맑은 고딕"/>
                <w:noProof/>
                <w:sz w:val="24"/>
                <w:szCs w:val="24"/>
                <w:lang w:eastAsia="fr-FR"/>
              </w:rPr>
            </w:pPr>
            <w:r w:rsidRPr="00CC161D">
              <w:rPr>
                <w:rFonts w:eastAsia="맑은 고딕"/>
                <w:noProof/>
                <w:sz w:val="24"/>
                <w:szCs w:val="24"/>
                <w:lang w:eastAsia="fr-FR"/>
              </w:rPr>
              <w:t>Celltrion Healthcare Deutschland GmbH</w:t>
            </w:r>
          </w:p>
          <w:p w14:paraId="62D9F0CB" w14:textId="77777777" w:rsidR="00202B78" w:rsidRPr="00CC161D" w:rsidRDefault="00202B78" w:rsidP="00F0391F">
            <w:pPr>
              <w:tabs>
                <w:tab w:val="left" w:pos="-720"/>
              </w:tabs>
              <w:suppressAutoHyphens/>
              <w:autoSpaceDE/>
              <w:autoSpaceDN/>
              <w:rPr>
                <w:rFonts w:eastAsia="맑은 고딕"/>
                <w:noProof/>
                <w:sz w:val="24"/>
                <w:szCs w:val="24"/>
                <w:lang w:eastAsia="fr-FR"/>
              </w:rPr>
            </w:pPr>
            <w:r w:rsidRPr="00CC161D">
              <w:rPr>
                <w:rFonts w:eastAsia="맑은 고딕"/>
                <w:noProof/>
                <w:sz w:val="24"/>
                <w:szCs w:val="24"/>
                <w:lang w:eastAsia="fr-FR"/>
              </w:rPr>
              <w:t>Tel: +49(0)30 346494150</w:t>
            </w:r>
          </w:p>
          <w:p w14:paraId="5DF78997" w14:textId="77777777" w:rsidR="00202B78" w:rsidRPr="00CC161D" w:rsidRDefault="00202B78" w:rsidP="00F0391F">
            <w:pPr>
              <w:tabs>
                <w:tab w:val="left" w:pos="-720"/>
              </w:tabs>
              <w:suppressAutoHyphens/>
              <w:autoSpaceDE/>
              <w:autoSpaceDN/>
              <w:rPr>
                <w:rFonts w:eastAsia="맑은 고딕"/>
                <w:noProof/>
                <w:sz w:val="24"/>
                <w:szCs w:val="24"/>
                <w:lang w:eastAsia="fr-FR"/>
              </w:rPr>
            </w:pPr>
            <w:r w:rsidRPr="00CC161D">
              <w:rPr>
                <w:rFonts w:eastAsia="맑은 고딕"/>
                <w:noProof/>
                <w:sz w:val="24"/>
                <w:szCs w:val="24"/>
                <w:lang w:eastAsia="fr-FR"/>
              </w:rPr>
              <w:t>infoDE@celltrionhc.com</w:t>
            </w:r>
          </w:p>
          <w:p w14:paraId="7C664AA1" w14:textId="77777777" w:rsidR="00202B78" w:rsidRPr="00CC161D" w:rsidRDefault="00202B78" w:rsidP="00F0391F">
            <w:pPr>
              <w:tabs>
                <w:tab w:val="left" w:pos="-720"/>
              </w:tabs>
              <w:suppressAutoHyphens/>
              <w:autoSpaceDE/>
              <w:autoSpaceDN/>
              <w:rPr>
                <w:rFonts w:eastAsia="맑은 고딕"/>
                <w:noProof/>
                <w:sz w:val="24"/>
                <w:szCs w:val="24"/>
                <w:lang w:eastAsia="fr-FR"/>
              </w:rPr>
            </w:pPr>
          </w:p>
        </w:tc>
        <w:tc>
          <w:tcPr>
            <w:tcW w:w="2295" w:type="pct"/>
          </w:tcPr>
          <w:p w14:paraId="7B4A0E73" w14:textId="77777777" w:rsidR="00202B78" w:rsidRPr="00CC161D" w:rsidRDefault="00202B78" w:rsidP="00F0391F">
            <w:pPr>
              <w:suppressAutoHyphens/>
              <w:autoSpaceDE/>
              <w:autoSpaceDN/>
              <w:rPr>
                <w:noProof/>
                <w:sz w:val="24"/>
                <w:szCs w:val="24"/>
                <w:lang w:val="en-US" w:eastAsia="fr-FR"/>
              </w:rPr>
            </w:pPr>
            <w:r w:rsidRPr="00CC161D">
              <w:rPr>
                <w:rFonts w:eastAsia="맑은 고딕"/>
                <w:b/>
                <w:noProof/>
                <w:sz w:val="24"/>
                <w:szCs w:val="24"/>
                <w:lang w:val="en-US" w:eastAsia="fr-FR"/>
              </w:rPr>
              <w:t>Nederland</w:t>
            </w:r>
          </w:p>
          <w:p w14:paraId="63195DAB" w14:textId="77777777" w:rsidR="00202B78" w:rsidRPr="00CC161D" w:rsidRDefault="00202B78" w:rsidP="00F0391F">
            <w:pPr>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Netherlands B.V.</w:t>
            </w:r>
          </w:p>
          <w:p w14:paraId="5F2B47C1"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Tel: + 31 20 888 7300</w:t>
            </w:r>
          </w:p>
          <w:p w14:paraId="1A6CA0C4" w14:textId="01B26431" w:rsidR="00202B78" w:rsidRPr="00CC161D" w:rsidRDefault="00516DC3" w:rsidP="00F0391F">
            <w:pPr>
              <w:suppressAutoHyphens/>
              <w:autoSpaceDE/>
              <w:autoSpaceDN/>
              <w:rPr>
                <w:rFonts w:eastAsia="맑은 고딕"/>
                <w:noProof/>
                <w:sz w:val="24"/>
                <w:szCs w:val="24"/>
                <w:lang w:eastAsia="fr-FR"/>
              </w:rPr>
            </w:pPr>
            <w:r w:rsidRPr="00B436C7">
              <w:rPr>
                <w:rFonts w:eastAsia="맑은 고딕"/>
              </w:rPr>
              <w:t>NLinfo@celltrionh</w:t>
            </w:r>
            <w:r w:rsidRPr="00B436C7">
              <w:t>c</w:t>
            </w:r>
            <w:r w:rsidRPr="00B436C7">
              <w:rPr>
                <w:rFonts w:eastAsia="맑은 고딕"/>
              </w:rPr>
              <w:t>.com</w:t>
            </w:r>
          </w:p>
          <w:p w14:paraId="54603706" w14:textId="77777777" w:rsidR="00202B78" w:rsidRPr="00CC161D" w:rsidRDefault="00202B78" w:rsidP="00F0391F">
            <w:pPr>
              <w:suppressAutoHyphens/>
              <w:autoSpaceDE/>
              <w:autoSpaceDN/>
              <w:rPr>
                <w:rFonts w:eastAsia="맑은 고딕"/>
                <w:noProof/>
                <w:sz w:val="24"/>
                <w:szCs w:val="24"/>
                <w:lang w:eastAsia="fr-FR"/>
              </w:rPr>
            </w:pPr>
          </w:p>
        </w:tc>
      </w:tr>
      <w:tr w:rsidR="00CF6253" w:rsidRPr="00CC161D" w14:paraId="7FB23C56" w14:textId="77777777" w:rsidTr="00B320E1">
        <w:trPr>
          <w:cantSplit/>
        </w:trPr>
        <w:tc>
          <w:tcPr>
            <w:tcW w:w="2705" w:type="pct"/>
            <w:hideMark/>
          </w:tcPr>
          <w:p w14:paraId="4C8CCB26" w14:textId="77777777" w:rsidR="00202B78" w:rsidRPr="00CC161D" w:rsidRDefault="00202B78" w:rsidP="00F0391F">
            <w:pPr>
              <w:tabs>
                <w:tab w:val="left" w:pos="-720"/>
                <w:tab w:val="left" w:pos="4536"/>
              </w:tabs>
              <w:suppressAutoHyphens/>
              <w:autoSpaceDE/>
              <w:autoSpaceDN/>
              <w:rPr>
                <w:b/>
                <w:noProof/>
                <w:sz w:val="24"/>
                <w:szCs w:val="24"/>
                <w:lang w:val="en-US" w:eastAsia="fr-FR"/>
              </w:rPr>
            </w:pPr>
            <w:r w:rsidRPr="00CC161D">
              <w:rPr>
                <w:rFonts w:eastAsia="맑은 고딕"/>
                <w:b/>
                <w:noProof/>
                <w:sz w:val="24"/>
                <w:szCs w:val="24"/>
                <w:lang w:val="en-US" w:eastAsia="fr-FR"/>
              </w:rPr>
              <w:t>Eesti</w:t>
            </w:r>
          </w:p>
          <w:p w14:paraId="505A54C2"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34727C28" w14:textId="77777777" w:rsidR="00202B78" w:rsidRPr="00CC161D" w:rsidRDefault="00202B78" w:rsidP="00F0391F">
            <w:pPr>
              <w:tabs>
                <w:tab w:val="left" w:pos="-720"/>
              </w:tabs>
              <w:suppressAutoHyphens/>
              <w:autoSpaceDE/>
              <w:autoSpaceDN/>
              <w:rPr>
                <w:rFonts w:eastAsia="맑은 고딕"/>
                <w:noProof/>
                <w:sz w:val="24"/>
                <w:szCs w:val="24"/>
                <w:lang w:eastAsia="fr-FR"/>
              </w:rPr>
            </w:pPr>
            <w:r w:rsidRPr="00CC161D">
              <w:rPr>
                <w:rFonts w:eastAsia="맑은 고딕"/>
                <w:noProof/>
                <w:sz w:val="24"/>
                <w:szCs w:val="24"/>
                <w:lang w:eastAsia="fr-FR"/>
              </w:rPr>
              <w:t>Tel: +36 1 231 0493</w:t>
            </w:r>
          </w:p>
          <w:p w14:paraId="2711D0AA" w14:textId="77777777" w:rsidR="00202B78" w:rsidRPr="00CC161D" w:rsidRDefault="00202B78" w:rsidP="00F0391F">
            <w:pPr>
              <w:tabs>
                <w:tab w:val="left" w:pos="-720"/>
              </w:tabs>
              <w:suppressAutoHyphens/>
              <w:autoSpaceDE/>
              <w:autoSpaceDN/>
              <w:rPr>
                <w:rFonts w:eastAsia="맑은 고딕"/>
                <w:noProof/>
                <w:sz w:val="24"/>
                <w:szCs w:val="24"/>
                <w:lang w:val="fi-FI" w:eastAsia="ko-KR"/>
              </w:rPr>
            </w:pPr>
          </w:p>
        </w:tc>
        <w:tc>
          <w:tcPr>
            <w:tcW w:w="2295" w:type="pct"/>
          </w:tcPr>
          <w:p w14:paraId="717EE432" w14:textId="77777777" w:rsidR="00202B78" w:rsidRPr="00CC161D" w:rsidRDefault="00202B78" w:rsidP="00F0391F">
            <w:pPr>
              <w:tabs>
                <w:tab w:val="left" w:pos="-720"/>
              </w:tabs>
              <w:suppressAutoHyphens/>
              <w:autoSpaceDE/>
              <w:autoSpaceDN/>
              <w:rPr>
                <w:noProof/>
                <w:sz w:val="24"/>
                <w:szCs w:val="24"/>
                <w:lang w:val="en-US" w:eastAsia="fr-FR"/>
              </w:rPr>
            </w:pPr>
            <w:r w:rsidRPr="00CC161D">
              <w:rPr>
                <w:rFonts w:eastAsia="맑은 고딕"/>
                <w:b/>
                <w:noProof/>
                <w:sz w:val="24"/>
                <w:szCs w:val="24"/>
                <w:lang w:val="en-US" w:eastAsia="fr-FR"/>
              </w:rPr>
              <w:t>Norge</w:t>
            </w:r>
          </w:p>
          <w:p w14:paraId="2C053539" w14:textId="33BA5E3B"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 xml:space="preserve">Celltrion Healthcare </w:t>
            </w:r>
            <w:r w:rsidR="009433BF" w:rsidRPr="00B436C7">
              <w:rPr>
                <w:rFonts w:eastAsia="맑은 고딕"/>
                <w:noProof/>
                <w:lang w:val="en-US" w:eastAsia="ko-KR"/>
              </w:rPr>
              <w:t xml:space="preserve"> Norway AS</w:t>
            </w:r>
            <w:r w:rsidRPr="00CC161D">
              <w:rPr>
                <w:rFonts w:eastAsia="맑은 고딕"/>
                <w:noProof/>
                <w:sz w:val="24"/>
                <w:szCs w:val="24"/>
                <w:lang w:val="en-US" w:eastAsia="fr-FR"/>
              </w:rPr>
              <w:t>.</w:t>
            </w:r>
          </w:p>
          <w:p w14:paraId="5ED78447" w14:textId="0FBDBA48" w:rsidR="00202B78" w:rsidRPr="00CC161D" w:rsidRDefault="009433BF">
            <w:pPr>
              <w:tabs>
                <w:tab w:val="left" w:pos="-720"/>
              </w:tabs>
              <w:suppressAutoHyphens/>
              <w:autoSpaceDE/>
              <w:autoSpaceDN/>
              <w:rPr>
                <w:rFonts w:eastAsia="맑은 고딕"/>
                <w:noProof/>
                <w:sz w:val="24"/>
                <w:szCs w:val="24"/>
                <w:lang w:eastAsia="ko-KR"/>
              </w:rPr>
            </w:pPr>
            <w:r>
              <w:rPr>
                <w:rFonts w:eastAsia="맑은 고딕" w:hint="eastAsia"/>
                <w:noProof/>
                <w:lang w:eastAsia="ko-KR"/>
              </w:rPr>
              <w:t>Contact_no@celltrionh</w:t>
            </w:r>
            <w:r w:rsidR="00A93474">
              <w:rPr>
                <w:rFonts w:eastAsia="맑은 고딕"/>
                <w:noProof/>
                <w:lang w:eastAsia="ko-KR"/>
              </w:rPr>
              <w:t>c</w:t>
            </w:r>
            <w:r>
              <w:rPr>
                <w:rFonts w:eastAsia="맑은 고딕" w:hint="eastAsia"/>
                <w:noProof/>
                <w:lang w:eastAsia="ko-KR"/>
              </w:rPr>
              <w:t>.com</w:t>
            </w:r>
          </w:p>
          <w:p w14:paraId="0CFA76F5" w14:textId="77777777" w:rsidR="00202B78" w:rsidRPr="00CC161D" w:rsidRDefault="00202B78" w:rsidP="00F0391F">
            <w:pPr>
              <w:tabs>
                <w:tab w:val="left" w:pos="-720"/>
              </w:tabs>
              <w:suppressAutoHyphens/>
              <w:autoSpaceDE/>
              <w:autoSpaceDN/>
              <w:rPr>
                <w:rFonts w:eastAsia="맑은 고딕"/>
                <w:noProof/>
                <w:sz w:val="24"/>
                <w:szCs w:val="24"/>
                <w:lang w:eastAsia="ko-KR"/>
              </w:rPr>
            </w:pPr>
          </w:p>
        </w:tc>
      </w:tr>
      <w:tr w:rsidR="00CF6253" w:rsidRPr="00CC161D" w14:paraId="09BB1BE0" w14:textId="77777777" w:rsidTr="00B320E1">
        <w:trPr>
          <w:cantSplit/>
        </w:trPr>
        <w:tc>
          <w:tcPr>
            <w:tcW w:w="2705" w:type="pct"/>
            <w:hideMark/>
          </w:tcPr>
          <w:p w14:paraId="73C1BD4E" w14:textId="77777777" w:rsidR="00202B78" w:rsidRPr="00CC161D" w:rsidRDefault="00202B78" w:rsidP="00F0391F">
            <w:pPr>
              <w:suppressAutoHyphens/>
              <w:autoSpaceDE/>
              <w:autoSpaceDN/>
              <w:rPr>
                <w:noProof/>
                <w:sz w:val="24"/>
                <w:szCs w:val="24"/>
                <w:lang w:val="es-ES_tradnl" w:eastAsia="fr-FR"/>
              </w:rPr>
            </w:pPr>
            <w:r w:rsidRPr="00CC161D">
              <w:rPr>
                <w:b/>
                <w:noProof/>
                <w:sz w:val="24"/>
                <w:szCs w:val="24"/>
                <w:lang w:val="es-ES_tradnl"/>
              </w:rPr>
              <w:t>España</w:t>
            </w:r>
          </w:p>
          <w:p w14:paraId="6A884229" w14:textId="77777777" w:rsidR="00202B78" w:rsidRPr="00CC161D" w:rsidRDefault="00202B78" w:rsidP="00F0391F">
            <w:pPr>
              <w:suppressAutoHyphens/>
              <w:autoSpaceDE/>
              <w:autoSpaceDN/>
              <w:rPr>
                <w:rFonts w:eastAsia="맑은 고딕"/>
                <w:noProof/>
                <w:sz w:val="24"/>
                <w:szCs w:val="24"/>
                <w:lang w:val="es-ES_tradnl" w:eastAsia="fr-FR"/>
              </w:rPr>
            </w:pPr>
            <w:r w:rsidRPr="00CC161D">
              <w:rPr>
                <w:rFonts w:eastAsia="맑은 고딕"/>
                <w:noProof/>
                <w:sz w:val="24"/>
                <w:szCs w:val="24"/>
                <w:lang w:val="es-ES_tradnl" w:eastAsia="fr-FR"/>
              </w:rPr>
              <w:t>CELLTRION FARMACEUTICA (ESPAÑA) S.L..</w:t>
            </w:r>
          </w:p>
          <w:p w14:paraId="085EFD3C" w14:textId="499EB184" w:rsidR="00202B78" w:rsidRPr="00CC161D" w:rsidRDefault="00202B78" w:rsidP="00F0391F">
            <w:pPr>
              <w:suppressAutoHyphens/>
              <w:autoSpaceDE/>
              <w:autoSpaceDN/>
              <w:rPr>
                <w:rFonts w:eastAsia="맑은 고딕"/>
                <w:noProof/>
                <w:sz w:val="24"/>
                <w:szCs w:val="24"/>
                <w:lang w:eastAsia="ko-KR"/>
              </w:rPr>
            </w:pPr>
            <w:r w:rsidRPr="00CC161D">
              <w:rPr>
                <w:rFonts w:eastAsia="맑은 고딕"/>
                <w:noProof/>
                <w:sz w:val="24"/>
                <w:szCs w:val="24"/>
                <w:lang w:eastAsia="fr-FR"/>
              </w:rPr>
              <w:t xml:space="preserve">Tel: +34 </w:t>
            </w:r>
            <w:r w:rsidR="008A14FC">
              <w:rPr>
                <w:rFonts w:eastAsia="맑은 고딕" w:hint="eastAsia"/>
                <w:noProof/>
                <w:sz w:val="24"/>
                <w:szCs w:val="24"/>
                <w:lang w:eastAsia="ko-KR"/>
              </w:rPr>
              <w:t>910 498 478</w:t>
            </w:r>
          </w:p>
          <w:p w14:paraId="3F258E36" w14:textId="77777777" w:rsidR="00202B78" w:rsidRPr="00CC161D" w:rsidRDefault="00202B78" w:rsidP="00F0391F">
            <w:pPr>
              <w:suppressAutoHyphens/>
              <w:autoSpaceDE/>
              <w:autoSpaceDN/>
              <w:rPr>
                <w:b/>
                <w:noProof/>
                <w:sz w:val="24"/>
                <w:szCs w:val="24"/>
                <w:lang w:eastAsia="fr-FR"/>
              </w:rPr>
            </w:pPr>
          </w:p>
        </w:tc>
        <w:tc>
          <w:tcPr>
            <w:tcW w:w="2295" w:type="pct"/>
          </w:tcPr>
          <w:p w14:paraId="1ECD75ED" w14:textId="77777777" w:rsidR="00202B78" w:rsidRPr="00CC161D" w:rsidRDefault="00202B78" w:rsidP="00F0391F">
            <w:pPr>
              <w:suppressAutoHyphens/>
              <w:autoSpaceDE/>
              <w:autoSpaceDN/>
              <w:rPr>
                <w:noProof/>
                <w:sz w:val="24"/>
                <w:szCs w:val="24"/>
                <w:lang w:eastAsia="fr-FR"/>
              </w:rPr>
            </w:pPr>
            <w:r w:rsidRPr="00CC161D">
              <w:rPr>
                <w:b/>
                <w:noProof/>
                <w:sz w:val="24"/>
                <w:szCs w:val="24"/>
              </w:rPr>
              <w:t>Österreich</w:t>
            </w:r>
          </w:p>
          <w:p w14:paraId="4B31C370" w14:textId="77777777" w:rsidR="00202B78" w:rsidRPr="00CC161D" w:rsidRDefault="00202B78" w:rsidP="00F0391F">
            <w:pPr>
              <w:suppressAutoHyphens/>
              <w:autoSpaceDE/>
              <w:autoSpaceDN/>
              <w:rPr>
                <w:rFonts w:eastAsia="맑은 고딕"/>
                <w:noProof/>
                <w:sz w:val="24"/>
                <w:szCs w:val="24"/>
                <w:lang w:eastAsia="ko-KR"/>
              </w:rPr>
            </w:pPr>
            <w:r w:rsidRPr="00CC161D">
              <w:rPr>
                <w:rFonts w:eastAsia="맑은 고딕"/>
                <w:noProof/>
                <w:sz w:val="24"/>
                <w:szCs w:val="24"/>
                <w:lang w:eastAsia="fr-FR"/>
              </w:rPr>
              <w:t>Astro-Pharma GmbH</w:t>
            </w:r>
          </w:p>
          <w:p w14:paraId="4F237E52" w14:textId="77777777" w:rsidR="00202B78" w:rsidRPr="00CC161D" w:rsidRDefault="00202B78" w:rsidP="00F0391F">
            <w:pPr>
              <w:tabs>
                <w:tab w:val="left" w:pos="-720"/>
              </w:tabs>
              <w:suppressAutoHyphens/>
              <w:autoSpaceDE/>
              <w:autoSpaceDN/>
              <w:rPr>
                <w:rFonts w:eastAsia="맑은 고딕"/>
                <w:noProof/>
                <w:sz w:val="24"/>
                <w:szCs w:val="24"/>
                <w:lang w:eastAsia="fr-FR"/>
              </w:rPr>
            </w:pPr>
            <w:r w:rsidRPr="00CC161D">
              <w:rPr>
                <w:rFonts w:eastAsia="맑은 고딕"/>
                <w:noProof/>
                <w:sz w:val="24"/>
                <w:szCs w:val="24"/>
                <w:lang w:eastAsia="fr-FR"/>
              </w:rPr>
              <w:t>Tel: +43 1 97 99 860</w:t>
            </w:r>
          </w:p>
          <w:p w14:paraId="1FB1F971" w14:textId="77777777" w:rsidR="00202B78" w:rsidRPr="00CC161D" w:rsidRDefault="00202B78" w:rsidP="00F0391F">
            <w:pPr>
              <w:tabs>
                <w:tab w:val="left" w:pos="-720"/>
              </w:tabs>
              <w:suppressAutoHyphens/>
              <w:autoSpaceDE/>
              <w:autoSpaceDN/>
              <w:rPr>
                <w:noProof/>
                <w:sz w:val="24"/>
                <w:szCs w:val="24"/>
                <w:lang w:eastAsia="fr-FR"/>
              </w:rPr>
            </w:pPr>
          </w:p>
        </w:tc>
      </w:tr>
      <w:tr w:rsidR="00CF6253" w:rsidRPr="00CC161D" w14:paraId="4990B70F" w14:textId="77777777" w:rsidTr="00B320E1">
        <w:trPr>
          <w:cantSplit/>
        </w:trPr>
        <w:tc>
          <w:tcPr>
            <w:tcW w:w="2705" w:type="pct"/>
          </w:tcPr>
          <w:p w14:paraId="6A292036" w14:textId="77777777" w:rsidR="00202B78" w:rsidRPr="00CC161D" w:rsidRDefault="00202B78" w:rsidP="00F0391F">
            <w:pPr>
              <w:suppressAutoHyphens/>
              <w:autoSpaceDE/>
              <w:autoSpaceDN/>
              <w:rPr>
                <w:b/>
                <w:noProof/>
                <w:sz w:val="24"/>
                <w:szCs w:val="24"/>
                <w:lang w:val="el-GR" w:eastAsia="fr-FR"/>
              </w:rPr>
            </w:pPr>
            <w:r w:rsidRPr="00CC161D">
              <w:rPr>
                <w:b/>
                <w:noProof/>
                <w:sz w:val="24"/>
                <w:szCs w:val="24"/>
                <w:lang w:val="el-GR" w:eastAsia="fr-FR"/>
              </w:rPr>
              <w:t>Ελλάδα</w:t>
            </w:r>
          </w:p>
          <w:p w14:paraId="46C5AE87" w14:textId="77777777" w:rsidR="00202B78" w:rsidRPr="00CC161D" w:rsidRDefault="00202B78" w:rsidP="00F0391F">
            <w:pPr>
              <w:suppressAutoHyphens/>
              <w:autoSpaceDE/>
              <w:autoSpaceDN/>
              <w:rPr>
                <w:noProof/>
                <w:sz w:val="24"/>
                <w:szCs w:val="24"/>
                <w:lang w:val="el-GR" w:eastAsia="fr-FR"/>
              </w:rPr>
            </w:pPr>
            <w:r w:rsidRPr="00CC161D">
              <w:rPr>
                <w:noProof/>
                <w:sz w:val="24"/>
                <w:szCs w:val="24"/>
                <w:lang w:val="el-GR" w:eastAsia="fr-FR"/>
              </w:rPr>
              <w:t>ΒΙΑΝΕΞ Α.Ε.</w:t>
            </w:r>
          </w:p>
          <w:p w14:paraId="28C55500" w14:textId="77777777" w:rsidR="00202B78" w:rsidRPr="00CC161D" w:rsidRDefault="00202B78" w:rsidP="00F0391F">
            <w:pPr>
              <w:suppressAutoHyphens/>
              <w:autoSpaceDE/>
              <w:autoSpaceDN/>
              <w:rPr>
                <w:noProof/>
                <w:sz w:val="24"/>
                <w:szCs w:val="24"/>
                <w:lang w:val="el-GR" w:eastAsia="fr-FR"/>
              </w:rPr>
            </w:pPr>
            <w:r w:rsidRPr="00CC161D">
              <w:rPr>
                <w:noProof/>
                <w:sz w:val="24"/>
                <w:szCs w:val="24"/>
                <w:lang w:val="el-GR" w:eastAsia="fr-FR"/>
              </w:rPr>
              <w:t xml:space="preserve">Τηλ: +30 210 8009111 </w:t>
            </w:r>
          </w:p>
          <w:p w14:paraId="355AA051" w14:textId="77777777" w:rsidR="00202B78" w:rsidRPr="00CC161D" w:rsidRDefault="00202B78" w:rsidP="00F0391F">
            <w:pPr>
              <w:suppressAutoHyphens/>
              <w:autoSpaceDE/>
              <w:autoSpaceDN/>
              <w:rPr>
                <w:rFonts w:eastAsia="맑은 고딕"/>
                <w:noProof/>
                <w:sz w:val="24"/>
                <w:szCs w:val="24"/>
                <w:lang w:val="el-GR" w:eastAsia="fr-FR"/>
              </w:rPr>
            </w:pPr>
          </w:p>
        </w:tc>
        <w:tc>
          <w:tcPr>
            <w:tcW w:w="2295" w:type="pct"/>
          </w:tcPr>
          <w:p w14:paraId="70C5098E" w14:textId="77777777" w:rsidR="00202B78" w:rsidRPr="00CC161D" w:rsidRDefault="00202B78" w:rsidP="00F0391F">
            <w:pPr>
              <w:suppressAutoHyphens/>
              <w:autoSpaceDE/>
              <w:autoSpaceDN/>
              <w:rPr>
                <w:rFonts w:eastAsia="맑은 고딕"/>
                <w:b/>
                <w:noProof/>
                <w:sz w:val="24"/>
                <w:szCs w:val="24"/>
                <w:lang w:val="pl-PL" w:eastAsia="fr-FR"/>
              </w:rPr>
            </w:pPr>
            <w:r w:rsidRPr="00CC161D">
              <w:rPr>
                <w:rFonts w:eastAsia="맑은 고딕"/>
                <w:b/>
                <w:noProof/>
                <w:sz w:val="24"/>
                <w:szCs w:val="24"/>
                <w:lang w:val="pl-PL" w:eastAsia="fr-FR"/>
              </w:rPr>
              <w:t>Polska</w:t>
            </w:r>
          </w:p>
          <w:p w14:paraId="520C8D63"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4698F218"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Tel.: +36 1 231 0493</w:t>
            </w:r>
          </w:p>
          <w:p w14:paraId="748C6878" w14:textId="77777777" w:rsidR="00202B78" w:rsidRPr="00CC161D" w:rsidRDefault="00202B78" w:rsidP="00F0391F">
            <w:pPr>
              <w:suppressAutoHyphens/>
              <w:autoSpaceDE/>
              <w:autoSpaceDN/>
              <w:rPr>
                <w:b/>
                <w:noProof/>
                <w:sz w:val="24"/>
                <w:szCs w:val="24"/>
              </w:rPr>
            </w:pPr>
          </w:p>
        </w:tc>
      </w:tr>
      <w:tr w:rsidR="00CF6253" w:rsidRPr="00CC161D" w14:paraId="053A2C44" w14:textId="77777777" w:rsidTr="00B320E1">
        <w:trPr>
          <w:cantSplit/>
        </w:trPr>
        <w:tc>
          <w:tcPr>
            <w:tcW w:w="2705" w:type="pct"/>
          </w:tcPr>
          <w:p w14:paraId="4FCB90D7" w14:textId="77777777" w:rsidR="00202B78" w:rsidRPr="00E303AE" w:rsidRDefault="00202B78" w:rsidP="00F0391F">
            <w:pPr>
              <w:suppressAutoHyphens/>
              <w:autoSpaceDE/>
              <w:autoSpaceDN/>
              <w:rPr>
                <w:b/>
                <w:noProof/>
                <w:sz w:val="24"/>
                <w:szCs w:val="24"/>
                <w:lang w:val="en-US" w:eastAsia="ko-KR"/>
              </w:rPr>
            </w:pPr>
            <w:r w:rsidRPr="00E303AE">
              <w:rPr>
                <w:b/>
                <w:noProof/>
                <w:sz w:val="24"/>
                <w:szCs w:val="24"/>
                <w:lang w:val="en-US" w:eastAsia="ko-KR"/>
              </w:rPr>
              <w:t>France</w:t>
            </w:r>
          </w:p>
          <w:p w14:paraId="4F807281" w14:textId="77777777" w:rsidR="00202B78" w:rsidRPr="00E303AE" w:rsidRDefault="00202B78" w:rsidP="00F0391F">
            <w:pPr>
              <w:suppressAutoHyphens/>
              <w:autoSpaceDE/>
              <w:autoSpaceDN/>
              <w:rPr>
                <w:noProof/>
                <w:sz w:val="24"/>
                <w:szCs w:val="24"/>
                <w:lang w:val="en-US" w:eastAsia="ko-KR"/>
              </w:rPr>
            </w:pPr>
            <w:r w:rsidRPr="00E303AE">
              <w:rPr>
                <w:noProof/>
                <w:sz w:val="24"/>
                <w:szCs w:val="24"/>
                <w:lang w:val="en-US" w:eastAsia="ko-KR"/>
              </w:rPr>
              <w:t>Celltrion Healthcare France SAS</w:t>
            </w:r>
          </w:p>
          <w:p w14:paraId="0DB59602" w14:textId="77777777" w:rsidR="00202B78" w:rsidRPr="00E303AE" w:rsidRDefault="00202B78" w:rsidP="00F0391F">
            <w:pPr>
              <w:suppressAutoHyphens/>
              <w:autoSpaceDE/>
              <w:autoSpaceDN/>
              <w:rPr>
                <w:rFonts w:eastAsia="맑은 고딕"/>
                <w:noProof/>
                <w:sz w:val="24"/>
                <w:szCs w:val="24"/>
                <w:lang w:val="en-US" w:eastAsia="ko-KR"/>
              </w:rPr>
            </w:pPr>
            <w:r w:rsidRPr="00E303AE">
              <w:rPr>
                <w:noProof/>
                <w:sz w:val="24"/>
                <w:szCs w:val="24"/>
                <w:lang w:val="en-US" w:eastAsia="ko-KR"/>
              </w:rPr>
              <w:t>T</w:t>
            </w:r>
            <w:proofErr w:type="spellStart"/>
            <w:r w:rsidRPr="00E303AE">
              <w:rPr>
                <w:sz w:val="24"/>
                <w:szCs w:val="24"/>
                <w:lang w:val="en-US"/>
              </w:rPr>
              <w:t>é</w:t>
            </w:r>
            <w:r w:rsidRPr="00E303AE">
              <w:rPr>
                <w:noProof/>
                <w:sz w:val="24"/>
                <w:szCs w:val="24"/>
                <w:lang w:val="en-US" w:eastAsia="ko-KR"/>
              </w:rPr>
              <w:t>l</w:t>
            </w:r>
            <w:proofErr w:type="spellEnd"/>
            <w:r w:rsidRPr="00E303AE">
              <w:rPr>
                <w:noProof/>
                <w:sz w:val="24"/>
                <w:szCs w:val="24"/>
                <w:lang w:val="en-US" w:eastAsia="ko-KR"/>
              </w:rPr>
              <w:t>.: +33 (0)1 71 25 27 00</w:t>
            </w:r>
          </w:p>
          <w:p w14:paraId="0A4887B9" w14:textId="77777777" w:rsidR="00202B78" w:rsidRPr="00E303AE" w:rsidRDefault="00202B78" w:rsidP="00F0391F">
            <w:pPr>
              <w:suppressAutoHyphens/>
              <w:autoSpaceDE/>
              <w:autoSpaceDN/>
              <w:rPr>
                <w:rFonts w:eastAsia="맑은 고딕"/>
                <w:noProof/>
                <w:sz w:val="24"/>
                <w:szCs w:val="24"/>
                <w:lang w:val="en-US" w:eastAsia="fr-FR"/>
              </w:rPr>
            </w:pPr>
          </w:p>
        </w:tc>
        <w:tc>
          <w:tcPr>
            <w:tcW w:w="2295" w:type="pct"/>
          </w:tcPr>
          <w:p w14:paraId="1B8B7224" w14:textId="77777777" w:rsidR="00202B78" w:rsidRPr="00CC161D" w:rsidRDefault="00202B78" w:rsidP="00F0391F">
            <w:pPr>
              <w:suppressAutoHyphens/>
              <w:adjustRightInd w:val="0"/>
              <w:rPr>
                <w:noProof/>
                <w:sz w:val="24"/>
                <w:szCs w:val="24"/>
                <w:lang w:val="pt-PT" w:eastAsia="fr-FR"/>
              </w:rPr>
            </w:pPr>
            <w:r w:rsidRPr="00CC161D">
              <w:rPr>
                <w:rFonts w:eastAsia="맑은 고딕"/>
                <w:b/>
                <w:noProof/>
                <w:sz w:val="24"/>
                <w:szCs w:val="24"/>
                <w:lang w:val="pt-PT" w:eastAsia="fr-FR"/>
              </w:rPr>
              <w:t>Portugal</w:t>
            </w:r>
          </w:p>
          <w:p w14:paraId="4FA68FD1" w14:textId="77777777" w:rsidR="00202B78" w:rsidRPr="00CC161D" w:rsidRDefault="00202B78" w:rsidP="00F0391F">
            <w:pPr>
              <w:suppressAutoHyphens/>
              <w:adjustRightInd w:val="0"/>
              <w:rPr>
                <w:rFonts w:eastAsia="맑은 고딕"/>
                <w:noProof/>
                <w:sz w:val="24"/>
                <w:szCs w:val="24"/>
                <w:lang w:val="pt-PT" w:eastAsia="ko-KR"/>
              </w:rPr>
            </w:pPr>
            <w:r w:rsidRPr="00CC161D">
              <w:rPr>
                <w:rFonts w:eastAsia="맑은 고딕"/>
                <w:noProof/>
                <w:sz w:val="24"/>
                <w:szCs w:val="24"/>
                <w:lang w:val="pt-PT" w:eastAsia="fr-FR"/>
              </w:rPr>
              <w:t>CELLTRION PORTUGAL, UNIPESSOAL LDA.</w:t>
            </w:r>
          </w:p>
          <w:p w14:paraId="43E81C5E" w14:textId="77777777" w:rsidR="00202B78" w:rsidRPr="00CC161D" w:rsidRDefault="00202B78" w:rsidP="00F0391F">
            <w:pPr>
              <w:suppressAutoHyphens/>
              <w:autoSpaceDE/>
              <w:autoSpaceDN/>
              <w:rPr>
                <w:b/>
                <w:sz w:val="24"/>
                <w:szCs w:val="24"/>
              </w:rPr>
            </w:pPr>
            <w:r w:rsidRPr="00CC161D">
              <w:rPr>
                <w:sz w:val="24"/>
                <w:szCs w:val="24"/>
              </w:rPr>
              <w:t xml:space="preserve">Tel: </w:t>
            </w:r>
            <w:r w:rsidRPr="00CC161D">
              <w:rPr>
                <w:rFonts w:eastAsia="맑은 고딕"/>
                <w:noProof/>
                <w:sz w:val="24"/>
                <w:szCs w:val="24"/>
                <w:lang w:val="pt-BR" w:eastAsia="fr-FR"/>
              </w:rPr>
              <w:t>+351 21 936 8542</w:t>
            </w:r>
          </w:p>
          <w:p w14:paraId="3A951B04" w14:textId="77777777" w:rsidR="00202B78" w:rsidRPr="00CC161D" w:rsidRDefault="00202B78" w:rsidP="00F0391F">
            <w:pPr>
              <w:suppressAutoHyphens/>
              <w:autoSpaceDE/>
              <w:autoSpaceDN/>
              <w:rPr>
                <w:b/>
                <w:noProof/>
                <w:sz w:val="24"/>
                <w:szCs w:val="24"/>
              </w:rPr>
            </w:pPr>
          </w:p>
        </w:tc>
      </w:tr>
      <w:tr w:rsidR="00CF6253" w:rsidRPr="00CC161D" w14:paraId="573FD16A" w14:textId="77777777" w:rsidTr="00B320E1">
        <w:trPr>
          <w:cantSplit/>
        </w:trPr>
        <w:tc>
          <w:tcPr>
            <w:tcW w:w="2705" w:type="pct"/>
          </w:tcPr>
          <w:p w14:paraId="23C0EEF1" w14:textId="77777777" w:rsidR="00202B78" w:rsidRPr="00CC161D" w:rsidRDefault="00202B78" w:rsidP="00F0391F">
            <w:pPr>
              <w:suppressAutoHyphens/>
              <w:autoSpaceDE/>
              <w:autoSpaceDN/>
              <w:rPr>
                <w:b/>
                <w:noProof/>
                <w:sz w:val="24"/>
                <w:szCs w:val="24"/>
                <w:lang w:eastAsia="ko-KR"/>
              </w:rPr>
            </w:pPr>
            <w:r w:rsidRPr="00CC161D">
              <w:rPr>
                <w:b/>
                <w:noProof/>
                <w:sz w:val="24"/>
                <w:szCs w:val="24"/>
                <w:lang w:eastAsia="ko-KR"/>
              </w:rPr>
              <w:t>Hrvatska</w:t>
            </w:r>
          </w:p>
          <w:p w14:paraId="3B9B5CE8" w14:textId="77777777" w:rsidR="00202B78" w:rsidRPr="00CC161D" w:rsidRDefault="00202B78" w:rsidP="00F0391F">
            <w:pPr>
              <w:suppressAutoHyphens/>
              <w:autoSpaceDE/>
              <w:autoSpaceDN/>
              <w:rPr>
                <w:noProof/>
                <w:sz w:val="24"/>
                <w:szCs w:val="24"/>
                <w:lang w:eastAsia="ko-KR"/>
              </w:rPr>
            </w:pPr>
            <w:r w:rsidRPr="00CC161D">
              <w:rPr>
                <w:noProof/>
                <w:sz w:val="24"/>
                <w:szCs w:val="24"/>
                <w:lang w:eastAsia="ko-KR"/>
              </w:rPr>
              <w:t>Oktal Pharma d.o.o.</w:t>
            </w:r>
          </w:p>
          <w:p w14:paraId="52480373" w14:textId="77777777" w:rsidR="00202B78" w:rsidRPr="00CC161D" w:rsidRDefault="00202B78" w:rsidP="00F0391F">
            <w:pPr>
              <w:suppressAutoHyphens/>
              <w:autoSpaceDE/>
              <w:autoSpaceDN/>
              <w:rPr>
                <w:noProof/>
                <w:sz w:val="24"/>
                <w:szCs w:val="24"/>
                <w:lang w:eastAsia="ko-KR"/>
              </w:rPr>
            </w:pPr>
            <w:r w:rsidRPr="00CC161D">
              <w:rPr>
                <w:noProof/>
                <w:sz w:val="24"/>
                <w:szCs w:val="24"/>
                <w:lang w:eastAsia="ko-KR"/>
              </w:rPr>
              <w:t>Tel: +385 1 6595 777</w:t>
            </w:r>
          </w:p>
          <w:p w14:paraId="2FB94472" w14:textId="77777777" w:rsidR="00202B78" w:rsidRPr="00CC161D" w:rsidRDefault="00202B78" w:rsidP="00F0391F">
            <w:pPr>
              <w:suppressAutoHyphens/>
              <w:autoSpaceDE/>
              <w:autoSpaceDN/>
              <w:rPr>
                <w:rFonts w:eastAsia="맑은 고딕"/>
                <w:noProof/>
                <w:sz w:val="24"/>
                <w:szCs w:val="24"/>
                <w:lang w:eastAsia="fr-FR"/>
              </w:rPr>
            </w:pPr>
          </w:p>
        </w:tc>
        <w:tc>
          <w:tcPr>
            <w:tcW w:w="2295" w:type="pct"/>
          </w:tcPr>
          <w:p w14:paraId="718391F1" w14:textId="77777777" w:rsidR="00202B78" w:rsidRPr="00CC161D" w:rsidRDefault="00202B78" w:rsidP="00F0391F">
            <w:pPr>
              <w:tabs>
                <w:tab w:val="left" w:pos="-720"/>
              </w:tabs>
              <w:suppressAutoHyphens/>
              <w:autoSpaceDE/>
              <w:autoSpaceDN/>
              <w:rPr>
                <w:rFonts w:eastAsia="맑은 고딕"/>
                <w:b/>
                <w:noProof/>
                <w:sz w:val="24"/>
                <w:szCs w:val="24"/>
                <w:lang w:val="en-US" w:eastAsia="fr-FR"/>
              </w:rPr>
            </w:pPr>
            <w:r w:rsidRPr="00CC161D">
              <w:rPr>
                <w:b/>
                <w:noProof/>
                <w:sz w:val="24"/>
                <w:szCs w:val="24"/>
                <w:lang w:val="en-US"/>
              </w:rPr>
              <w:t>România</w:t>
            </w:r>
          </w:p>
          <w:p w14:paraId="5F82C428"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36AC2B3E"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Tel: +36 1 231 0493</w:t>
            </w:r>
          </w:p>
          <w:p w14:paraId="0603B4E8" w14:textId="77777777" w:rsidR="00202B78" w:rsidRPr="00CC161D" w:rsidRDefault="00202B78" w:rsidP="00F0391F">
            <w:pPr>
              <w:suppressAutoHyphens/>
              <w:autoSpaceDE/>
              <w:autoSpaceDN/>
              <w:rPr>
                <w:b/>
                <w:noProof/>
                <w:sz w:val="24"/>
                <w:szCs w:val="24"/>
              </w:rPr>
            </w:pPr>
          </w:p>
        </w:tc>
      </w:tr>
      <w:tr w:rsidR="00CF6253" w:rsidRPr="00CC161D" w14:paraId="53275889" w14:textId="77777777" w:rsidTr="00B320E1">
        <w:trPr>
          <w:cantSplit/>
        </w:trPr>
        <w:tc>
          <w:tcPr>
            <w:tcW w:w="2705" w:type="pct"/>
          </w:tcPr>
          <w:p w14:paraId="4651C4FF" w14:textId="77777777" w:rsidR="00202B78" w:rsidRPr="00CC161D" w:rsidRDefault="00202B78" w:rsidP="00F0391F">
            <w:pPr>
              <w:tabs>
                <w:tab w:val="left" w:pos="-720"/>
              </w:tabs>
              <w:suppressAutoHyphens/>
              <w:autoSpaceDE/>
              <w:autoSpaceDN/>
              <w:rPr>
                <w:noProof/>
                <w:sz w:val="24"/>
                <w:szCs w:val="24"/>
                <w:lang w:val="en-US" w:eastAsia="fr-FR"/>
              </w:rPr>
            </w:pPr>
            <w:r w:rsidRPr="00CC161D">
              <w:rPr>
                <w:rFonts w:eastAsia="맑은 고딕"/>
                <w:b/>
                <w:noProof/>
                <w:sz w:val="24"/>
                <w:szCs w:val="24"/>
                <w:lang w:val="en-US" w:eastAsia="fr-FR"/>
              </w:rPr>
              <w:t>Ireland</w:t>
            </w:r>
          </w:p>
          <w:p w14:paraId="49FF3D48" w14:textId="77777777" w:rsidR="00202B78" w:rsidRPr="00CC161D" w:rsidRDefault="00202B78" w:rsidP="00F0391F">
            <w:pPr>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Ireland Limited</w:t>
            </w:r>
          </w:p>
          <w:p w14:paraId="5FDEDA68" w14:textId="77777777" w:rsidR="00202B78" w:rsidRPr="00CC161D" w:rsidRDefault="00202B78" w:rsidP="00F0391F">
            <w:pPr>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Tel: +353 1 223 4026</w:t>
            </w:r>
          </w:p>
          <w:p w14:paraId="036DAD2A" w14:textId="77777777" w:rsidR="00202B78" w:rsidRPr="00CC161D" w:rsidRDefault="00202B78" w:rsidP="00F0391F">
            <w:pPr>
              <w:suppressAutoHyphens/>
              <w:autoSpaceDE/>
              <w:autoSpaceDN/>
              <w:rPr>
                <w:rFonts w:eastAsia="맑은 고딕"/>
                <w:noProof/>
                <w:sz w:val="24"/>
                <w:szCs w:val="24"/>
                <w:lang w:val="en-US" w:eastAsia="fr-FR"/>
              </w:rPr>
            </w:pPr>
          </w:p>
        </w:tc>
        <w:tc>
          <w:tcPr>
            <w:tcW w:w="2295" w:type="pct"/>
          </w:tcPr>
          <w:p w14:paraId="2198CE85" w14:textId="77777777" w:rsidR="00202B78" w:rsidRPr="00CC161D" w:rsidRDefault="00202B78" w:rsidP="00F0391F">
            <w:pPr>
              <w:suppressAutoHyphens/>
              <w:autoSpaceDE/>
              <w:autoSpaceDN/>
              <w:rPr>
                <w:rFonts w:eastAsia="맑은 고딕"/>
                <w:b/>
                <w:noProof/>
                <w:sz w:val="24"/>
                <w:szCs w:val="24"/>
                <w:lang w:val="en-GB" w:eastAsia="fr-FR"/>
              </w:rPr>
            </w:pPr>
            <w:r w:rsidRPr="00CC161D">
              <w:rPr>
                <w:rFonts w:eastAsia="맑은 고딕"/>
                <w:b/>
                <w:noProof/>
                <w:sz w:val="24"/>
                <w:szCs w:val="24"/>
                <w:lang w:val="en-GB" w:eastAsia="fr-FR"/>
              </w:rPr>
              <w:t>Slovenija</w:t>
            </w:r>
          </w:p>
          <w:p w14:paraId="7E3788DF" w14:textId="77777777" w:rsidR="00202B78" w:rsidRPr="00CC161D" w:rsidRDefault="00202B78" w:rsidP="00F0391F">
            <w:pPr>
              <w:suppressAutoHyphens/>
              <w:autoSpaceDE/>
              <w:autoSpaceDN/>
              <w:rPr>
                <w:rFonts w:eastAsia="맑은 고딕"/>
                <w:noProof/>
                <w:sz w:val="24"/>
                <w:szCs w:val="24"/>
                <w:lang w:val="en-GB" w:eastAsia="fr-FR"/>
              </w:rPr>
            </w:pPr>
            <w:r w:rsidRPr="00CC161D">
              <w:rPr>
                <w:rFonts w:eastAsia="맑은 고딕"/>
                <w:noProof/>
                <w:sz w:val="24"/>
                <w:szCs w:val="24"/>
                <w:lang w:val="en-GB" w:eastAsia="fr-FR"/>
              </w:rPr>
              <w:t>OPH Oktal Pharma d.o.o.</w:t>
            </w:r>
          </w:p>
          <w:p w14:paraId="338ADAEF"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Tel.: +386 1 519 29 22</w:t>
            </w:r>
          </w:p>
          <w:p w14:paraId="70FDC97B" w14:textId="77777777" w:rsidR="00202B78" w:rsidRPr="00CC161D" w:rsidRDefault="00202B78" w:rsidP="00F0391F">
            <w:pPr>
              <w:suppressAutoHyphens/>
              <w:autoSpaceDE/>
              <w:autoSpaceDN/>
              <w:rPr>
                <w:b/>
                <w:noProof/>
                <w:sz w:val="24"/>
                <w:szCs w:val="24"/>
              </w:rPr>
            </w:pPr>
          </w:p>
        </w:tc>
      </w:tr>
      <w:tr w:rsidR="00CF6253" w:rsidRPr="00CC161D" w14:paraId="7DF4F73B" w14:textId="77777777" w:rsidTr="00B320E1">
        <w:trPr>
          <w:cantSplit/>
        </w:trPr>
        <w:tc>
          <w:tcPr>
            <w:tcW w:w="2705" w:type="pct"/>
          </w:tcPr>
          <w:p w14:paraId="277C6C7E" w14:textId="77777777" w:rsidR="00202B78" w:rsidRPr="00CC161D" w:rsidRDefault="00202B78" w:rsidP="00F0391F">
            <w:pPr>
              <w:suppressAutoHyphens/>
              <w:autoSpaceDE/>
              <w:autoSpaceDN/>
              <w:rPr>
                <w:rFonts w:eastAsia="맑은 고딕"/>
                <w:noProof/>
                <w:sz w:val="24"/>
                <w:szCs w:val="24"/>
                <w:lang w:val="en-US" w:eastAsia="fr-FR"/>
              </w:rPr>
            </w:pPr>
            <w:r w:rsidRPr="00CC161D">
              <w:rPr>
                <w:rFonts w:eastAsia="맑은 고딕"/>
                <w:b/>
                <w:noProof/>
                <w:sz w:val="24"/>
                <w:szCs w:val="24"/>
                <w:lang w:val="en-US" w:eastAsia="fr-FR"/>
              </w:rPr>
              <w:t>Ísland</w:t>
            </w:r>
          </w:p>
          <w:p w14:paraId="6B5AE6C0"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195350CF"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Sími: +36 1 231 0493</w:t>
            </w:r>
          </w:p>
          <w:p w14:paraId="2C4FCED2" w14:textId="77777777" w:rsidR="00202B78" w:rsidRPr="00CC161D" w:rsidRDefault="00202B78" w:rsidP="00F0391F">
            <w:pPr>
              <w:suppressAutoHyphens/>
              <w:autoSpaceDE/>
              <w:autoSpaceDN/>
              <w:rPr>
                <w:rFonts w:eastAsia="맑은 고딕"/>
                <w:noProof/>
                <w:sz w:val="24"/>
                <w:szCs w:val="24"/>
                <w:lang w:eastAsia="fr-FR"/>
              </w:rPr>
            </w:pPr>
          </w:p>
        </w:tc>
        <w:tc>
          <w:tcPr>
            <w:tcW w:w="2295" w:type="pct"/>
          </w:tcPr>
          <w:p w14:paraId="0CBE1BEB" w14:textId="77777777" w:rsidR="00202B78" w:rsidRPr="00CC161D" w:rsidRDefault="00202B78" w:rsidP="00F0391F">
            <w:pPr>
              <w:suppressAutoHyphens/>
              <w:autoSpaceDE/>
              <w:autoSpaceDN/>
              <w:rPr>
                <w:rFonts w:eastAsia="맑은 고딕"/>
                <w:b/>
                <w:noProof/>
                <w:sz w:val="24"/>
                <w:szCs w:val="24"/>
                <w:lang w:val="en-US" w:eastAsia="fr-FR"/>
              </w:rPr>
            </w:pPr>
            <w:r w:rsidRPr="00CC161D">
              <w:rPr>
                <w:b/>
                <w:noProof/>
                <w:sz w:val="24"/>
                <w:szCs w:val="24"/>
                <w:lang w:val="en-US"/>
              </w:rPr>
              <w:t>Slovenská republika</w:t>
            </w:r>
          </w:p>
          <w:p w14:paraId="7441C0BD"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198BFF9C"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Tel: +36 1 231 0493</w:t>
            </w:r>
          </w:p>
          <w:p w14:paraId="2AD9BB58" w14:textId="77777777" w:rsidR="00202B78" w:rsidRPr="00CC161D" w:rsidRDefault="00202B78" w:rsidP="00F0391F">
            <w:pPr>
              <w:suppressAutoHyphens/>
              <w:autoSpaceDE/>
              <w:autoSpaceDN/>
              <w:rPr>
                <w:rFonts w:eastAsia="맑은 고딕"/>
                <w:b/>
                <w:noProof/>
                <w:sz w:val="24"/>
                <w:szCs w:val="24"/>
                <w:lang w:eastAsia="fr-FR"/>
              </w:rPr>
            </w:pPr>
          </w:p>
        </w:tc>
      </w:tr>
      <w:tr w:rsidR="00CF6253" w:rsidRPr="00062EF3" w14:paraId="5FA3A0C3" w14:textId="77777777" w:rsidTr="00B320E1">
        <w:trPr>
          <w:cantSplit/>
        </w:trPr>
        <w:tc>
          <w:tcPr>
            <w:tcW w:w="2705" w:type="pct"/>
          </w:tcPr>
          <w:p w14:paraId="39BD9196" w14:textId="77777777" w:rsidR="00202B78" w:rsidRPr="00E303AE" w:rsidRDefault="00202B78" w:rsidP="00F0391F">
            <w:pPr>
              <w:suppressAutoHyphens/>
              <w:autoSpaceDE/>
              <w:autoSpaceDN/>
              <w:rPr>
                <w:noProof/>
                <w:sz w:val="24"/>
                <w:szCs w:val="24"/>
                <w:lang w:val="en-US" w:eastAsia="fr-FR"/>
              </w:rPr>
            </w:pPr>
            <w:r w:rsidRPr="00E303AE">
              <w:rPr>
                <w:rFonts w:eastAsia="맑은 고딕"/>
                <w:b/>
                <w:noProof/>
                <w:sz w:val="24"/>
                <w:szCs w:val="24"/>
                <w:lang w:val="en-US" w:eastAsia="fr-FR"/>
              </w:rPr>
              <w:t>Italia</w:t>
            </w:r>
          </w:p>
          <w:p w14:paraId="38870AC6" w14:textId="77777777" w:rsidR="00202B78" w:rsidRPr="00E303AE" w:rsidRDefault="00202B78" w:rsidP="00F0391F">
            <w:pPr>
              <w:suppressAutoHyphens/>
              <w:autoSpaceDE/>
              <w:autoSpaceDN/>
              <w:rPr>
                <w:rFonts w:eastAsia="맑은 고딕"/>
                <w:noProof/>
                <w:sz w:val="24"/>
                <w:szCs w:val="24"/>
                <w:lang w:val="en-US" w:eastAsia="fr-FR"/>
              </w:rPr>
            </w:pPr>
            <w:r w:rsidRPr="00E303AE">
              <w:rPr>
                <w:rFonts w:eastAsia="맑은 고딕"/>
                <w:noProof/>
                <w:sz w:val="24"/>
                <w:szCs w:val="24"/>
                <w:lang w:val="en-US" w:eastAsia="fr-FR"/>
              </w:rPr>
              <w:t>Celltrion Healthcare Italy S.r.l.</w:t>
            </w:r>
          </w:p>
          <w:p w14:paraId="2FB51B42" w14:textId="77777777" w:rsidR="00202B78" w:rsidRPr="00CC161D" w:rsidRDefault="00202B78" w:rsidP="00F0391F">
            <w:pPr>
              <w:suppressAutoHyphens/>
              <w:autoSpaceDE/>
              <w:autoSpaceDN/>
              <w:rPr>
                <w:rFonts w:eastAsia="맑은 고딕"/>
                <w:noProof/>
                <w:sz w:val="24"/>
                <w:szCs w:val="24"/>
                <w:lang w:eastAsia="fr-FR"/>
              </w:rPr>
            </w:pPr>
            <w:r w:rsidRPr="00CC161D">
              <w:rPr>
                <w:rFonts w:eastAsia="맑은 고딕"/>
                <w:noProof/>
                <w:sz w:val="24"/>
                <w:szCs w:val="24"/>
                <w:lang w:eastAsia="fr-FR"/>
              </w:rPr>
              <w:t>Tel: +39 02 47927040</w:t>
            </w:r>
          </w:p>
          <w:p w14:paraId="51E377D6" w14:textId="77777777" w:rsidR="00202B78" w:rsidRPr="00CC161D" w:rsidRDefault="00202B78" w:rsidP="00F0391F">
            <w:pPr>
              <w:suppressAutoHyphens/>
              <w:autoSpaceDE/>
              <w:autoSpaceDN/>
              <w:rPr>
                <w:rFonts w:eastAsia="맑은 고딕"/>
                <w:noProof/>
                <w:sz w:val="24"/>
                <w:szCs w:val="24"/>
                <w:lang w:eastAsia="fr-FR"/>
              </w:rPr>
            </w:pPr>
          </w:p>
        </w:tc>
        <w:tc>
          <w:tcPr>
            <w:tcW w:w="2295" w:type="pct"/>
          </w:tcPr>
          <w:p w14:paraId="1E7923D0" w14:textId="77777777" w:rsidR="00202B78" w:rsidRPr="00E303AE" w:rsidRDefault="00202B78" w:rsidP="00F0391F">
            <w:pPr>
              <w:suppressAutoHyphens/>
              <w:autoSpaceDE/>
              <w:autoSpaceDN/>
              <w:rPr>
                <w:noProof/>
                <w:sz w:val="24"/>
                <w:szCs w:val="24"/>
                <w:lang w:val="en-US" w:eastAsia="fr-FR"/>
              </w:rPr>
            </w:pPr>
            <w:r w:rsidRPr="00E303AE">
              <w:rPr>
                <w:rFonts w:eastAsia="맑은 고딕"/>
                <w:b/>
                <w:noProof/>
                <w:sz w:val="24"/>
                <w:szCs w:val="24"/>
                <w:lang w:val="en-US" w:eastAsia="fr-FR"/>
              </w:rPr>
              <w:t>Suomi/Finland</w:t>
            </w:r>
          </w:p>
          <w:p w14:paraId="285F9896" w14:textId="7CA01326" w:rsidR="00202B78" w:rsidRPr="00E303AE" w:rsidRDefault="00202B78" w:rsidP="00F0391F">
            <w:pPr>
              <w:tabs>
                <w:tab w:val="left" w:pos="-720"/>
              </w:tabs>
              <w:suppressAutoHyphens/>
              <w:autoSpaceDE/>
              <w:autoSpaceDN/>
              <w:rPr>
                <w:rFonts w:eastAsia="맑은 고딕"/>
                <w:noProof/>
                <w:sz w:val="24"/>
                <w:szCs w:val="24"/>
                <w:lang w:val="en-US" w:eastAsia="fr-FR"/>
              </w:rPr>
            </w:pPr>
            <w:r w:rsidRPr="00E303AE">
              <w:rPr>
                <w:rFonts w:eastAsia="맑은 고딕"/>
                <w:noProof/>
                <w:sz w:val="24"/>
                <w:szCs w:val="24"/>
                <w:lang w:val="en-US" w:eastAsia="fr-FR"/>
              </w:rPr>
              <w:t>Celltrion Healthcare Finland Oy.</w:t>
            </w:r>
          </w:p>
          <w:p w14:paraId="766D8AE8" w14:textId="240BA572" w:rsidR="00202B78" w:rsidRPr="00B436C7" w:rsidRDefault="00202B78" w:rsidP="00F0391F">
            <w:pPr>
              <w:suppressAutoHyphens/>
              <w:adjustRightInd w:val="0"/>
              <w:rPr>
                <w:rFonts w:eastAsia="맑은 고딕"/>
                <w:noProof/>
                <w:sz w:val="24"/>
                <w:szCs w:val="24"/>
                <w:lang w:val="en-US" w:eastAsia="fr-FR"/>
              </w:rPr>
            </w:pPr>
            <w:r w:rsidRPr="00B436C7">
              <w:rPr>
                <w:rFonts w:eastAsia="맑은 고딕"/>
                <w:noProof/>
                <w:sz w:val="24"/>
                <w:szCs w:val="24"/>
                <w:lang w:val="en-US" w:eastAsia="fr-FR"/>
              </w:rPr>
              <w:t>Tel: +358 29 170 7755</w:t>
            </w:r>
          </w:p>
          <w:p w14:paraId="58046250" w14:textId="6DD6DE01" w:rsidR="00516DC3" w:rsidRPr="00B436C7" w:rsidRDefault="00456610" w:rsidP="00516DC3">
            <w:pPr>
              <w:adjustRightInd w:val="0"/>
              <w:rPr>
                <w:rFonts w:eastAsia="맑은 고딕"/>
                <w:noProof/>
                <w:lang w:val="en-US" w:eastAsia="ko-KR"/>
              </w:rPr>
            </w:pPr>
            <w:r w:rsidRPr="00B436C7">
              <w:rPr>
                <w:rFonts w:eastAsia="맑은 고딕"/>
                <w:noProof/>
                <w:lang w:val="en-US" w:eastAsia="ko-KR"/>
              </w:rPr>
              <w:t>C</w:t>
            </w:r>
            <w:r w:rsidR="00516DC3" w:rsidRPr="00B436C7">
              <w:rPr>
                <w:rFonts w:eastAsia="맑은 고딕"/>
                <w:noProof/>
                <w:lang w:val="en-US" w:eastAsia="ko-KR"/>
              </w:rPr>
              <w:t>ontact</w:t>
            </w:r>
            <w:r w:rsidR="00046301" w:rsidRPr="00B436C7">
              <w:rPr>
                <w:rFonts w:eastAsia="맑은 고딕"/>
                <w:noProof/>
                <w:lang w:val="en-US" w:eastAsia="ko-KR"/>
              </w:rPr>
              <w:t>_</w:t>
            </w:r>
            <w:r w:rsidR="00516DC3" w:rsidRPr="00B436C7">
              <w:rPr>
                <w:rFonts w:eastAsia="맑은 고딕"/>
                <w:noProof/>
                <w:lang w:val="en-US" w:eastAsia="ko-KR"/>
              </w:rPr>
              <w:t>fi@celltrionhc.com</w:t>
            </w:r>
          </w:p>
          <w:p w14:paraId="6376CD02" w14:textId="77777777" w:rsidR="00202B78" w:rsidRPr="00B436C7" w:rsidRDefault="00202B78" w:rsidP="00F0391F">
            <w:pPr>
              <w:suppressAutoHyphens/>
              <w:adjustRightInd w:val="0"/>
              <w:rPr>
                <w:rFonts w:eastAsia="맑은 고딕"/>
                <w:noProof/>
                <w:sz w:val="24"/>
                <w:szCs w:val="24"/>
                <w:lang w:val="en-US" w:eastAsia="ko-KR"/>
              </w:rPr>
            </w:pPr>
          </w:p>
        </w:tc>
      </w:tr>
      <w:tr w:rsidR="00CF6253" w:rsidRPr="00CC161D" w14:paraId="4E441920" w14:textId="77777777" w:rsidTr="00B320E1">
        <w:trPr>
          <w:cantSplit/>
        </w:trPr>
        <w:tc>
          <w:tcPr>
            <w:tcW w:w="2705" w:type="pct"/>
          </w:tcPr>
          <w:p w14:paraId="235B4D48" w14:textId="77777777" w:rsidR="00202B78" w:rsidRPr="00CC161D" w:rsidRDefault="00202B78" w:rsidP="00F0391F">
            <w:pPr>
              <w:tabs>
                <w:tab w:val="left" w:pos="-720"/>
              </w:tabs>
              <w:suppressAutoHyphens/>
              <w:autoSpaceDE/>
              <w:autoSpaceDN/>
              <w:rPr>
                <w:b/>
                <w:bCs/>
                <w:noProof/>
                <w:sz w:val="24"/>
                <w:szCs w:val="24"/>
                <w:lang w:eastAsia="fr-FR"/>
              </w:rPr>
            </w:pPr>
            <w:r w:rsidRPr="00CC161D">
              <w:rPr>
                <w:b/>
                <w:noProof/>
                <w:sz w:val="24"/>
                <w:szCs w:val="24"/>
              </w:rPr>
              <w:lastRenderedPageBreak/>
              <w:t>Κύπρος</w:t>
            </w:r>
          </w:p>
          <w:p w14:paraId="00B080FA" w14:textId="77777777" w:rsidR="00202B78" w:rsidRPr="00CC161D" w:rsidRDefault="00202B78" w:rsidP="00F0391F">
            <w:pPr>
              <w:tabs>
                <w:tab w:val="left" w:pos="-720"/>
              </w:tabs>
              <w:suppressAutoHyphens/>
              <w:autoSpaceDE/>
              <w:autoSpaceDN/>
              <w:rPr>
                <w:rFonts w:eastAsia="맑은 고딕"/>
                <w:noProof/>
                <w:sz w:val="24"/>
                <w:szCs w:val="24"/>
                <w:lang w:eastAsia="ko-KR"/>
              </w:rPr>
            </w:pPr>
            <w:r w:rsidRPr="00CC161D">
              <w:rPr>
                <w:rFonts w:eastAsia="맑은 고딕"/>
                <w:noProof/>
                <w:sz w:val="24"/>
                <w:szCs w:val="24"/>
                <w:lang w:eastAsia="fr-FR"/>
              </w:rPr>
              <w:t>C.A. Papaellinas Ltd</w:t>
            </w:r>
          </w:p>
          <w:p w14:paraId="0E50A4AE" w14:textId="77777777" w:rsidR="00202B78" w:rsidRPr="00CC161D" w:rsidRDefault="00202B78" w:rsidP="00F0391F">
            <w:pPr>
              <w:suppressAutoHyphens/>
              <w:adjustRightInd w:val="0"/>
              <w:rPr>
                <w:rFonts w:eastAsia="맑은 고딕"/>
                <w:b/>
                <w:bCs/>
                <w:sz w:val="24"/>
                <w:szCs w:val="24"/>
                <w:lang w:eastAsia="fr-FR"/>
              </w:rPr>
            </w:pPr>
            <w:r w:rsidRPr="00CC161D">
              <w:rPr>
                <w:noProof/>
                <w:sz w:val="24"/>
                <w:szCs w:val="24"/>
              </w:rPr>
              <w:t xml:space="preserve">Τηλ: </w:t>
            </w:r>
            <w:r w:rsidRPr="00CC161D">
              <w:rPr>
                <w:rFonts w:eastAsia="맑은 고딕"/>
                <w:noProof/>
                <w:sz w:val="24"/>
                <w:szCs w:val="24"/>
                <w:lang w:eastAsia="fr-FR"/>
              </w:rPr>
              <w:t>+357 22741741</w:t>
            </w:r>
          </w:p>
          <w:p w14:paraId="46CA60FB" w14:textId="77777777" w:rsidR="00202B78" w:rsidRPr="00CC161D" w:rsidRDefault="00202B78" w:rsidP="00F0391F">
            <w:pPr>
              <w:suppressAutoHyphens/>
              <w:adjustRightInd w:val="0"/>
              <w:rPr>
                <w:rFonts w:eastAsia="맑은 고딕"/>
                <w:b/>
                <w:noProof/>
                <w:sz w:val="24"/>
                <w:szCs w:val="24"/>
                <w:lang w:eastAsia="fr-FR"/>
              </w:rPr>
            </w:pPr>
          </w:p>
        </w:tc>
        <w:tc>
          <w:tcPr>
            <w:tcW w:w="2295" w:type="pct"/>
          </w:tcPr>
          <w:p w14:paraId="5CF7643F" w14:textId="77777777" w:rsidR="00202B78" w:rsidRPr="00B436C7" w:rsidRDefault="00202B78" w:rsidP="00F0391F">
            <w:pPr>
              <w:tabs>
                <w:tab w:val="left" w:pos="-720"/>
              </w:tabs>
              <w:suppressAutoHyphens/>
              <w:autoSpaceDE/>
              <w:autoSpaceDN/>
              <w:rPr>
                <w:b/>
                <w:noProof/>
                <w:sz w:val="24"/>
                <w:szCs w:val="24"/>
                <w:lang w:eastAsia="fr-FR"/>
              </w:rPr>
            </w:pPr>
            <w:r w:rsidRPr="00B436C7">
              <w:rPr>
                <w:b/>
                <w:noProof/>
                <w:sz w:val="24"/>
                <w:szCs w:val="24"/>
              </w:rPr>
              <w:t>Sverige</w:t>
            </w:r>
          </w:p>
          <w:p w14:paraId="4F7BB4EF" w14:textId="77777777" w:rsidR="007565C8" w:rsidRDefault="007565C8" w:rsidP="007565C8">
            <w:pPr>
              <w:keepNext/>
              <w:rPr>
                <w:rFonts w:eastAsia="맑은 고딕"/>
                <w:lang w:eastAsia="ko-KR"/>
              </w:rPr>
            </w:pPr>
            <w:r w:rsidRPr="00B436C7">
              <w:t>Celltrion Sweden AB</w:t>
            </w:r>
          </w:p>
          <w:p w14:paraId="70DAA541" w14:textId="4B357A8F" w:rsidR="00516DC3" w:rsidRPr="00B436C7" w:rsidRDefault="00516DC3" w:rsidP="00B436C7">
            <w:pPr>
              <w:tabs>
                <w:tab w:val="left" w:pos="-720"/>
              </w:tabs>
              <w:suppressAutoHyphens/>
              <w:rPr>
                <w:rFonts w:eastAsia="맑은 고딕"/>
                <w:noProof/>
                <w:lang w:eastAsia="ko-KR"/>
              </w:rPr>
            </w:pPr>
            <w:r w:rsidRPr="006F04E0">
              <w:rPr>
                <w:rFonts w:eastAsia="맑은 고딕"/>
                <w:noProof/>
                <w:lang w:eastAsia="fr-FR"/>
              </w:rPr>
              <w:t>Tel: +46 8 80 11 77</w:t>
            </w:r>
          </w:p>
          <w:p w14:paraId="57D90825" w14:textId="670FB32A" w:rsidR="007565C8" w:rsidRPr="00B436C7" w:rsidRDefault="00516DC3" w:rsidP="007565C8">
            <w:pPr>
              <w:keepNext/>
            </w:pPr>
            <w:r>
              <w:rPr>
                <w:rFonts w:eastAsia="맑은 고딕" w:hint="eastAsia"/>
                <w:lang w:eastAsia="ko-KR"/>
              </w:rPr>
              <w:t>C</w:t>
            </w:r>
            <w:r w:rsidR="007565C8" w:rsidRPr="00B436C7">
              <w:t>ontact_se@celltrionhc.com</w:t>
            </w:r>
          </w:p>
          <w:p w14:paraId="33EAB590" w14:textId="77777777" w:rsidR="00202B78" w:rsidRPr="007565C8" w:rsidRDefault="00202B78" w:rsidP="00F0391F">
            <w:pPr>
              <w:tabs>
                <w:tab w:val="left" w:pos="-720"/>
              </w:tabs>
              <w:suppressAutoHyphens/>
              <w:autoSpaceDE/>
              <w:autoSpaceDN/>
              <w:rPr>
                <w:rFonts w:eastAsia="맑은 고딕"/>
                <w:b/>
                <w:noProof/>
                <w:sz w:val="24"/>
                <w:szCs w:val="24"/>
                <w:lang w:eastAsia="fr-FR"/>
              </w:rPr>
            </w:pPr>
          </w:p>
        </w:tc>
      </w:tr>
      <w:tr w:rsidR="00CF6253" w:rsidRPr="00CC161D" w14:paraId="31224BD0" w14:textId="77777777" w:rsidTr="00B320E1">
        <w:trPr>
          <w:cantSplit/>
        </w:trPr>
        <w:tc>
          <w:tcPr>
            <w:tcW w:w="2705" w:type="pct"/>
          </w:tcPr>
          <w:p w14:paraId="2584B9DE" w14:textId="77777777" w:rsidR="00202B78" w:rsidRPr="00CC161D" w:rsidRDefault="00202B78" w:rsidP="00F0391F">
            <w:pPr>
              <w:suppressAutoHyphens/>
              <w:autoSpaceDE/>
              <w:autoSpaceDN/>
              <w:rPr>
                <w:rFonts w:eastAsia="맑은 고딕"/>
                <w:b/>
                <w:noProof/>
                <w:sz w:val="24"/>
                <w:szCs w:val="24"/>
                <w:lang w:val="en-US" w:eastAsia="fr-FR"/>
              </w:rPr>
            </w:pPr>
            <w:r w:rsidRPr="00CC161D">
              <w:rPr>
                <w:rFonts w:eastAsia="맑은 고딕"/>
                <w:b/>
                <w:noProof/>
                <w:sz w:val="24"/>
                <w:szCs w:val="24"/>
                <w:lang w:val="en-US" w:eastAsia="fr-FR"/>
              </w:rPr>
              <w:t>Latvija</w:t>
            </w:r>
          </w:p>
          <w:p w14:paraId="6FDB39EF" w14:textId="77777777" w:rsidR="00202B78" w:rsidRPr="00CC161D" w:rsidRDefault="00202B78" w:rsidP="00F0391F">
            <w:pPr>
              <w:tabs>
                <w:tab w:val="left" w:pos="-720"/>
              </w:tabs>
              <w:suppressAutoHyphens/>
              <w:autoSpaceDE/>
              <w:autoSpaceDN/>
              <w:rPr>
                <w:rFonts w:eastAsia="맑은 고딕"/>
                <w:noProof/>
                <w:sz w:val="24"/>
                <w:szCs w:val="24"/>
                <w:lang w:val="en-US" w:eastAsia="fr-FR"/>
              </w:rPr>
            </w:pPr>
            <w:r w:rsidRPr="00CC161D">
              <w:rPr>
                <w:rFonts w:eastAsia="맑은 고딕"/>
                <w:noProof/>
                <w:sz w:val="24"/>
                <w:szCs w:val="24"/>
                <w:lang w:val="en-US" w:eastAsia="fr-FR"/>
              </w:rPr>
              <w:t>Celltrion Healthcare Hungary Kft.</w:t>
            </w:r>
          </w:p>
          <w:p w14:paraId="484A802F" w14:textId="77777777" w:rsidR="00202B78" w:rsidRPr="00CC161D" w:rsidRDefault="00202B78" w:rsidP="00F0391F">
            <w:pPr>
              <w:suppressAutoHyphens/>
              <w:adjustRightInd w:val="0"/>
              <w:rPr>
                <w:rFonts w:eastAsia="맑은 고딕"/>
                <w:noProof/>
                <w:sz w:val="24"/>
                <w:szCs w:val="24"/>
                <w:lang w:eastAsia="fr-FR"/>
              </w:rPr>
            </w:pPr>
            <w:r w:rsidRPr="00CC161D">
              <w:rPr>
                <w:rFonts w:eastAsia="맑은 고딕"/>
                <w:noProof/>
                <w:sz w:val="24"/>
                <w:szCs w:val="24"/>
                <w:lang w:eastAsia="fr-FR"/>
              </w:rPr>
              <w:t>Tālr.: +36 1 231 0493</w:t>
            </w:r>
          </w:p>
          <w:p w14:paraId="6D245660" w14:textId="77777777" w:rsidR="00202B78" w:rsidRPr="00CC161D" w:rsidRDefault="00202B78" w:rsidP="00F0391F">
            <w:pPr>
              <w:suppressAutoHyphens/>
              <w:adjustRightInd w:val="0"/>
              <w:rPr>
                <w:rFonts w:eastAsia="맑은 고딕"/>
                <w:b/>
                <w:bCs/>
                <w:sz w:val="24"/>
                <w:szCs w:val="24"/>
                <w:lang w:eastAsia="fr-FR"/>
              </w:rPr>
            </w:pPr>
          </w:p>
        </w:tc>
        <w:tc>
          <w:tcPr>
            <w:tcW w:w="2295" w:type="pct"/>
          </w:tcPr>
          <w:p w14:paraId="26128FC5" w14:textId="77777777" w:rsidR="00202B78" w:rsidRPr="00CC161D" w:rsidRDefault="00202B78" w:rsidP="00F0391F">
            <w:pPr>
              <w:tabs>
                <w:tab w:val="left" w:pos="-720"/>
              </w:tabs>
              <w:suppressAutoHyphens/>
              <w:autoSpaceDE/>
              <w:autoSpaceDN/>
              <w:rPr>
                <w:rFonts w:eastAsia="맑은 고딕"/>
                <w:b/>
                <w:noProof/>
                <w:sz w:val="24"/>
                <w:szCs w:val="24"/>
                <w:lang w:eastAsia="fr-FR"/>
              </w:rPr>
            </w:pPr>
          </w:p>
        </w:tc>
      </w:tr>
    </w:tbl>
    <w:p w14:paraId="6C57486B" w14:textId="77777777" w:rsidR="00093A5E" w:rsidRPr="006A64EE" w:rsidRDefault="00093A5E" w:rsidP="004255F8">
      <w:pPr>
        <w:pStyle w:val="a3"/>
        <w:widowControl/>
      </w:pPr>
    </w:p>
    <w:p w14:paraId="7CF4EAE6" w14:textId="77777777" w:rsidR="00093A5E" w:rsidRPr="008D6825" w:rsidRDefault="009C2544" w:rsidP="008D6825">
      <w:pPr>
        <w:widowControl/>
        <w:rPr>
          <w:b/>
          <w:bCs/>
        </w:rPr>
      </w:pPr>
      <w:r w:rsidRPr="008D6825">
        <w:rPr>
          <w:b/>
          <w:bCs/>
        </w:rPr>
        <w:t xml:space="preserve">Diese Packungsbeilage wurde zuletzt überarbeitet im </w:t>
      </w:r>
    </w:p>
    <w:p w14:paraId="5AE472DD" w14:textId="77777777" w:rsidR="00093A5E" w:rsidRPr="006A64EE" w:rsidRDefault="00093A5E" w:rsidP="00121CB7"/>
    <w:p w14:paraId="618F321F" w14:textId="77777777" w:rsidR="00093A5E" w:rsidRPr="008D6825" w:rsidRDefault="009C2544" w:rsidP="008D6825">
      <w:pPr>
        <w:widowControl/>
        <w:rPr>
          <w:b/>
          <w:bCs/>
        </w:rPr>
      </w:pPr>
      <w:r w:rsidRPr="008D6825">
        <w:rPr>
          <w:b/>
          <w:bCs/>
        </w:rPr>
        <w:t>Weitere Informationsquellen</w:t>
      </w:r>
    </w:p>
    <w:p w14:paraId="4D82C3A0" w14:textId="77777777" w:rsidR="00093A5E" w:rsidRPr="006A64EE" w:rsidRDefault="00093A5E" w:rsidP="004255F8">
      <w:pPr>
        <w:pStyle w:val="a3"/>
        <w:widowControl/>
      </w:pPr>
    </w:p>
    <w:p w14:paraId="5207F195" w14:textId="212CE5C8" w:rsidR="00093A5E" w:rsidRPr="006A64EE" w:rsidRDefault="009C2544" w:rsidP="004255F8">
      <w:pPr>
        <w:pStyle w:val="a3"/>
        <w:widowControl/>
      </w:pPr>
      <w:r w:rsidRPr="006A64EE">
        <w:t xml:space="preserve">Ausführliche Informationen zu diesem Arzneimittel sind auf den Internetseiten der Europäischen Arzneimittel-Agentur </w:t>
      </w:r>
      <w:r w:rsidR="005A173B">
        <w:fldChar w:fldCharType="begin"/>
      </w:r>
      <w:r w:rsidR="005A173B">
        <w:instrText>HYPERLINK "https://www.ema.europa.eu/"</w:instrText>
      </w:r>
      <w:r w:rsidR="005A173B">
        <w:fldChar w:fldCharType="separate"/>
      </w:r>
      <w:r w:rsidR="005A173B" w:rsidRPr="005A173B">
        <w:rPr>
          <w:rStyle w:val="a8"/>
        </w:rPr>
        <w:t>http</w:t>
      </w:r>
      <w:r w:rsidR="005A173B" w:rsidRPr="005A173B">
        <w:rPr>
          <w:rStyle w:val="a8"/>
          <w:rFonts w:eastAsia="맑은 고딕" w:hint="eastAsia"/>
          <w:lang w:eastAsia="ko-KR"/>
        </w:rPr>
        <w:t>s</w:t>
      </w:r>
      <w:r w:rsidR="005A173B" w:rsidRPr="005A173B">
        <w:rPr>
          <w:rStyle w:val="a8"/>
        </w:rPr>
        <w:t>://www.ema.europa.eu/</w:t>
      </w:r>
      <w:r w:rsidR="005A173B">
        <w:fldChar w:fldCharType="end"/>
      </w:r>
      <w:r w:rsidRPr="006A64EE">
        <w:t xml:space="preserve"> verfügbar.</w:t>
      </w:r>
    </w:p>
    <w:p w14:paraId="44B3A38D" w14:textId="77777777" w:rsidR="00093A5E" w:rsidRPr="006A64EE" w:rsidRDefault="008F757E">
      <w:pPr>
        <w:rPr>
          <w:b/>
          <w:bCs/>
        </w:rPr>
      </w:pPr>
      <w:r w:rsidRPr="006A64EE">
        <w:rPr>
          <w:b/>
          <w:bCs/>
        </w:rPr>
        <w:br w:type="page"/>
      </w:r>
    </w:p>
    <w:p w14:paraId="2C2E6277" w14:textId="77777777" w:rsidR="00093A5E" w:rsidRPr="006A64EE" w:rsidRDefault="007D680A" w:rsidP="004255F8">
      <w:pPr>
        <w:widowControl/>
        <w:rPr>
          <w:b/>
          <w:bCs/>
        </w:rPr>
      </w:pPr>
      <w:r w:rsidRPr="006A64EE">
        <w:rPr>
          <w:b/>
          <w:bCs/>
        </w:rPr>
        <w:lastRenderedPageBreak/>
        <w:t>Die folgenden Informationen sind für medizinisches Fachpersonal bestimmt:</w:t>
      </w:r>
    </w:p>
    <w:p w14:paraId="0A843152" w14:textId="77777777" w:rsidR="00093A5E" w:rsidRPr="006A64EE" w:rsidRDefault="00093A5E" w:rsidP="004255F8">
      <w:pPr>
        <w:pStyle w:val="a3"/>
        <w:widowControl/>
        <w:rPr>
          <w:b/>
        </w:rPr>
      </w:pPr>
    </w:p>
    <w:p w14:paraId="12E116AB" w14:textId="77777777" w:rsidR="00093A5E" w:rsidRPr="006A64EE" w:rsidRDefault="009C2544" w:rsidP="004255F8">
      <w:pPr>
        <w:widowControl/>
        <w:rPr>
          <w:b/>
        </w:rPr>
      </w:pPr>
      <w:r w:rsidRPr="006A64EE">
        <w:rPr>
          <w:b/>
        </w:rPr>
        <w:t>Hinweise zur Verdünnung vor der Anwendung</w:t>
      </w:r>
    </w:p>
    <w:p w14:paraId="15CF846D" w14:textId="06062F7A" w:rsidR="00093A5E" w:rsidRPr="006A64EE" w:rsidRDefault="009C2544" w:rsidP="003452D3">
      <w:r w:rsidRPr="006A64EE">
        <w:t xml:space="preserve">Parenteral zu verabreichende Arzneimittel müssen vor der Anwendung optisch auf Partikel oder Verfärbung untersucht werden. Nur Lösungen, die klar bis </w:t>
      </w:r>
      <w:r w:rsidR="00CC161D">
        <w:t xml:space="preserve">leicht </w:t>
      </w:r>
      <w:r w:rsidRPr="006A64EE">
        <w:t xml:space="preserve">opaleszent, farblos bis blassgelb und frei von sichtbaren Partikeln sind, dürfen verdünnt werden. Für die Zubereitung von </w:t>
      </w:r>
      <w:r w:rsidR="00F27375">
        <w:t>Avtozma</w:t>
      </w:r>
      <w:r w:rsidR="00F27375" w:rsidRPr="006A64EE">
        <w:t xml:space="preserve"> </w:t>
      </w:r>
      <w:r w:rsidRPr="006A64EE">
        <w:t>sind eine sterile Nadel und Spritze zu verwenden.</w:t>
      </w:r>
      <w:r w:rsidR="00CC161D">
        <w:t xml:space="preserve"> Bei Infusionsbeuteln aus Polyvinylchlorid </w:t>
      </w:r>
      <w:r w:rsidR="00CC161D" w:rsidRPr="00885A70">
        <w:t>(</w:t>
      </w:r>
      <w:r w:rsidR="00CC161D" w:rsidRPr="00B320E1">
        <w:t>PVC</w:t>
      </w:r>
      <w:r w:rsidR="00CC161D" w:rsidRPr="00885A70">
        <w:t>)</w:t>
      </w:r>
      <w:r w:rsidR="00CC161D">
        <w:t xml:space="preserve"> wird empfohlen, Infusionsbeutel zu verwenden, die frei von Diethylhexylphthalat (DEHP) sind.</w:t>
      </w:r>
    </w:p>
    <w:p w14:paraId="5517F953" w14:textId="77777777" w:rsidR="00093A5E" w:rsidRPr="006A64EE" w:rsidRDefault="00093A5E" w:rsidP="00121CB7"/>
    <w:p w14:paraId="01ED9943" w14:textId="5933FEC9" w:rsidR="00093A5E" w:rsidRPr="008D6825" w:rsidRDefault="009C2544" w:rsidP="008D6825">
      <w:pPr>
        <w:widowControl/>
        <w:rPr>
          <w:b/>
          <w:bCs/>
        </w:rPr>
      </w:pPr>
      <w:r w:rsidRPr="008D6825">
        <w:rPr>
          <w:b/>
          <w:bCs/>
        </w:rPr>
        <w:t>Erwachsene Patienten mit RA, COVID-19 oder CRS (≥</w:t>
      </w:r>
      <w:r w:rsidR="0071592F" w:rsidRPr="008D6825">
        <w:rPr>
          <w:b/>
          <w:bCs/>
        </w:rPr>
        <w:t> </w:t>
      </w:r>
      <w:r w:rsidRPr="008D6825">
        <w:rPr>
          <w:b/>
          <w:bCs/>
        </w:rPr>
        <w:t>30</w:t>
      </w:r>
      <w:r w:rsidR="0071592F" w:rsidRPr="008D6825">
        <w:rPr>
          <w:b/>
          <w:bCs/>
        </w:rPr>
        <w:t> </w:t>
      </w:r>
      <w:r w:rsidRPr="008D6825">
        <w:rPr>
          <w:b/>
          <w:bCs/>
        </w:rPr>
        <w:t>kg)</w:t>
      </w:r>
    </w:p>
    <w:p w14:paraId="68327FC3" w14:textId="696E5E0B" w:rsidR="00093A5E" w:rsidRPr="006A64EE" w:rsidRDefault="009C2544" w:rsidP="008F757E">
      <w:pPr>
        <w:pStyle w:val="a3"/>
        <w:widowControl/>
      </w:pPr>
      <w:r w:rsidRPr="006A64EE">
        <w:t>Entnehmen Sie aus dem 100-ml-Infusionsbeutel mit steriler, pyrogenfreier 0,9%iger Natriumchlorid-Lösung (9</w:t>
      </w:r>
      <w:r w:rsidR="008A508A">
        <w:t> </w:t>
      </w:r>
      <w:r w:rsidRPr="006A64EE">
        <w:t xml:space="preserve">mg/ml Natriumchlorid) </w:t>
      </w:r>
      <w:r w:rsidR="00FF6F1F" w:rsidRPr="00E739EC">
        <w:t>oder 0,45%iger Natriumchlorid-Lösung (4,5</w:t>
      </w:r>
      <w:r w:rsidR="008A508A">
        <w:t> </w:t>
      </w:r>
      <w:r w:rsidR="00FF6F1F" w:rsidRPr="00E739EC">
        <w:t>mg/ml Natriumchlorid)</w:t>
      </w:r>
      <w:r w:rsidR="00FF6F1F">
        <w:rPr>
          <w:rFonts w:eastAsia="맑은 고딕" w:hint="eastAsia"/>
          <w:lang w:eastAsia="ko-KR"/>
        </w:rPr>
        <w:t xml:space="preserve"> </w:t>
      </w:r>
      <w:r w:rsidRPr="006A64EE">
        <w:t xml:space="preserve">unter aseptischen Bedingungen jene Menge, die dem Volumen des benötigten Konzentrats von </w:t>
      </w:r>
      <w:r w:rsidR="00F27375">
        <w:t>Avtozma</w:t>
      </w:r>
      <w:r w:rsidRPr="006A64EE">
        <w:t xml:space="preserve">, welches für die Dosis des Patienten benötigt wird, entspricht. Die benötigte Menge </w:t>
      </w:r>
      <w:r w:rsidR="00F27375">
        <w:t>Avtozma</w:t>
      </w:r>
      <w:r w:rsidR="0087631F">
        <w:t>-</w:t>
      </w:r>
      <w:r w:rsidRPr="006A64EE">
        <w:t xml:space="preserve">Konzentrat </w:t>
      </w:r>
      <w:r w:rsidRPr="006A64EE">
        <w:rPr>
          <w:b/>
        </w:rPr>
        <w:t xml:space="preserve">(0,4 ml/kg) </w:t>
      </w:r>
      <w:r w:rsidRPr="006A64EE">
        <w:t>sollte aus der Durchstechflasche entnommen und in den 100-ml-Infusionsbeutel gegeben werden. Dies sollte ein finales Volumen von 100</w:t>
      </w:r>
      <w:r w:rsidR="008A508A">
        <w:t> </w:t>
      </w:r>
      <w:r w:rsidRPr="006A64EE">
        <w:t>ml ergeben. Zur Mischung der Lösung drehen Sie den Infusionsbeutel vorsichtig um, um eine Schaumbildung zu vermeiden.</w:t>
      </w:r>
    </w:p>
    <w:p w14:paraId="745C3946" w14:textId="77777777" w:rsidR="00093A5E" w:rsidRPr="006A64EE" w:rsidRDefault="00093A5E" w:rsidP="00121CB7"/>
    <w:p w14:paraId="65E20364" w14:textId="77777777" w:rsidR="00093A5E" w:rsidRPr="008D6825" w:rsidRDefault="009C2544" w:rsidP="008D6825">
      <w:pPr>
        <w:widowControl/>
        <w:rPr>
          <w:b/>
          <w:bCs/>
        </w:rPr>
      </w:pPr>
      <w:r w:rsidRPr="008D6825">
        <w:rPr>
          <w:b/>
          <w:bCs/>
        </w:rPr>
        <w:t xml:space="preserve">Anwendung bei Kindern und Jugendlichen </w:t>
      </w:r>
    </w:p>
    <w:p w14:paraId="2AA90179" w14:textId="77777777" w:rsidR="00093A5E" w:rsidRPr="006A64EE" w:rsidRDefault="00093A5E" w:rsidP="00121CB7"/>
    <w:p w14:paraId="122E9B02" w14:textId="7DF97626" w:rsidR="00093A5E" w:rsidRPr="008D6825" w:rsidRDefault="009C2544" w:rsidP="008D6825">
      <w:pPr>
        <w:widowControl/>
        <w:rPr>
          <w:b/>
          <w:bCs/>
        </w:rPr>
      </w:pPr>
      <w:r w:rsidRPr="008D6825">
        <w:rPr>
          <w:b/>
          <w:bCs/>
        </w:rPr>
        <w:t>Patienten mit sJIA, pJIA oder CRS ≥</w:t>
      </w:r>
      <w:r w:rsidR="0071592F" w:rsidRPr="008D6825">
        <w:rPr>
          <w:b/>
          <w:bCs/>
        </w:rPr>
        <w:t> </w:t>
      </w:r>
      <w:r w:rsidRPr="008D6825">
        <w:rPr>
          <w:b/>
          <w:bCs/>
        </w:rPr>
        <w:t>30</w:t>
      </w:r>
      <w:r w:rsidR="0071592F" w:rsidRPr="008D6825">
        <w:rPr>
          <w:b/>
          <w:bCs/>
        </w:rPr>
        <w:t> </w:t>
      </w:r>
      <w:r w:rsidRPr="008D6825">
        <w:rPr>
          <w:b/>
          <w:bCs/>
        </w:rPr>
        <w:t>kg</w:t>
      </w:r>
    </w:p>
    <w:p w14:paraId="32CE38CD" w14:textId="1D9688A0" w:rsidR="00093A5E" w:rsidRPr="006A64EE" w:rsidRDefault="009C2544" w:rsidP="008F757E">
      <w:pPr>
        <w:pStyle w:val="a3"/>
        <w:widowControl/>
      </w:pPr>
      <w:r w:rsidRPr="006A64EE">
        <w:t>Entnehmen Sie aus dem 100-ml-Infusionsbeutel mit steriler, pyrogenfreier 0,9%iger Natriumchlorid-Lösung (9</w:t>
      </w:r>
      <w:r w:rsidR="0071592F">
        <w:t> </w:t>
      </w:r>
      <w:r w:rsidRPr="006A64EE">
        <w:t xml:space="preserve">mg/ml Natriumchlorid) </w:t>
      </w:r>
      <w:r w:rsidR="009E4E7B">
        <w:t xml:space="preserve">oder </w:t>
      </w:r>
      <w:r w:rsidR="0024101B" w:rsidRPr="00E739EC">
        <w:t xml:space="preserve">0,45%iger Natriumchlorid-Lösung (4,5 mg/ml Natriumchlorid) </w:t>
      </w:r>
      <w:r w:rsidRPr="006A64EE">
        <w:t xml:space="preserve">unter aseptischen Bedingungen jene Menge, die dem Volumen des benötigten Konzentrats von </w:t>
      </w:r>
      <w:r w:rsidR="00F27375">
        <w:t>Avtozma</w:t>
      </w:r>
      <w:r w:rsidRPr="006A64EE">
        <w:t xml:space="preserve">, welches für die Dosis des Patienten benötigt wird, entspricht. Die benötigte Menge </w:t>
      </w:r>
      <w:r w:rsidR="00F27375">
        <w:t>Avtozma-</w:t>
      </w:r>
      <w:r w:rsidRPr="006A64EE">
        <w:t xml:space="preserve">Konzentrat </w:t>
      </w:r>
      <w:r w:rsidRPr="006A64EE">
        <w:rPr>
          <w:b/>
        </w:rPr>
        <w:t>(0,4</w:t>
      </w:r>
      <w:r w:rsidR="00B22497">
        <w:rPr>
          <w:b/>
        </w:rPr>
        <w:t> </w:t>
      </w:r>
      <w:r w:rsidRPr="006A64EE">
        <w:rPr>
          <w:b/>
        </w:rPr>
        <w:t xml:space="preserve">ml/kg) </w:t>
      </w:r>
      <w:r w:rsidRPr="006A64EE">
        <w:t>sollte aus der Durchstechflasche entnommen und in den 100-ml-Infusionsbeutel gegeben werden. Dies sollte ein finales Volumen von 100</w:t>
      </w:r>
      <w:r w:rsidR="0071592F">
        <w:t> </w:t>
      </w:r>
      <w:r w:rsidRPr="006A64EE">
        <w:t>ml ergeben. Zur Mischung der Lösung drehen Sie den Infusionsbeutel vorsichtig um, um eine Schaumbildung zu vermeiden.</w:t>
      </w:r>
    </w:p>
    <w:p w14:paraId="2C65ED76" w14:textId="77777777" w:rsidR="00093A5E" w:rsidRPr="006A64EE" w:rsidRDefault="00093A5E" w:rsidP="008F757E">
      <w:pPr>
        <w:pStyle w:val="a3"/>
        <w:widowControl/>
      </w:pPr>
    </w:p>
    <w:p w14:paraId="6913F518" w14:textId="439D0E7D" w:rsidR="00093A5E" w:rsidRPr="008D6825" w:rsidRDefault="009C2544" w:rsidP="008D6825">
      <w:pPr>
        <w:widowControl/>
        <w:rPr>
          <w:b/>
          <w:bCs/>
        </w:rPr>
      </w:pPr>
      <w:r w:rsidRPr="008D6825">
        <w:rPr>
          <w:b/>
          <w:bCs/>
        </w:rPr>
        <w:t>Patienten mit sJIA oder CRS &lt;</w:t>
      </w:r>
      <w:r w:rsidR="00AB2627" w:rsidRPr="008D6825">
        <w:rPr>
          <w:b/>
          <w:bCs/>
        </w:rPr>
        <w:t> </w:t>
      </w:r>
      <w:r w:rsidRPr="008D6825">
        <w:rPr>
          <w:b/>
          <w:bCs/>
        </w:rPr>
        <w:t>30</w:t>
      </w:r>
      <w:r w:rsidR="00AB2627" w:rsidRPr="008D6825">
        <w:rPr>
          <w:b/>
          <w:bCs/>
        </w:rPr>
        <w:t> </w:t>
      </w:r>
      <w:r w:rsidRPr="008D6825">
        <w:rPr>
          <w:b/>
          <w:bCs/>
        </w:rPr>
        <w:t>kg</w:t>
      </w:r>
    </w:p>
    <w:p w14:paraId="69321F82" w14:textId="184805B9" w:rsidR="00093A5E" w:rsidRPr="006A64EE" w:rsidRDefault="009C2544" w:rsidP="008F757E">
      <w:pPr>
        <w:pStyle w:val="a3"/>
        <w:widowControl/>
      </w:pPr>
      <w:r w:rsidRPr="006A64EE">
        <w:t>Entnehmen Sie aus dem 50-ml-Infusionsbeutel mit steriler, pyrogenfreier 0,9%iger Natriumchlorid-Lösung (9</w:t>
      </w:r>
      <w:r w:rsidR="0090302A">
        <w:t> </w:t>
      </w:r>
      <w:r w:rsidRPr="006A64EE">
        <w:t xml:space="preserve">mg/ml Natriumchlorid) </w:t>
      </w:r>
      <w:r w:rsidR="009E4E7B">
        <w:t xml:space="preserve">oder </w:t>
      </w:r>
      <w:r w:rsidR="0024101B" w:rsidRPr="00E739EC">
        <w:t xml:space="preserve">0,45%iger Natriumchlorid-Lösung (4,5 mg/ml Natriumchlorid) </w:t>
      </w:r>
      <w:r w:rsidRPr="006A64EE">
        <w:t xml:space="preserve">unter aseptischen Bedingungen jene Menge, die dem Volumen des benötigten Konzentrats von </w:t>
      </w:r>
      <w:r w:rsidR="00F27375">
        <w:t>Avtozma</w:t>
      </w:r>
      <w:r w:rsidRPr="006A64EE">
        <w:t xml:space="preserve">, welches für die Dosis des Patienten benötigt wird, entspricht. Die benötigte Menge </w:t>
      </w:r>
      <w:r w:rsidR="00F27375">
        <w:t>Avtozma-</w:t>
      </w:r>
      <w:r w:rsidRPr="006A64EE">
        <w:t xml:space="preserve">Konzentrat </w:t>
      </w:r>
      <w:r w:rsidRPr="006A64EE">
        <w:rPr>
          <w:b/>
        </w:rPr>
        <w:t>(0,6</w:t>
      </w:r>
      <w:r w:rsidR="00B22497">
        <w:rPr>
          <w:b/>
        </w:rPr>
        <w:t> </w:t>
      </w:r>
      <w:r w:rsidRPr="006A64EE">
        <w:rPr>
          <w:b/>
        </w:rPr>
        <w:t xml:space="preserve">ml/kg) </w:t>
      </w:r>
      <w:r w:rsidRPr="006A64EE">
        <w:t>sollte aus der Durchstechflasche entnommen und in den 50-ml-Infusionsbeutel gegeben werden. Dies sollte ein finales Volumen von 50</w:t>
      </w:r>
      <w:r w:rsidR="0090302A">
        <w:t> </w:t>
      </w:r>
      <w:r w:rsidRPr="006A64EE">
        <w:t>ml ergeben. Zur Mischung der Lösung drehen Sie den Infusionsbeutel vorsichtig um, um eine Schaumbildung zu vermeiden.</w:t>
      </w:r>
    </w:p>
    <w:p w14:paraId="42EF9B23" w14:textId="77777777" w:rsidR="00093A5E" w:rsidRPr="006A64EE" w:rsidRDefault="00093A5E" w:rsidP="004255F8">
      <w:pPr>
        <w:pStyle w:val="a3"/>
        <w:widowControl/>
      </w:pPr>
    </w:p>
    <w:p w14:paraId="3A2D74BD" w14:textId="6F82DB19" w:rsidR="00093A5E" w:rsidRPr="008D6825" w:rsidRDefault="009C2544" w:rsidP="008D6825">
      <w:pPr>
        <w:widowControl/>
        <w:rPr>
          <w:b/>
          <w:bCs/>
        </w:rPr>
      </w:pPr>
      <w:r w:rsidRPr="008D6825">
        <w:rPr>
          <w:b/>
          <w:bCs/>
        </w:rPr>
        <w:t>Patienten mit pJIA &lt;</w:t>
      </w:r>
      <w:r w:rsidR="007C3560" w:rsidRPr="008D6825">
        <w:rPr>
          <w:b/>
          <w:bCs/>
        </w:rPr>
        <w:t> </w:t>
      </w:r>
      <w:r w:rsidRPr="008D6825">
        <w:rPr>
          <w:b/>
          <w:bCs/>
        </w:rPr>
        <w:t>30</w:t>
      </w:r>
      <w:r w:rsidR="007C3560" w:rsidRPr="008D6825">
        <w:rPr>
          <w:b/>
          <w:bCs/>
        </w:rPr>
        <w:t> </w:t>
      </w:r>
      <w:r w:rsidRPr="008D6825">
        <w:rPr>
          <w:b/>
          <w:bCs/>
        </w:rPr>
        <w:t>kg</w:t>
      </w:r>
    </w:p>
    <w:p w14:paraId="5E868972" w14:textId="4A7B7D03" w:rsidR="00093A5E" w:rsidRPr="006A64EE" w:rsidRDefault="009C2544" w:rsidP="004255F8">
      <w:pPr>
        <w:pStyle w:val="a3"/>
        <w:widowControl/>
      </w:pPr>
      <w:r w:rsidRPr="006A64EE">
        <w:t>Entnehmen Sie aus dem 50-ml-Infusionsbeutel mit steriler, pyrogenfreier 0,9%iger Natriumchlorid-Lösung (9</w:t>
      </w:r>
      <w:r w:rsidR="007C3560">
        <w:t> </w:t>
      </w:r>
      <w:r w:rsidRPr="006A64EE">
        <w:t xml:space="preserve">mg/ml Natriumchlorid) </w:t>
      </w:r>
      <w:r w:rsidR="009E4E7B">
        <w:t xml:space="preserve">oder </w:t>
      </w:r>
      <w:r w:rsidR="0024101B" w:rsidRPr="00E739EC">
        <w:t xml:space="preserve">0,45%iger Natriumchlorid-Lösung (4,5 mg/ml Natriumchlorid) </w:t>
      </w:r>
      <w:r w:rsidRPr="006A64EE">
        <w:t xml:space="preserve">unter aseptischen Bedingungen jene Menge, die dem Volumen des benötigten Konzentrats von </w:t>
      </w:r>
      <w:r w:rsidR="00F27375">
        <w:t>Avtozma</w:t>
      </w:r>
      <w:r w:rsidRPr="006A64EE">
        <w:t xml:space="preserve">, welches für die Dosis des Patienten benötigt wird, entspricht. Die benötigte Menge </w:t>
      </w:r>
      <w:r w:rsidR="00F27375">
        <w:t>Avtozma-</w:t>
      </w:r>
      <w:r w:rsidRPr="006A64EE">
        <w:t xml:space="preserve">Konzentrat </w:t>
      </w:r>
      <w:r w:rsidRPr="006A64EE">
        <w:rPr>
          <w:b/>
        </w:rPr>
        <w:t>(0,5</w:t>
      </w:r>
      <w:r w:rsidR="00B22497">
        <w:rPr>
          <w:b/>
        </w:rPr>
        <w:t> </w:t>
      </w:r>
      <w:r w:rsidRPr="006A64EE">
        <w:rPr>
          <w:b/>
        </w:rPr>
        <w:t xml:space="preserve">ml/kg) </w:t>
      </w:r>
      <w:r w:rsidRPr="006A64EE">
        <w:t>sollte aus der Durchstechflasche entnommen und in den 50-ml-Infusionsbeutel gegeben werden. Dies sollte ein finales Volumen von 50</w:t>
      </w:r>
      <w:r w:rsidR="007C3560">
        <w:t> </w:t>
      </w:r>
      <w:r w:rsidRPr="006A64EE">
        <w:t>ml ergeben. Zur Mischung der Lösung drehen Sie den Infusionsbeutel vorsichtig um, um eine Schaumbildung zu vermeiden.</w:t>
      </w:r>
    </w:p>
    <w:p w14:paraId="6A53C3D6" w14:textId="77777777" w:rsidR="00093A5E" w:rsidRPr="006A64EE" w:rsidRDefault="00093A5E" w:rsidP="004255F8">
      <w:pPr>
        <w:pStyle w:val="a3"/>
        <w:widowControl/>
      </w:pPr>
    </w:p>
    <w:p w14:paraId="78561A2A" w14:textId="0351AF95" w:rsidR="00093A5E" w:rsidRPr="006A64EE" w:rsidRDefault="00F27375" w:rsidP="004255F8">
      <w:pPr>
        <w:pStyle w:val="a3"/>
        <w:widowControl/>
      </w:pPr>
      <w:r>
        <w:t>Avtozma</w:t>
      </w:r>
      <w:r w:rsidR="009C2544" w:rsidRPr="006A64EE">
        <w:t xml:space="preserve"> ist nur für einen einmaligen Gebrauch bestimmt.</w:t>
      </w:r>
    </w:p>
    <w:p w14:paraId="1A36B30C" w14:textId="77777777" w:rsidR="00093A5E" w:rsidRPr="006A64EE" w:rsidRDefault="00093A5E" w:rsidP="004255F8">
      <w:pPr>
        <w:pStyle w:val="a3"/>
        <w:widowControl/>
      </w:pPr>
    </w:p>
    <w:p w14:paraId="1D7DEDB9" w14:textId="77777777" w:rsidR="00093A5E" w:rsidRPr="006A64EE" w:rsidRDefault="009C2544" w:rsidP="004255F8">
      <w:pPr>
        <w:pStyle w:val="a3"/>
        <w:widowControl/>
      </w:pPr>
      <w:r w:rsidRPr="006A64EE">
        <w:t>Nicht verwendetes Arzneimittel oder Abfallmaterial ist entsprechend den nationalen Anforderungen zu entsorgen.</w:t>
      </w:r>
    </w:p>
    <w:p w14:paraId="57252A4D" w14:textId="440B73F6" w:rsidR="00093A5E" w:rsidRPr="006A64EE" w:rsidRDefault="008F757E" w:rsidP="00D97C5C">
      <w:pPr>
        <w:jc w:val="center"/>
        <w:rPr>
          <w:b/>
          <w:bCs/>
        </w:rPr>
      </w:pPr>
      <w:r w:rsidRPr="006A64EE">
        <w:rPr>
          <w:b/>
          <w:bCs/>
        </w:rPr>
        <w:br w:type="page"/>
      </w:r>
      <w:r w:rsidR="007D680A" w:rsidRPr="006A64EE">
        <w:rPr>
          <w:b/>
          <w:bCs/>
        </w:rPr>
        <w:lastRenderedPageBreak/>
        <w:t>Gebrauchsinformation: Information für Anwender</w:t>
      </w:r>
    </w:p>
    <w:p w14:paraId="47D4B612" w14:textId="77777777" w:rsidR="00093A5E" w:rsidRPr="006A64EE" w:rsidRDefault="00093A5E" w:rsidP="004255F8">
      <w:pPr>
        <w:pStyle w:val="a3"/>
        <w:widowControl/>
        <w:rPr>
          <w:b/>
        </w:rPr>
      </w:pPr>
    </w:p>
    <w:p w14:paraId="7A150F75" w14:textId="6FC99701" w:rsidR="00093A5E" w:rsidRPr="006A64EE" w:rsidRDefault="00F27375" w:rsidP="004255F8">
      <w:pPr>
        <w:widowControl/>
        <w:jc w:val="center"/>
        <w:rPr>
          <w:b/>
        </w:rPr>
      </w:pPr>
      <w:r>
        <w:rPr>
          <w:b/>
        </w:rPr>
        <w:t>Avtozma</w:t>
      </w:r>
      <w:r w:rsidR="009C2544" w:rsidRPr="006A64EE">
        <w:rPr>
          <w:b/>
        </w:rPr>
        <w:t xml:space="preserve"> 162 mg Injektionslösung in einer Fertigspritze</w:t>
      </w:r>
    </w:p>
    <w:p w14:paraId="13FCECA9" w14:textId="77777777" w:rsidR="00093A5E" w:rsidRPr="006A64EE" w:rsidRDefault="009C2544" w:rsidP="004255F8">
      <w:pPr>
        <w:pStyle w:val="a3"/>
        <w:widowControl/>
        <w:jc w:val="center"/>
      </w:pPr>
      <w:r w:rsidRPr="006A64EE">
        <w:t>Tocilizumab</w:t>
      </w:r>
    </w:p>
    <w:p w14:paraId="690FCD22" w14:textId="77777777" w:rsidR="00093A5E" w:rsidRPr="006A64EE" w:rsidRDefault="00093A5E" w:rsidP="004255F8">
      <w:pPr>
        <w:pStyle w:val="a3"/>
        <w:widowControl/>
      </w:pPr>
    </w:p>
    <w:p w14:paraId="0E7A49FC" w14:textId="0E9A9855" w:rsidR="00F27375" w:rsidRPr="00B320E1" w:rsidRDefault="00A16FF2" w:rsidP="008D6825">
      <w:pPr>
        <w:rPr>
          <w:b/>
          <w:bCs/>
        </w:rPr>
      </w:pPr>
      <w:r>
        <w:rPr>
          <w:noProof/>
          <w:lang w:val="en-US" w:eastAsia="ko-KR"/>
        </w:rPr>
        <w:drawing>
          <wp:inline distT="0" distB="0" distL="0" distR="0" wp14:anchorId="34E0C391" wp14:editId="629F26A6">
            <wp:extent cx="201930" cy="170180"/>
            <wp:effectExtent l="0" t="0" r="0" b="0"/>
            <wp:docPr id="6" name="그림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F27375" w:rsidRPr="00B320E1">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p>
    <w:p w14:paraId="27DDD22B" w14:textId="77777777" w:rsidR="00F27375" w:rsidRDefault="00F27375" w:rsidP="00121CB7"/>
    <w:p w14:paraId="3922DBFC" w14:textId="36925BF0" w:rsidR="00093A5E" w:rsidRPr="008D6825" w:rsidRDefault="009C2544" w:rsidP="008D6825">
      <w:pPr>
        <w:widowControl/>
        <w:rPr>
          <w:b/>
          <w:bCs/>
        </w:rPr>
      </w:pPr>
      <w:r w:rsidRPr="008D6825">
        <w:rPr>
          <w:b/>
          <w:bCs/>
        </w:rPr>
        <w:t>Lesen Sie die gesamte Packungsbeilage sorgfältig durch, bevor Sie mit der Anwendung dieses Arzneimittels beginnen, denn sie enthält wichtige Informationen.</w:t>
      </w:r>
    </w:p>
    <w:p w14:paraId="095E2DBD" w14:textId="77777777" w:rsidR="00093A5E" w:rsidRPr="006A64EE" w:rsidRDefault="00093A5E" w:rsidP="00121CB7"/>
    <w:p w14:paraId="055AEFA4"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Heben Sie die Packungsbeilage auf. Vielleicht möchten Sie diese später nochmals lesen.</w:t>
      </w:r>
    </w:p>
    <w:p w14:paraId="27446509"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Wenn Sie weitere Fragen haben, wenden Sie sich an Ihren Arzt, Apotheker oder das medizinische Fachpersonal.</w:t>
      </w:r>
    </w:p>
    <w:p w14:paraId="3846A0E6"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Dieses Arzneimittel wurde Ihnen persönlich verschrieben. Geben Sie es nicht an Dritte weiter. Es kann anderen Menschen schaden, auch wenn diese die gleichen Beschwerden haben wie Sie.</w:t>
      </w:r>
    </w:p>
    <w:p w14:paraId="3211A1F4"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Wenn Sie Nebenwirkungen bemerken, wenden Sie sich an Ihren Arzt, Apotheker oder das medizinische Fachpersonal. Dies gilt auch für Nebenwirkungen, die nicht in dieser Packungsbeilage angegeben sind. Siehe Abschnitt 4.</w:t>
      </w:r>
    </w:p>
    <w:p w14:paraId="697EE9BA" w14:textId="77777777" w:rsidR="00093A5E" w:rsidRPr="006A64EE" w:rsidRDefault="00093A5E" w:rsidP="008F757E">
      <w:pPr>
        <w:pStyle w:val="a3"/>
        <w:widowControl/>
      </w:pPr>
    </w:p>
    <w:p w14:paraId="6363842B" w14:textId="23B30431" w:rsidR="00093A5E" w:rsidRPr="006A64EE" w:rsidRDefault="009C2544" w:rsidP="008F757E">
      <w:pPr>
        <w:pStyle w:val="a3"/>
        <w:widowControl/>
      </w:pPr>
      <w:r w:rsidRPr="006A64EE">
        <w:t xml:space="preserve">Zusätzlich zu dieser Gebrauchsinformation werden Sie einen </w:t>
      </w:r>
      <w:r w:rsidRPr="006A64EE">
        <w:rPr>
          <w:b/>
        </w:rPr>
        <w:t xml:space="preserve">Patientenpass </w:t>
      </w:r>
      <w:r w:rsidRPr="006A64EE">
        <w:t xml:space="preserve">erhalten, der wichtige Sicherheitsinformationen enthält, über die Sie vor und während Ihrer Behandlung mit </w:t>
      </w:r>
      <w:r w:rsidR="00F27375">
        <w:t>Avtozma</w:t>
      </w:r>
      <w:r w:rsidRPr="006A64EE">
        <w:t xml:space="preserve"> Bescheid wissen müssen.</w:t>
      </w:r>
    </w:p>
    <w:p w14:paraId="7BD23F15" w14:textId="77777777" w:rsidR="00093A5E" w:rsidRPr="006A64EE" w:rsidRDefault="00093A5E" w:rsidP="008F757E">
      <w:pPr>
        <w:pStyle w:val="a3"/>
        <w:widowControl/>
      </w:pPr>
    </w:p>
    <w:p w14:paraId="466C6D25" w14:textId="77777777" w:rsidR="00093A5E" w:rsidRPr="008D6825" w:rsidRDefault="009C2544" w:rsidP="008D6825">
      <w:pPr>
        <w:widowControl/>
        <w:rPr>
          <w:b/>
          <w:bCs/>
        </w:rPr>
      </w:pPr>
      <w:r w:rsidRPr="008D6825">
        <w:rPr>
          <w:b/>
          <w:bCs/>
        </w:rPr>
        <w:t>Was in dieser Packungsbeilage steht</w:t>
      </w:r>
    </w:p>
    <w:p w14:paraId="5564CD14" w14:textId="25B49BE7" w:rsidR="00093A5E" w:rsidRPr="006A64EE" w:rsidRDefault="0059713A" w:rsidP="008F757E">
      <w:pPr>
        <w:widowControl/>
        <w:tabs>
          <w:tab w:val="left" w:pos="1040"/>
        </w:tabs>
        <w:ind w:left="567" w:hanging="567"/>
      </w:pPr>
      <w:r w:rsidRPr="006A64EE">
        <w:t>1.</w:t>
      </w:r>
      <w:r w:rsidRPr="006A64EE">
        <w:tab/>
        <w:t xml:space="preserve">Was ist </w:t>
      </w:r>
      <w:r w:rsidR="00F27375">
        <w:t>Avtozma</w:t>
      </w:r>
      <w:r w:rsidRPr="006A64EE">
        <w:t xml:space="preserve"> und wofür wird es angewendet?</w:t>
      </w:r>
    </w:p>
    <w:p w14:paraId="3672315E" w14:textId="1CCDA711" w:rsidR="00093A5E" w:rsidRPr="006A64EE" w:rsidRDefault="0059713A" w:rsidP="008F757E">
      <w:pPr>
        <w:widowControl/>
        <w:tabs>
          <w:tab w:val="left" w:pos="1033"/>
        </w:tabs>
        <w:ind w:left="567" w:hanging="567"/>
      </w:pPr>
      <w:r w:rsidRPr="006A64EE">
        <w:t>2.</w:t>
      </w:r>
      <w:r w:rsidRPr="006A64EE">
        <w:tab/>
        <w:t xml:space="preserve">Was sollten Sie vor der Anwendung von </w:t>
      </w:r>
      <w:r w:rsidR="00F27375">
        <w:t>Avtozma</w:t>
      </w:r>
      <w:r w:rsidRPr="006A64EE">
        <w:t xml:space="preserve"> beachten?</w:t>
      </w:r>
    </w:p>
    <w:p w14:paraId="0E1A80CE" w14:textId="188EE8DB" w:rsidR="00093A5E" w:rsidRPr="006A64EE" w:rsidRDefault="0059713A" w:rsidP="008F757E">
      <w:pPr>
        <w:widowControl/>
        <w:tabs>
          <w:tab w:val="left" w:pos="1040"/>
        </w:tabs>
        <w:ind w:left="567" w:hanging="567"/>
      </w:pPr>
      <w:r w:rsidRPr="006A64EE">
        <w:t>3.</w:t>
      </w:r>
      <w:r w:rsidRPr="006A64EE">
        <w:tab/>
        <w:t xml:space="preserve">Wie ist </w:t>
      </w:r>
      <w:r w:rsidR="00F27375">
        <w:t>Avtozma</w:t>
      </w:r>
      <w:r w:rsidRPr="006A64EE">
        <w:t xml:space="preserve"> anzuwenden?</w:t>
      </w:r>
    </w:p>
    <w:p w14:paraId="14887D01" w14:textId="77777777" w:rsidR="00093A5E" w:rsidRPr="006A64EE" w:rsidRDefault="0059713A" w:rsidP="008F757E">
      <w:pPr>
        <w:widowControl/>
        <w:tabs>
          <w:tab w:val="left" w:pos="1040"/>
        </w:tabs>
        <w:ind w:left="567" w:hanging="567"/>
      </w:pPr>
      <w:r w:rsidRPr="006A64EE">
        <w:t>4.</w:t>
      </w:r>
      <w:r w:rsidRPr="006A64EE">
        <w:tab/>
        <w:t>Welche Nebenwirkungen sind möglich?</w:t>
      </w:r>
    </w:p>
    <w:p w14:paraId="0091C07A" w14:textId="3D87DD72" w:rsidR="00093A5E" w:rsidRPr="006A64EE" w:rsidRDefault="0059713A" w:rsidP="008F757E">
      <w:pPr>
        <w:widowControl/>
        <w:tabs>
          <w:tab w:val="left" w:pos="1040"/>
        </w:tabs>
        <w:ind w:left="567" w:hanging="567"/>
      </w:pPr>
      <w:r w:rsidRPr="006A64EE">
        <w:t>5.</w:t>
      </w:r>
      <w:r w:rsidRPr="006A64EE">
        <w:tab/>
        <w:t xml:space="preserve">Wie ist </w:t>
      </w:r>
      <w:r w:rsidR="00F27375">
        <w:t>Avtozma</w:t>
      </w:r>
      <w:r w:rsidRPr="006A64EE">
        <w:t xml:space="preserve"> aufzubewahren?</w:t>
      </w:r>
    </w:p>
    <w:p w14:paraId="59ED0928" w14:textId="77777777" w:rsidR="00093A5E" w:rsidRDefault="0059713A" w:rsidP="008F757E">
      <w:pPr>
        <w:widowControl/>
        <w:tabs>
          <w:tab w:val="left" w:pos="1040"/>
        </w:tabs>
        <w:ind w:left="567" w:hanging="567"/>
      </w:pPr>
      <w:r w:rsidRPr="006A64EE">
        <w:t>6.</w:t>
      </w:r>
      <w:r w:rsidRPr="006A64EE">
        <w:tab/>
        <w:t>Inhalt der Packung und weitere Informationen</w:t>
      </w:r>
    </w:p>
    <w:p w14:paraId="1B281062" w14:textId="686C1089" w:rsidR="009E4E7B" w:rsidRPr="006A64EE" w:rsidRDefault="009E4E7B" w:rsidP="008F757E">
      <w:pPr>
        <w:widowControl/>
        <w:tabs>
          <w:tab w:val="left" w:pos="1040"/>
        </w:tabs>
        <w:ind w:left="567" w:hanging="567"/>
      </w:pPr>
      <w:r>
        <w:t>7.</w:t>
      </w:r>
      <w:r>
        <w:tab/>
        <w:t>Gebrauchsanweisung</w:t>
      </w:r>
    </w:p>
    <w:p w14:paraId="75851892" w14:textId="77777777" w:rsidR="00093A5E" w:rsidRPr="006A64EE" w:rsidRDefault="00093A5E" w:rsidP="004255F8">
      <w:pPr>
        <w:pStyle w:val="a3"/>
        <w:widowControl/>
      </w:pPr>
    </w:p>
    <w:p w14:paraId="0E0C9F77" w14:textId="77777777" w:rsidR="00093A5E" w:rsidRPr="006A64EE" w:rsidRDefault="00093A5E" w:rsidP="004255F8">
      <w:pPr>
        <w:pStyle w:val="a3"/>
        <w:widowControl/>
      </w:pPr>
    </w:p>
    <w:p w14:paraId="76F7B938" w14:textId="2047279F" w:rsidR="00093A5E" w:rsidRPr="006A64EE" w:rsidRDefault="0059713A" w:rsidP="008F757E">
      <w:pPr>
        <w:pStyle w:val="1"/>
      </w:pPr>
      <w:r w:rsidRPr="006A64EE">
        <w:t>1.</w:t>
      </w:r>
      <w:r w:rsidRPr="006A64EE">
        <w:tab/>
        <w:t xml:space="preserve">Was ist </w:t>
      </w:r>
      <w:r w:rsidR="00F27375">
        <w:t>Avtozma</w:t>
      </w:r>
      <w:r w:rsidRPr="006A64EE">
        <w:t xml:space="preserve"> und wofür wird es angewendet?</w:t>
      </w:r>
    </w:p>
    <w:p w14:paraId="18897E6D" w14:textId="77777777" w:rsidR="00093A5E" w:rsidRPr="006A64EE" w:rsidRDefault="00093A5E" w:rsidP="004255F8">
      <w:pPr>
        <w:pStyle w:val="a3"/>
        <w:widowControl/>
      </w:pPr>
    </w:p>
    <w:p w14:paraId="0C1F9B40" w14:textId="5EB6E12E" w:rsidR="00093A5E" w:rsidRPr="006A64EE" w:rsidRDefault="00F27375" w:rsidP="004255F8">
      <w:pPr>
        <w:pStyle w:val="a3"/>
        <w:widowControl/>
      </w:pPr>
      <w:r>
        <w:t>Avtozma</w:t>
      </w:r>
      <w:r w:rsidR="009C2544" w:rsidRPr="006A64EE">
        <w:t xml:space="preserve"> enthält den Wirkstoff Tocilizumab, ein Protein, welches aus bestimmten Immunzellen gewonnen wird (ein monoklonaler Antikörper), das die Wirkung eines bestimmten Proteins (Zytokin), das Interleukin-6 genannt wird, blockiert. Dieses Protein spielt bei Entzündungsvorgängen im Körper eine Rolle und durch seine Blockade kann die Entzündung in Ihrem Körper verringert werden.</w:t>
      </w:r>
      <w:r w:rsidR="00B6198B" w:rsidRPr="006A64EE">
        <w:t xml:space="preserve"> </w:t>
      </w:r>
      <w:r w:rsidR="000007EE">
        <w:t>Avtozma</w:t>
      </w:r>
      <w:r w:rsidR="009C2544" w:rsidRPr="006A64EE">
        <w:t xml:space="preserve"> wird angewendet zur Behandlung von:</w:t>
      </w:r>
    </w:p>
    <w:p w14:paraId="33939BD3" w14:textId="77777777" w:rsidR="00093A5E" w:rsidRPr="006A64EE" w:rsidRDefault="00093A5E" w:rsidP="004255F8">
      <w:pPr>
        <w:pStyle w:val="a3"/>
        <w:widowControl/>
      </w:pPr>
    </w:p>
    <w:p w14:paraId="30B026DA"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rPr>
          <w:b/>
        </w:rPr>
        <w:t xml:space="preserve">Erwachsenen mit mäßiger bis schwerer aktiver rheumatoider Arthritis (RA), </w:t>
      </w:r>
      <w:r w:rsidRPr="006A64EE">
        <w:t>einer Autoimmunerkrankung, wenn vorangegangene Behandlungen nicht gut genug gewirkt haben.</w:t>
      </w:r>
    </w:p>
    <w:p w14:paraId="70CF51E8" w14:textId="77777777" w:rsidR="00093A5E" w:rsidRPr="006A64EE" w:rsidRDefault="00093A5E" w:rsidP="008F757E">
      <w:pPr>
        <w:pStyle w:val="bullet"/>
      </w:pPr>
    </w:p>
    <w:p w14:paraId="23812FA8"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rPr>
          <w:b/>
        </w:rPr>
        <w:t>Erwachsenen mit schwerer aktiver und fortschreitender (progressiver) rheumatoider Arthritis (RA)</w:t>
      </w:r>
      <w:r w:rsidRPr="006A64EE">
        <w:t>, die keine vorherige Methotrexat-Behandlung erhalten haben.</w:t>
      </w:r>
    </w:p>
    <w:p w14:paraId="2E0E0F9B" w14:textId="77777777" w:rsidR="00093A5E" w:rsidRPr="006A64EE" w:rsidRDefault="00093A5E" w:rsidP="004255F8">
      <w:pPr>
        <w:pStyle w:val="a3"/>
        <w:widowControl/>
      </w:pPr>
    </w:p>
    <w:p w14:paraId="0CB2D4F2" w14:textId="23409ED9" w:rsidR="00093A5E" w:rsidRPr="006A64EE" w:rsidRDefault="000007EE" w:rsidP="00107B53">
      <w:pPr>
        <w:pStyle w:val="a3"/>
        <w:widowControl/>
        <w:ind w:left="567"/>
      </w:pPr>
      <w:r>
        <w:t>Avtozma</w:t>
      </w:r>
      <w:r w:rsidR="009C2544" w:rsidRPr="006A64EE">
        <w:t xml:space="preserve"> hilft, die RA-Beschwerden, wie Schmerzen und Schwellungen Ihrer Gelenke, zu verringern und kann auch Ihre Leistungsfähigkeit in Hinblick auf Ihre täglichen Aufgaben verbessern. </w:t>
      </w:r>
      <w:r>
        <w:t>Avtozma</w:t>
      </w:r>
      <w:r w:rsidR="009C2544" w:rsidRPr="006A64EE">
        <w:t xml:space="preserve"> verlangsamt das Fortschreiten der durch die Erkrankung verursachten Knorpel- und Knochenschädigungen der Gelenke und verbessert Ihre Fähigkeit, die normalen täglichen Tätigkeiten auszuführen.</w:t>
      </w:r>
    </w:p>
    <w:p w14:paraId="43A0092D" w14:textId="77777777" w:rsidR="00093A5E" w:rsidRPr="006A64EE" w:rsidRDefault="00093A5E" w:rsidP="00107B53">
      <w:pPr>
        <w:pStyle w:val="a3"/>
        <w:widowControl/>
        <w:ind w:left="567"/>
      </w:pPr>
    </w:p>
    <w:p w14:paraId="5141DE45" w14:textId="7A42B44D" w:rsidR="00093A5E" w:rsidRPr="006A64EE" w:rsidRDefault="000007EE" w:rsidP="00107B53">
      <w:pPr>
        <w:pStyle w:val="a3"/>
        <w:widowControl/>
        <w:ind w:left="567"/>
      </w:pPr>
      <w:r>
        <w:t>Avtozma</w:t>
      </w:r>
      <w:r w:rsidR="009C2544" w:rsidRPr="006A64EE">
        <w:t xml:space="preserve"> wird normalerweise zusammen mit Methotrexat, einem anderen Arzneimittel gegen RA, angewendet. Wenn Ihr Arzt jedoch feststellt, dass Methotrexat nicht für Sie geeignet ist, kann er Ihnen auch nur </w:t>
      </w:r>
      <w:r>
        <w:t>Avtozma</w:t>
      </w:r>
      <w:r w:rsidR="009C2544" w:rsidRPr="006A64EE">
        <w:t xml:space="preserve"> allein geben.</w:t>
      </w:r>
    </w:p>
    <w:p w14:paraId="66F8E9EF" w14:textId="77777777" w:rsidR="00093A5E" w:rsidRPr="006A64EE" w:rsidRDefault="00093A5E" w:rsidP="004255F8">
      <w:pPr>
        <w:pStyle w:val="a3"/>
        <w:widowControl/>
      </w:pPr>
    </w:p>
    <w:p w14:paraId="2ED3A143" w14:textId="77777777" w:rsidR="00093A5E" w:rsidRPr="006A64EE" w:rsidRDefault="0059713A" w:rsidP="008F757E">
      <w:pPr>
        <w:pStyle w:val="bullet"/>
      </w:pPr>
      <w:r w:rsidRPr="006A64EE">
        <w:rPr>
          <w:rFonts w:ascii="Symbol" w:hAnsi="Symbol"/>
        </w:rPr>
        <w:t></w:t>
      </w:r>
      <w:r w:rsidRPr="006A64EE">
        <w:rPr>
          <w:rFonts w:ascii="Symbol" w:hAnsi="Symbol"/>
        </w:rPr>
        <w:tab/>
      </w:r>
      <w:r w:rsidR="007D680A" w:rsidRPr="006A64EE">
        <w:rPr>
          <w:b/>
        </w:rPr>
        <w:t>Erwachsenen mit einer Erkrankung der Arterien namens Riesenzellarteriitis (RZA)</w:t>
      </w:r>
      <w:r w:rsidR="007D680A" w:rsidRPr="006A64EE">
        <w:t>. Diese Erkrankung entsteht durch eine Entzündung der großen Körperarterien, insbesondere der Arterien, die Kopf und Hals mit Blut versorgen. Zu den Symptomen gehören Kopfschmerzen, Ermüdung und Kieferschmerzen. Mögliche Auswirkungen sind Schlaganfall und Erblindung.</w:t>
      </w:r>
    </w:p>
    <w:p w14:paraId="07DE41B6" w14:textId="77777777" w:rsidR="00093A5E" w:rsidRPr="006A64EE" w:rsidRDefault="00093A5E" w:rsidP="004255F8">
      <w:pPr>
        <w:pStyle w:val="a3"/>
        <w:widowControl/>
      </w:pPr>
    </w:p>
    <w:p w14:paraId="2CFA15EA" w14:textId="6C0BE4CF" w:rsidR="00093A5E" w:rsidRPr="006A64EE" w:rsidRDefault="000007EE" w:rsidP="00107B53">
      <w:pPr>
        <w:pStyle w:val="a3"/>
        <w:widowControl/>
        <w:ind w:left="567"/>
      </w:pPr>
      <w:r>
        <w:t>Avtozma</w:t>
      </w:r>
      <w:r w:rsidR="009C2544" w:rsidRPr="006A64EE">
        <w:t xml:space="preserve"> kann die Schmerzen und das Anschwellen der Arterien und Venen in Kopf, Hals und Armen verringern.</w:t>
      </w:r>
    </w:p>
    <w:p w14:paraId="11277C6A" w14:textId="77777777" w:rsidR="00093A5E" w:rsidRPr="006A64EE" w:rsidRDefault="00093A5E" w:rsidP="00107B53">
      <w:pPr>
        <w:pStyle w:val="a3"/>
        <w:widowControl/>
        <w:ind w:left="567"/>
      </w:pPr>
    </w:p>
    <w:p w14:paraId="575E59C6" w14:textId="1F55C1BA" w:rsidR="00093A5E" w:rsidRPr="006A64EE" w:rsidRDefault="009C2544" w:rsidP="00107B53">
      <w:pPr>
        <w:pStyle w:val="a3"/>
        <w:widowControl/>
        <w:ind w:left="567"/>
      </w:pPr>
      <w:r w:rsidRPr="006A64EE">
        <w:t xml:space="preserve">RZA wird oft mit Medikamenten behandelt, die zu den sogenannten Steroiden gehören. Sie sind meistens wirksam, können aber Nebenwirkungen haben, wenn sie über lange Zeit in hohen Dosierungen angewendet werden. Eine Reduzierung der Steroid-Dosis kann ebenfalls zu einem Schub der RZA führen. Wenn man zusätzlich </w:t>
      </w:r>
      <w:r w:rsidR="000007EE">
        <w:t>Avtozma</w:t>
      </w:r>
      <w:r w:rsidRPr="006A64EE">
        <w:t xml:space="preserve"> anwendet, können die Steroide für eine kürzere Zeit eingesetzt und die RZA trotzdem kontrolliert werden.</w:t>
      </w:r>
    </w:p>
    <w:p w14:paraId="59A6F511" w14:textId="77777777" w:rsidR="00093A5E" w:rsidRPr="006A64EE" w:rsidRDefault="00093A5E" w:rsidP="004255F8">
      <w:pPr>
        <w:pStyle w:val="a3"/>
        <w:widowControl/>
      </w:pPr>
    </w:p>
    <w:p w14:paraId="2DDFF22C"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rPr>
          <w:b/>
        </w:rPr>
        <w:t xml:space="preserve">Kindern und Jugendlichen im Alter von 1 Jahr und älter mit aktiver </w:t>
      </w:r>
      <w:r w:rsidRPr="006A64EE">
        <w:rPr>
          <w:b/>
          <w:i/>
        </w:rPr>
        <w:t>systemischer juveniler idiopathischer Arthritis (sJIA)</w:t>
      </w:r>
      <w:r w:rsidRPr="006A64EE">
        <w:t>, einer entzündlichen Erkrankung, die zu Schmerzen und Schwellungen in einem oder mehreren Gelenken, sowie Fieber und Ausschlag führt.</w:t>
      </w:r>
    </w:p>
    <w:p w14:paraId="035A609F" w14:textId="77777777" w:rsidR="00093A5E" w:rsidRPr="006A64EE" w:rsidRDefault="00093A5E" w:rsidP="004255F8">
      <w:pPr>
        <w:pStyle w:val="a3"/>
        <w:widowControl/>
      </w:pPr>
    </w:p>
    <w:p w14:paraId="6098E58B" w14:textId="37F5BF08" w:rsidR="00093A5E" w:rsidRPr="006A64EE" w:rsidRDefault="000007EE" w:rsidP="00107B53">
      <w:pPr>
        <w:pStyle w:val="a3"/>
        <w:widowControl/>
        <w:ind w:left="567"/>
      </w:pPr>
      <w:r>
        <w:t>Avtozma</w:t>
      </w:r>
      <w:r w:rsidR="009C2544" w:rsidRPr="006A64EE">
        <w:t xml:space="preserve"> wird zur Verbesserung der Symptome einer sJIA angewendet und kann in Kombination mit Methotrexat oder allein gegeben werden.</w:t>
      </w:r>
    </w:p>
    <w:p w14:paraId="64AAEBB2" w14:textId="77777777" w:rsidR="00093A5E" w:rsidRPr="006A64EE" w:rsidRDefault="00093A5E" w:rsidP="004255F8">
      <w:pPr>
        <w:pStyle w:val="a3"/>
        <w:widowControl/>
      </w:pPr>
    </w:p>
    <w:p w14:paraId="696CA55B" w14:textId="77777777" w:rsidR="00093A5E" w:rsidRPr="006A64EE" w:rsidRDefault="0059713A" w:rsidP="008F757E">
      <w:pPr>
        <w:widowControl/>
        <w:ind w:left="567" w:hanging="567"/>
      </w:pPr>
      <w:r w:rsidRPr="006A64EE">
        <w:rPr>
          <w:rFonts w:ascii="Symbol" w:hAnsi="Symbol"/>
        </w:rPr>
        <w:t></w:t>
      </w:r>
      <w:r w:rsidRPr="006A64EE">
        <w:rPr>
          <w:rFonts w:ascii="Symbol" w:hAnsi="Symbol"/>
        </w:rPr>
        <w:tab/>
      </w:r>
      <w:r w:rsidRPr="006A64EE">
        <w:rPr>
          <w:b/>
        </w:rPr>
        <w:t xml:space="preserve">Kindern und Jugendlichen im Alter von 2 Jahren und älter mit aktiver </w:t>
      </w:r>
      <w:r w:rsidRPr="006A64EE">
        <w:rPr>
          <w:b/>
          <w:i/>
        </w:rPr>
        <w:t>polyartikulärer juveniler idiopathischer Arthritis (pJIA)</w:t>
      </w:r>
      <w:r w:rsidRPr="006A64EE">
        <w:t>. Das ist eine entzündliche Erkrankung, die zu Schmerzen und Schwellungen in einem oder mehreren Gelenken führt.</w:t>
      </w:r>
    </w:p>
    <w:p w14:paraId="081079BD" w14:textId="77777777" w:rsidR="00093A5E" w:rsidRPr="006A64EE" w:rsidRDefault="00093A5E" w:rsidP="004255F8">
      <w:pPr>
        <w:pStyle w:val="a3"/>
        <w:widowControl/>
      </w:pPr>
    </w:p>
    <w:p w14:paraId="57ECFF2F" w14:textId="69AE742A" w:rsidR="00093A5E" w:rsidRPr="006A64EE" w:rsidRDefault="000007EE" w:rsidP="00E303AE">
      <w:pPr>
        <w:pStyle w:val="a3"/>
        <w:widowControl/>
        <w:ind w:left="567"/>
      </w:pPr>
      <w:r>
        <w:t>Avtozma</w:t>
      </w:r>
      <w:r w:rsidR="009C2544" w:rsidRPr="006A64EE">
        <w:t xml:space="preserve"> wird zur Verbesserung der Symptome einer pJIA angewendet. Es kann in Kombination mit Methotrexat oder allein gegeben werden.</w:t>
      </w:r>
    </w:p>
    <w:p w14:paraId="3A069134" w14:textId="77777777" w:rsidR="00093A5E" w:rsidRPr="006A64EE" w:rsidRDefault="00093A5E" w:rsidP="004255F8">
      <w:pPr>
        <w:pStyle w:val="a3"/>
        <w:widowControl/>
      </w:pPr>
    </w:p>
    <w:p w14:paraId="28FD5DA5" w14:textId="77777777" w:rsidR="00093A5E" w:rsidRPr="006A64EE" w:rsidRDefault="00093A5E" w:rsidP="004255F8">
      <w:pPr>
        <w:pStyle w:val="a3"/>
        <w:widowControl/>
      </w:pPr>
    </w:p>
    <w:p w14:paraId="29518C51" w14:textId="64AB5C6D" w:rsidR="00093A5E" w:rsidRPr="006A64EE" w:rsidRDefault="0059713A" w:rsidP="008D6825">
      <w:pPr>
        <w:pStyle w:val="1"/>
      </w:pPr>
      <w:r w:rsidRPr="006A64EE">
        <w:t>2.</w:t>
      </w:r>
      <w:r w:rsidRPr="006A64EE">
        <w:tab/>
        <w:t xml:space="preserve">Was sollten Sie vor der Anwendung von </w:t>
      </w:r>
      <w:r w:rsidR="000007EE">
        <w:t>Avtozma</w:t>
      </w:r>
      <w:r w:rsidRPr="006A64EE">
        <w:t xml:space="preserve"> beachten?</w:t>
      </w:r>
    </w:p>
    <w:p w14:paraId="3880BC7E" w14:textId="77777777" w:rsidR="00093A5E" w:rsidRPr="006A64EE" w:rsidRDefault="00093A5E" w:rsidP="008F757E">
      <w:pPr>
        <w:pStyle w:val="a3"/>
        <w:widowControl/>
        <w:rPr>
          <w:b/>
        </w:rPr>
      </w:pPr>
    </w:p>
    <w:p w14:paraId="57838140" w14:textId="1D05B464" w:rsidR="00093A5E" w:rsidRPr="006A64EE" w:rsidRDefault="000007EE" w:rsidP="008F757E">
      <w:pPr>
        <w:widowControl/>
        <w:rPr>
          <w:b/>
        </w:rPr>
      </w:pPr>
      <w:r>
        <w:rPr>
          <w:b/>
        </w:rPr>
        <w:t>Avtozma</w:t>
      </w:r>
      <w:r w:rsidR="009C2544" w:rsidRPr="006A64EE">
        <w:rPr>
          <w:b/>
        </w:rPr>
        <w:t xml:space="preserve"> darf nicht angewendet werden,</w:t>
      </w:r>
    </w:p>
    <w:p w14:paraId="522CFD85" w14:textId="2301D8D8" w:rsidR="00093A5E" w:rsidRPr="006A64EE" w:rsidRDefault="0059713A" w:rsidP="008F757E">
      <w:pPr>
        <w:pStyle w:val="bullet"/>
      </w:pPr>
      <w:r w:rsidRPr="006A64EE">
        <w:rPr>
          <w:rFonts w:ascii="Symbol" w:hAnsi="Symbol"/>
        </w:rPr>
        <w:t></w:t>
      </w:r>
      <w:r w:rsidRPr="006A64EE">
        <w:rPr>
          <w:rFonts w:ascii="Symbol" w:hAnsi="Symbol"/>
        </w:rPr>
        <w:tab/>
      </w:r>
      <w:r w:rsidRPr="006A64EE">
        <w:t>wenn Sie oder der minderjährige Patient, den Sie betreuen, allergisch gegen Tocilizumab oder einen der in Abschnitt 6. genannten sonstigen Bestandteile dieses Arzneimittels sind</w:t>
      </w:r>
      <w:r w:rsidR="008370F3">
        <w:t xml:space="preserve"> (siehe besondere Warnhinweise am Ende dieses Abschnitts unter der Zwischenüberschrift „Avtozma enthält Polysorbat“)</w:t>
      </w:r>
      <w:r w:rsidRPr="006A64EE">
        <w:t>.</w:t>
      </w:r>
    </w:p>
    <w:p w14:paraId="52262472"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wenn Sie oder der minderjährige Patient, den Sie betreuen, eine aktive, schwere Infektion haben.</w:t>
      </w:r>
    </w:p>
    <w:p w14:paraId="1C510368" w14:textId="77777777" w:rsidR="00093A5E" w:rsidRPr="006A64EE" w:rsidRDefault="00093A5E" w:rsidP="008F757E">
      <w:pPr>
        <w:pStyle w:val="a3"/>
        <w:widowControl/>
      </w:pPr>
    </w:p>
    <w:p w14:paraId="6FE2EBB0" w14:textId="7EE61E4A" w:rsidR="00093A5E" w:rsidRPr="006A64EE" w:rsidRDefault="009C2544" w:rsidP="008F757E">
      <w:pPr>
        <w:pStyle w:val="a3"/>
        <w:widowControl/>
      </w:pPr>
      <w:r w:rsidRPr="006A64EE">
        <w:t xml:space="preserve">Wenn einer dieser Punkte auf Sie zutrifft, informieren Sie einen Arzt. Wenden Sie </w:t>
      </w:r>
      <w:r w:rsidR="000007EE">
        <w:t>Avtozma</w:t>
      </w:r>
      <w:r w:rsidRPr="006A64EE">
        <w:t xml:space="preserve"> nicht an.</w:t>
      </w:r>
    </w:p>
    <w:p w14:paraId="6F78B459" w14:textId="77777777" w:rsidR="00093A5E" w:rsidRPr="006A64EE" w:rsidRDefault="00093A5E" w:rsidP="008F757E">
      <w:pPr>
        <w:pStyle w:val="a3"/>
        <w:widowControl/>
      </w:pPr>
    </w:p>
    <w:p w14:paraId="490383D4" w14:textId="77777777" w:rsidR="00093A5E" w:rsidRPr="008D6825" w:rsidRDefault="009C2544" w:rsidP="008D6825">
      <w:pPr>
        <w:widowControl/>
        <w:rPr>
          <w:b/>
          <w:bCs/>
        </w:rPr>
      </w:pPr>
      <w:r w:rsidRPr="008D6825">
        <w:rPr>
          <w:b/>
          <w:bCs/>
        </w:rPr>
        <w:t>Warnhinweise und Vorsichtsmaßnahmen</w:t>
      </w:r>
    </w:p>
    <w:p w14:paraId="26E543DE" w14:textId="77777777" w:rsidR="00093A5E" w:rsidRPr="006A64EE" w:rsidRDefault="00093A5E" w:rsidP="008F757E">
      <w:pPr>
        <w:pStyle w:val="a3"/>
        <w:widowControl/>
      </w:pPr>
    </w:p>
    <w:p w14:paraId="1B62DE61" w14:textId="5D250567" w:rsidR="00093A5E" w:rsidRPr="006A64EE" w:rsidRDefault="009C2544" w:rsidP="004255F8">
      <w:pPr>
        <w:pStyle w:val="a3"/>
        <w:widowControl/>
      </w:pPr>
      <w:r w:rsidRPr="006A64EE">
        <w:t xml:space="preserve">Bitte sprechen Sie mit Ihrem Arzt, Apotheker oder dem medizinischen Fachpersonal, bevor Ihnen </w:t>
      </w:r>
      <w:r w:rsidR="000007EE">
        <w:t>Avtozma</w:t>
      </w:r>
      <w:r w:rsidRPr="006A64EE">
        <w:t xml:space="preserve"> verabreicht wird,</w:t>
      </w:r>
    </w:p>
    <w:p w14:paraId="3AF9F6CC" w14:textId="77777777" w:rsidR="00093A5E" w:rsidRPr="006A64EE" w:rsidRDefault="00093A5E" w:rsidP="004255F8">
      <w:pPr>
        <w:pStyle w:val="a3"/>
        <w:widowControl/>
      </w:pPr>
    </w:p>
    <w:p w14:paraId="4BA88441"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während oder nach der Injektion </w:t>
      </w:r>
      <w:r w:rsidRPr="006A64EE">
        <w:rPr>
          <w:b/>
        </w:rPr>
        <w:t xml:space="preserve">allergische Reaktionen </w:t>
      </w:r>
      <w:r w:rsidRPr="006A64EE">
        <w:t xml:space="preserve">wie Engegefühl in der Brust, Atemgeräusche, starken Schwindel oder Benommenheit, Schwellung von Lippen, Zunge, Gesicht oder Juckreiz, Quaddeln oder Hautausschlag bemerken, </w:t>
      </w:r>
      <w:r w:rsidRPr="006A64EE">
        <w:rPr>
          <w:b/>
        </w:rPr>
        <w:t>teilen Sie dies sofort Ihrem Arzt mit</w:t>
      </w:r>
      <w:r w:rsidRPr="006A64EE">
        <w:t>.</w:t>
      </w:r>
    </w:p>
    <w:p w14:paraId="1AE69785" w14:textId="77777777" w:rsidR="00093A5E" w:rsidRPr="006A64EE" w:rsidRDefault="00093A5E" w:rsidP="004255F8">
      <w:pPr>
        <w:pStyle w:val="a3"/>
        <w:widowControl/>
      </w:pPr>
    </w:p>
    <w:p w14:paraId="53A14759" w14:textId="704D1875" w:rsidR="00093A5E" w:rsidRPr="006A64EE" w:rsidRDefault="0059713A" w:rsidP="008F757E">
      <w:pPr>
        <w:pStyle w:val="bullet"/>
      </w:pPr>
      <w:r w:rsidRPr="006A64EE">
        <w:rPr>
          <w:rFonts w:ascii="Symbol" w:hAnsi="Symbol"/>
        </w:rPr>
        <w:lastRenderedPageBreak/>
        <w:t></w:t>
      </w:r>
      <w:r w:rsidRPr="006A64EE">
        <w:rPr>
          <w:rFonts w:ascii="Symbol" w:hAnsi="Symbol"/>
        </w:rPr>
        <w:tab/>
      </w:r>
      <w:r w:rsidRPr="006A64EE">
        <w:t xml:space="preserve">wenn Sie nach der Anwendung von </w:t>
      </w:r>
      <w:r w:rsidR="000007EE">
        <w:t>Avtozma</w:t>
      </w:r>
      <w:r w:rsidRPr="006A64EE">
        <w:t xml:space="preserve"> Symptome einer allergischen Reaktion hatten, wenden Sie die nächste Dosis nicht an, bevor Sie Ihren Arzt informiert haben UND dieser Ihnen gesagt hat, dass Sie die nächste Dosis anwenden können.</w:t>
      </w:r>
    </w:p>
    <w:p w14:paraId="6D3B0582" w14:textId="77777777" w:rsidR="00093A5E" w:rsidRPr="006A64EE" w:rsidRDefault="00093A5E" w:rsidP="004255F8">
      <w:pPr>
        <w:widowControl/>
      </w:pPr>
    </w:p>
    <w:p w14:paraId="585C5355" w14:textId="58B02AC0" w:rsidR="00093A5E" w:rsidRPr="006A64EE" w:rsidRDefault="0059713A" w:rsidP="008F757E">
      <w:pPr>
        <w:pStyle w:val="bullet"/>
      </w:pPr>
      <w:r w:rsidRPr="006A64EE">
        <w:rPr>
          <w:rFonts w:ascii="Symbol" w:hAnsi="Symbol"/>
        </w:rPr>
        <w:t></w:t>
      </w:r>
      <w:r w:rsidRPr="006A64EE">
        <w:rPr>
          <w:rFonts w:ascii="Symbol" w:hAnsi="Symbol"/>
        </w:rPr>
        <w:tab/>
      </w:r>
      <w:r w:rsidR="007D680A" w:rsidRPr="006A64EE">
        <w:t xml:space="preserve">wenn Sie, seit Kurzem oder seit Langem, irgendeine Art von </w:t>
      </w:r>
      <w:r w:rsidR="007D680A" w:rsidRPr="006A64EE">
        <w:rPr>
          <w:b/>
        </w:rPr>
        <w:t xml:space="preserve">Infektion </w:t>
      </w:r>
      <w:r w:rsidR="007D680A" w:rsidRPr="006A64EE">
        <w:t xml:space="preserve">haben oder wenn Sie oft Infektionen bekommen. </w:t>
      </w:r>
      <w:r w:rsidR="007D680A" w:rsidRPr="006A64EE">
        <w:rPr>
          <w:b/>
        </w:rPr>
        <w:t>Teilen Sie Ihrem Arzt sofort mit</w:t>
      </w:r>
      <w:r w:rsidR="007D680A" w:rsidRPr="006A64EE">
        <w:t xml:space="preserve">, wenn Sie sich nicht wohl fühlen. </w:t>
      </w:r>
      <w:r w:rsidR="000007EE">
        <w:t>Avtozma</w:t>
      </w:r>
      <w:r w:rsidR="007D680A" w:rsidRPr="006A64EE">
        <w:t xml:space="preserve"> kann die Fähigkeit Ihres Körpers gegen Infektionen vorzugehen vermindern und kann eine bestehende Infektion verschlimmern oder die Wahrscheinlichkeit eine neue Infektion zu bekommen erhöhen.</w:t>
      </w:r>
    </w:p>
    <w:p w14:paraId="68F5BF70" w14:textId="77777777" w:rsidR="00093A5E" w:rsidRPr="006A64EE" w:rsidRDefault="00093A5E" w:rsidP="004255F8">
      <w:pPr>
        <w:pStyle w:val="a3"/>
        <w:widowControl/>
      </w:pPr>
    </w:p>
    <w:p w14:paraId="3872DDD4" w14:textId="7964F777"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eine </w:t>
      </w:r>
      <w:r w:rsidRPr="006A64EE">
        <w:rPr>
          <w:b/>
        </w:rPr>
        <w:t xml:space="preserve">Tuberkulose </w:t>
      </w:r>
      <w:r w:rsidRPr="006A64EE">
        <w:t xml:space="preserve">hatten. Dies müssen Sie Ihrem Arzt mitteilen. Ihr Arzt wird Sie auf Anzeichen und Symptome einer Tuberkulose untersuchen, bevor er die Behandlung mit </w:t>
      </w:r>
      <w:r w:rsidR="000007EE">
        <w:t>Avtozma</w:t>
      </w:r>
      <w:r w:rsidRPr="006A64EE">
        <w:t xml:space="preserve"> beginnt. Wenn während oder nach der Behandlung Symptome einer Tuberkulose (anhaltender Husten, Gewichtsverlust, Teilnahmslosigkeit, leichtes Fieber) oder andere Infektionen auftreten, informieren Sie umgehend Ihren Arzt.</w:t>
      </w:r>
    </w:p>
    <w:p w14:paraId="29B4E4DC" w14:textId="77777777" w:rsidR="00093A5E" w:rsidRPr="006A64EE" w:rsidRDefault="00093A5E" w:rsidP="004255F8">
      <w:pPr>
        <w:pStyle w:val="a4"/>
        <w:widowControl/>
        <w:tabs>
          <w:tab w:val="left" w:pos="1186"/>
          <w:tab w:val="left" w:pos="1191"/>
        </w:tabs>
        <w:ind w:left="0" w:firstLine="0"/>
      </w:pPr>
    </w:p>
    <w:p w14:paraId="2C6FBB33"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w:t>
      </w:r>
      <w:r w:rsidRPr="006A64EE">
        <w:rPr>
          <w:b/>
        </w:rPr>
        <w:t>Magen</w:t>
      </w:r>
      <w:r w:rsidRPr="006A64EE">
        <w:t xml:space="preserve">- bzw. </w:t>
      </w:r>
      <w:r w:rsidRPr="006A64EE">
        <w:rPr>
          <w:b/>
        </w:rPr>
        <w:t xml:space="preserve">Darmgeschwüre </w:t>
      </w:r>
      <w:r w:rsidRPr="006A64EE">
        <w:t xml:space="preserve">oder </w:t>
      </w:r>
      <w:r w:rsidRPr="006A64EE">
        <w:rPr>
          <w:b/>
        </w:rPr>
        <w:t xml:space="preserve">Divertikulitis </w:t>
      </w:r>
      <w:r w:rsidRPr="006A64EE">
        <w:t>hatten. Dies müssen Sie Ihrem Arzt mitteilen. Symptome sind z. B. Magen- bzw. Bauchschmerzen und ungeklärte Veränderungen bei der Verdauung mit Fieber.</w:t>
      </w:r>
    </w:p>
    <w:p w14:paraId="556D52C4" w14:textId="77777777" w:rsidR="00093A5E" w:rsidRPr="006A64EE" w:rsidRDefault="00093A5E" w:rsidP="004255F8">
      <w:pPr>
        <w:pStyle w:val="a3"/>
        <w:widowControl/>
      </w:pPr>
    </w:p>
    <w:p w14:paraId="35FAFA7E" w14:textId="317689C4"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eine </w:t>
      </w:r>
      <w:r w:rsidRPr="006A64EE">
        <w:rPr>
          <w:b/>
        </w:rPr>
        <w:t xml:space="preserve">Lebererkrankung </w:t>
      </w:r>
      <w:r w:rsidRPr="006A64EE">
        <w:t xml:space="preserve">haben. Dies müssen Sie Ihrem Arzt mitteilen. Bevor Sie </w:t>
      </w:r>
      <w:r w:rsidR="000007EE">
        <w:t>Avtozma</w:t>
      </w:r>
      <w:r w:rsidRPr="006A64EE">
        <w:t xml:space="preserve"> anwenden, wird Ihr Arzt möglicherweise eine Blutuntersuchung durchführen, um Ihre Leberfunktion zu messen.</w:t>
      </w:r>
    </w:p>
    <w:p w14:paraId="78689673" w14:textId="77777777" w:rsidR="00093A5E" w:rsidRPr="006A64EE" w:rsidRDefault="00093A5E" w:rsidP="004255F8">
      <w:pPr>
        <w:widowControl/>
        <w:tabs>
          <w:tab w:val="left" w:pos="1186"/>
          <w:tab w:val="left" w:pos="1198"/>
        </w:tabs>
      </w:pPr>
    </w:p>
    <w:p w14:paraId="1E10753E" w14:textId="4BE9D680" w:rsidR="00093A5E" w:rsidRPr="006A64EE" w:rsidRDefault="0059713A" w:rsidP="008F757E">
      <w:pPr>
        <w:pStyle w:val="bullet"/>
      </w:pPr>
      <w:r w:rsidRPr="006A64EE">
        <w:rPr>
          <w:rFonts w:ascii="Symbol" w:hAnsi="Symbol"/>
        </w:rPr>
        <w:t></w:t>
      </w:r>
      <w:r w:rsidRPr="006A64EE">
        <w:rPr>
          <w:rFonts w:ascii="Symbol" w:hAnsi="Symbol"/>
        </w:rPr>
        <w:tab/>
      </w:r>
      <w:r w:rsidRPr="006A64EE">
        <w:rPr>
          <w:b/>
        </w:rPr>
        <w:t xml:space="preserve">wenn ein Patient vor Kurzem geimpft wurde </w:t>
      </w:r>
      <w:r w:rsidRPr="006A64EE">
        <w:t xml:space="preserve">oder eine Impfung geplant ist, informieren Sie Ihren Arzt. Alle Patienten sollten alle notwendigen Impfungen erhalten, bevor eine Behandlung mit </w:t>
      </w:r>
      <w:r w:rsidR="000007EE">
        <w:t>Avtozma</w:t>
      </w:r>
      <w:r w:rsidRPr="006A64EE">
        <w:t xml:space="preserve"> begonnen wird. Während Sie </w:t>
      </w:r>
      <w:r w:rsidR="000007EE">
        <w:t>Avtozma</w:t>
      </w:r>
      <w:r w:rsidRPr="006A64EE">
        <w:t xml:space="preserve"> erhalten, sollten bestimmte Impfstoffe nicht verwendet werden.</w:t>
      </w:r>
    </w:p>
    <w:p w14:paraId="786E9F97" w14:textId="77777777" w:rsidR="00093A5E" w:rsidRPr="006A64EE" w:rsidRDefault="00093A5E" w:rsidP="004255F8">
      <w:pPr>
        <w:widowControl/>
        <w:tabs>
          <w:tab w:val="left" w:pos="1187"/>
          <w:tab w:val="left" w:pos="1199"/>
        </w:tabs>
      </w:pPr>
    </w:p>
    <w:p w14:paraId="1AFF3264" w14:textId="64D6B780"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w:t>
      </w:r>
      <w:r w:rsidRPr="006A64EE">
        <w:rPr>
          <w:b/>
        </w:rPr>
        <w:t xml:space="preserve">Krebs </w:t>
      </w:r>
      <w:r w:rsidRPr="006A64EE">
        <w:t xml:space="preserve">haben. Dies müssen Sie Ihrem Arzt mitteilen. Ihr Arzt muss dann entscheiden, ob Sie </w:t>
      </w:r>
      <w:r w:rsidR="000007EE">
        <w:t>Avtozma</w:t>
      </w:r>
      <w:r w:rsidRPr="006A64EE">
        <w:t xml:space="preserve"> dennoch erhalten können.</w:t>
      </w:r>
    </w:p>
    <w:p w14:paraId="4B3CDEAD" w14:textId="77777777" w:rsidR="00093A5E" w:rsidRPr="006A64EE" w:rsidRDefault="00093A5E" w:rsidP="004255F8">
      <w:pPr>
        <w:widowControl/>
        <w:tabs>
          <w:tab w:val="left" w:pos="1187"/>
          <w:tab w:val="left" w:pos="1199"/>
        </w:tabs>
      </w:pPr>
    </w:p>
    <w:p w14:paraId="5BFB8882" w14:textId="1C4AA2E3"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w:t>
      </w:r>
      <w:r w:rsidRPr="006A64EE">
        <w:rPr>
          <w:b/>
        </w:rPr>
        <w:t>Herz-/Kreislauf-Risikofaktoren</w:t>
      </w:r>
      <w:r w:rsidRPr="006A64EE">
        <w:t xml:space="preserve">, wie Bluthochdruck und erhöhte Cholesterinwerte haben. Dies müssen Sie Ihrem Arzt mitteilen. Diese Faktoren müssen überwacht werden, während Sie </w:t>
      </w:r>
      <w:r w:rsidR="000007EE">
        <w:t>Avtozma</w:t>
      </w:r>
      <w:r w:rsidRPr="006A64EE">
        <w:t xml:space="preserve"> erhalten.</w:t>
      </w:r>
    </w:p>
    <w:p w14:paraId="5BB0C9F4" w14:textId="77777777" w:rsidR="00093A5E" w:rsidRPr="006A64EE" w:rsidRDefault="00093A5E" w:rsidP="004255F8">
      <w:pPr>
        <w:pStyle w:val="a3"/>
        <w:widowControl/>
      </w:pPr>
    </w:p>
    <w:p w14:paraId="4B2CB16A"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eine mäßige bis schwere </w:t>
      </w:r>
      <w:r w:rsidRPr="006A64EE">
        <w:rPr>
          <w:b/>
        </w:rPr>
        <w:t xml:space="preserve">Nierenfunktionsstörung </w:t>
      </w:r>
      <w:r w:rsidRPr="006A64EE">
        <w:t>haben, wird Sie Ihr Arzt kontrollieren.</w:t>
      </w:r>
    </w:p>
    <w:p w14:paraId="0C9F17D0" w14:textId="77777777" w:rsidR="00093A5E" w:rsidRPr="006A64EE" w:rsidRDefault="00093A5E" w:rsidP="004255F8">
      <w:pPr>
        <w:pStyle w:val="a4"/>
        <w:widowControl/>
        <w:tabs>
          <w:tab w:val="left" w:pos="1187"/>
          <w:tab w:val="left" w:pos="1199"/>
        </w:tabs>
        <w:ind w:left="0" w:firstLine="0"/>
      </w:pPr>
    </w:p>
    <w:p w14:paraId="02166DA8"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an </w:t>
      </w:r>
      <w:r w:rsidRPr="00E303AE">
        <w:rPr>
          <w:b/>
        </w:rPr>
        <w:t>anhaltenden Kopfschmerzen</w:t>
      </w:r>
      <w:r w:rsidRPr="006A64EE">
        <w:t xml:space="preserve"> leiden.</w:t>
      </w:r>
    </w:p>
    <w:p w14:paraId="31796979" w14:textId="77777777" w:rsidR="00093A5E" w:rsidRPr="006A64EE" w:rsidRDefault="00093A5E" w:rsidP="004255F8">
      <w:pPr>
        <w:pStyle w:val="a3"/>
        <w:widowControl/>
      </w:pPr>
    </w:p>
    <w:p w14:paraId="600B8058" w14:textId="76579BD4" w:rsidR="00093A5E" w:rsidRPr="006A64EE" w:rsidRDefault="009C2544" w:rsidP="004255F8">
      <w:pPr>
        <w:pStyle w:val="a3"/>
        <w:widowControl/>
      </w:pPr>
      <w:r w:rsidRPr="006A64EE">
        <w:t xml:space="preserve">Ihr Arzt wird, bevor Sie </w:t>
      </w:r>
      <w:r w:rsidR="000007EE">
        <w:t>Avtozma</w:t>
      </w:r>
      <w:r w:rsidRPr="006A64EE">
        <w:t xml:space="preserve"> erhalten, einen Bluttest machen, um herauszufinden, ob Sie eine niedrige Anzahl weißer Blutzellen und Blutplättchen oder hohe Leberenzymwerte haben.</w:t>
      </w:r>
    </w:p>
    <w:p w14:paraId="3447980C" w14:textId="77777777" w:rsidR="00093A5E" w:rsidRPr="006A64EE" w:rsidRDefault="00093A5E" w:rsidP="004255F8">
      <w:pPr>
        <w:pStyle w:val="a3"/>
        <w:widowControl/>
      </w:pPr>
    </w:p>
    <w:p w14:paraId="67712AA0" w14:textId="77777777" w:rsidR="00093A5E" w:rsidRPr="008D6825" w:rsidRDefault="009C2544" w:rsidP="008D6825">
      <w:pPr>
        <w:widowControl/>
        <w:rPr>
          <w:b/>
          <w:bCs/>
        </w:rPr>
      </w:pPr>
      <w:r w:rsidRPr="008D6825">
        <w:rPr>
          <w:b/>
          <w:bCs/>
        </w:rPr>
        <w:t>Kinder und Jugendliche</w:t>
      </w:r>
    </w:p>
    <w:p w14:paraId="0BEDF1CE" w14:textId="5B72A9D0" w:rsidR="00093A5E" w:rsidRPr="006A64EE" w:rsidRDefault="000007EE" w:rsidP="008F757E">
      <w:pPr>
        <w:pStyle w:val="a3"/>
        <w:widowControl/>
      </w:pPr>
      <w:r>
        <w:t>Avtozma</w:t>
      </w:r>
      <w:r w:rsidR="009C2544" w:rsidRPr="006A64EE">
        <w:t xml:space="preserve"> zur subkutanen Injektion wird nicht für die Behandlung von Kindern unter 1 Jahr empfohlen. </w:t>
      </w:r>
      <w:r>
        <w:t>Avtozma</w:t>
      </w:r>
      <w:r w:rsidR="009C2544" w:rsidRPr="006A64EE">
        <w:t xml:space="preserve"> darf nicht bei Kindern mit sJIA mit einem Gewicht von weniger als 10 kg angewendet werden.</w:t>
      </w:r>
    </w:p>
    <w:p w14:paraId="426235F1" w14:textId="77777777" w:rsidR="00093A5E" w:rsidRPr="006A64EE" w:rsidRDefault="00093A5E" w:rsidP="008F757E">
      <w:pPr>
        <w:pStyle w:val="a3"/>
        <w:widowControl/>
      </w:pPr>
    </w:p>
    <w:p w14:paraId="69BE1DAA" w14:textId="58E977D0" w:rsidR="00093A5E" w:rsidRPr="006A64EE" w:rsidRDefault="009C2544" w:rsidP="008F757E">
      <w:pPr>
        <w:pStyle w:val="a3"/>
        <w:widowControl/>
      </w:pPr>
      <w:r w:rsidRPr="006A64EE">
        <w:t xml:space="preserve">Wenn ein Kind in der Vergangenheit schon einmal ein </w:t>
      </w:r>
      <w:r w:rsidRPr="006A64EE">
        <w:rPr>
          <w:b/>
          <w:i/>
        </w:rPr>
        <w:t xml:space="preserve">Makrophagenaktivierungssyndrom </w:t>
      </w:r>
      <w:r w:rsidRPr="006A64EE">
        <w:t xml:space="preserve">(Aktivierung und unkontrollierte Vermehrung bestimmter Blutzellen) hatte, teilen Sie dies Ihrem Arzt mit. Ihr Arzt muss dann entscheiden, ob es </w:t>
      </w:r>
      <w:r w:rsidR="000007EE">
        <w:t>Avtozma</w:t>
      </w:r>
      <w:r w:rsidRPr="006A64EE">
        <w:t xml:space="preserve"> trotzdem erhalten kann.</w:t>
      </w:r>
    </w:p>
    <w:p w14:paraId="3D84F566" w14:textId="77777777" w:rsidR="00093A5E" w:rsidRPr="006A64EE" w:rsidRDefault="00093A5E" w:rsidP="008F757E">
      <w:pPr>
        <w:pStyle w:val="a3"/>
        <w:widowControl/>
      </w:pPr>
    </w:p>
    <w:p w14:paraId="62349FCF" w14:textId="0FA64BF2" w:rsidR="00093A5E" w:rsidRPr="006A64EE" w:rsidRDefault="009C2544" w:rsidP="008F757E">
      <w:pPr>
        <w:pStyle w:val="2"/>
        <w:ind w:left="0" w:firstLine="0"/>
      </w:pPr>
      <w:r w:rsidRPr="006A64EE">
        <w:lastRenderedPageBreak/>
        <w:t xml:space="preserve">Anwendung von </w:t>
      </w:r>
      <w:r w:rsidR="000007EE">
        <w:t>Avtozma</w:t>
      </w:r>
      <w:r w:rsidRPr="006A64EE">
        <w:t xml:space="preserve"> zusammen mit anderen Arzneimitteln</w:t>
      </w:r>
    </w:p>
    <w:p w14:paraId="18246DC0" w14:textId="79BC2D2C" w:rsidR="00093A5E" w:rsidRPr="006A64EE" w:rsidRDefault="009C2544" w:rsidP="004255F8">
      <w:pPr>
        <w:pStyle w:val="a3"/>
        <w:widowControl/>
      </w:pPr>
      <w:r w:rsidRPr="006A64EE">
        <w:t xml:space="preserve">Informieren Sie Ihren Arzt, wenn Sie andere Arzneimittel einnehmen/anwenden oder kürzlich andere Arzneimittel eingenommen/angewendet haben. </w:t>
      </w:r>
      <w:r w:rsidR="000007EE">
        <w:t>Avtozma</w:t>
      </w:r>
      <w:r w:rsidRPr="006A64EE">
        <w:t xml:space="preserve"> kann die Art der Wirkung einiger Arzneimittel beeinträchtigen und möglicherweise muss deren Dosierung angepasst werden. </w:t>
      </w:r>
      <w:r w:rsidRPr="006A64EE">
        <w:rPr>
          <w:b/>
        </w:rPr>
        <w:t>Teilen Sie Ihrem Arzt mit</w:t>
      </w:r>
      <w:r w:rsidRPr="006A64EE">
        <w:t>, wenn Sie Arzneimittel anwenden, die einen der folgenden Wirkstoffe enthalten:</w:t>
      </w:r>
    </w:p>
    <w:p w14:paraId="4C5A5650"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Methylprednisolon, Dexamethason, die zur Verringerung von Entzündungen angewendet werden</w:t>
      </w:r>
    </w:p>
    <w:p w14:paraId="7108B7BA" w14:textId="77777777" w:rsidR="00093A5E" w:rsidRPr="006A64EE" w:rsidRDefault="0059713A" w:rsidP="008F757E">
      <w:pPr>
        <w:pStyle w:val="bullet"/>
      </w:pPr>
      <w:r w:rsidRPr="006A64EE">
        <w:rPr>
          <w:rFonts w:ascii="Symbol" w:hAnsi="Symbol"/>
        </w:rPr>
        <w:t></w:t>
      </w:r>
      <w:r w:rsidRPr="006A64EE">
        <w:rPr>
          <w:rFonts w:ascii="Symbol" w:hAnsi="Symbol"/>
        </w:rPr>
        <w:tab/>
      </w:r>
      <w:r w:rsidR="007D680A" w:rsidRPr="006A64EE">
        <w:t>Simvastatin oder Atorvastatin, die angewendet werden, um die Cholesterinwerte zu senken</w:t>
      </w:r>
    </w:p>
    <w:p w14:paraId="3EC315B3" w14:textId="522C35E4" w:rsidR="00093A5E" w:rsidRPr="006A64EE" w:rsidRDefault="0059713A" w:rsidP="008F757E">
      <w:pPr>
        <w:pStyle w:val="bullet"/>
      </w:pPr>
      <w:r w:rsidRPr="006A64EE">
        <w:rPr>
          <w:rFonts w:ascii="Symbol" w:hAnsi="Symbol"/>
        </w:rPr>
        <w:t></w:t>
      </w:r>
      <w:r w:rsidRPr="006A64EE">
        <w:rPr>
          <w:rFonts w:ascii="Symbol" w:hAnsi="Symbol"/>
        </w:rPr>
        <w:tab/>
      </w:r>
      <w:r w:rsidRPr="006A64EE">
        <w:t>Calciumkanalblocker (z. B. Amlodipin), d</w:t>
      </w:r>
      <w:r w:rsidR="00CF1594">
        <w:t>ie</w:t>
      </w:r>
      <w:r w:rsidRPr="006A64EE">
        <w:t xml:space="preserve"> angewendet w</w:t>
      </w:r>
      <w:r w:rsidR="00CF1594">
        <w:t>e</w:t>
      </w:r>
      <w:r w:rsidRPr="006A64EE">
        <w:t>rd</w:t>
      </w:r>
      <w:r w:rsidR="00CF1594">
        <w:t>en</w:t>
      </w:r>
      <w:r w:rsidRPr="006A64EE">
        <w:t>, um Bluthochdruck zu behandeln</w:t>
      </w:r>
    </w:p>
    <w:p w14:paraId="5361DF9D"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Theophyllin, das angewendet wird, um Asthma zu behandeln</w:t>
      </w:r>
    </w:p>
    <w:p w14:paraId="7B22B762"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Warfarin oder Phenprocoumon, die als Blutverdünner angewendet werden</w:t>
      </w:r>
    </w:p>
    <w:p w14:paraId="69BBE521"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Phenytoin, das angewendet wird, um Krämpfe zu behandeln</w:t>
      </w:r>
    </w:p>
    <w:p w14:paraId="321CE079"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Ciclosporin, das angewendet wird, um Ihr Immunsystem während Organtransplantationen zu unterdrücken</w:t>
      </w:r>
    </w:p>
    <w:p w14:paraId="58A9338E" w14:textId="28870459" w:rsidR="00093A5E" w:rsidRPr="006A64EE" w:rsidRDefault="0059713A" w:rsidP="008F757E">
      <w:pPr>
        <w:pStyle w:val="bullet"/>
      </w:pPr>
      <w:r w:rsidRPr="006A64EE">
        <w:rPr>
          <w:rFonts w:ascii="Symbol" w:hAnsi="Symbol"/>
        </w:rPr>
        <w:t></w:t>
      </w:r>
      <w:r w:rsidRPr="006A64EE">
        <w:rPr>
          <w:rFonts w:ascii="Symbol" w:hAnsi="Symbol"/>
        </w:rPr>
        <w:tab/>
      </w:r>
      <w:r w:rsidRPr="006A64EE">
        <w:t>Benzodiazepine (z. B. Temazepam), d</w:t>
      </w:r>
      <w:r w:rsidR="00082C20">
        <w:t>ie</w:t>
      </w:r>
      <w:r w:rsidRPr="006A64EE">
        <w:t xml:space="preserve"> angewendet w</w:t>
      </w:r>
      <w:r w:rsidR="00082C20">
        <w:t>e</w:t>
      </w:r>
      <w:r w:rsidRPr="006A64EE">
        <w:t>rd</w:t>
      </w:r>
      <w:r w:rsidR="00082C20">
        <w:t>en</w:t>
      </w:r>
      <w:r w:rsidRPr="006A64EE">
        <w:t>, um Angstzustände zu lindern.</w:t>
      </w:r>
    </w:p>
    <w:p w14:paraId="6E2BC0B3" w14:textId="77777777" w:rsidR="00093A5E" w:rsidRPr="006A64EE" w:rsidRDefault="00093A5E" w:rsidP="004255F8">
      <w:pPr>
        <w:pStyle w:val="a3"/>
        <w:widowControl/>
      </w:pPr>
    </w:p>
    <w:p w14:paraId="6CE5482E" w14:textId="431DDBE8" w:rsidR="00093A5E" w:rsidRPr="006A64EE" w:rsidRDefault="009C2544" w:rsidP="004255F8">
      <w:pPr>
        <w:pStyle w:val="a3"/>
        <w:widowControl/>
      </w:pPr>
      <w:r w:rsidRPr="006A64EE">
        <w:t xml:space="preserve">Aufgrund fehlender klinischer Erfahrung wird nicht empfohlen, </w:t>
      </w:r>
      <w:r w:rsidR="000007EE">
        <w:t>Tocilizumab</w:t>
      </w:r>
      <w:r w:rsidR="000007EE" w:rsidRPr="006A64EE">
        <w:t xml:space="preserve"> </w:t>
      </w:r>
      <w:r w:rsidRPr="006A64EE">
        <w:t>zusammen mit anderen biologischen Arzneimitteln zur Behandlung der RA, sJIA, pJIA oder RZA anzuwenden.</w:t>
      </w:r>
    </w:p>
    <w:p w14:paraId="330EEF2B" w14:textId="77777777" w:rsidR="00093A5E" w:rsidRPr="006A64EE" w:rsidRDefault="00093A5E" w:rsidP="004255F8">
      <w:pPr>
        <w:pStyle w:val="a3"/>
        <w:widowControl/>
      </w:pPr>
    </w:p>
    <w:p w14:paraId="3A97FBC0" w14:textId="77777777" w:rsidR="00093A5E" w:rsidRPr="008D6825" w:rsidRDefault="009C2544" w:rsidP="008D6825">
      <w:pPr>
        <w:widowControl/>
        <w:rPr>
          <w:b/>
          <w:bCs/>
        </w:rPr>
      </w:pPr>
      <w:r w:rsidRPr="008D6825">
        <w:rPr>
          <w:b/>
          <w:bCs/>
        </w:rPr>
        <w:t>Schwangerschaft, Stillzeit und Fortpflanzungsfähigkeit</w:t>
      </w:r>
    </w:p>
    <w:p w14:paraId="73A1BF73" w14:textId="77777777" w:rsidR="00093A5E" w:rsidRPr="006A64EE" w:rsidRDefault="00093A5E" w:rsidP="00121CB7"/>
    <w:p w14:paraId="277EAE85" w14:textId="6B8A34E9" w:rsidR="00093A5E" w:rsidRPr="006A64EE" w:rsidRDefault="000007EE" w:rsidP="008F757E">
      <w:pPr>
        <w:widowControl/>
      </w:pPr>
      <w:r>
        <w:rPr>
          <w:b/>
        </w:rPr>
        <w:t>Avtozma</w:t>
      </w:r>
      <w:r w:rsidR="009C2544" w:rsidRPr="006A64EE">
        <w:rPr>
          <w:b/>
        </w:rPr>
        <w:t xml:space="preserve"> sollte während der Schwangerschaft nicht angewendet werden</w:t>
      </w:r>
      <w:r w:rsidR="009C2544" w:rsidRPr="006A64EE">
        <w:t>, es sei denn, es ist eindeutig erforderlich. Wenn Sie schwanger sind oder stillen, oder wenn Sie vermuten, schwanger zu sein oder beabsichtigen, schwanger zu werden, fragen Sie vor der Anwendung dieses Arzneimittels Ihren Arzt um Rat.</w:t>
      </w:r>
    </w:p>
    <w:p w14:paraId="41F9F397" w14:textId="77777777" w:rsidR="00093A5E" w:rsidRPr="006A64EE" w:rsidRDefault="00093A5E" w:rsidP="008F757E">
      <w:pPr>
        <w:pStyle w:val="a3"/>
        <w:widowControl/>
      </w:pPr>
    </w:p>
    <w:p w14:paraId="5ED04FB2" w14:textId="77777777" w:rsidR="00093A5E" w:rsidRPr="006A64EE" w:rsidRDefault="009C2544" w:rsidP="008F757E">
      <w:pPr>
        <w:widowControl/>
      </w:pPr>
      <w:r w:rsidRPr="006A64EE">
        <w:rPr>
          <w:b/>
        </w:rPr>
        <w:t xml:space="preserve">Frauen im gebärfähigen Alter müssen </w:t>
      </w:r>
      <w:r w:rsidRPr="006A64EE">
        <w:t>während der Behandlung und während 3 Monaten danach eine wirksame Schwangerschaftsverhütung durchführen.</w:t>
      </w:r>
    </w:p>
    <w:p w14:paraId="788E45CA" w14:textId="77777777" w:rsidR="00093A5E" w:rsidRPr="006A64EE" w:rsidRDefault="00093A5E" w:rsidP="008F757E">
      <w:pPr>
        <w:pStyle w:val="a3"/>
        <w:widowControl/>
      </w:pPr>
    </w:p>
    <w:p w14:paraId="0F4EC662" w14:textId="5A5DE1FE" w:rsidR="00093A5E" w:rsidRPr="006A64EE" w:rsidRDefault="009C2544" w:rsidP="008F757E">
      <w:pPr>
        <w:widowControl/>
      </w:pPr>
      <w:r w:rsidRPr="006A64EE">
        <w:rPr>
          <w:b/>
        </w:rPr>
        <w:t xml:space="preserve">Stillen Sie ab, wenn Sie </w:t>
      </w:r>
      <w:r w:rsidR="000007EE">
        <w:rPr>
          <w:b/>
        </w:rPr>
        <w:t>Avtozma</w:t>
      </w:r>
      <w:r w:rsidRPr="006A64EE">
        <w:rPr>
          <w:b/>
        </w:rPr>
        <w:t xml:space="preserve"> erhalten sollen </w:t>
      </w:r>
      <w:r w:rsidRPr="006A64EE">
        <w:t xml:space="preserve">und sprechen Sie mit Ihrem Arzt. Warten Sie nach Ihrer letzten Behandlung mindestens drei Monate ab, bevor Sie mit dem Stillen beginnen. Es ist nicht bekannt, ob </w:t>
      </w:r>
      <w:r w:rsidR="000007EE">
        <w:t>Avtozma</w:t>
      </w:r>
      <w:r w:rsidRPr="006A64EE">
        <w:t xml:space="preserve"> in die Muttermilch übergeht.</w:t>
      </w:r>
    </w:p>
    <w:p w14:paraId="5C1D441D" w14:textId="77777777" w:rsidR="00093A5E" w:rsidRPr="006A64EE" w:rsidRDefault="00093A5E" w:rsidP="008F757E">
      <w:pPr>
        <w:pStyle w:val="a3"/>
        <w:widowControl/>
      </w:pPr>
    </w:p>
    <w:p w14:paraId="2A0B6A7E" w14:textId="77777777" w:rsidR="00093A5E" w:rsidRPr="008D6825" w:rsidRDefault="009C2544" w:rsidP="008D6825">
      <w:pPr>
        <w:widowControl/>
        <w:rPr>
          <w:b/>
          <w:bCs/>
        </w:rPr>
      </w:pPr>
      <w:r w:rsidRPr="008D6825">
        <w:rPr>
          <w:b/>
          <w:bCs/>
        </w:rPr>
        <w:t>Verkehrstüchtigkeit und Fähigkeit zum Bedienen von Maschinen</w:t>
      </w:r>
    </w:p>
    <w:p w14:paraId="31B10131" w14:textId="77777777" w:rsidR="00093A5E" w:rsidRPr="006A64EE" w:rsidRDefault="009C2544" w:rsidP="008F757E">
      <w:pPr>
        <w:pStyle w:val="a3"/>
        <w:widowControl/>
      </w:pPr>
      <w:r w:rsidRPr="006A64EE">
        <w:t>Dieses Arzneimittel kann Schwindel verursachen. Wenn Sie Schwindel verspüren, dann sollten Sie nicht fahren oder Maschinen bedienen.</w:t>
      </w:r>
    </w:p>
    <w:p w14:paraId="579D9423" w14:textId="77777777" w:rsidR="000007EE" w:rsidRDefault="000007EE" w:rsidP="000007EE">
      <w:pPr>
        <w:keepNext/>
        <w:rPr>
          <w:b/>
        </w:rPr>
      </w:pPr>
    </w:p>
    <w:p w14:paraId="389CED41" w14:textId="66DD6CA3" w:rsidR="000007EE" w:rsidRPr="00890245" w:rsidRDefault="000007EE" w:rsidP="000007EE">
      <w:pPr>
        <w:keepNext/>
        <w:rPr>
          <w:b/>
          <w:bCs/>
        </w:rPr>
      </w:pPr>
      <w:r w:rsidRPr="00890245">
        <w:rPr>
          <w:b/>
        </w:rPr>
        <w:t>Avtozma enthält Polysorbat</w:t>
      </w:r>
    </w:p>
    <w:p w14:paraId="6C25F83E" w14:textId="041D2942" w:rsidR="000007EE" w:rsidRPr="00890245" w:rsidRDefault="000007EE" w:rsidP="000007EE">
      <w:r w:rsidRPr="00890245">
        <w:t>Dieses Arzneimittel enthält 0,2 mg Polysorbat 80 pro Fertigspritze. Polysorbate können allergische Reaktionen hervorrufen. Informieren Sie Ihren Arzt, wenn Sie bekannte Allergien haben.</w:t>
      </w:r>
    </w:p>
    <w:p w14:paraId="6E877DB4" w14:textId="77777777" w:rsidR="00093A5E" w:rsidRPr="006A64EE" w:rsidRDefault="00093A5E" w:rsidP="008F757E">
      <w:pPr>
        <w:pStyle w:val="a3"/>
        <w:widowControl/>
      </w:pPr>
    </w:p>
    <w:p w14:paraId="5EEE587A" w14:textId="77777777" w:rsidR="00093A5E" w:rsidRPr="006A64EE" w:rsidRDefault="00093A5E" w:rsidP="004255F8">
      <w:pPr>
        <w:pStyle w:val="a3"/>
        <w:widowControl/>
      </w:pPr>
    </w:p>
    <w:p w14:paraId="3E1056FA" w14:textId="5EB3AA08" w:rsidR="00093A5E" w:rsidRPr="006A64EE" w:rsidRDefault="0059713A" w:rsidP="008F757E">
      <w:pPr>
        <w:pStyle w:val="1"/>
      </w:pPr>
      <w:r w:rsidRPr="006A64EE">
        <w:t>3.</w:t>
      </w:r>
      <w:r w:rsidRPr="006A64EE">
        <w:tab/>
        <w:t xml:space="preserve">Wie ist </w:t>
      </w:r>
      <w:r w:rsidR="000007EE">
        <w:t>Avtozma</w:t>
      </w:r>
      <w:r w:rsidRPr="006A64EE">
        <w:t xml:space="preserve"> anzuwenden?</w:t>
      </w:r>
    </w:p>
    <w:p w14:paraId="13E59D59" w14:textId="77777777" w:rsidR="00093A5E" w:rsidRPr="006A64EE" w:rsidRDefault="00093A5E" w:rsidP="004255F8">
      <w:pPr>
        <w:pStyle w:val="a3"/>
        <w:widowControl/>
      </w:pPr>
    </w:p>
    <w:p w14:paraId="1A646723" w14:textId="77777777" w:rsidR="00093A5E" w:rsidRPr="006A64EE" w:rsidRDefault="009C2544" w:rsidP="004255F8">
      <w:pPr>
        <w:pStyle w:val="a3"/>
        <w:widowControl/>
      </w:pPr>
      <w:r w:rsidRPr="006A64EE">
        <w:t>Wenden Sie dieses Arzneimittel immer genau nach Absprache mit Ihrem Arzt, Apotheker oder dem medizinischen Fachpersonal an. Fragen Sie bei Ihrem Arzt, Apotheker oder dem medizinischen Fachpersonal nach, wenn Sie sich nicht sicher sind.</w:t>
      </w:r>
    </w:p>
    <w:p w14:paraId="18D574B9" w14:textId="77777777" w:rsidR="00093A5E" w:rsidRPr="006A64EE" w:rsidRDefault="00093A5E" w:rsidP="004255F8">
      <w:pPr>
        <w:pStyle w:val="a3"/>
        <w:widowControl/>
      </w:pPr>
    </w:p>
    <w:p w14:paraId="1A14C704" w14:textId="77777777" w:rsidR="00093A5E" w:rsidRPr="006A64EE" w:rsidRDefault="009C2544" w:rsidP="004255F8">
      <w:pPr>
        <w:pStyle w:val="a3"/>
        <w:widowControl/>
      </w:pPr>
      <w:r w:rsidRPr="006A64EE">
        <w:t>Die Behandlung wird von einem Arzt verschrieben und unter seiner Aufsicht begonnen, der in der Diagnose und Behandlung von RA, sJIA, pJIA oder RZA erfahren ist.</w:t>
      </w:r>
    </w:p>
    <w:p w14:paraId="2A23B53A" w14:textId="77777777" w:rsidR="00093A5E" w:rsidRPr="006A64EE" w:rsidRDefault="00093A5E" w:rsidP="004255F8">
      <w:pPr>
        <w:pStyle w:val="a3"/>
        <w:widowControl/>
      </w:pPr>
    </w:p>
    <w:p w14:paraId="210F47FE" w14:textId="77777777" w:rsidR="00093A5E" w:rsidRPr="006A64EE" w:rsidRDefault="009C2544" w:rsidP="008D6825">
      <w:pPr>
        <w:widowControl/>
      </w:pPr>
      <w:r w:rsidRPr="008D6825">
        <w:rPr>
          <w:b/>
          <w:bCs/>
        </w:rPr>
        <w:t>Die empfohlene Dosis</w:t>
      </w:r>
    </w:p>
    <w:p w14:paraId="3DED0B48" w14:textId="77777777" w:rsidR="00093A5E" w:rsidRPr="006A64EE" w:rsidRDefault="009C2544" w:rsidP="008F757E">
      <w:pPr>
        <w:pStyle w:val="a3"/>
        <w:widowControl/>
      </w:pPr>
      <w:r w:rsidRPr="006A64EE">
        <w:t>Die Dosis für Erwachsene mit RA und RZA beträgt 162 mg (der Inhalt einer Fertigspritze), einmal pro Woche angewendet.</w:t>
      </w:r>
    </w:p>
    <w:p w14:paraId="49D694C2" w14:textId="77777777" w:rsidR="00093A5E" w:rsidRPr="006A64EE" w:rsidRDefault="00093A5E" w:rsidP="008F757E">
      <w:pPr>
        <w:pStyle w:val="a3"/>
        <w:widowControl/>
      </w:pPr>
    </w:p>
    <w:p w14:paraId="04AF32DE" w14:textId="77777777" w:rsidR="00093A5E" w:rsidRPr="008D6825" w:rsidRDefault="009C2544" w:rsidP="008D6825">
      <w:pPr>
        <w:widowControl/>
        <w:rPr>
          <w:b/>
          <w:bCs/>
        </w:rPr>
      </w:pPr>
      <w:r w:rsidRPr="008D6825">
        <w:rPr>
          <w:b/>
          <w:bCs/>
        </w:rPr>
        <w:t>Kinder und Jugendliche mit sJIA (1 Jahr und älter)</w:t>
      </w:r>
    </w:p>
    <w:p w14:paraId="202421C6" w14:textId="2D8EF02A" w:rsidR="00093A5E" w:rsidRPr="006A64EE" w:rsidRDefault="009C2544" w:rsidP="004255F8">
      <w:pPr>
        <w:widowControl/>
        <w:rPr>
          <w:b/>
        </w:rPr>
      </w:pPr>
      <w:r w:rsidRPr="006A64EE">
        <w:rPr>
          <w:b/>
        </w:rPr>
        <w:t xml:space="preserve">Die übliche Dosis von </w:t>
      </w:r>
      <w:r w:rsidR="00E26B13">
        <w:rPr>
          <w:b/>
        </w:rPr>
        <w:t>Avtozma</w:t>
      </w:r>
      <w:r w:rsidRPr="006A64EE">
        <w:rPr>
          <w:b/>
        </w:rPr>
        <w:t xml:space="preserve"> ist vom Körpergewicht des Patienten abhängig.</w:t>
      </w:r>
    </w:p>
    <w:p w14:paraId="4F4C85CD" w14:textId="77777777" w:rsidR="00093A5E" w:rsidRPr="006A64EE" w:rsidRDefault="0059713A" w:rsidP="008F757E">
      <w:pPr>
        <w:pStyle w:val="bullet"/>
        <w:rPr>
          <w:b/>
          <w:bCs/>
        </w:rPr>
      </w:pPr>
      <w:r w:rsidRPr="006A64EE">
        <w:rPr>
          <w:rFonts w:ascii="Symbol" w:hAnsi="Symbol"/>
        </w:rPr>
        <w:t></w:t>
      </w:r>
      <w:r w:rsidRPr="006A64EE">
        <w:rPr>
          <w:rFonts w:ascii="Symbol" w:hAnsi="Symbol"/>
        </w:rPr>
        <w:tab/>
      </w:r>
      <w:r w:rsidRPr="006A64EE">
        <w:t xml:space="preserve">wenn der Patient </w:t>
      </w:r>
      <w:r w:rsidRPr="006A64EE">
        <w:rPr>
          <w:b/>
        </w:rPr>
        <w:t xml:space="preserve">weniger als 30 kg </w:t>
      </w:r>
      <w:r w:rsidRPr="006A64EE">
        <w:t>wiegt: die Dosis beträgt 162 mg (Inhalt einer Fertigspritze),</w:t>
      </w:r>
      <w:r w:rsidR="009244B1" w:rsidRPr="006A64EE">
        <w:t xml:space="preserve"> </w:t>
      </w:r>
      <w:r w:rsidRPr="006A64EE">
        <w:rPr>
          <w:b/>
          <w:bCs/>
        </w:rPr>
        <w:t>einmal alle 2 Wochen</w:t>
      </w:r>
    </w:p>
    <w:p w14:paraId="6E42E135"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der Patient </w:t>
      </w:r>
      <w:r w:rsidRPr="006A64EE">
        <w:rPr>
          <w:b/>
        </w:rPr>
        <w:t xml:space="preserve">30 kg und mehr </w:t>
      </w:r>
      <w:r w:rsidRPr="006A64EE">
        <w:t>wiegt: die Dosis beträgt 162 mg (Inhalt einer Fertigspritze),</w:t>
      </w:r>
      <w:r w:rsidR="009244B1" w:rsidRPr="006A64EE">
        <w:t xml:space="preserve"> </w:t>
      </w:r>
      <w:r w:rsidRPr="006A64EE">
        <w:rPr>
          <w:b/>
        </w:rPr>
        <w:t>einmal jede Woche.</w:t>
      </w:r>
    </w:p>
    <w:p w14:paraId="16C690DD" w14:textId="77777777" w:rsidR="00093A5E" w:rsidRPr="006A64EE" w:rsidRDefault="00093A5E" w:rsidP="004255F8">
      <w:pPr>
        <w:widowControl/>
        <w:rPr>
          <w:b/>
        </w:rPr>
      </w:pPr>
    </w:p>
    <w:p w14:paraId="324584ED" w14:textId="77777777" w:rsidR="00093A5E" w:rsidRPr="006A64EE" w:rsidRDefault="009C2544" w:rsidP="004255F8">
      <w:pPr>
        <w:widowControl/>
        <w:rPr>
          <w:b/>
        </w:rPr>
      </w:pPr>
      <w:r w:rsidRPr="006A64EE">
        <w:rPr>
          <w:b/>
        </w:rPr>
        <w:t>Kinder und Jugendliche mit pJIA (2 Jahre und älter)</w:t>
      </w:r>
    </w:p>
    <w:p w14:paraId="6FAD8076" w14:textId="5FA04D61" w:rsidR="00093A5E" w:rsidRPr="006A64EE" w:rsidRDefault="009C2544" w:rsidP="004255F8">
      <w:pPr>
        <w:widowControl/>
        <w:rPr>
          <w:b/>
        </w:rPr>
      </w:pPr>
      <w:r w:rsidRPr="006A64EE">
        <w:rPr>
          <w:b/>
        </w:rPr>
        <w:t xml:space="preserve">Die übliche Dosis von </w:t>
      </w:r>
      <w:r w:rsidR="000007EE">
        <w:rPr>
          <w:b/>
        </w:rPr>
        <w:t>Avtozma</w:t>
      </w:r>
      <w:r w:rsidRPr="006A64EE">
        <w:rPr>
          <w:b/>
        </w:rPr>
        <w:t xml:space="preserve"> ist vom Körpergewicht des Patienten abhängig.</w:t>
      </w:r>
    </w:p>
    <w:p w14:paraId="48BDA4BC"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der Patient </w:t>
      </w:r>
      <w:r w:rsidRPr="006A64EE">
        <w:rPr>
          <w:b/>
        </w:rPr>
        <w:t xml:space="preserve">weniger als 30 kg </w:t>
      </w:r>
      <w:r w:rsidRPr="006A64EE">
        <w:t>wiegt: die Dosis beträgt 162 mg (Inhalt einer Fertigspritze),</w:t>
      </w:r>
      <w:r w:rsidR="009244B1" w:rsidRPr="006A64EE">
        <w:t xml:space="preserve"> </w:t>
      </w:r>
      <w:r w:rsidRPr="006A64EE">
        <w:rPr>
          <w:b/>
          <w:bCs/>
        </w:rPr>
        <w:t>einmal alle 3 Wochen</w:t>
      </w:r>
    </w:p>
    <w:p w14:paraId="0CD0EBA1" w14:textId="77777777" w:rsidR="00093A5E" w:rsidRPr="006A64EE" w:rsidRDefault="0059713A" w:rsidP="008F757E">
      <w:pPr>
        <w:pStyle w:val="bullet"/>
      </w:pPr>
      <w:r w:rsidRPr="006A64EE">
        <w:rPr>
          <w:rFonts w:ascii="Symbol" w:hAnsi="Symbol"/>
        </w:rPr>
        <w:t></w:t>
      </w:r>
      <w:r w:rsidRPr="006A64EE">
        <w:rPr>
          <w:rFonts w:ascii="Symbol" w:hAnsi="Symbol"/>
        </w:rPr>
        <w:tab/>
      </w:r>
      <w:r w:rsidR="007D680A" w:rsidRPr="006A64EE">
        <w:t xml:space="preserve">wenn der Patient </w:t>
      </w:r>
      <w:r w:rsidR="007D680A" w:rsidRPr="00E303AE">
        <w:rPr>
          <w:b/>
        </w:rPr>
        <w:t>30 kg und mehr</w:t>
      </w:r>
      <w:r w:rsidR="007D680A" w:rsidRPr="006A64EE">
        <w:t xml:space="preserve"> wiegt: die Dosis beträgt 162 mg (Inhalt einer Fertigspritze),</w:t>
      </w:r>
      <w:r w:rsidR="009244B1" w:rsidRPr="006A64EE">
        <w:t xml:space="preserve"> </w:t>
      </w:r>
      <w:r w:rsidR="007D680A" w:rsidRPr="006A64EE">
        <w:rPr>
          <w:b/>
          <w:bCs/>
        </w:rPr>
        <w:t>einmal alle 2 Wochen.</w:t>
      </w:r>
    </w:p>
    <w:p w14:paraId="45EC361C" w14:textId="77777777" w:rsidR="00093A5E" w:rsidRPr="006A64EE" w:rsidRDefault="00093A5E" w:rsidP="004255F8">
      <w:pPr>
        <w:pStyle w:val="a3"/>
        <w:widowControl/>
      </w:pPr>
    </w:p>
    <w:p w14:paraId="0EBF4B38" w14:textId="32222DC9" w:rsidR="00093A5E" w:rsidRPr="006A64EE" w:rsidRDefault="000007EE" w:rsidP="004255F8">
      <w:pPr>
        <w:pStyle w:val="a3"/>
        <w:widowControl/>
      </w:pPr>
      <w:r>
        <w:t>Avtozma</w:t>
      </w:r>
      <w:r w:rsidR="009C2544" w:rsidRPr="006A64EE">
        <w:t xml:space="preserve"> wird als Injektion unter die Haut gegeben (</w:t>
      </w:r>
      <w:r w:rsidR="009C2544" w:rsidRPr="006A64EE">
        <w:rPr>
          <w:i/>
        </w:rPr>
        <w:t>subkutan</w:t>
      </w:r>
      <w:r w:rsidR="009C2544" w:rsidRPr="006A64EE">
        <w:t xml:space="preserve">). Zu Beginn Ihrer Behandlung kann Ihr Arzt oder das medizinische Fachpersonal </w:t>
      </w:r>
      <w:r>
        <w:t>Avtozma</w:t>
      </w:r>
      <w:r w:rsidR="009C2544" w:rsidRPr="006A64EE">
        <w:t xml:space="preserve"> injizieren. Ihr Arzt kann jedoch entscheiden, dass Sie sich </w:t>
      </w:r>
      <w:r>
        <w:t>Avtozma</w:t>
      </w:r>
      <w:r w:rsidR="009C2544" w:rsidRPr="006A64EE">
        <w:t xml:space="preserve"> selber injizieren können. In diesem Fall erhalten Sie eine Unterweisung darin, wie Sie sich </w:t>
      </w:r>
      <w:r>
        <w:t>Avtozma</w:t>
      </w:r>
      <w:r w:rsidR="009C2544" w:rsidRPr="006A64EE">
        <w:t xml:space="preserve"> selber injizieren. Eltern und Betreuer erhalten eine Unterweisung darin, wie sie </w:t>
      </w:r>
      <w:r>
        <w:t>Avtozma</w:t>
      </w:r>
      <w:r w:rsidR="009C2544" w:rsidRPr="006A64EE">
        <w:t xml:space="preserve"> bei Patienten injizieren, die sich nicht selber eine Injektion geben können, wie zum Beispiel Kinder.</w:t>
      </w:r>
    </w:p>
    <w:p w14:paraId="5BB55AF0" w14:textId="77777777" w:rsidR="00093A5E" w:rsidRPr="006A64EE" w:rsidRDefault="00093A5E" w:rsidP="004255F8">
      <w:pPr>
        <w:pStyle w:val="a3"/>
        <w:widowControl/>
      </w:pPr>
    </w:p>
    <w:p w14:paraId="4A1D81BE" w14:textId="77777777" w:rsidR="00093A5E" w:rsidRPr="006A64EE" w:rsidRDefault="009C2544" w:rsidP="004255F8">
      <w:pPr>
        <w:pStyle w:val="a3"/>
        <w:widowControl/>
      </w:pPr>
      <w:r w:rsidRPr="006A64EE">
        <w:t>Sprechen Sie mit Ihrem Arzt, wenn Sie Fragen dazu haben, wie Sie sich selbst oder dem minderjährigen Patienten, den Sie betreuen, eine Injektion geben. Am Ende dieser Packungsbeilage finden Sie eine detaillierte „Anleitung zur Anwendung“.</w:t>
      </w:r>
    </w:p>
    <w:p w14:paraId="690738DA" w14:textId="77777777" w:rsidR="00093A5E" w:rsidRPr="006A64EE" w:rsidRDefault="00093A5E" w:rsidP="004255F8">
      <w:pPr>
        <w:pStyle w:val="a3"/>
        <w:widowControl/>
      </w:pPr>
    </w:p>
    <w:p w14:paraId="52B3ED46" w14:textId="644357C7" w:rsidR="00093A5E" w:rsidRPr="008D6825" w:rsidRDefault="009C2544" w:rsidP="008D6825">
      <w:pPr>
        <w:widowControl/>
        <w:rPr>
          <w:b/>
          <w:bCs/>
        </w:rPr>
      </w:pPr>
      <w:r w:rsidRPr="008D6825">
        <w:rPr>
          <w:b/>
          <w:bCs/>
        </w:rPr>
        <w:t xml:space="preserve">Wenn Sie eine größere Menge von </w:t>
      </w:r>
      <w:r w:rsidR="000007EE" w:rsidRPr="008D6825">
        <w:rPr>
          <w:b/>
          <w:bCs/>
        </w:rPr>
        <w:t>Avtozma</w:t>
      </w:r>
      <w:r w:rsidRPr="008D6825">
        <w:rPr>
          <w:b/>
          <w:bCs/>
        </w:rPr>
        <w:t xml:space="preserve"> angewendet haben, als Sie sollten</w:t>
      </w:r>
    </w:p>
    <w:p w14:paraId="00F94168" w14:textId="068B4C61" w:rsidR="00093A5E" w:rsidRPr="006A64EE" w:rsidRDefault="009C2544" w:rsidP="008F757E">
      <w:pPr>
        <w:pStyle w:val="a3"/>
        <w:widowControl/>
        <w:jc w:val="both"/>
      </w:pPr>
      <w:r w:rsidRPr="006A64EE">
        <w:t xml:space="preserve">Da </w:t>
      </w:r>
      <w:r w:rsidR="000007EE">
        <w:t>Avtozma</w:t>
      </w:r>
      <w:r w:rsidRPr="006A64EE">
        <w:t xml:space="preserve"> in einer Fertigspritze angewendet wird, ist es unwahrscheinlich, dass Sie zu viel erhalten. Sollten Sie jedoch beunruhigt sein, sprechen Sie mit Ihrem Arzt, Apotheker oder dem medizinischen Fachpersonal.</w:t>
      </w:r>
    </w:p>
    <w:p w14:paraId="754EED5F" w14:textId="77777777" w:rsidR="00093A5E" w:rsidRPr="006A64EE" w:rsidRDefault="00093A5E" w:rsidP="008F757E">
      <w:pPr>
        <w:pStyle w:val="a3"/>
        <w:widowControl/>
      </w:pPr>
    </w:p>
    <w:p w14:paraId="322567EC" w14:textId="77777777" w:rsidR="00093A5E" w:rsidRPr="008D6825" w:rsidRDefault="009C2544" w:rsidP="008D6825">
      <w:pPr>
        <w:widowControl/>
        <w:rPr>
          <w:b/>
          <w:bCs/>
        </w:rPr>
      </w:pPr>
      <w:r w:rsidRPr="008D6825">
        <w:rPr>
          <w:b/>
          <w:bCs/>
        </w:rPr>
        <w:t>Wenn ein Erwachsener mit RA oder RZA oder ein Kind oder Jugendlicher mit sJIA die Anwendung vergessen oder verpasst hat</w:t>
      </w:r>
    </w:p>
    <w:p w14:paraId="77F7C18E" w14:textId="28FDEBF9" w:rsidR="00093A5E" w:rsidRPr="006A64EE" w:rsidRDefault="009C2544" w:rsidP="008F757E">
      <w:pPr>
        <w:pStyle w:val="a3"/>
        <w:widowControl/>
      </w:pPr>
      <w:r w:rsidRPr="006A64EE">
        <w:t xml:space="preserve">Es ist sehr wichtig, dass Sie </w:t>
      </w:r>
      <w:r w:rsidR="000007EE">
        <w:t>Avtozma</w:t>
      </w:r>
      <w:r w:rsidRPr="006A64EE">
        <w:t xml:space="preserve"> so anwenden, wie es Ihnen Ihr Arzt verschrieben hat. Sie sollten immer wissen, wann Sie Ihre nächste Dosis erhalten sollen.</w:t>
      </w:r>
    </w:p>
    <w:p w14:paraId="274929D7"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Wenn Sie Ihre wöchentliche Dosis um bis zu 7 Tage verpasst haben, wenden Sie Ihre Dosis an Ihrem nächsten vorgesehenen Termin an.</w:t>
      </w:r>
    </w:p>
    <w:p w14:paraId="189C6F56"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Wenn Sie Ihre zweiwöchentliche Dosis um bis zu 7 Tage verpasst haben, injizieren Sie Ihre Dosis sobald Sie es bemerken und wenden Sie Ihre nächste Dosis an Ihrem nächsten vorgesehenen Termin an.</w:t>
      </w:r>
    </w:p>
    <w:p w14:paraId="650A60A6" w14:textId="305274EB"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Sie Ihre Dosis um mehr als 7 Tage verpasst haben, oder Sie nicht sicher sind, wann Sie </w:t>
      </w:r>
      <w:r w:rsidR="000007EE">
        <w:t>Avtozma</w:t>
      </w:r>
      <w:r w:rsidRPr="006A64EE">
        <w:t xml:space="preserve"> injizieren sollen, sprechen Sie mit Ihrem Arzt oder Apotheker.</w:t>
      </w:r>
    </w:p>
    <w:p w14:paraId="5A2A9BCA" w14:textId="77777777" w:rsidR="00093A5E" w:rsidRPr="006A64EE" w:rsidRDefault="00093A5E" w:rsidP="008F757E">
      <w:pPr>
        <w:pStyle w:val="a3"/>
        <w:widowControl/>
      </w:pPr>
    </w:p>
    <w:p w14:paraId="49BCFE85" w14:textId="77777777" w:rsidR="00093A5E" w:rsidRPr="006A64EE" w:rsidRDefault="009C2544" w:rsidP="008D6825">
      <w:pPr>
        <w:widowControl/>
      </w:pPr>
      <w:r w:rsidRPr="008D6825">
        <w:rPr>
          <w:b/>
          <w:bCs/>
        </w:rPr>
        <w:t>Wenn ein Kind oder ein Jugendlicher mit pJIA die Anwendung vergessen oder verpasst hat</w:t>
      </w:r>
    </w:p>
    <w:p w14:paraId="42138C06" w14:textId="665C1D75" w:rsidR="00093A5E" w:rsidRPr="006A64EE" w:rsidRDefault="009C2544" w:rsidP="008F757E">
      <w:pPr>
        <w:pStyle w:val="a3"/>
        <w:widowControl/>
      </w:pPr>
      <w:r w:rsidRPr="006A64EE">
        <w:t xml:space="preserve">Es ist sehr wichtig, dass </w:t>
      </w:r>
      <w:r w:rsidR="000007EE">
        <w:t>Avtozma</w:t>
      </w:r>
      <w:r w:rsidRPr="006A64EE">
        <w:t xml:space="preserve"> so angewendet wird, wie es der Arzt verschrieben hat. Sie sollten immer wissen, wann die nächste Dosis angewendet werden soll.</w:t>
      </w:r>
    </w:p>
    <w:p w14:paraId="3C3E8921"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Wenn eine Dosis um bis zu 7 Tage verpasst wurde, injizieren Sie die Dosis sobald Sie es bemerken und wenden Sie die nächste Dosis an dem nächsten vorgesehenen Termin an.</w:t>
      </w:r>
    </w:p>
    <w:p w14:paraId="420A1474" w14:textId="76E2F348"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Wenn eine Dosis um mehr als 7 Tage verpasst wurde, oder Sie nicht sicher sind, wann </w:t>
      </w:r>
      <w:r w:rsidR="000007EE">
        <w:t>Avtozma</w:t>
      </w:r>
      <w:r w:rsidRPr="006A64EE">
        <w:t xml:space="preserve"> injiziert werden soll, sprechen Sie mit dem Arzt oder Apotheker.</w:t>
      </w:r>
    </w:p>
    <w:p w14:paraId="17BF72DF" w14:textId="77777777" w:rsidR="00093A5E" w:rsidRPr="006A64EE" w:rsidRDefault="00093A5E" w:rsidP="004255F8">
      <w:pPr>
        <w:pStyle w:val="a3"/>
        <w:widowControl/>
      </w:pPr>
    </w:p>
    <w:p w14:paraId="5DCEF515" w14:textId="7B9C12EE" w:rsidR="00093A5E" w:rsidRPr="008D6825" w:rsidRDefault="009C2544" w:rsidP="008D6825">
      <w:pPr>
        <w:widowControl/>
        <w:rPr>
          <w:b/>
          <w:bCs/>
        </w:rPr>
      </w:pPr>
      <w:r w:rsidRPr="008D6825">
        <w:rPr>
          <w:b/>
          <w:bCs/>
        </w:rPr>
        <w:t xml:space="preserve">Wenn Sie die Anwendung von </w:t>
      </w:r>
      <w:r w:rsidR="000007EE" w:rsidRPr="008D6825">
        <w:rPr>
          <w:b/>
          <w:bCs/>
        </w:rPr>
        <w:t>Avtozma</w:t>
      </w:r>
      <w:r w:rsidRPr="008D6825">
        <w:rPr>
          <w:b/>
          <w:bCs/>
        </w:rPr>
        <w:t xml:space="preserve"> abbrechen</w:t>
      </w:r>
    </w:p>
    <w:p w14:paraId="0D168E0C" w14:textId="2D8F2561" w:rsidR="00093A5E" w:rsidRPr="006A64EE" w:rsidRDefault="009C2544" w:rsidP="008F757E">
      <w:pPr>
        <w:pStyle w:val="a3"/>
        <w:widowControl/>
      </w:pPr>
      <w:r w:rsidRPr="006A64EE">
        <w:t xml:space="preserve">Sie sollten die Anwendung von </w:t>
      </w:r>
      <w:r w:rsidR="000007EE">
        <w:t>Avtozma</w:t>
      </w:r>
      <w:r w:rsidRPr="006A64EE">
        <w:t xml:space="preserve"> nicht abbrechen, ohne vorher mit Ihrem Arzt darüber gesprochen zu haben.</w:t>
      </w:r>
    </w:p>
    <w:p w14:paraId="355407C0" w14:textId="77777777" w:rsidR="00093A5E" w:rsidRPr="006A64EE" w:rsidRDefault="00093A5E" w:rsidP="008F757E">
      <w:pPr>
        <w:pStyle w:val="a3"/>
        <w:widowControl/>
      </w:pPr>
    </w:p>
    <w:p w14:paraId="45ECEC74" w14:textId="77777777" w:rsidR="00093A5E" w:rsidRPr="006A64EE" w:rsidRDefault="009C2544" w:rsidP="008F757E">
      <w:pPr>
        <w:pStyle w:val="a3"/>
        <w:widowControl/>
      </w:pPr>
      <w:r w:rsidRPr="006A64EE">
        <w:lastRenderedPageBreak/>
        <w:t>Wenn Sie weitere Fragen zur Anwendung dieses Arzneimittels haben, wenden Sie sich an Ihren Arzt, Apotheker oder das medizinische Fachpersonal.</w:t>
      </w:r>
    </w:p>
    <w:p w14:paraId="2D37F2BC" w14:textId="77777777" w:rsidR="00093A5E" w:rsidRPr="006A64EE" w:rsidRDefault="00093A5E" w:rsidP="008F757E">
      <w:pPr>
        <w:pStyle w:val="a3"/>
        <w:widowControl/>
      </w:pPr>
    </w:p>
    <w:p w14:paraId="5667F2E8" w14:textId="77777777" w:rsidR="00093A5E" w:rsidRPr="006A64EE" w:rsidRDefault="00093A5E" w:rsidP="008F757E">
      <w:pPr>
        <w:pStyle w:val="a3"/>
        <w:widowControl/>
      </w:pPr>
    </w:p>
    <w:p w14:paraId="33043D4F" w14:textId="77777777" w:rsidR="00093A5E" w:rsidRPr="006A64EE" w:rsidRDefault="0059713A" w:rsidP="008D6825">
      <w:pPr>
        <w:pStyle w:val="1"/>
      </w:pPr>
      <w:r w:rsidRPr="006A64EE">
        <w:t>4.</w:t>
      </w:r>
      <w:r w:rsidRPr="006A64EE">
        <w:tab/>
        <w:t>Welche Nebenwirkungen sind möglich?</w:t>
      </w:r>
    </w:p>
    <w:p w14:paraId="44B0DBF0" w14:textId="77777777" w:rsidR="00093A5E" w:rsidRPr="006A64EE" w:rsidRDefault="00093A5E" w:rsidP="004255F8">
      <w:pPr>
        <w:pStyle w:val="a3"/>
        <w:widowControl/>
      </w:pPr>
    </w:p>
    <w:p w14:paraId="1E0D78BB" w14:textId="6799C9E3" w:rsidR="00093A5E" w:rsidRPr="006A64EE" w:rsidRDefault="009C2544" w:rsidP="004255F8">
      <w:pPr>
        <w:pStyle w:val="a3"/>
        <w:widowControl/>
      </w:pPr>
      <w:r w:rsidRPr="006A64EE">
        <w:t xml:space="preserve">Wie alle Arzneimittel kann auch dieses Arzneimittel Nebenwirkungen haben, die aber nicht bei jedem auftreten müssen. Nebenwirkungen können noch 3 Monate oder länger nach Ihrer letzten Dosis von </w:t>
      </w:r>
      <w:r w:rsidR="000007EE">
        <w:t>Avtozma</w:t>
      </w:r>
      <w:r w:rsidRPr="006A64EE">
        <w:t xml:space="preserve"> auftreten.</w:t>
      </w:r>
    </w:p>
    <w:p w14:paraId="05DD51CA" w14:textId="77777777" w:rsidR="00093A5E" w:rsidRPr="006A64EE" w:rsidRDefault="00093A5E" w:rsidP="004255F8">
      <w:pPr>
        <w:widowControl/>
      </w:pPr>
    </w:p>
    <w:p w14:paraId="476B0EC5" w14:textId="77777777" w:rsidR="00093A5E" w:rsidRPr="006A64EE" w:rsidRDefault="007D680A" w:rsidP="004255F8">
      <w:pPr>
        <w:widowControl/>
        <w:rPr>
          <w:b/>
          <w:bCs/>
        </w:rPr>
      </w:pPr>
      <w:r w:rsidRPr="006A64EE">
        <w:rPr>
          <w:b/>
          <w:bCs/>
        </w:rPr>
        <w:t>Mögliche schwerwiegende Nebenwirkungen: Informieren Sie umgehend Ihren Arzt.</w:t>
      </w:r>
    </w:p>
    <w:p w14:paraId="50893944" w14:textId="77777777" w:rsidR="00093A5E" w:rsidRPr="006A64EE" w:rsidRDefault="009C2544" w:rsidP="004255F8">
      <w:pPr>
        <w:widowControl/>
        <w:rPr>
          <w:i/>
        </w:rPr>
      </w:pPr>
      <w:r w:rsidRPr="006A64EE">
        <w:rPr>
          <w:i/>
        </w:rPr>
        <w:t>Diese sind häufig: sie können bei bis zu 1 von 10 Behandelten auftreten</w:t>
      </w:r>
    </w:p>
    <w:p w14:paraId="3B66BDBF" w14:textId="77777777" w:rsidR="00093A5E" w:rsidRPr="006A64EE" w:rsidRDefault="00093A5E" w:rsidP="004255F8">
      <w:pPr>
        <w:pStyle w:val="a3"/>
        <w:widowControl/>
        <w:rPr>
          <w:i/>
        </w:rPr>
      </w:pPr>
    </w:p>
    <w:p w14:paraId="1E05A2A3" w14:textId="77777777" w:rsidR="00093A5E" w:rsidRPr="006A64EE" w:rsidRDefault="009C2544" w:rsidP="004255F8">
      <w:pPr>
        <w:keepNext/>
        <w:widowControl/>
      </w:pPr>
      <w:r w:rsidRPr="006A64EE">
        <w:rPr>
          <w:b/>
        </w:rPr>
        <w:t xml:space="preserve">Allergische Reaktionen </w:t>
      </w:r>
      <w:r w:rsidRPr="006A64EE">
        <w:t>während oder nach der Injektion:</w:t>
      </w:r>
    </w:p>
    <w:p w14:paraId="16164B32"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Schwierigkeiten beim Atmen, Engegefühl in der Brust oder Benommenheit</w:t>
      </w:r>
    </w:p>
    <w:p w14:paraId="350DF951"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Hautausschlag, Juckreiz, Quaddeln, Schwellung der Lippen, Zunge oder des Gesichts.</w:t>
      </w:r>
    </w:p>
    <w:p w14:paraId="3D6B7208" w14:textId="77777777" w:rsidR="00D86CC0" w:rsidRDefault="00D86CC0" w:rsidP="004255F8">
      <w:pPr>
        <w:pStyle w:val="a3"/>
        <w:widowControl/>
      </w:pPr>
    </w:p>
    <w:p w14:paraId="674FFA57" w14:textId="40A2B7A1" w:rsidR="00093A5E" w:rsidRPr="006A64EE" w:rsidRDefault="009C2544" w:rsidP="004255F8">
      <w:pPr>
        <w:pStyle w:val="a3"/>
        <w:widowControl/>
      </w:pPr>
      <w:r w:rsidRPr="006A64EE">
        <w:t xml:space="preserve">Wenn Sie eine dieser Reaktionen bemerken, informieren Sie </w:t>
      </w:r>
      <w:r w:rsidRPr="006A64EE">
        <w:rPr>
          <w:b/>
        </w:rPr>
        <w:t xml:space="preserve">sofort </w:t>
      </w:r>
      <w:r w:rsidRPr="006A64EE">
        <w:t>Ihren Arzt.</w:t>
      </w:r>
    </w:p>
    <w:p w14:paraId="0243CC3A" w14:textId="77777777" w:rsidR="00093A5E" w:rsidRPr="006A64EE" w:rsidRDefault="00093A5E" w:rsidP="004255F8">
      <w:pPr>
        <w:pStyle w:val="a3"/>
        <w:widowControl/>
      </w:pPr>
    </w:p>
    <w:p w14:paraId="279EEC26" w14:textId="77777777" w:rsidR="00093A5E" w:rsidRPr="008D6825" w:rsidRDefault="009C2544" w:rsidP="008D6825">
      <w:pPr>
        <w:widowControl/>
        <w:rPr>
          <w:b/>
          <w:bCs/>
        </w:rPr>
      </w:pPr>
      <w:r w:rsidRPr="008D6825">
        <w:rPr>
          <w:b/>
          <w:bCs/>
        </w:rPr>
        <w:t>Anzeichen schwerwiegender Infektionen</w:t>
      </w:r>
      <w:r w:rsidRPr="008D6825">
        <w:t>:</w:t>
      </w:r>
    </w:p>
    <w:p w14:paraId="314E873E"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Fieber und Schüttelfrost</w:t>
      </w:r>
    </w:p>
    <w:p w14:paraId="213EBD96"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Blasen im Mund oder auf der Haut</w:t>
      </w:r>
    </w:p>
    <w:p w14:paraId="1F4D2FF0"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Magen- bzw. Bauchschmerzen.</w:t>
      </w:r>
    </w:p>
    <w:p w14:paraId="6F34DD6E" w14:textId="77777777" w:rsidR="00093A5E" w:rsidRPr="006A64EE" w:rsidRDefault="00093A5E" w:rsidP="008F757E">
      <w:pPr>
        <w:pStyle w:val="a3"/>
        <w:widowControl/>
      </w:pPr>
    </w:p>
    <w:p w14:paraId="0EB95B25" w14:textId="77777777" w:rsidR="00093A5E" w:rsidRPr="008D6825" w:rsidRDefault="009C2544" w:rsidP="008D6825">
      <w:pPr>
        <w:widowControl/>
        <w:rPr>
          <w:b/>
          <w:bCs/>
        </w:rPr>
      </w:pPr>
      <w:r w:rsidRPr="008D6825">
        <w:rPr>
          <w:b/>
          <w:bCs/>
        </w:rPr>
        <w:t>Anzeichen und Symptome von Lebertoxizität</w:t>
      </w:r>
      <w:r w:rsidRPr="008D6825">
        <w:t>:</w:t>
      </w:r>
    </w:p>
    <w:p w14:paraId="73E414B8" w14:textId="4E856D82" w:rsidR="00093A5E" w:rsidRPr="006A64EE" w:rsidRDefault="009C2544" w:rsidP="008F757E">
      <w:pPr>
        <w:widowControl/>
        <w:rPr>
          <w:i/>
        </w:rPr>
      </w:pPr>
      <w:r w:rsidRPr="006A64EE">
        <w:rPr>
          <w:i/>
        </w:rPr>
        <w:t>Können bei bis zu 1 von 1</w:t>
      </w:r>
      <w:r w:rsidR="00DF3F57">
        <w:rPr>
          <w:i/>
        </w:rPr>
        <w:t> </w:t>
      </w:r>
      <w:r w:rsidRPr="006A64EE">
        <w:rPr>
          <w:i/>
        </w:rPr>
        <w:t>000</w:t>
      </w:r>
      <w:r w:rsidR="00DF3F57">
        <w:rPr>
          <w:i/>
        </w:rPr>
        <w:t> </w:t>
      </w:r>
      <w:r w:rsidRPr="006A64EE">
        <w:rPr>
          <w:i/>
        </w:rPr>
        <w:t>Behandelten auftreten</w:t>
      </w:r>
    </w:p>
    <w:p w14:paraId="4B087E05"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Müdigkeit</w:t>
      </w:r>
    </w:p>
    <w:p w14:paraId="25F05106"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Bauchschmerzen</w:t>
      </w:r>
    </w:p>
    <w:p w14:paraId="1909C40A"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Gelbsucht (gelbe Verfärbung der Haut oder der Augen).</w:t>
      </w:r>
    </w:p>
    <w:p w14:paraId="26B28575" w14:textId="77777777" w:rsidR="00093A5E" w:rsidRPr="006A64EE" w:rsidRDefault="00093A5E" w:rsidP="008F757E">
      <w:pPr>
        <w:widowControl/>
      </w:pPr>
    </w:p>
    <w:p w14:paraId="5D50B393" w14:textId="77777777" w:rsidR="00093A5E" w:rsidRPr="006A64EE" w:rsidRDefault="009C2544" w:rsidP="008F757E">
      <w:pPr>
        <w:widowControl/>
      </w:pPr>
      <w:r w:rsidRPr="006A64EE">
        <w:t xml:space="preserve">Wenn Sie eine dieser Reaktionen bemerken, informieren Sie </w:t>
      </w:r>
      <w:r w:rsidRPr="006A64EE">
        <w:rPr>
          <w:b/>
        </w:rPr>
        <w:t xml:space="preserve">so schnell wie möglich </w:t>
      </w:r>
      <w:r w:rsidRPr="006A64EE">
        <w:t>Ihren Arzt.</w:t>
      </w:r>
    </w:p>
    <w:p w14:paraId="7C060144" w14:textId="77777777" w:rsidR="00093A5E" w:rsidRPr="006A64EE" w:rsidRDefault="00093A5E" w:rsidP="008F757E">
      <w:pPr>
        <w:pStyle w:val="a3"/>
        <w:widowControl/>
      </w:pPr>
    </w:p>
    <w:p w14:paraId="6F0DD308" w14:textId="77777777" w:rsidR="00093A5E" w:rsidRPr="008D6825" w:rsidRDefault="009C2544" w:rsidP="008D6825">
      <w:pPr>
        <w:widowControl/>
        <w:rPr>
          <w:b/>
          <w:bCs/>
        </w:rPr>
      </w:pPr>
      <w:r w:rsidRPr="008D6825">
        <w:rPr>
          <w:b/>
          <w:bCs/>
        </w:rPr>
        <w:t>Sehr häufige Nebenwirkungen</w:t>
      </w:r>
      <w:r w:rsidRPr="008D6825">
        <w:t>:</w:t>
      </w:r>
    </w:p>
    <w:p w14:paraId="5E30D8B5" w14:textId="77777777" w:rsidR="00093A5E" w:rsidRPr="006A64EE" w:rsidRDefault="009C2544" w:rsidP="008F757E">
      <w:pPr>
        <w:widowControl/>
        <w:rPr>
          <w:i/>
        </w:rPr>
      </w:pPr>
      <w:r w:rsidRPr="006A64EE">
        <w:rPr>
          <w:i/>
        </w:rPr>
        <w:t>Können bei mehr als 1 von 10 Patienten auftreten</w:t>
      </w:r>
    </w:p>
    <w:p w14:paraId="16EEAC0F"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Infektionen der oberen Atemwege mit typischen Beschwerden wie Husten, verstopfte Nase, laufende Nase, Halsschmerzen und Kopfschmerzen</w:t>
      </w:r>
    </w:p>
    <w:p w14:paraId="34890DA3"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hohe Blutfettwerte (Cholesterinwerte)</w:t>
      </w:r>
    </w:p>
    <w:p w14:paraId="211B8D7A"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Reaktionen an der Injektionsstelle.</w:t>
      </w:r>
    </w:p>
    <w:p w14:paraId="390F3E2A" w14:textId="77777777" w:rsidR="00093A5E" w:rsidRPr="006A64EE" w:rsidRDefault="00093A5E" w:rsidP="00121CB7"/>
    <w:p w14:paraId="15555162" w14:textId="77777777" w:rsidR="00093A5E" w:rsidRPr="008D6825" w:rsidRDefault="009C2544" w:rsidP="008D6825">
      <w:pPr>
        <w:widowControl/>
        <w:rPr>
          <w:b/>
          <w:bCs/>
        </w:rPr>
      </w:pPr>
      <w:r w:rsidRPr="008D6825">
        <w:rPr>
          <w:b/>
          <w:bCs/>
        </w:rPr>
        <w:t>Häufige Nebenwirkungen</w:t>
      </w:r>
      <w:r w:rsidRPr="008D6825">
        <w:t>:</w:t>
      </w:r>
    </w:p>
    <w:p w14:paraId="3005A65F" w14:textId="77777777" w:rsidR="00093A5E" w:rsidRPr="006A64EE" w:rsidRDefault="009C2544" w:rsidP="008F757E">
      <w:pPr>
        <w:widowControl/>
        <w:rPr>
          <w:i/>
        </w:rPr>
      </w:pPr>
      <w:r w:rsidRPr="006A64EE">
        <w:rPr>
          <w:i/>
        </w:rPr>
        <w:t>Können bei bis zu 1 von 10 Patienten auftreten</w:t>
      </w:r>
    </w:p>
    <w:p w14:paraId="3052C37A"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Lungenentzündung (Pneumonie)</w:t>
      </w:r>
    </w:p>
    <w:p w14:paraId="196F4D74"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Gürtelrose (Herpes zoster)</w:t>
      </w:r>
    </w:p>
    <w:p w14:paraId="04300C48"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Fieberblasen (oraler Herpes simplex), Blasen</w:t>
      </w:r>
    </w:p>
    <w:p w14:paraId="23FF427A"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Hautinfektionen (Zellulitis), manchmal mit Fieber und Schüttelfrost</w:t>
      </w:r>
    </w:p>
    <w:p w14:paraId="06124AEB"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Hautausschlag und Juckreiz, Quaddeln</w:t>
      </w:r>
    </w:p>
    <w:p w14:paraId="16351124"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allergische Reaktionen (Überempfindlichkeitsreaktionen)</w:t>
      </w:r>
    </w:p>
    <w:p w14:paraId="6E0E9826"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Infektionen der Augen (Konjunktivitis)</w:t>
      </w:r>
    </w:p>
    <w:p w14:paraId="4EA663D6"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Kopfschmerzen, Schwindel, Bluthochdruck</w:t>
      </w:r>
    </w:p>
    <w:p w14:paraId="19DAA243"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Geschwüre im Mund, Magen- bzw. Bauchschmerzen</w:t>
      </w:r>
    </w:p>
    <w:p w14:paraId="66EB1CA8"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Flüssigkeitsansammlung (Ödem) der Unterschenkel, Gewichtszunahme</w:t>
      </w:r>
    </w:p>
    <w:p w14:paraId="65550D98"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Husten, Kurzatmigkeit</w:t>
      </w:r>
    </w:p>
    <w:p w14:paraId="4F21394B"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niedrige Anzahl der weißen Blutkörperchen, die bei Blutuntersuchungen festgestellt wird (Neutropenie, Leukopenie)</w:t>
      </w:r>
    </w:p>
    <w:p w14:paraId="3462854E" w14:textId="77777777" w:rsidR="00093A5E" w:rsidRPr="006A64EE" w:rsidRDefault="0059713A" w:rsidP="008F757E">
      <w:pPr>
        <w:pStyle w:val="bullet"/>
      </w:pPr>
      <w:r w:rsidRPr="006A64EE">
        <w:rPr>
          <w:rFonts w:ascii="Symbol" w:hAnsi="Symbol"/>
        </w:rPr>
        <w:lastRenderedPageBreak/>
        <w:t></w:t>
      </w:r>
      <w:r w:rsidRPr="006A64EE">
        <w:rPr>
          <w:rFonts w:ascii="Symbol" w:hAnsi="Symbol"/>
        </w:rPr>
        <w:tab/>
      </w:r>
      <w:r w:rsidRPr="006A64EE">
        <w:t>abnormale Leberfunktionstests (erhöhte Transaminasenwerte)</w:t>
      </w:r>
    </w:p>
    <w:p w14:paraId="2E0B35C8"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erhöhte Bilirubinwerte bei Blutuntersuchungen</w:t>
      </w:r>
    </w:p>
    <w:p w14:paraId="4C2C87CB"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niedrige Fibrinogenspiegel im Blut (ein Protein, das an der Blutgerinnung beteiligt ist).</w:t>
      </w:r>
    </w:p>
    <w:p w14:paraId="6362487E" w14:textId="77777777" w:rsidR="00093A5E" w:rsidRPr="006A64EE" w:rsidRDefault="00093A5E" w:rsidP="00121CB7"/>
    <w:p w14:paraId="7BB9E474" w14:textId="77777777" w:rsidR="00093A5E" w:rsidRPr="008D6825" w:rsidRDefault="009C2544" w:rsidP="008D6825">
      <w:pPr>
        <w:widowControl/>
      </w:pPr>
      <w:r w:rsidRPr="008D6825">
        <w:rPr>
          <w:b/>
          <w:bCs/>
        </w:rPr>
        <w:t>Gelegentliche Nebenwirkungen</w:t>
      </w:r>
      <w:r w:rsidRPr="008D6825">
        <w:t>:</w:t>
      </w:r>
    </w:p>
    <w:p w14:paraId="73E9974E" w14:textId="77777777" w:rsidR="00093A5E" w:rsidRPr="006A64EE" w:rsidRDefault="009C2544" w:rsidP="008F757E">
      <w:pPr>
        <w:widowControl/>
        <w:rPr>
          <w:i/>
        </w:rPr>
      </w:pPr>
      <w:r w:rsidRPr="006A64EE">
        <w:rPr>
          <w:i/>
        </w:rPr>
        <w:t>Können bei bis zu 1 von 100 Patienten auftreten</w:t>
      </w:r>
    </w:p>
    <w:p w14:paraId="3B13B65D"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Divertikulitis (Fieber, Übelkeit, Durchfall, Verstopfung, Magen- bzw. Bauchschmerzen)</w:t>
      </w:r>
    </w:p>
    <w:p w14:paraId="265FE461"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rote, geschwollene (entzündete) Flächen im Mund</w:t>
      </w:r>
    </w:p>
    <w:p w14:paraId="091FBC4F"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hohe Blutfettwerte (Triglyzeride)</w:t>
      </w:r>
    </w:p>
    <w:p w14:paraId="7421C327"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Magengeschwür</w:t>
      </w:r>
    </w:p>
    <w:p w14:paraId="5548E396"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Nierensteine</w:t>
      </w:r>
    </w:p>
    <w:p w14:paraId="58D0A6B2" w14:textId="77777777" w:rsidR="00093A5E" w:rsidRPr="006A64EE" w:rsidRDefault="0059713A" w:rsidP="008F757E">
      <w:pPr>
        <w:pStyle w:val="bullet"/>
      </w:pPr>
      <w:r w:rsidRPr="006A64EE">
        <w:rPr>
          <w:rFonts w:ascii="Symbol" w:hAnsi="Symbol"/>
        </w:rPr>
        <w:t></w:t>
      </w:r>
      <w:r w:rsidRPr="006A64EE">
        <w:rPr>
          <w:rFonts w:ascii="Symbol" w:hAnsi="Symbol"/>
        </w:rPr>
        <w:tab/>
      </w:r>
      <w:r w:rsidR="007D680A" w:rsidRPr="006A64EE">
        <w:t>Schilddrüsenunterfunktion.</w:t>
      </w:r>
    </w:p>
    <w:p w14:paraId="5797DFD1" w14:textId="77777777" w:rsidR="00093A5E" w:rsidRPr="006A64EE" w:rsidRDefault="00093A5E" w:rsidP="008F757E">
      <w:pPr>
        <w:pStyle w:val="a3"/>
        <w:widowControl/>
      </w:pPr>
    </w:p>
    <w:p w14:paraId="50B518A6" w14:textId="77777777" w:rsidR="00093A5E" w:rsidRPr="008D6825" w:rsidRDefault="009C2544" w:rsidP="008D6825">
      <w:pPr>
        <w:widowControl/>
        <w:rPr>
          <w:b/>
          <w:bCs/>
        </w:rPr>
      </w:pPr>
      <w:r w:rsidRPr="008D6825">
        <w:rPr>
          <w:b/>
          <w:bCs/>
        </w:rPr>
        <w:t>Seltene Nebenwirkungen</w:t>
      </w:r>
      <w:r w:rsidRPr="008D6825">
        <w:t>:</w:t>
      </w:r>
    </w:p>
    <w:p w14:paraId="0B47BBBC" w14:textId="3C20E570" w:rsidR="00093A5E" w:rsidRPr="006A64EE" w:rsidRDefault="009C2544" w:rsidP="008F757E">
      <w:pPr>
        <w:keepNext/>
        <w:widowControl/>
        <w:rPr>
          <w:i/>
        </w:rPr>
      </w:pPr>
      <w:r w:rsidRPr="006A64EE">
        <w:rPr>
          <w:i/>
        </w:rPr>
        <w:t>Können bei bis zu 1 von 1</w:t>
      </w:r>
      <w:r w:rsidR="00DF3F57">
        <w:rPr>
          <w:i/>
        </w:rPr>
        <w:t> </w:t>
      </w:r>
      <w:r w:rsidRPr="006A64EE">
        <w:rPr>
          <w:i/>
        </w:rPr>
        <w:t>000</w:t>
      </w:r>
      <w:r w:rsidR="00DF3F57">
        <w:rPr>
          <w:i/>
        </w:rPr>
        <w:t> </w:t>
      </w:r>
      <w:r w:rsidRPr="006A64EE">
        <w:rPr>
          <w:i/>
        </w:rPr>
        <w:t>Behandelten auftreten</w:t>
      </w:r>
    </w:p>
    <w:p w14:paraId="6291F02A"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Stevens-Johnson-Syndrom (Hautausschlag, welcher zu schwerer Blasenbildung und Abschälung der Haut führen kann)</w:t>
      </w:r>
    </w:p>
    <w:p w14:paraId="7E78CD06"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Tödliche allergische Reaktionen (Anaphylaxie [tödlich])</w:t>
      </w:r>
    </w:p>
    <w:p w14:paraId="6B8166BF"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Entzündung der Leber (Hepatitis), Gelbsucht.</w:t>
      </w:r>
    </w:p>
    <w:p w14:paraId="5E4FA3D9" w14:textId="77777777" w:rsidR="00093A5E" w:rsidRPr="006A64EE" w:rsidRDefault="00093A5E" w:rsidP="004255F8">
      <w:pPr>
        <w:pStyle w:val="a3"/>
        <w:widowControl/>
      </w:pPr>
    </w:p>
    <w:p w14:paraId="2C766D85" w14:textId="77777777" w:rsidR="00093A5E" w:rsidRPr="008D6825" w:rsidRDefault="009C2544" w:rsidP="008D6825">
      <w:pPr>
        <w:widowControl/>
        <w:rPr>
          <w:b/>
          <w:bCs/>
        </w:rPr>
      </w:pPr>
      <w:r w:rsidRPr="008D6825">
        <w:rPr>
          <w:b/>
          <w:bCs/>
        </w:rPr>
        <w:t>Sehr seltene Nebenwirkungen</w:t>
      </w:r>
      <w:r w:rsidRPr="008D6825">
        <w:t>:</w:t>
      </w:r>
    </w:p>
    <w:p w14:paraId="7A37BA35" w14:textId="328B4E19" w:rsidR="00093A5E" w:rsidRPr="006A64EE" w:rsidRDefault="009C2544" w:rsidP="008F757E">
      <w:pPr>
        <w:widowControl/>
        <w:rPr>
          <w:i/>
        </w:rPr>
      </w:pPr>
      <w:r w:rsidRPr="006A64EE">
        <w:rPr>
          <w:i/>
        </w:rPr>
        <w:t>Können bei bis zu 1 von 10</w:t>
      </w:r>
      <w:r w:rsidR="00DF3F57">
        <w:rPr>
          <w:i/>
        </w:rPr>
        <w:t> </w:t>
      </w:r>
      <w:r w:rsidRPr="006A64EE">
        <w:rPr>
          <w:i/>
        </w:rPr>
        <w:t>000</w:t>
      </w:r>
      <w:r w:rsidR="00DF3F57">
        <w:rPr>
          <w:i/>
        </w:rPr>
        <w:t> </w:t>
      </w:r>
      <w:r w:rsidRPr="006A64EE">
        <w:rPr>
          <w:i/>
        </w:rPr>
        <w:t>Behandelten auftreten</w:t>
      </w:r>
    </w:p>
    <w:p w14:paraId="69F55AE4"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Niedrige Werte der weißen Blutkörperchen, der roten Blutkörperchen und der Thrombozyten in Bluttests</w:t>
      </w:r>
    </w:p>
    <w:p w14:paraId="7546BD7B"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Leberversagen.</w:t>
      </w:r>
    </w:p>
    <w:p w14:paraId="35E01F9B" w14:textId="77777777" w:rsidR="00093A5E" w:rsidRPr="006A64EE" w:rsidRDefault="00093A5E" w:rsidP="008F757E">
      <w:pPr>
        <w:pStyle w:val="a3"/>
        <w:widowControl/>
      </w:pPr>
    </w:p>
    <w:p w14:paraId="34213F96" w14:textId="77777777" w:rsidR="00093A5E" w:rsidRPr="008D6825" w:rsidRDefault="009C2544" w:rsidP="008D6825">
      <w:pPr>
        <w:widowControl/>
        <w:rPr>
          <w:b/>
          <w:bCs/>
        </w:rPr>
      </w:pPr>
      <w:r w:rsidRPr="008D6825">
        <w:rPr>
          <w:b/>
          <w:bCs/>
        </w:rPr>
        <w:t>Nebenwirkungen bei Kindern und Jugendlichen mit sJIA oder pJIA</w:t>
      </w:r>
    </w:p>
    <w:p w14:paraId="2D192B2D" w14:textId="77777777" w:rsidR="00093A5E" w:rsidRPr="006A64EE" w:rsidRDefault="009C2544" w:rsidP="008F757E">
      <w:pPr>
        <w:pStyle w:val="a3"/>
        <w:widowControl/>
      </w:pPr>
      <w:r w:rsidRPr="006A64EE">
        <w:t>Nebenwirkungen bei Kindern und Jugendlichen mit sJIA oder pJIA sind allgemein mit denen Erwachsener vergleichbar. Manche Nebenwirkungen treten bei Kindern und Jugendlichen öfter auf: entzündete Nase und entzündeter Hals, Kopfschmerzen, Übelkeit und niedrigere Anzahl der weißen Blutkörperchen.</w:t>
      </w:r>
    </w:p>
    <w:p w14:paraId="399A3431" w14:textId="77777777" w:rsidR="00093A5E" w:rsidRPr="006A64EE" w:rsidRDefault="00093A5E" w:rsidP="008F757E">
      <w:pPr>
        <w:pStyle w:val="a3"/>
        <w:widowControl/>
      </w:pPr>
    </w:p>
    <w:p w14:paraId="4C77C5EF" w14:textId="77777777" w:rsidR="00093A5E" w:rsidRPr="006A64EE" w:rsidRDefault="009C2544" w:rsidP="008F757E">
      <w:pPr>
        <w:pStyle w:val="a3"/>
        <w:widowControl/>
      </w:pPr>
      <w:r w:rsidRPr="006A64EE">
        <w:t>Wenn Sie Nebenwirkungen bemerken, wenden Sie sich an Ihren Arzt, Apotheker oder das medizinische Fachpersonal. Dies gilt auch für Nebenwirkungen, die nicht in dieser Packungsbeilage angegeben sind.</w:t>
      </w:r>
    </w:p>
    <w:p w14:paraId="29F14781" w14:textId="77777777" w:rsidR="00093A5E" w:rsidRPr="006A64EE" w:rsidRDefault="00093A5E" w:rsidP="008F757E">
      <w:pPr>
        <w:pStyle w:val="a3"/>
        <w:widowControl/>
      </w:pPr>
    </w:p>
    <w:p w14:paraId="42944213" w14:textId="77777777" w:rsidR="00093A5E" w:rsidRPr="008D6825" w:rsidRDefault="009C2544" w:rsidP="008D6825">
      <w:pPr>
        <w:widowControl/>
        <w:rPr>
          <w:b/>
          <w:bCs/>
        </w:rPr>
      </w:pPr>
      <w:r w:rsidRPr="008D6825">
        <w:rPr>
          <w:b/>
          <w:bCs/>
        </w:rPr>
        <w:t>Meldung von Nebenwirkungen</w:t>
      </w:r>
    </w:p>
    <w:p w14:paraId="3ECC56CA" w14:textId="069DDFFA" w:rsidR="00093A5E" w:rsidRPr="006A64EE" w:rsidRDefault="009C2544" w:rsidP="008F757E">
      <w:pPr>
        <w:pStyle w:val="a3"/>
        <w:widowControl/>
      </w:pPr>
      <w:r w:rsidRPr="006A64EE">
        <w:t xml:space="preserve">Wenn Sie Nebenwirkungen bemerken, wenden Sie sich an Ihren Arzt, Apotheker oder das medizinische Fachpersonal. Dies gilt auch für Nebenwirkungen, die nicht in dieser Packungsbeilage angegeben sind. Sie können Nebenwirkungen auch direkt über </w:t>
      </w:r>
      <w:r w:rsidRPr="006A64EE">
        <w:rPr>
          <w:shd w:val="pct15" w:color="auto" w:fill="FFFFFF"/>
        </w:rPr>
        <w:t xml:space="preserve">das in </w:t>
      </w:r>
      <w:r w:rsidR="002D5756">
        <w:fldChar w:fldCharType="begin"/>
      </w:r>
      <w:r w:rsidR="002D5756">
        <w:instrText>HYPERLINK "https://www.ema.europa.eu/documents/template-form/appendix-v-adverse-drug-reaction-reporting-details_en.doc"</w:instrText>
      </w:r>
      <w:r w:rsidR="002D5756">
        <w:fldChar w:fldCharType="separate"/>
      </w:r>
      <w:r w:rsidR="002D5756" w:rsidRPr="006A64EE">
        <w:rPr>
          <w:rStyle w:val="a8"/>
          <w:shd w:val="pct15" w:color="auto" w:fill="FFFFFF"/>
        </w:rPr>
        <w:t>Anhang V</w:t>
      </w:r>
      <w:r w:rsidR="002D5756">
        <w:fldChar w:fldCharType="end"/>
      </w:r>
      <w:r w:rsidRPr="006A64EE">
        <w:rPr>
          <w:shd w:val="pct15" w:color="auto" w:fill="FFFFFF"/>
        </w:rPr>
        <w:t xml:space="preserve"> aufgeführte nationale Meldesystem</w:t>
      </w:r>
      <w:r w:rsidRPr="006A64EE">
        <w:t xml:space="preserve"> anzeigen. Indem Sie Nebenwirkungen melden, können Sie dazu beitragen, dass mehr Informationen über die Sicherheit dieses Arzneimittels zur Verfügung gestellt werden.</w:t>
      </w:r>
    </w:p>
    <w:p w14:paraId="402A549B" w14:textId="77777777" w:rsidR="00093A5E" w:rsidRPr="006A64EE" w:rsidRDefault="00093A5E" w:rsidP="008F757E">
      <w:pPr>
        <w:pStyle w:val="a3"/>
        <w:widowControl/>
      </w:pPr>
    </w:p>
    <w:p w14:paraId="32FC9441" w14:textId="77777777" w:rsidR="00093A5E" w:rsidRPr="006A64EE" w:rsidRDefault="00093A5E" w:rsidP="008F757E">
      <w:pPr>
        <w:pStyle w:val="a3"/>
        <w:widowControl/>
      </w:pPr>
    </w:p>
    <w:p w14:paraId="36888E65" w14:textId="11E2E687" w:rsidR="00093A5E" w:rsidRPr="006A64EE" w:rsidRDefault="0059713A" w:rsidP="008D6825">
      <w:pPr>
        <w:pStyle w:val="1"/>
      </w:pPr>
      <w:r w:rsidRPr="006A64EE">
        <w:t>5.</w:t>
      </w:r>
      <w:r w:rsidRPr="006A64EE">
        <w:tab/>
        <w:t xml:space="preserve">Wie ist </w:t>
      </w:r>
      <w:r w:rsidR="000007EE">
        <w:t>Avtozma</w:t>
      </w:r>
      <w:r w:rsidRPr="006A64EE">
        <w:t xml:space="preserve"> aufzubewahren?</w:t>
      </w:r>
    </w:p>
    <w:p w14:paraId="2FCB99CD" w14:textId="77777777" w:rsidR="00093A5E" w:rsidRPr="006A64EE" w:rsidRDefault="00093A5E" w:rsidP="004255F8">
      <w:pPr>
        <w:pStyle w:val="a3"/>
        <w:widowControl/>
      </w:pPr>
    </w:p>
    <w:p w14:paraId="6BFF210C" w14:textId="77777777" w:rsidR="00093A5E" w:rsidRPr="006A64EE" w:rsidRDefault="009C2544" w:rsidP="004255F8">
      <w:pPr>
        <w:pStyle w:val="a3"/>
        <w:widowControl/>
      </w:pPr>
      <w:r w:rsidRPr="006A64EE">
        <w:t>Bewahren Sie dieses Arzneimittel für Kinder unzugänglich auf.</w:t>
      </w:r>
    </w:p>
    <w:p w14:paraId="35A3BBED" w14:textId="77777777" w:rsidR="00093A5E" w:rsidRPr="006A64EE" w:rsidRDefault="00093A5E" w:rsidP="004255F8">
      <w:pPr>
        <w:pStyle w:val="a3"/>
        <w:widowControl/>
      </w:pPr>
    </w:p>
    <w:p w14:paraId="2BA0B6B5" w14:textId="77777777" w:rsidR="00093A5E" w:rsidRPr="006A64EE" w:rsidRDefault="009C2544" w:rsidP="004255F8">
      <w:pPr>
        <w:pStyle w:val="a3"/>
        <w:widowControl/>
      </w:pPr>
      <w:r w:rsidRPr="006A64EE">
        <w:t>Sie dürfen dieses Arzneimittel nach dem auf dem Etikett der Fertigspritze nach „EXP“ und auf dem Umkarton nach „verwendbar bis“ angegebenen Verfalldatum nicht mehr verwenden. Das Verfalldatum bezieht sich auf den letzten Tag des angegebenen Monats.</w:t>
      </w:r>
    </w:p>
    <w:p w14:paraId="4F8E1066" w14:textId="77777777" w:rsidR="00093A5E" w:rsidRPr="006A64EE" w:rsidRDefault="00093A5E" w:rsidP="004255F8">
      <w:pPr>
        <w:pStyle w:val="a3"/>
        <w:widowControl/>
      </w:pPr>
    </w:p>
    <w:p w14:paraId="6BD095B6" w14:textId="48B29372" w:rsidR="00093A5E" w:rsidRPr="006A64EE" w:rsidRDefault="009C2544" w:rsidP="004255F8">
      <w:pPr>
        <w:pStyle w:val="a3"/>
        <w:widowControl/>
      </w:pPr>
      <w:r w:rsidRPr="006A64EE">
        <w:t xml:space="preserve">Im Kühlschrank lagern (2 °C - 8 °C). Nicht einfrieren. Nach Entnahme aus dem Kühlschrank kann die Fertigspritze bis zu </w:t>
      </w:r>
      <w:r w:rsidR="000007EE">
        <w:t>3 </w:t>
      </w:r>
      <w:r w:rsidRPr="006A64EE">
        <w:t>Wochen bei maximal 30 °C aufbewahrt werden.</w:t>
      </w:r>
    </w:p>
    <w:p w14:paraId="1E647CA4" w14:textId="77777777" w:rsidR="00D86CC0" w:rsidRDefault="00D86CC0" w:rsidP="004255F8">
      <w:pPr>
        <w:pStyle w:val="a3"/>
        <w:widowControl/>
      </w:pPr>
    </w:p>
    <w:p w14:paraId="4182F65E" w14:textId="5E026EE0" w:rsidR="00093A5E" w:rsidRPr="006A64EE" w:rsidRDefault="009C2544" w:rsidP="004255F8">
      <w:pPr>
        <w:pStyle w:val="a3"/>
        <w:widowControl/>
      </w:pPr>
      <w:r w:rsidRPr="006A64EE">
        <w:lastRenderedPageBreak/>
        <w:t>Die Fertigspritzen im Umkarton aufbewahren, um den Inhalt vor Licht und Feuchtigkeit zu schützen.</w:t>
      </w:r>
    </w:p>
    <w:p w14:paraId="583255B4" w14:textId="77777777" w:rsidR="00093A5E" w:rsidRPr="006A64EE" w:rsidRDefault="00093A5E" w:rsidP="004255F8">
      <w:pPr>
        <w:pStyle w:val="a3"/>
        <w:widowControl/>
      </w:pPr>
    </w:p>
    <w:p w14:paraId="37FF2C42" w14:textId="05CF646B" w:rsidR="00093A5E" w:rsidRPr="006A64EE" w:rsidRDefault="009C2544" w:rsidP="004255F8">
      <w:pPr>
        <w:pStyle w:val="a3"/>
        <w:widowControl/>
      </w:pPr>
      <w:r w:rsidRPr="006A64EE">
        <w:t>Sie dürfen dieses Arzneimittel nicht verwenden, wenn das Arzneimittel trüb ist oder Partikel enthält oder eine andere Farbe als farblos oder gelb hat oder wenn ein Teil der Fertigspritze beschädigt aussieht.</w:t>
      </w:r>
    </w:p>
    <w:p w14:paraId="5351AE6D" w14:textId="77777777" w:rsidR="00093A5E" w:rsidRPr="006A64EE" w:rsidRDefault="00093A5E" w:rsidP="004255F8">
      <w:pPr>
        <w:pStyle w:val="a3"/>
        <w:widowControl/>
      </w:pPr>
    </w:p>
    <w:p w14:paraId="554EDF97" w14:textId="77777777" w:rsidR="00093A5E" w:rsidRPr="006A64EE" w:rsidRDefault="009C2544" w:rsidP="004255F8">
      <w:pPr>
        <w:pStyle w:val="a3"/>
        <w:widowControl/>
      </w:pPr>
      <w:r w:rsidRPr="006A64EE">
        <w:t>Die Fertigspritze darf nicht geschüttelt werden. Nachdem die Schutzkappe entfernt wurde, muss die Injektion innerhalb von 5 Minuten begonnen werden, um zu verhindern, dass das Arzneimittel austrocknet und die Nadel verstopft. Wenn die Fertigspritze nicht innerhalb von 5 Minuten nach Entfernen der Kappe verwendet wird, müssen Sie sie in einem durchstichsicheren Behälter entsorgen und eine neue Fertigspritze verwenden.</w:t>
      </w:r>
    </w:p>
    <w:p w14:paraId="4DE485F0" w14:textId="77777777" w:rsidR="00093A5E" w:rsidRPr="006A64EE" w:rsidRDefault="00093A5E" w:rsidP="004255F8">
      <w:pPr>
        <w:widowControl/>
      </w:pPr>
    </w:p>
    <w:p w14:paraId="5317279B" w14:textId="77777777" w:rsidR="00093A5E" w:rsidRPr="006A64EE" w:rsidRDefault="007D680A" w:rsidP="004255F8">
      <w:pPr>
        <w:widowControl/>
      </w:pPr>
      <w:r w:rsidRPr="006A64EE">
        <w:t>Wenn Sie nach dem Einstechen der Nadel den Kolben nicht herunterdrücken können, müssen Sie die Fertigspritze in einem durchstichsicheren Behälter entsorgen und eine neue Fertigspritze verwenden.</w:t>
      </w:r>
    </w:p>
    <w:p w14:paraId="3A573662" w14:textId="77777777" w:rsidR="00093A5E" w:rsidRPr="006A64EE" w:rsidRDefault="00093A5E" w:rsidP="004255F8">
      <w:pPr>
        <w:pStyle w:val="a3"/>
        <w:widowControl/>
      </w:pPr>
    </w:p>
    <w:p w14:paraId="3ECE159C" w14:textId="77777777" w:rsidR="00093A5E" w:rsidRPr="006A64EE" w:rsidRDefault="00093A5E" w:rsidP="004255F8">
      <w:pPr>
        <w:pStyle w:val="a3"/>
        <w:widowControl/>
      </w:pPr>
    </w:p>
    <w:p w14:paraId="44758012" w14:textId="77777777" w:rsidR="003223CA" w:rsidRDefault="0059713A" w:rsidP="008D6825">
      <w:pPr>
        <w:pStyle w:val="1"/>
      </w:pPr>
      <w:r w:rsidRPr="006A64EE">
        <w:t>6.</w:t>
      </w:r>
      <w:r w:rsidRPr="006A64EE">
        <w:tab/>
        <w:t>Inhalt der Packung und weitere Informationen</w:t>
      </w:r>
    </w:p>
    <w:p w14:paraId="10562AF9" w14:textId="004C14D9" w:rsidR="003223CA" w:rsidRDefault="003223CA" w:rsidP="00121CB7"/>
    <w:p w14:paraId="75A87F9E" w14:textId="01C87040" w:rsidR="00093A5E" w:rsidRPr="008D6825" w:rsidRDefault="0059713A" w:rsidP="008D6825">
      <w:pPr>
        <w:widowControl/>
        <w:rPr>
          <w:b/>
          <w:bCs/>
        </w:rPr>
      </w:pPr>
      <w:r w:rsidRPr="008D6825">
        <w:rPr>
          <w:b/>
          <w:bCs/>
        </w:rPr>
        <w:t xml:space="preserve">Was </w:t>
      </w:r>
      <w:r w:rsidR="000007EE" w:rsidRPr="008D6825">
        <w:rPr>
          <w:b/>
          <w:bCs/>
        </w:rPr>
        <w:t>Avtozma</w:t>
      </w:r>
      <w:r w:rsidRPr="008D6825">
        <w:rPr>
          <w:b/>
          <w:bCs/>
        </w:rPr>
        <w:t xml:space="preserve"> enthält</w:t>
      </w:r>
    </w:p>
    <w:p w14:paraId="6D98D635" w14:textId="77777777" w:rsidR="00093A5E" w:rsidRPr="006A64EE" w:rsidRDefault="0059713A" w:rsidP="008F757E">
      <w:pPr>
        <w:pStyle w:val="bullet"/>
      </w:pPr>
      <w:r w:rsidRPr="006A64EE">
        <w:rPr>
          <w:rFonts w:ascii="Symbol" w:hAnsi="Symbol"/>
        </w:rPr>
        <w:t></w:t>
      </w:r>
      <w:r w:rsidRPr="006A64EE">
        <w:rPr>
          <w:rFonts w:ascii="Symbol" w:hAnsi="Symbol"/>
        </w:rPr>
        <w:tab/>
      </w:r>
      <w:r w:rsidRPr="006A64EE">
        <w:t>Der Wirkstoff ist: Tocilizumab</w:t>
      </w:r>
    </w:p>
    <w:p w14:paraId="172273D9" w14:textId="77777777" w:rsidR="00093A5E" w:rsidRPr="006A64EE" w:rsidRDefault="009C2544" w:rsidP="00A95D75">
      <w:pPr>
        <w:pStyle w:val="bullet"/>
        <w:ind w:left="1134"/>
      </w:pPr>
      <w:r w:rsidRPr="006A64EE">
        <w:t>Jede Fertigspritze enthält 162 mg Tocilizumab in 0,9 ml.</w:t>
      </w:r>
    </w:p>
    <w:p w14:paraId="17676443" w14:textId="1CBEB1A4" w:rsidR="00093A5E" w:rsidRPr="006A64EE" w:rsidRDefault="0059713A" w:rsidP="008F757E">
      <w:pPr>
        <w:pStyle w:val="bullet"/>
      </w:pPr>
      <w:r w:rsidRPr="006A64EE">
        <w:rPr>
          <w:rFonts w:ascii="Symbol" w:hAnsi="Symbol"/>
        </w:rPr>
        <w:t></w:t>
      </w:r>
      <w:r w:rsidRPr="006A64EE">
        <w:rPr>
          <w:rFonts w:ascii="Symbol" w:hAnsi="Symbol"/>
        </w:rPr>
        <w:tab/>
      </w:r>
      <w:r w:rsidRPr="006A64EE">
        <w:t xml:space="preserve">Die sonstigen Bestandteile sind: L-Histidin,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rsidR="000007EE">
        <w:t xml:space="preserve">L-Threonin, </w:t>
      </w:r>
      <w:r w:rsidRPr="006A64EE">
        <w:t>L-Methionin, Polysorbat 80 und Wasser für Injektionszwecke.</w:t>
      </w:r>
    </w:p>
    <w:p w14:paraId="747E14E3" w14:textId="77777777" w:rsidR="00093A5E" w:rsidRPr="00B608F3" w:rsidRDefault="00093A5E" w:rsidP="008F757E">
      <w:pPr>
        <w:pStyle w:val="a3"/>
        <w:widowControl/>
      </w:pPr>
    </w:p>
    <w:p w14:paraId="692DCC90" w14:textId="2FACEFE1" w:rsidR="00093A5E" w:rsidRPr="008D6825" w:rsidRDefault="009C2544" w:rsidP="008D6825">
      <w:pPr>
        <w:widowControl/>
        <w:rPr>
          <w:b/>
          <w:bCs/>
        </w:rPr>
      </w:pPr>
      <w:r w:rsidRPr="008D6825">
        <w:rPr>
          <w:b/>
          <w:bCs/>
        </w:rPr>
        <w:t xml:space="preserve">Wie </w:t>
      </w:r>
      <w:r w:rsidR="000007EE" w:rsidRPr="008D6825">
        <w:rPr>
          <w:b/>
          <w:bCs/>
        </w:rPr>
        <w:t>Avtozma</w:t>
      </w:r>
      <w:r w:rsidRPr="008D6825">
        <w:rPr>
          <w:b/>
          <w:bCs/>
        </w:rPr>
        <w:t xml:space="preserve"> aussieht und Inhalt der Packung</w:t>
      </w:r>
    </w:p>
    <w:p w14:paraId="2D14D959" w14:textId="50D297BE" w:rsidR="00093A5E" w:rsidRPr="006A64EE" w:rsidRDefault="000007EE" w:rsidP="008F757E">
      <w:pPr>
        <w:pStyle w:val="a3"/>
        <w:widowControl/>
      </w:pPr>
      <w:r>
        <w:t>Avtozma</w:t>
      </w:r>
      <w:r w:rsidR="009C2544" w:rsidRPr="006A64EE">
        <w:t xml:space="preserve"> ist eine Injektionslösung. Die Lösung ist farblos bis gelb.</w:t>
      </w:r>
    </w:p>
    <w:p w14:paraId="13E2F6DD" w14:textId="77777777" w:rsidR="00093A5E" w:rsidRPr="006A64EE" w:rsidRDefault="00093A5E" w:rsidP="008F757E">
      <w:pPr>
        <w:pStyle w:val="a3"/>
        <w:widowControl/>
      </w:pPr>
    </w:p>
    <w:p w14:paraId="7F30174D" w14:textId="32DFCC94" w:rsidR="00093A5E" w:rsidRPr="006A64EE" w:rsidRDefault="000007EE" w:rsidP="008F757E">
      <w:pPr>
        <w:pStyle w:val="a3"/>
        <w:widowControl/>
      </w:pPr>
      <w:r>
        <w:t>Avtozma</w:t>
      </w:r>
      <w:r w:rsidR="009C2544" w:rsidRPr="006A64EE">
        <w:t xml:space="preserve"> wird in 0,9 ml Fertigspritzen mit 162 mg Tocilizumab</w:t>
      </w:r>
      <w:r w:rsidR="004D7143">
        <w:t>-</w:t>
      </w:r>
      <w:r w:rsidR="009C2544" w:rsidRPr="006A64EE">
        <w:t>Injektionslösung zur Verfügung gestellt.</w:t>
      </w:r>
    </w:p>
    <w:p w14:paraId="60ACE036" w14:textId="77777777" w:rsidR="004D7143" w:rsidRPr="00890245" w:rsidRDefault="004D7143" w:rsidP="004D7143"/>
    <w:p w14:paraId="632261DD" w14:textId="74B6FDDF" w:rsidR="004D7143" w:rsidRPr="00890245" w:rsidRDefault="004D7143" w:rsidP="004D7143">
      <w:pPr>
        <w:keepNext/>
      </w:pPr>
      <w:r w:rsidRPr="00890245">
        <w:t>Die Avtozma</w:t>
      </w:r>
      <w:r>
        <w:t>-</w:t>
      </w:r>
      <w:r w:rsidRPr="00890245">
        <w:t>Fertigspritze für die Verwendung durch den Patienten ist erhältlich in Packungen mit:</w:t>
      </w:r>
    </w:p>
    <w:p w14:paraId="39114ADB" w14:textId="77777777" w:rsidR="004D7143" w:rsidRPr="00890245" w:rsidRDefault="004D7143" w:rsidP="004D7143">
      <w:pPr>
        <w:pStyle w:val="a4"/>
        <w:widowControl/>
        <w:numPr>
          <w:ilvl w:val="0"/>
          <w:numId w:val="6"/>
        </w:numPr>
        <w:autoSpaceDE/>
        <w:autoSpaceDN/>
        <w:ind w:left="567" w:hanging="567"/>
        <w:contextualSpacing/>
      </w:pPr>
      <w:r w:rsidRPr="00890245">
        <w:t>1 Fertigspritze</w:t>
      </w:r>
    </w:p>
    <w:p w14:paraId="32956BE3" w14:textId="794883B8" w:rsidR="00387ABD" w:rsidRPr="00387ABD" w:rsidRDefault="00387ABD" w:rsidP="004D7143">
      <w:pPr>
        <w:pStyle w:val="a4"/>
        <w:widowControl/>
        <w:numPr>
          <w:ilvl w:val="0"/>
          <w:numId w:val="6"/>
        </w:numPr>
        <w:autoSpaceDE/>
        <w:autoSpaceDN/>
        <w:ind w:left="567" w:hanging="567"/>
        <w:contextualSpacing/>
        <w:rPr>
          <w:ins w:id="41" w:author="만든 이"/>
          <w:rPrChange w:id="42" w:author="만든 이">
            <w:rPr>
              <w:ins w:id="43" w:author="만든 이"/>
              <w:rFonts w:eastAsia="맑은 고딕"/>
              <w:lang w:eastAsia="ko-KR"/>
            </w:rPr>
          </w:rPrChange>
        </w:rPr>
      </w:pPr>
      <w:ins w:id="44" w:author="만든 이">
        <w:r>
          <w:rPr>
            <w:rFonts w:eastAsia="맑은 고딕" w:hint="eastAsia"/>
            <w:lang w:eastAsia="ko-KR"/>
          </w:rPr>
          <w:t>2</w:t>
        </w:r>
        <w:r w:rsidRPr="00890245">
          <w:t xml:space="preserve"> Fertigspritzen </w:t>
        </w:r>
      </w:ins>
    </w:p>
    <w:p w14:paraId="677178CA" w14:textId="6FDAA915" w:rsidR="004D7143" w:rsidRPr="00890245" w:rsidRDefault="004D7143" w:rsidP="004D7143">
      <w:pPr>
        <w:pStyle w:val="a4"/>
        <w:widowControl/>
        <w:numPr>
          <w:ilvl w:val="0"/>
          <w:numId w:val="6"/>
        </w:numPr>
        <w:autoSpaceDE/>
        <w:autoSpaceDN/>
        <w:ind w:left="567" w:hanging="567"/>
        <w:contextualSpacing/>
      </w:pPr>
      <w:r w:rsidRPr="00890245">
        <w:t>4 Fertigspritzen</w:t>
      </w:r>
    </w:p>
    <w:p w14:paraId="6AD72006" w14:textId="7AB05350" w:rsidR="004D7143" w:rsidRPr="00890245" w:rsidRDefault="004D7143" w:rsidP="00B320E1">
      <w:pPr>
        <w:pStyle w:val="a4"/>
        <w:widowControl/>
        <w:numPr>
          <w:ilvl w:val="0"/>
          <w:numId w:val="6"/>
        </w:numPr>
        <w:autoSpaceDE/>
        <w:autoSpaceDN/>
        <w:ind w:left="567" w:hanging="567"/>
        <w:contextualSpacing/>
      </w:pPr>
      <w:r w:rsidRPr="00890245">
        <w:t>12 (3 Packungen mit 4) Fertigspritzen (Bündelpackungen)</w:t>
      </w:r>
    </w:p>
    <w:p w14:paraId="72FADEBA" w14:textId="77777777" w:rsidR="00093A5E" w:rsidRPr="006A64EE" w:rsidRDefault="00093A5E" w:rsidP="008F757E">
      <w:pPr>
        <w:pStyle w:val="a3"/>
        <w:widowControl/>
      </w:pPr>
    </w:p>
    <w:p w14:paraId="29F3038E" w14:textId="0935033E" w:rsidR="00093A5E" w:rsidRPr="00B320E1" w:rsidRDefault="009C2544" w:rsidP="008F757E">
      <w:pPr>
        <w:pStyle w:val="a3"/>
        <w:widowControl/>
      </w:pPr>
      <w:r w:rsidRPr="00B320E1">
        <w:t>Es werden möglicherweise nicht alle Packungsgrößen in den Verkehr gebracht.</w:t>
      </w:r>
    </w:p>
    <w:p w14:paraId="6ADC35CD" w14:textId="77777777" w:rsidR="00093A5E" w:rsidRPr="006A64EE" w:rsidRDefault="00093A5E" w:rsidP="008F757E">
      <w:pPr>
        <w:pStyle w:val="a3"/>
        <w:widowControl/>
      </w:pPr>
    </w:p>
    <w:p w14:paraId="7917D95B" w14:textId="77777777" w:rsidR="00093A5E" w:rsidRPr="008D6825" w:rsidRDefault="009C2544" w:rsidP="008D6825">
      <w:pPr>
        <w:widowControl/>
        <w:rPr>
          <w:b/>
          <w:bCs/>
        </w:rPr>
      </w:pPr>
      <w:r w:rsidRPr="008D6825">
        <w:rPr>
          <w:b/>
          <w:bCs/>
        </w:rPr>
        <w:t>Pharmazeutischer Unternehmer</w:t>
      </w:r>
    </w:p>
    <w:p w14:paraId="4124A9E3" w14:textId="77777777" w:rsidR="004D7143" w:rsidRPr="008370F3" w:rsidRDefault="004D7143" w:rsidP="004D7143">
      <w:pPr>
        <w:keepNext/>
      </w:pPr>
      <w:r w:rsidRPr="008370F3">
        <w:t>Celltrion Healthcare Hungary Kft.</w:t>
      </w:r>
    </w:p>
    <w:p w14:paraId="369647F3" w14:textId="77777777" w:rsidR="004D7143" w:rsidRPr="00B320E1" w:rsidRDefault="004D7143" w:rsidP="004D7143">
      <w:pPr>
        <w:keepNext/>
        <w:rPr>
          <w:lang w:val="en-US"/>
        </w:rPr>
      </w:pPr>
      <w:r w:rsidRPr="00B320E1">
        <w:rPr>
          <w:lang w:val="en-US"/>
        </w:rPr>
        <w:t>1062 Budapest</w:t>
      </w:r>
    </w:p>
    <w:p w14:paraId="3E5310FD" w14:textId="77777777" w:rsidR="004D7143" w:rsidRPr="00B320E1" w:rsidRDefault="004D7143" w:rsidP="004D7143">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13BFA057" w14:textId="034E0DDA" w:rsidR="004D7143" w:rsidRPr="00B320E1" w:rsidRDefault="004D7143" w:rsidP="004D7143">
      <w:pPr>
        <w:rPr>
          <w:lang w:val="fr-FR"/>
        </w:rPr>
      </w:pPr>
      <w:r w:rsidRPr="00B320E1">
        <w:rPr>
          <w:lang w:val="fr-FR"/>
        </w:rPr>
        <w:t>Ungarn</w:t>
      </w:r>
    </w:p>
    <w:p w14:paraId="483F1022" w14:textId="77777777" w:rsidR="00093A5E" w:rsidRPr="00B320E1" w:rsidRDefault="00093A5E" w:rsidP="008F757E">
      <w:pPr>
        <w:pStyle w:val="a3"/>
        <w:widowControl/>
        <w:rPr>
          <w:lang w:val="fr-FR"/>
        </w:rPr>
      </w:pPr>
    </w:p>
    <w:p w14:paraId="559BC3A8" w14:textId="77777777" w:rsidR="00093A5E" w:rsidRPr="008D6825" w:rsidRDefault="009C2544" w:rsidP="008D6825">
      <w:pPr>
        <w:widowControl/>
        <w:rPr>
          <w:b/>
          <w:bCs/>
        </w:rPr>
      </w:pPr>
      <w:r w:rsidRPr="008D6825">
        <w:rPr>
          <w:b/>
          <w:bCs/>
        </w:rPr>
        <w:t>Hersteller</w:t>
      </w:r>
    </w:p>
    <w:p w14:paraId="1E8FC8DB" w14:textId="77777777" w:rsidR="004D7143" w:rsidRPr="00B320E1" w:rsidRDefault="004D7143" w:rsidP="004D7143">
      <w:pPr>
        <w:keepNext/>
        <w:rPr>
          <w:lang w:val="fr-FR"/>
        </w:rPr>
      </w:pPr>
      <w:r w:rsidRPr="00B320E1">
        <w:rPr>
          <w:lang w:val="fr-FR"/>
        </w:rPr>
        <w:t>Nuvisan France SARL</w:t>
      </w:r>
    </w:p>
    <w:p w14:paraId="0D19416B" w14:textId="2AE14B23" w:rsidR="004D7143" w:rsidRPr="00B320E1" w:rsidRDefault="004D7143" w:rsidP="004D7143">
      <w:pPr>
        <w:keepNext/>
        <w:rPr>
          <w:lang w:val="fr-FR"/>
        </w:rPr>
      </w:pPr>
      <w:r w:rsidRPr="00B320E1">
        <w:rPr>
          <w:lang w:val="fr-FR"/>
        </w:rPr>
        <w:t>2400</w:t>
      </w:r>
      <w:del w:id="45" w:author="만든 이">
        <w:r w:rsidRPr="00B320E1" w:rsidDel="00352D0A">
          <w:rPr>
            <w:lang w:val="fr-FR"/>
          </w:rPr>
          <w:delText>,</w:delText>
        </w:r>
      </w:del>
      <w:r w:rsidRPr="00B320E1">
        <w:rPr>
          <w:lang w:val="fr-FR"/>
        </w:rPr>
        <w:t xml:space="preserve"> Route des Colles, </w:t>
      </w:r>
    </w:p>
    <w:p w14:paraId="1CEF60C4" w14:textId="77777777" w:rsidR="004D7143" w:rsidRPr="00840707" w:rsidRDefault="004D7143" w:rsidP="004D7143">
      <w:pPr>
        <w:keepNext/>
      </w:pPr>
      <w:r w:rsidRPr="00840707">
        <w:t>06410</w:t>
      </w:r>
      <w:del w:id="46" w:author="만든 이">
        <w:r w:rsidRPr="00840707" w:rsidDel="00352D0A">
          <w:delText>,</w:delText>
        </w:r>
      </w:del>
      <w:r w:rsidRPr="00840707">
        <w:t xml:space="preserve"> Biot, </w:t>
      </w:r>
    </w:p>
    <w:p w14:paraId="26601034" w14:textId="29D6C8B9" w:rsidR="004D7143" w:rsidRPr="00840707" w:rsidRDefault="004D7143" w:rsidP="004D7143">
      <w:r w:rsidRPr="00840707">
        <w:t>Fran</w:t>
      </w:r>
      <w:r>
        <w:t>kreich</w:t>
      </w:r>
    </w:p>
    <w:p w14:paraId="4E5A5BEE" w14:textId="77777777" w:rsidR="004D7143" w:rsidRPr="00840707" w:rsidRDefault="004D7143" w:rsidP="004D7143"/>
    <w:p w14:paraId="7B858669" w14:textId="77777777" w:rsidR="004D7143" w:rsidRPr="00840707" w:rsidRDefault="004D7143" w:rsidP="004D7143">
      <w:pPr>
        <w:keepNext/>
      </w:pPr>
      <w:r w:rsidRPr="00840707">
        <w:t>Midas Pharma GmbH</w:t>
      </w:r>
    </w:p>
    <w:p w14:paraId="4C8258E3" w14:textId="77777777" w:rsidR="004D7143" w:rsidRPr="00840707" w:rsidRDefault="004D7143" w:rsidP="004D7143">
      <w:pPr>
        <w:keepNext/>
      </w:pPr>
      <w:r w:rsidRPr="00840707">
        <w:t xml:space="preserve">Rheinstr. 49, </w:t>
      </w:r>
    </w:p>
    <w:p w14:paraId="3F98E849" w14:textId="77777777" w:rsidR="004D7143" w:rsidRPr="00840707" w:rsidRDefault="004D7143" w:rsidP="004D7143">
      <w:pPr>
        <w:keepNext/>
      </w:pPr>
      <w:r w:rsidRPr="00840707">
        <w:t>55218 Ingelheim,</w:t>
      </w:r>
    </w:p>
    <w:p w14:paraId="681420F8" w14:textId="5699CB01" w:rsidR="004D7143" w:rsidRPr="00840707" w:rsidRDefault="004D7143" w:rsidP="004D7143">
      <w:r>
        <w:t>Deutschland</w:t>
      </w:r>
    </w:p>
    <w:p w14:paraId="6741ABE0" w14:textId="77777777" w:rsidR="004D7143" w:rsidRPr="00840707" w:rsidRDefault="004D7143" w:rsidP="004D7143"/>
    <w:p w14:paraId="5D6B8BC9" w14:textId="77777777" w:rsidR="004D7143" w:rsidRPr="00840707" w:rsidRDefault="004D7143" w:rsidP="004D7143">
      <w:pPr>
        <w:keepNext/>
      </w:pPr>
      <w:r w:rsidRPr="00840707">
        <w:lastRenderedPageBreak/>
        <w:t xml:space="preserve">KYMOS S.L. </w:t>
      </w:r>
    </w:p>
    <w:p w14:paraId="01DE8EF1" w14:textId="77777777" w:rsidR="004D7143" w:rsidRPr="00B320E1" w:rsidRDefault="004D7143" w:rsidP="004D7143">
      <w:pPr>
        <w:keepNext/>
        <w:rPr>
          <w:lang w:val="es-ES"/>
        </w:rPr>
      </w:pPr>
      <w:r w:rsidRPr="00B320E1">
        <w:rPr>
          <w:lang w:val="es-ES"/>
        </w:rPr>
        <w:t xml:space="preserve">Ronda Can Fatjó, 7B. </w:t>
      </w:r>
    </w:p>
    <w:p w14:paraId="521E5CC3" w14:textId="77777777" w:rsidR="004D7143" w:rsidRPr="00B320E1" w:rsidRDefault="004D7143" w:rsidP="004D7143">
      <w:pPr>
        <w:keepNext/>
        <w:rPr>
          <w:lang w:val="es-ES"/>
        </w:rPr>
      </w:pPr>
      <w:r w:rsidRPr="00B320E1">
        <w:rPr>
          <w:lang w:val="es-ES"/>
        </w:rPr>
        <w:t xml:space="preserve">08290 Cerdanyola del Vallès, </w:t>
      </w:r>
    </w:p>
    <w:p w14:paraId="71D97AEF" w14:textId="77777777" w:rsidR="004D7143" w:rsidRPr="00B320E1" w:rsidRDefault="004D7143" w:rsidP="004D7143">
      <w:pPr>
        <w:keepNext/>
        <w:rPr>
          <w:lang w:val="es-ES"/>
        </w:rPr>
      </w:pPr>
      <w:r w:rsidRPr="00B320E1">
        <w:rPr>
          <w:lang w:val="es-ES"/>
        </w:rPr>
        <w:t xml:space="preserve">Barcelona, </w:t>
      </w:r>
    </w:p>
    <w:p w14:paraId="3F4E085A" w14:textId="5B841C04" w:rsidR="004D7143" w:rsidRPr="00840707" w:rsidRDefault="004D7143" w:rsidP="004D7143">
      <w:r w:rsidRPr="00840707">
        <w:t>Span</w:t>
      </w:r>
      <w:r>
        <w:t>ien</w:t>
      </w:r>
    </w:p>
    <w:p w14:paraId="2A2DCF3A" w14:textId="77777777" w:rsidR="00093A5E" w:rsidRPr="006A64EE" w:rsidRDefault="00093A5E" w:rsidP="004255F8">
      <w:pPr>
        <w:pStyle w:val="a3"/>
        <w:widowControl/>
      </w:pPr>
    </w:p>
    <w:p w14:paraId="04FEA8AF" w14:textId="77777777" w:rsidR="00093A5E" w:rsidRPr="006A64EE" w:rsidRDefault="009C2544" w:rsidP="004255F8">
      <w:pPr>
        <w:pStyle w:val="a3"/>
        <w:widowControl/>
      </w:pPr>
      <w:r w:rsidRPr="006A64EE">
        <w:t>Falls Sie weitere Informationen über das Arzneimittel wünschen, setzen Sie sich bitte mit dem örtlichen Vertreter des pharmazeutischen Unternehmers in Verbindung.</w:t>
      </w:r>
    </w:p>
    <w:p w14:paraId="4799DE71" w14:textId="3A73BBF6" w:rsidR="002D5756" w:rsidRDefault="002D5756" w:rsidP="004255F8">
      <w:pPr>
        <w:pStyle w:val="a3"/>
        <w:widowControl/>
      </w:pPr>
    </w:p>
    <w:tbl>
      <w:tblPr>
        <w:tblW w:w="4655" w:type="pct"/>
        <w:tblInd w:w="108" w:type="dxa"/>
        <w:tblLayout w:type="fixed"/>
        <w:tblCellMar>
          <w:top w:w="28" w:type="dxa"/>
          <w:bottom w:w="28" w:type="dxa"/>
        </w:tblCellMar>
        <w:tblLook w:val="04A0" w:firstRow="1" w:lastRow="0" w:firstColumn="1" w:lastColumn="0" w:noHBand="0" w:noVBand="1"/>
      </w:tblPr>
      <w:tblGrid>
        <w:gridCol w:w="4376"/>
        <w:gridCol w:w="4069"/>
      </w:tblGrid>
      <w:tr w:rsidR="004D7143" w:rsidRPr="009E4E7B" w14:paraId="226F4D88" w14:textId="77777777" w:rsidTr="00B320E1">
        <w:trPr>
          <w:cantSplit/>
        </w:trPr>
        <w:tc>
          <w:tcPr>
            <w:tcW w:w="2591" w:type="pct"/>
            <w:hideMark/>
          </w:tcPr>
          <w:p w14:paraId="621747B0" w14:textId="77777777" w:rsidR="004D7143" w:rsidRPr="00E303AE" w:rsidRDefault="004D7143" w:rsidP="00F0391F">
            <w:pPr>
              <w:suppressAutoHyphens/>
              <w:autoSpaceDE/>
              <w:autoSpaceDN/>
              <w:rPr>
                <w:b/>
                <w:noProof/>
                <w:lang w:val="en-US" w:eastAsia="fr-FR"/>
              </w:rPr>
            </w:pPr>
            <w:r w:rsidRPr="00E303AE">
              <w:rPr>
                <w:rFonts w:eastAsia="맑은 고딕"/>
                <w:b/>
                <w:noProof/>
                <w:lang w:val="en-US" w:eastAsia="fr-FR"/>
              </w:rPr>
              <w:t>België/Belgique/Belgien</w:t>
            </w:r>
          </w:p>
          <w:p w14:paraId="32261EA1" w14:textId="77777777" w:rsidR="004D7143" w:rsidRPr="00E303AE" w:rsidRDefault="004D7143" w:rsidP="00F0391F">
            <w:pPr>
              <w:suppressAutoHyphens/>
              <w:autoSpaceDE/>
              <w:autoSpaceDN/>
              <w:rPr>
                <w:rFonts w:eastAsia="맑은 고딕"/>
                <w:noProof/>
                <w:lang w:val="en-US" w:eastAsia="fr-FR"/>
              </w:rPr>
            </w:pPr>
            <w:r w:rsidRPr="00E303AE">
              <w:rPr>
                <w:rFonts w:eastAsia="맑은 고딕"/>
                <w:noProof/>
                <w:lang w:val="en-US" w:eastAsia="fr-FR"/>
              </w:rPr>
              <w:t>Celltrion Healthcare Belgium BVBA</w:t>
            </w:r>
          </w:p>
          <w:p w14:paraId="7B71CB58"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 xml:space="preserve">Tél/Tel: </w:t>
            </w:r>
            <w:r w:rsidRPr="009E4E7B">
              <w:rPr>
                <w:rFonts w:eastAsia="맑은 고딕"/>
                <w:noProof/>
                <w:lang w:val="de-CH" w:eastAsia="fr-FR"/>
              </w:rPr>
              <w:t>+32 2 643 71 81</w:t>
            </w:r>
          </w:p>
          <w:p w14:paraId="5792EC66"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BEinfo@celltrionhc.com</w:t>
            </w:r>
          </w:p>
          <w:p w14:paraId="3A83E197" w14:textId="77777777" w:rsidR="004D7143" w:rsidRPr="009E4E7B" w:rsidRDefault="004D7143" w:rsidP="00F0391F">
            <w:pPr>
              <w:suppressAutoHyphens/>
              <w:autoSpaceDE/>
              <w:autoSpaceDN/>
              <w:rPr>
                <w:rFonts w:eastAsia="맑은 고딕"/>
                <w:noProof/>
                <w:lang w:eastAsia="ko-KR"/>
              </w:rPr>
            </w:pPr>
          </w:p>
        </w:tc>
        <w:tc>
          <w:tcPr>
            <w:tcW w:w="2409" w:type="pct"/>
          </w:tcPr>
          <w:p w14:paraId="70724434" w14:textId="77777777" w:rsidR="004D7143" w:rsidRPr="009E4E7B" w:rsidRDefault="004D7143" w:rsidP="00F0391F">
            <w:pPr>
              <w:tabs>
                <w:tab w:val="left" w:pos="-720"/>
              </w:tabs>
              <w:suppressAutoHyphens/>
              <w:autoSpaceDE/>
              <w:autoSpaceDN/>
              <w:rPr>
                <w:b/>
                <w:noProof/>
                <w:lang w:val="en-US" w:eastAsia="fr-FR"/>
              </w:rPr>
            </w:pPr>
            <w:r w:rsidRPr="009E4E7B">
              <w:rPr>
                <w:b/>
                <w:noProof/>
                <w:lang w:val="en-US" w:eastAsia="fr-FR"/>
              </w:rPr>
              <w:t>Lietuva</w:t>
            </w:r>
          </w:p>
          <w:p w14:paraId="6AAF83BC"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6A5DC572" w14:textId="77777777" w:rsidR="004D7143" w:rsidRPr="009E4E7B" w:rsidRDefault="004D7143" w:rsidP="00F0391F">
            <w:pPr>
              <w:suppressAutoHyphens/>
              <w:adjustRightInd w:val="0"/>
              <w:rPr>
                <w:noProof/>
                <w:lang w:eastAsia="fr-FR"/>
              </w:rPr>
            </w:pPr>
            <w:r w:rsidRPr="009E4E7B">
              <w:rPr>
                <w:rFonts w:eastAsia="맑은 고딕"/>
                <w:noProof/>
                <w:lang w:eastAsia="fr-FR"/>
              </w:rPr>
              <w:t>Tel.: +36 1 231 0493</w:t>
            </w:r>
          </w:p>
          <w:p w14:paraId="2A6C93D0" w14:textId="77777777" w:rsidR="004D7143" w:rsidRPr="009E4E7B" w:rsidRDefault="004D7143" w:rsidP="00F0391F">
            <w:pPr>
              <w:suppressAutoHyphens/>
              <w:adjustRightInd w:val="0"/>
              <w:rPr>
                <w:noProof/>
                <w:lang w:eastAsia="fr-FR"/>
              </w:rPr>
            </w:pPr>
          </w:p>
        </w:tc>
      </w:tr>
      <w:tr w:rsidR="004D7143" w:rsidRPr="009E4E7B" w14:paraId="70278A75" w14:textId="77777777" w:rsidTr="00B320E1">
        <w:trPr>
          <w:cantSplit/>
        </w:trPr>
        <w:tc>
          <w:tcPr>
            <w:tcW w:w="2591" w:type="pct"/>
          </w:tcPr>
          <w:p w14:paraId="22FE3260" w14:textId="77777777" w:rsidR="004D7143" w:rsidRPr="009E4E7B" w:rsidRDefault="004D7143" w:rsidP="00F0391F">
            <w:pPr>
              <w:suppressAutoHyphens/>
              <w:autoSpaceDE/>
              <w:autoSpaceDN/>
              <w:rPr>
                <w:rFonts w:eastAsia="맑은 고딕"/>
                <w:b/>
                <w:noProof/>
                <w:lang w:val="en-US" w:eastAsia="fr-FR"/>
              </w:rPr>
            </w:pPr>
            <w:r w:rsidRPr="009E4E7B">
              <w:rPr>
                <w:b/>
                <w:bCs/>
              </w:rPr>
              <w:t>България</w:t>
            </w:r>
          </w:p>
          <w:p w14:paraId="0CDF49CC"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6D1EBE12"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Teл.: +36 1 231 0493</w:t>
            </w:r>
          </w:p>
          <w:p w14:paraId="4F6EA3C3" w14:textId="77777777" w:rsidR="004D7143" w:rsidRPr="009E4E7B" w:rsidRDefault="004D7143" w:rsidP="00F0391F">
            <w:pPr>
              <w:suppressAutoHyphens/>
              <w:autoSpaceDE/>
              <w:autoSpaceDN/>
              <w:rPr>
                <w:noProof/>
                <w:lang w:eastAsia="fr-FR"/>
              </w:rPr>
            </w:pPr>
          </w:p>
        </w:tc>
        <w:tc>
          <w:tcPr>
            <w:tcW w:w="2409" w:type="pct"/>
            <w:hideMark/>
          </w:tcPr>
          <w:p w14:paraId="628D46FB" w14:textId="77777777" w:rsidR="004D7143" w:rsidRPr="009E4E7B" w:rsidRDefault="004D7143" w:rsidP="00F0391F">
            <w:pPr>
              <w:tabs>
                <w:tab w:val="left" w:pos="-720"/>
              </w:tabs>
              <w:suppressAutoHyphens/>
              <w:autoSpaceDE/>
              <w:autoSpaceDN/>
              <w:rPr>
                <w:noProof/>
                <w:lang w:val="de-CH" w:eastAsia="fr-FR"/>
              </w:rPr>
            </w:pPr>
            <w:r w:rsidRPr="009E4E7B">
              <w:rPr>
                <w:rFonts w:eastAsia="맑은 고딕"/>
                <w:b/>
                <w:noProof/>
                <w:lang w:val="de-CH" w:eastAsia="fr-FR"/>
              </w:rPr>
              <w:t>Luxembourg/Luxemburg</w:t>
            </w:r>
          </w:p>
          <w:p w14:paraId="60E8EE89" w14:textId="77777777" w:rsidR="004D7143" w:rsidRPr="009E4E7B" w:rsidRDefault="004D7143" w:rsidP="00F0391F">
            <w:pPr>
              <w:suppressAutoHyphens/>
              <w:autoSpaceDE/>
              <w:autoSpaceDN/>
              <w:rPr>
                <w:rFonts w:eastAsia="맑은 고딕"/>
                <w:noProof/>
                <w:lang w:val="de-CH" w:eastAsia="fr-FR"/>
              </w:rPr>
            </w:pPr>
            <w:r w:rsidRPr="009E4E7B">
              <w:rPr>
                <w:rFonts w:eastAsia="맑은 고딕"/>
                <w:noProof/>
                <w:lang w:val="de-CH" w:eastAsia="fr-FR"/>
              </w:rPr>
              <w:t>Celltrion Healthcare Belgium BVBA</w:t>
            </w:r>
          </w:p>
          <w:p w14:paraId="6313F86D" w14:textId="77777777" w:rsidR="004D7143" w:rsidRPr="009E4E7B" w:rsidRDefault="004D7143" w:rsidP="00F0391F">
            <w:pPr>
              <w:tabs>
                <w:tab w:val="left" w:pos="-720"/>
              </w:tabs>
              <w:suppressAutoHyphens/>
              <w:autoSpaceDE/>
              <w:autoSpaceDN/>
              <w:rPr>
                <w:rFonts w:eastAsia="맑은 고딕"/>
                <w:lang w:val="pt-PT" w:eastAsia="ko-KR"/>
              </w:rPr>
            </w:pPr>
            <w:r w:rsidRPr="009E4E7B">
              <w:rPr>
                <w:rFonts w:eastAsia="맑은 고딕"/>
                <w:noProof/>
                <w:lang w:val="fr-FR" w:eastAsia="fr-FR"/>
              </w:rPr>
              <w:t xml:space="preserve">Tél/Tel: </w:t>
            </w:r>
            <w:r w:rsidRPr="009E4E7B">
              <w:rPr>
                <w:rFonts w:eastAsia="맑은 고딕"/>
                <w:noProof/>
                <w:lang w:val="de-CH" w:eastAsia="fr-FR"/>
              </w:rPr>
              <w:t>+32 2 643 71 81</w:t>
            </w:r>
          </w:p>
          <w:p w14:paraId="102E54B4"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BEinfo@celltrionhc.com</w:t>
            </w:r>
          </w:p>
          <w:p w14:paraId="5C742E78" w14:textId="77777777" w:rsidR="004D7143" w:rsidRPr="009E4E7B" w:rsidRDefault="004D7143" w:rsidP="00F0391F">
            <w:pPr>
              <w:tabs>
                <w:tab w:val="left" w:pos="-720"/>
              </w:tabs>
              <w:suppressAutoHyphens/>
              <w:autoSpaceDE/>
              <w:autoSpaceDN/>
              <w:rPr>
                <w:rFonts w:eastAsia="맑은 고딕"/>
                <w:lang w:val="pt-PT" w:eastAsia="ko-KR"/>
              </w:rPr>
            </w:pPr>
          </w:p>
        </w:tc>
      </w:tr>
      <w:tr w:rsidR="004D7143" w:rsidRPr="009E4E7B" w14:paraId="2D229C9F" w14:textId="77777777" w:rsidTr="00B320E1">
        <w:trPr>
          <w:cantSplit/>
        </w:trPr>
        <w:tc>
          <w:tcPr>
            <w:tcW w:w="2591" w:type="pct"/>
            <w:hideMark/>
          </w:tcPr>
          <w:p w14:paraId="37F794AE" w14:textId="77777777" w:rsidR="004D7143" w:rsidRPr="009E4E7B" w:rsidRDefault="004D7143" w:rsidP="00F0391F">
            <w:pPr>
              <w:tabs>
                <w:tab w:val="left" w:pos="-720"/>
              </w:tabs>
              <w:suppressAutoHyphens/>
              <w:autoSpaceDE/>
              <w:autoSpaceDN/>
              <w:rPr>
                <w:rFonts w:eastAsia="맑은 고딕"/>
                <w:b/>
                <w:noProof/>
                <w:lang w:val="en-US" w:eastAsia="fr-FR"/>
              </w:rPr>
            </w:pPr>
            <w:r w:rsidRPr="009E4E7B">
              <w:rPr>
                <w:rFonts w:eastAsia="맑은 고딕"/>
                <w:b/>
                <w:noProof/>
                <w:lang w:val="en-US" w:eastAsia="fr-FR"/>
              </w:rPr>
              <w:t>Česká republika</w:t>
            </w:r>
          </w:p>
          <w:p w14:paraId="300F9986"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61817A00" w14:textId="77777777" w:rsidR="004D7143" w:rsidRPr="009E4E7B" w:rsidRDefault="004D7143" w:rsidP="00F0391F">
            <w:pPr>
              <w:tabs>
                <w:tab w:val="left" w:pos="-720"/>
              </w:tabs>
              <w:suppressAutoHyphens/>
              <w:autoSpaceDE/>
              <w:autoSpaceDN/>
              <w:rPr>
                <w:rFonts w:eastAsia="맑은 고딕"/>
                <w:noProof/>
                <w:lang w:eastAsia="fr-FR"/>
              </w:rPr>
            </w:pPr>
            <w:r w:rsidRPr="009E4E7B">
              <w:rPr>
                <w:rFonts w:eastAsia="맑은 고딕"/>
                <w:noProof/>
                <w:lang w:eastAsia="fr-FR"/>
              </w:rPr>
              <w:t>Tel: +36 1 231 0493</w:t>
            </w:r>
          </w:p>
          <w:p w14:paraId="3F32476A" w14:textId="77777777" w:rsidR="004D7143" w:rsidRPr="009E4E7B" w:rsidRDefault="004D7143" w:rsidP="00F0391F">
            <w:pPr>
              <w:tabs>
                <w:tab w:val="left" w:pos="-720"/>
              </w:tabs>
              <w:suppressAutoHyphens/>
              <w:autoSpaceDE/>
              <w:autoSpaceDN/>
              <w:rPr>
                <w:noProof/>
                <w:lang w:eastAsia="fr-FR"/>
              </w:rPr>
            </w:pPr>
          </w:p>
        </w:tc>
        <w:tc>
          <w:tcPr>
            <w:tcW w:w="2409" w:type="pct"/>
          </w:tcPr>
          <w:p w14:paraId="06EA7930" w14:textId="77777777" w:rsidR="004D7143" w:rsidRPr="009E4E7B" w:rsidRDefault="004D7143" w:rsidP="00F0391F">
            <w:pPr>
              <w:suppressAutoHyphens/>
              <w:autoSpaceDE/>
              <w:autoSpaceDN/>
              <w:rPr>
                <w:rFonts w:eastAsia="맑은 고딕"/>
                <w:b/>
                <w:noProof/>
                <w:lang w:val="en-US" w:eastAsia="fr-FR"/>
              </w:rPr>
            </w:pPr>
            <w:r w:rsidRPr="009E4E7B">
              <w:rPr>
                <w:b/>
                <w:noProof/>
                <w:lang w:val="en-US"/>
              </w:rPr>
              <w:t>Magyarország</w:t>
            </w:r>
          </w:p>
          <w:p w14:paraId="6C37EB72"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3850596B"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Tel:. +36 1 231 0493</w:t>
            </w:r>
          </w:p>
          <w:p w14:paraId="7D833203" w14:textId="77777777" w:rsidR="004D7143" w:rsidRPr="009E4E7B" w:rsidRDefault="004D7143" w:rsidP="00F0391F">
            <w:pPr>
              <w:suppressAutoHyphens/>
              <w:autoSpaceDE/>
              <w:autoSpaceDN/>
              <w:rPr>
                <w:rFonts w:eastAsia="맑은 고딕"/>
                <w:noProof/>
                <w:lang w:eastAsia="ko-KR"/>
              </w:rPr>
            </w:pPr>
          </w:p>
        </w:tc>
      </w:tr>
      <w:tr w:rsidR="004D7143" w:rsidRPr="00D34C2F" w14:paraId="04753E56" w14:textId="77777777" w:rsidTr="00B320E1">
        <w:trPr>
          <w:cantSplit/>
        </w:trPr>
        <w:tc>
          <w:tcPr>
            <w:tcW w:w="2591" w:type="pct"/>
            <w:hideMark/>
          </w:tcPr>
          <w:p w14:paraId="23DF393C" w14:textId="5AB19C12" w:rsidR="004D7143" w:rsidRPr="009E4E7B" w:rsidRDefault="004D7143" w:rsidP="00F0391F">
            <w:pPr>
              <w:tabs>
                <w:tab w:val="left" w:pos="-720"/>
              </w:tabs>
              <w:suppressAutoHyphens/>
              <w:autoSpaceDE/>
              <w:autoSpaceDN/>
              <w:rPr>
                <w:b/>
                <w:bCs/>
                <w:i/>
                <w:iCs/>
                <w:noProof/>
                <w:lang w:val="en-US" w:eastAsia="fr-FR"/>
              </w:rPr>
            </w:pPr>
            <w:r w:rsidRPr="009E4E7B">
              <w:rPr>
                <w:b/>
                <w:noProof/>
                <w:lang w:val="en-US"/>
              </w:rPr>
              <w:t>D</w:t>
            </w:r>
            <w:r w:rsidR="00516DC3">
              <w:rPr>
                <w:rFonts w:eastAsia="맑은 고딕" w:hint="eastAsia"/>
                <w:b/>
                <w:noProof/>
                <w:lang w:val="en-US" w:eastAsia="ko-KR"/>
              </w:rPr>
              <w:t>e</w:t>
            </w:r>
            <w:r w:rsidRPr="009E4E7B">
              <w:rPr>
                <w:b/>
                <w:noProof/>
                <w:lang w:val="en-US"/>
              </w:rPr>
              <w:t>nmark</w:t>
            </w:r>
          </w:p>
          <w:p w14:paraId="5A56475C" w14:textId="77777777" w:rsidR="00516DC3" w:rsidRPr="00B436C7" w:rsidRDefault="004D7143" w:rsidP="00516DC3">
            <w:pPr>
              <w:tabs>
                <w:tab w:val="left" w:pos="-720"/>
              </w:tabs>
              <w:suppressAutoHyphens/>
              <w:rPr>
                <w:rFonts w:eastAsia="맑은 고딕"/>
                <w:noProof/>
                <w:lang w:val="en-US" w:eastAsia="fr-FR"/>
              </w:rPr>
            </w:pPr>
            <w:r w:rsidRPr="009E4E7B">
              <w:rPr>
                <w:rFonts w:eastAsia="맑은 고딕"/>
                <w:noProof/>
                <w:lang w:val="en-US" w:eastAsia="fr-FR"/>
              </w:rPr>
              <w:t xml:space="preserve">Celltrion Healthcare </w:t>
            </w:r>
            <w:r w:rsidR="00516DC3" w:rsidRPr="00B436C7">
              <w:rPr>
                <w:rFonts w:eastAsia="맑은 고딕"/>
                <w:noProof/>
                <w:lang w:val="en-US" w:eastAsia="fr-FR"/>
              </w:rPr>
              <w:t>Denmark ApS</w:t>
            </w:r>
          </w:p>
          <w:p w14:paraId="3AFC765B" w14:textId="77777777" w:rsidR="00516DC3" w:rsidRPr="00B436C7" w:rsidRDefault="00516DC3" w:rsidP="00516DC3">
            <w:pPr>
              <w:tabs>
                <w:tab w:val="left" w:pos="-720"/>
              </w:tabs>
              <w:suppressAutoHyphens/>
              <w:rPr>
                <w:rFonts w:eastAsia="맑은 고딕"/>
                <w:noProof/>
                <w:lang w:val="en-US" w:eastAsia="fr-FR"/>
              </w:rPr>
            </w:pPr>
            <w:r w:rsidRPr="00B436C7">
              <w:rPr>
                <w:rFonts w:eastAsia="맑은 고딕"/>
                <w:noProof/>
                <w:lang w:val="en-US" w:eastAsia="fr-FR"/>
              </w:rPr>
              <w:t>Tel: + 45 3535 2989</w:t>
            </w:r>
          </w:p>
          <w:p w14:paraId="0255440C" w14:textId="77777777" w:rsidR="00516DC3" w:rsidRDefault="00516DC3" w:rsidP="00516DC3">
            <w:pPr>
              <w:tabs>
                <w:tab w:val="left" w:pos="-720"/>
              </w:tabs>
              <w:suppressAutoHyphens/>
              <w:rPr>
                <w:rFonts w:eastAsia="맑은 고딕"/>
                <w:noProof/>
                <w:lang w:eastAsia="fr-FR"/>
              </w:rPr>
            </w:pPr>
            <w:r w:rsidRPr="00204A91">
              <w:rPr>
                <w:rFonts w:eastAsia="맑은 고딕"/>
                <w:noProof/>
                <w:lang w:eastAsia="fr-FR"/>
              </w:rPr>
              <w:t>Contact_dk@celltrionhc.com</w:t>
            </w:r>
          </w:p>
          <w:p w14:paraId="2A6BE806" w14:textId="7970642A" w:rsidR="004D7143" w:rsidRPr="009E4E7B" w:rsidRDefault="004D7143" w:rsidP="00F0391F">
            <w:pPr>
              <w:tabs>
                <w:tab w:val="left" w:pos="-720"/>
              </w:tabs>
              <w:suppressAutoHyphens/>
              <w:autoSpaceDE/>
              <w:autoSpaceDN/>
              <w:rPr>
                <w:rFonts w:eastAsia="맑은 고딕"/>
                <w:noProof/>
                <w:lang w:eastAsia="fr-FR"/>
              </w:rPr>
            </w:pPr>
          </w:p>
        </w:tc>
        <w:tc>
          <w:tcPr>
            <w:tcW w:w="2409" w:type="pct"/>
          </w:tcPr>
          <w:p w14:paraId="08B0F404" w14:textId="77777777" w:rsidR="004D7143" w:rsidRPr="009E4E7B" w:rsidRDefault="004D7143" w:rsidP="00F0391F">
            <w:pPr>
              <w:suppressAutoHyphens/>
              <w:autoSpaceDE/>
              <w:autoSpaceDN/>
              <w:rPr>
                <w:noProof/>
                <w:lang w:val="en-US" w:eastAsia="fr-FR"/>
              </w:rPr>
            </w:pPr>
            <w:r w:rsidRPr="009E4E7B">
              <w:rPr>
                <w:rFonts w:eastAsia="맑은 고딕"/>
                <w:b/>
                <w:noProof/>
                <w:lang w:val="en-US" w:eastAsia="fr-FR"/>
              </w:rPr>
              <w:t>Malta</w:t>
            </w:r>
          </w:p>
          <w:p w14:paraId="078DFC06"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Mint Health Ltd.</w:t>
            </w:r>
          </w:p>
          <w:p w14:paraId="6D0A18FD" w14:textId="77777777" w:rsidR="004D7143" w:rsidRPr="009E4E7B" w:rsidRDefault="004D7143" w:rsidP="00F0391F">
            <w:pPr>
              <w:suppressAutoHyphens/>
              <w:autoSpaceDE/>
              <w:autoSpaceDN/>
              <w:rPr>
                <w:rFonts w:eastAsia="맑은 고딕"/>
                <w:noProof/>
                <w:lang w:val="en-US" w:eastAsia="ko-KR"/>
              </w:rPr>
            </w:pPr>
            <w:r w:rsidRPr="009E4E7B">
              <w:rPr>
                <w:rFonts w:eastAsia="맑은 고딕"/>
                <w:noProof/>
                <w:lang w:val="en-US" w:eastAsia="fr-FR"/>
              </w:rPr>
              <w:t>Tel: +356 2093 9800</w:t>
            </w:r>
          </w:p>
          <w:p w14:paraId="376DA58F" w14:textId="77777777" w:rsidR="004D7143" w:rsidRPr="009E4E7B" w:rsidRDefault="004D7143" w:rsidP="00F0391F">
            <w:pPr>
              <w:suppressAutoHyphens/>
              <w:autoSpaceDE/>
              <w:autoSpaceDN/>
              <w:rPr>
                <w:rFonts w:eastAsia="맑은 고딕"/>
                <w:noProof/>
                <w:lang w:val="en-US" w:eastAsia="ko-KR"/>
              </w:rPr>
            </w:pPr>
          </w:p>
        </w:tc>
      </w:tr>
      <w:tr w:rsidR="004D7143" w:rsidRPr="009E4E7B" w14:paraId="68670E24" w14:textId="77777777" w:rsidTr="00B320E1">
        <w:trPr>
          <w:cantSplit/>
        </w:trPr>
        <w:tc>
          <w:tcPr>
            <w:tcW w:w="2591" w:type="pct"/>
            <w:hideMark/>
          </w:tcPr>
          <w:p w14:paraId="20E5257D" w14:textId="77777777" w:rsidR="004D7143" w:rsidRPr="009E4E7B" w:rsidRDefault="004D7143" w:rsidP="00F0391F">
            <w:pPr>
              <w:suppressAutoHyphens/>
              <w:autoSpaceDE/>
              <w:autoSpaceDN/>
              <w:rPr>
                <w:b/>
              </w:rPr>
            </w:pPr>
            <w:r w:rsidRPr="009E4E7B">
              <w:rPr>
                <w:b/>
              </w:rPr>
              <w:t>Deutschland</w:t>
            </w:r>
          </w:p>
          <w:p w14:paraId="11DBE163" w14:textId="77777777" w:rsidR="004D7143" w:rsidRPr="009E4E7B" w:rsidRDefault="004D7143" w:rsidP="00F0391F">
            <w:pPr>
              <w:tabs>
                <w:tab w:val="left" w:pos="-720"/>
              </w:tabs>
              <w:suppressAutoHyphens/>
              <w:autoSpaceDE/>
              <w:autoSpaceDN/>
            </w:pPr>
            <w:r w:rsidRPr="009E4E7B">
              <w:t xml:space="preserve">Celltrion Healthcare Deutschland </w:t>
            </w:r>
            <w:r w:rsidRPr="009E4E7B">
              <w:rPr>
                <w:rFonts w:eastAsia="맑은 고딕"/>
                <w:noProof/>
                <w:lang w:eastAsia="fr-FR"/>
              </w:rPr>
              <w:t>GmbH</w:t>
            </w:r>
          </w:p>
          <w:p w14:paraId="3B62568D" w14:textId="77777777" w:rsidR="004D7143" w:rsidRPr="009E4E7B" w:rsidRDefault="004D7143" w:rsidP="00F0391F">
            <w:pPr>
              <w:tabs>
                <w:tab w:val="left" w:pos="-720"/>
              </w:tabs>
              <w:suppressAutoHyphens/>
              <w:autoSpaceDE/>
              <w:autoSpaceDN/>
              <w:rPr>
                <w:rFonts w:eastAsia="맑은 고딕"/>
                <w:noProof/>
                <w:lang w:eastAsia="fr-FR"/>
              </w:rPr>
            </w:pPr>
            <w:r w:rsidRPr="009E4E7B">
              <w:t xml:space="preserve">Tel: </w:t>
            </w:r>
            <w:r w:rsidRPr="009E4E7B">
              <w:rPr>
                <w:rFonts w:eastAsia="맑은 고딕"/>
                <w:noProof/>
                <w:lang w:eastAsia="fr-FR"/>
              </w:rPr>
              <w:t>+49 (0)30 346494150</w:t>
            </w:r>
          </w:p>
          <w:p w14:paraId="469F32EB" w14:textId="77777777" w:rsidR="004D7143" w:rsidRPr="009E4E7B" w:rsidRDefault="004D7143" w:rsidP="00F0391F">
            <w:pPr>
              <w:tabs>
                <w:tab w:val="left" w:pos="-720"/>
              </w:tabs>
              <w:suppressAutoHyphens/>
              <w:autoSpaceDE/>
              <w:autoSpaceDN/>
              <w:rPr>
                <w:rFonts w:eastAsia="맑은 고딕"/>
                <w:noProof/>
                <w:lang w:eastAsia="fr-FR"/>
              </w:rPr>
            </w:pPr>
            <w:r w:rsidRPr="009E4E7B">
              <w:rPr>
                <w:rFonts w:eastAsia="맑은 고딕"/>
                <w:noProof/>
                <w:lang w:eastAsia="fr-FR"/>
              </w:rPr>
              <w:t>infoDE@celltrionhc.com</w:t>
            </w:r>
          </w:p>
        </w:tc>
        <w:tc>
          <w:tcPr>
            <w:tcW w:w="2409" w:type="pct"/>
          </w:tcPr>
          <w:p w14:paraId="64713716" w14:textId="77777777" w:rsidR="004D7143" w:rsidRPr="009E4E7B" w:rsidRDefault="004D7143" w:rsidP="00F0391F">
            <w:pPr>
              <w:suppressAutoHyphens/>
              <w:autoSpaceDE/>
              <w:autoSpaceDN/>
              <w:rPr>
                <w:noProof/>
                <w:lang w:val="en-US" w:eastAsia="fr-FR"/>
              </w:rPr>
            </w:pPr>
            <w:r w:rsidRPr="009E4E7B">
              <w:rPr>
                <w:rFonts w:eastAsia="맑은 고딕"/>
                <w:b/>
                <w:noProof/>
                <w:lang w:val="en-US" w:eastAsia="fr-FR"/>
              </w:rPr>
              <w:t>Nederland</w:t>
            </w:r>
          </w:p>
          <w:p w14:paraId="665B3F66" w14:textId="77777777" w:rsidR="004D7143" w:rsidRPr="009E4E7B" w:rsidRDefault="004D7143" w:rsidP="00F0391F">
            <w:pPr>
              <w:suppressAutoHyphens/>
              <w:autoSpaceDE/>
              <w:autoSpaceDN/>
              <w:rPr>
                <w:rFonts w:eastAsia="맑은 고딕"/>
                <w:noProof/>
                <w:lang w:val="en-US" w:eastAsia="fr-FR"/>
              </w:rPr>
            </w:pPr>
            <w:r w:rsidRPr="009E4E7B">
              <w:rPr>
                <w:rFonts w:eastAsia="맑은 고딕"/>
                <w:noProof/>
                <w:lang w:val="en-US" w:eastAsia="fr-FR"/>
              </w:rPr>
              <w:t>Celltrion Healthcare Netherlands B.V.</w:t>
            </w:r>
          </w:p>
          <w:p w14:paraId="559C2849"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Tel: + 31 20 888 7300</w:t>
            </w:r>
          </w:p>
          <w:p w14:paraId="62C25880" w14:textId="77777777" w:rsidR="004D7143" w:rsidRPr="009E4E7B" w:rsidRDefault="004D7143" w:rsidP="00F0391F">
            <w:pPr>
              <w:suppressAutoHyphens/>
              <w:autoSpaceDE/>
              <w:autoSpaceDN/>
              <w:rPr>
                <w:rFonts w:eastAsia="맑은 고딕"/>
                <w:noProof/>
                <w:lang w:eastAsia="fr-FR"/>
              </w:rPr>
            </w:pPr>
            <w:hyperlink r:id="rId14" w:history="1">
              <w:r w:rsidRPr="009E4E7B">
                <w:rPr>
                  <w:rStyle w:val="a8"/>
                  <w:rFonts w:eastAsia="맑은 고딕"/>
                  <w:noProof/>
                  <w:lang w:eastAsia="fr-FR"/>
                </w:rPr>
                <w:t>NLinfo@celltrionh</w:t>
              </w:r>
              <w:r w:rsidRPr="009E4E7B">
                <w:rPr>
                  <w:rStyle w:val="a8"/>
                </w:rPr>
                <w:t>c</w:t>
              </w:r>
              <w:r w:rsidRPr="009E4E7B">
                <w:rPr>
                  <w:rStyle w:val="a8"/>
                  <w:rFonts w:eastAsia="맑은 고딕"/>
                  <w:noProof/>
                  <w:lang w:eastAsia="fr-FR"/>
                </w:rPr>
                <w:t>.com</w:t>
              </w:r>
            </w:hyperlink>
          </w:p>
          <w:p w14:paraId="54CA1A7D" w14:textId="77777777" w:rsidR="004D7143" w:rsidRPr="009E4E7B" w:rsidRDefault="004D7143" w:rsidP="00F0391F">
            <w:pPr>
              <w:suppressAutoHyphens/>
              <w:autoSpaceDE/>
              <w:autoSpaceDN/>
              <w:rPr>
                <w:rFonts w:eastAsia="맑은 고딕"/>
                <w:noProof/>
                <w:lang w:eastAsia="fr-FR"/>
              </w:rPr>
            </w:pPr>
          </w:p>
        </w:tc>
      </w:tr>
      <w:tr w:rsidR="004D7143" w:rsidRPr="00D34C2F" w14:paraId="37785AAA" w14:textId="77777777" w:rsidTr="00B320E1">
        <w:trPr>
          <w:cantSplit/>
        </w:trPr>
        <w:tc>
          <w:tcPr>
            <w:tcW w:w="2591" w:type="pct"/>
            <w:hideMark/>
          </w:tcPr>
          <w:p w14:paraId="54966806" w14:textId="77777777" w:rsidR="004D7143" w:rsidRPr="009E4E7B" w:rsidRDefault="004D7143" w:rsidP="00F0391F">
            <w:pPr>
              <w:tabs>
                <w:tab w:val="left" w:pos="-720"/>
                <w:tab w:val="left" w:pos="4536"/>
              </w:tabs>
              <w:suppressAutoHyphens/>
              <w:autoSpaceDE/>
              <w:autoSpaceDN/>
              <w:rPr>
                <w:b/>
                <w:noProof/>
                <w:lang w:val="en-US" w:eastAsia="fr-FR"/>
              </w:rPr>
            </w:pPr>
            <w:r w:rsidRPr="009E4E7B">
              <w:rPr>
                <w:rFonts w:eastAsia="맑은 고딕"/>
                <w:b/>
                <w:noProof/>
                <w:lang w:val="en-US" w:eastAsia="fr-FR"/>
              </w:rPr>
              <w:t>Eesti</w:t>
            </w:r>
          </w:p>
          <w:p w14:paraId="29218C11"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07073282" w14:textId="77777777" w:rsidR="004D7143" w:rsidRPr="009E4E7B" w:rsidRDefault="004D7143" w:rsidP="00F0391F">
            <w:pPr>
              <w:tabs>
                <w:tab w:val="left" w:pos="-720"/>
              </w:tabs>
              <w:suppressAutoHyphens/>
              <w:autoSpaceDE/>
              <w:autoSpaceDN/>
              <w:rPr>
                <w:rFonts w:eastAsia="맑은 고딕"/>
                <w:noProof/>
                <w:lang w:eastAsia="fr-FR"/>
              </w:rPr>
            </w:pPr>
            <w:r w:rsidRPr="009E4E7B">
              <w:rPr>
                <w:rFonts w:eastAsia="맑은 고딕"/>
                <w:noProof/>
                <w:lang w:eastAsia="fr-FR"/>
              </w:rPr>
              <w:t>Tel: +36 1 231 0493</w:t>
            </w:r>
          </w:p>
          <w:p w14:paraId="3A295FE5" w14:textId="77777777" w:rsidR="004D7143" w:rsidRPr="009E4E7B" w:rsidRDefault="004D7143" w:rsidP="00F0391F">
            <w:pPr>
              <w:tabs>
                <w:tab w:val="left" w:pos="-720"/>
              </w:tabs>
              <w:suppressAutoHyphens/>
              <w:autoSpaceDE/>
              <w:autoSpaceDN/>
              <w:rPr>
                <w:rFonts w:eastAsia="맑은 고딕"/>
                <w:noProof/>
                <w:lang w:val="fi-FI" w:eastAsia="ko-KR"/>
              </w:rPr>
            </w:pPr>
          </w:p>
        </w:tc>
        <w:tc>
          <w:tcPr>
            <w:tcW w:w="2409" w:type="pct"/>
          </w:tcPr>
          <w:p w14:paraId="6050B6A5" w14:textId="77777777" w:rsidR="004D7143" w:rsidRPr="009E4E7B" w:rsidRDefault="004D7143" w:rsidP="00F0391F">
            <w:pPr>
              <w:tabs>
                <w:tab w:val="left" w:pos="-720"/>
              </w:tabs>
              <w:suppressAutoHyphens/>
              <w:autoSpaceDE/>
              <w:autoSpaceDN/>
              <w:rPr>
                <w:noProof/>
                <w:lang w:val="en-US" w:eastAsia="fr-FR"/>
              </w:rPr>
            </w:pPr>
            <w:r w:rsidRPr="009E4E7B">
              <w:rPr>
                <w:rFonts w:eastAsia="맑은 고딕"/>
                <w:b/>
                <w:noProof/>
                <w:lang w:val="en-US" w:eastAsia="fr-FR"/>
              </w:rPr>
              <w:t>Norge</w:t>
            </w:r>
          </w:p>
          <w:p w14:paraId="70B19ACF" w14:textId="77777777" w:rsidR="00516DC3" w:rsidRPr="00B436C7" w:rsidRDefault="004D7143" w:rsidP="00516DC3">
            <w:pPr>
              <w:tabs>
                <w:tab w:val="left" w:pos="-720"/>
              </w:tabs>
              <w:suppressAutoHyphens/>
              <w:rPr>
                <w:rFonts w:eastAsia="맑은 고딕"/>
                <w:noProof/>
                <w:lang w:val="en-US" w:eastAsia="ko-KR"/>
              </w:rPr>
            </w:pPr>
            <w:r w:rsidRPr="009E4E7B">
              <w:rPr>
                <w:rFonts w:eastAsia="맑은 고딕"/>
                <w:noProof/>
                <w:lang w:val="en-US" w:eastAsia="fr-FR"/>
              </w:rPr>
              <w:t xml:space="preserve">Celltrion Healthcare </w:t>
            </w:r>
            <w:r w:rsidR="00516DC3" w:rsidRPr="00B436C7">
              <w:rPr>
                <w:rFonts w:eastAsia="맑은 고딕"/>
                <w:noProof/>
                <w:lang w:val="en-US" w:eastAsia="ko-KR"/>
              </w:rPr>
              <w:t>Norway AS</w:t>
            </w:r>
          </w:p>
          <w:p w14:paraId="0E6E152C" w14:textId="42AE9808" w:rsidR="004D7143" w:rsidRPr="00B436C7" w:rsidRDefault="00516DC3" w:rsidP="00F0391F">
            <w:pPr>
              <w:tabs>
                <w:tab w:val="left" w:pos="-720"/>
              </w:tabs>
              <w:suppressAutoHyphens/>
              <w:autoSpaceDE/>
              <w:autoSpaceDN/>
              <w:rPr>
                <w:rFonts w:eastAsia="맑은 고딕"/>
                <w:noProof/>
                <w:lang w:val="en-US" w:eastAsia="ko-KR"/>
              </w:rPr>
            </w:pPr>
            <w:r w:rsidRPr="00B436C7">
              <w:rPr>
                <w:rFonts w:eastAsia="맑은 고딕"/>
                <w:noProof/>
                <w:lang w:val="en-US" w:eastAsia="fr-FR"/>
              </w:rPr>
              <w:t>Contact_no@celltrionhc.com</w:t>
            </w:r>
            <w:r w:rsidRPr="00B436C7" w:rsidDel="006F04E0">
              <w:rPr>
                <w:rFonts w:eastAsia="맑은 고딕"/>
                <w:noProof/>
                <w:lang w:val="en-US" w:eastAsia="fr-FR"/>
              </w:rPr>
              <w:t xml:space="preserve"> </w:t>
            </w:r>
          </w:p>
          <w:p w14:paraId="0B96E914" w14:textId="77777777" w:rsidR="00516DC3" w:rsidRPr="00B436C7" w:rsidRDefault="00516DC3" w:rsidP="00F0391F">
            <w:pPr>
              <w:tabs>
                <w:tab w:val="left" w:pos="-720"/>
              </w:tabs>
              <w:suppressAutoHyphens/>
              <w:autoSpaceDE/>
              <w:autoSpaceDN/>
              <w:rPr>
                <w:rFonts w:eastAsia="맑은 고딕"/>
                <w:noProof/>
                <w:lang w:val="en-US" w:eastAsia="ko-KR"/>
              </w:rPr>
            </w:pPr>
          </w:p>
        </w:tc>
      </w:tr>
      <w:tr w:rsidR="004D7143" w:rsidRPr="009E4E7B" w14:paraId="1525AF62" w14:textId="77777777" w:rsidTr="00B320E1">
        <w:trPr>
          <w:cantSplit/>
        </w:trPr>
        <w:tc>
          <w:tcPr>
            <w:tcW w:w="2591" w:type="pct"/>
            <w:hideMark/>
          </w:tcPr>
          <w:p w14:paraId="1F3B00A7" w14:textId="77777777" w:rsidR="004D7143" w:rsidRPr="009E4E7B" w:rsidRDefault="004D7143" w:rsidP="00F0391F">
            <w:pPr>
              <w:suppressAutoHyphens/>
              <w:autoSpaceDE/>
              <w:autoSpaceDN/>
              <w:rPr>
                <w:noProof/>
                <w:lang w:val="es-ES_tradnl" w:eastAsia="fr-FR"/>
              </w:rPr>
            </w:pPr>
            <w:r w:rsidRPr="009E4E7B">
              <w:rPr>
                <w:b/>
                <w:noProof/>
                <w:lang w:val="es-ES_tradnl"/>
              </w:rPr>
              <w:t>España</w:t>
            </w:r>
          </w:p>
          <w:p w14:paraId="3594D8CA" w14:textId="77777777" w:rsidR="004D7143" w:rsidRPr="009E4E7B" w:rsidRDefault="004D7143" w:rsidP="00F0391F">
            <w:pPr>
              <w:suppressAutoHyphens/>
              <w:autoSpaceDE/>
              <w:autoSpaceDN/>
              <w:rPr>
                <w:rFonts w:eastAsia="맑은 고딕"/>
                <w:noProof/>
                <w:lang w:val="es-ES_tradnl" w:eastAsia="fr-FR"/>
              </w:rPr>
            </w:pPr>
            <w:r w:rsidRPr="009E4E7B">
              <w:rPr>
                <w:rFonts w:eastAsia="맑은 고딕"/>
                <w:noProof/>
                <w:lang w:val="es-ES_tradnl" w:eastAsia="fr-FR"/>
              </w:rPr>
              <w:t>CELLTRION FARMACEUTICA (ESPAÑA) S.L..</w:t>
            </w:r>
          </w:p>
          <w:p w14:paraId="2A4D9A38" w14:textId="680CF4EF" w:rsidR="004D7143" w:rsidRPr="009E4E7B" w:rsidRDefault="004D7143" w:rsidP="00F0391F">
            <w:pPr>
              <w:suppressAutoHyphens/>
              <w:autoSpaceDE/>
              <w:autoSpaceDN/>
              <w:rPr>
                <w:rFonts w:eastAsia="맑은 고딕"/>
                <w:noProof/>
                <w:lang w:eastAsia="ko-KR"/>
              </w:rPr>
            </w:pPr>
            <w:r w:rsidRPr="009E4E7B">
              <w:rPr>
                <w:rFonts w:eastAsia="맑은 고딕"/>
                <w:noProof/>
                <w:lang w:eastAsia="fr-FR"/>
              </w:rPr>
              <w:t xml:space="preserve">Tel: +34 </w:t>
            </w:r>
            <w:r w:rsidR="008A14FC">
              <w:rPr>
                <w:rFonts w:eastAsia="맑은 고딕" w:hint="eastAsia"/>
                <w:noProof/>
                <w:lang w:eastAsia="ko-KR"/>
              </w:rPr>
              <w:t>910 498 478</w:t>
            </w:r>
          </w:p>
          <w:p w14:paraId="7E223234" w14:textId="77777777" w:rsidR="004D7143" w:rsidRPr="009E4E7B" w:rsidRDefault="004D7143" w:rsidP="00F0391F">
            <w:pPr>
              <w:suppressAutoHyphens/>
              <w:autoSpaceDE/>
              <w:autoSpaceDN/>
              <w:rPr>
                <w:b/>
                <w:noProof/>
                <w:lang w:eastAsia="fr-FR"/>
              </w:rPr>
            </w:pPr>
          </w:p>
        </w:tc>
        <w:tc>
          <w:tcPr>
            <w:tcW w:w="2409" w:type="pct"/>
          </w:tcPr>
          <w:p w14:paraId="00ECE942" w14:textId="77777777" w:rsidR="004D7143" w:rsidRPr="009E4E7B" w:rsidRDefault="004D7143" w:rsidP="00F0391F">
            <w:pPr>
              <w:suppressAutoHyphens/>
              <w:autoSpaceDE/>
              <w:autoSpaceDN/>
              <w:rPr>
                <w:noProof/>
                <w:lang w:eastAsia="fr-FR"/>
              </w:rPr>
            </w:pPr>
            <w:r w:rsidRPr="009E4E7B">
              <w:rPr>
                <w:b/>
                <w:noProof/>
              </w:rPr>
              <w:t>Österreich</w:t>
            </w:r>
          </w:p>
          <w:p w14:paraId="1BBD3FE7" w14:textId="77777777" w:rsidR="004D7143" w:rsidRPr="009E4E7B" w:rsidRDefault="004D7143" w:rsidP="00F0391F">
            <w:pPr>
              <w:suppressAutoHyphens/>
              <w:autoSpaceDE/>
              <w:autoSpaceDN/>
              <w:rPr>
                <w:rFonts w:eastAsia="맑은 고딕"/>
                <w:noProof/>
                <w:lang w:eastAsia="ko-KR"/>
              </w:rPr>
            </w:pPr>
            <w:r w:rsidRPr="009E4E7B">
              <w:rPr>
                <w:rFonts w:eastAsia="맑은 고딕"/>
                <w:noProof/>
                <w:lang w:eastAsia="fr-FR"/>
              </w:rPr>
              <w:t>Astro-Pharma GmbH</w:t>
            </w:r>
          </w:p>
          <w:p w14:paraId="464939DD" w14:textId="77777777" w:rsidR="004D7143" w:rsidRPr="009E4E7B" w:rsidRDefault="004D7143" w:rsidP="00F0391F">
            <w:pPr>
              <w:tabs>
                <w:tab w:val="left" w:pos="-720"/>
              </w:tabs>
              <w:suppressAutoHyphens/>
              <w:autoSpaceDE/>
              <w:autoSpaceDN/>
              <w:rPr>
                <w:rFonts w:eastAsia="맑은 고딕"/>
                <w:noProof/>
                <w:lang w:eastAsia="fr-FR"/>
              </w:rPr>
            </w:pPr>
            <w:r w:rsidRPr="009E4E7B">
              <w:rPr>
                <w:rFonts w:eastAsia="맑은 고딕"/>
                <w:noProof/>
                <w:lang w:eastAsia="fr-FR"/>
              </w:rPr>
              <w:t>Tel: +43 1 97 99 860</w:t>
            </w:r>
          </w:p>
          <w:p w14:paraId="023DBA6E" w14:textId="77777777" w:rsidR="004D7143" w:rsidRPr="009E4E7B" w:rsidRDefault="004D7143" w:rsidP="00F0391F">
            <w:pPr>
              <w:tabs>
                <w:tab w:val="left" w:pos="-720"/>
              </w:tabs>
              <w:suppressAutoHyphens/>
              <w:autoSpaceDE/>
              <w:autoSpaceDN/>
              <w:rPr>
                <w:noProof/>
                <w:lang w:eastAsia="fr-FR"/>
              </w:rPr>
            </w:pPr>
          </w:p>
        </w:tc>
      </w:tr>
      <w:tr w:rsidR="004D7143" w:rsidRPr="009E4E7B" w14:paraId="7847BFAA" w14:textId="77777777" w:rsidTr="00B320E1">
        <w:trPr>
          <w:cantSplit/>
        </w:trPr>
        <w:tc>
          <w:tcPr>
            <w:tcW w:w="2591" w:type="pct"/>
          </w:tcPr>
          <w:p w14:paraId="61C5F687" w14:textId="77777777" w:rsidR="004D7143" w:rsidRPr="009E4E7B" w:rsidRDefault="004D7143" w:rsidP="00F0391F">
            <w:pPr>
              <w:suppressAutoHyphens/>
              <w:autoSpaceDE/>
              <w:autoSpaceDN/>
              <w:rPr>
                <w:b/>
                <w:noProof/>
                <w:lang w:val="el-GR" w:eastAsia="fr-FR"/>
              </w:rPr>
            </w:pPr>
            <w:r w:rsidRPr="009E4E7B">
              <w:rPr>
                <w:b/>
                <w:noProof/>
                <w:lang w:val="el-GR" w:eastAsia="fr-FR"/>
              </w:rPr>
              <w:t>Ελλάδα</w:t>
            </w:r>
          </w:p>
          <w:p w14:paraId="028F852B" w14:textId="77777777" w:rsidR="004D7143" w:rsidRPr="009E4E7B" w:rsidRDefault="004D7143" w:rsidP="00F0391F">
            <w:pPr>
              <w:suppressAutoHyphens/>
              <w:autoSpaceDE/>
              <w:autoSpaceDN/>
              <w:rPr>
                <w:noProof/>
                <w:lang w:val="el-GR" w:eastAsia="fr-FR"/>
              </w:rPr>
            </w:pPr>
            <w:r w:rsidRPr="009E4E7B">
              <w:rPr>
                <w:noProof/>
                <w:lang w:val="el-GR" w:eastAsia="fr-FR"/>
              </w:rPr>
              <w:t>ΒΙΑΝΕΞ Α.Ε.</w:t>
            </w:r>
          </w:p>
          <w:p w14:paraId="56F47A38" w14:textId="77777777" w:rsidR="004D7143" w:rsidRPr="009E4E7B" w:rsidRDefault="004D7143" w:rsidP="00F0391F">
            <w:pPr>
              <w:suppressAutoHyphens/>
              <w:autoSpaceDE/>
              <w:autoSpaceDN/>
              <w:rPr>
                <w:noProof/>
                <w:lang w:val="el-GR" w:eastAsia="fr-FR"/>
              </w:rPr>
            </w:pPr>
            <w:r w:rsidRPr="009E4E7B">
              <w:rPr>
                <w:noProof/>
                <w:lang w:val="el-GR" w:eastAsia="fr-FR"/>
              </w:rPr>
              <w:t xml:space="preserve">Τηλ: +30 210 8009111 </w:t>
            </w:r>
          </w:p>
          <w:p w14:paraId="7C0187A4" w14:textId="77777777" w:rsidR="004D7143" w:rsidRPr="009E4E7B" w:rsidRDefault="004D7143" w:rsidP="00F0391F">
            <w:pPr>
              <w:suppressAutoHyphens/>
              <w:autoSpaceDE/>
              <w:autoSpaceDN/>
              <w:rPr>
                <w:rFonts w:eastAsia="맑은 고딕"/>
                <w:noProof/>
                <w:lang w:val="el-GR" w:eastAsia="fr-FR"/>
              </w:rPr>
            </w:pPr>
          </w:p>
        </w:tc>
        <w:tc>
          <w:tcPr>
            <w:tcW w:w="2409" w:type="pct"/>
          </w:tcPr>
          <w:p w14:paraId="61BD927E" w14:textId="77777777" w:rsidR="004D7143" w:rsidRPr="009E4E7B" w:rsidRDefault="004D7143" w:rsidP="00F0391F">
            <w:pPr>
              <w:suppressAutoHyphens/>
              <w:autoSpaceDE/>
              <w:autoSpaceDN/>
              <w:rPr>
                <w:rFonts w:eastAsia="맑은 고딕"/>
                <w:b/>
                <w:noProof/>
                <w:lang w:val="pl-PL" w:eastAsia="fr-FR"/>
              </w:rPr>
            </w:pPr>
            <w:r w:rsidRPr="009E4E7B">
              <w:rPr>
                <w:rFonts w:eastAsia="맑은 고딕"/>
                <w:b/>
                <w:noProof/>
                <w:lang w:val="pl-PL" w:eastAsia="fr-FR"/>
              </w:rPr>
              <w:t>Polska</w:t>
            </w:r>
          </w:p>
          <w:p w14:paraId="40A9C59D"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4C0EE9B5"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Tel.: +36 1 231 0493</w:t>
            </w:r>
          </w:p>
          <w:p w14:paraId="73289E24" w14:textId="77777777" w:rsidR="004D7143" w:rsidRPr="009E4E7B" w:rsidRDefault="004D7143" w:rsidP="00F0391F">
            <w:pPr>
              <w:suppressAutoHyphens/>
              <w:autoSpaceDE/>
              <w:autoSpaceDN/>
              <w:rPr>
                <w:b/>
                <w:noProof/>
              </w:rPr>
            </w:pPr>
          </w:p>
        </w:tc>
      </w:tr>
      <w:tr w:rsidR="004D7143" w:rsidRPr="009E4E7B" w14:paraId="4599B050" w14:textId="77777777" w:rsidTr="00B320E1">
        <w:trPr>
          <w:cantSplit/>
        </w:trPr>
        <w:tc>
          <w:tcPr>
            <w:tcW w:w="2591" w:type="pct"/>
          </w:tcPr>
          <w:p w14:paraId="7390CEDF" w14:textId="77777777" w:rsidR="004D7143" w:rsidRPr="00E303AE" w:rsidRDefault="004D7143" w:rsidP="00F0391F">
            <w:pPr>
              <w:suppressAutoHyphens/>
              <w:autoSpaceDE/>
              <w:autoSpaceDN/>
              <w:rPr>
                <w:b/>
                <w:noProof/>
                <w:lang w:val="en-US" w:eastAsia="ko-KR"/>
              </w:rPr>
            </w:pPr>
            <w:r w:rsidRPr="00E303AE">
              <w:rPr>
                <w:b/>
                <w:noProof/>
                <w:lang w:val="en-US" w:eastAsia="ko-KR"/>
              </w:rPr>
              <w:t>France</w:t>
            </w:r>
          </w:p>
          <w:p w14:paraId="155D336E" w14:textId="77777777" w:rsidR="004D7143" w:rsidRPr="00E303AE" w:rsidRDefault="004D7143" w:rsidP="00F0391F">
            <w:pPr>
              <w:suppressAutoHyphens/>
              <w:autoSpaceDE/>
              <w:autoSpaceDN/>
              <w:rPr>
                <w:noProof/>
                <w:lang w:val="en-US" w:eastAsia="ko-KR"/>
              </w:rPr>
            </w:pPr>
            <w:r w:rsidRPr="00E303AE">
              <w:rPr>
                <w:noProof/>
                <w:lang w:val="en-US" w:eastAsia="ko-KR"/>
              </w:rPr>
              <w:t>Celltrion Healthcare France SAS</w:t>
            </w:r>
          </w:p>
          <w:p w14:paraId="338AC486" w14:textId="77777777" w:rsidR="004D7143" w:rsidRPr="00E303AE" w:rsidRDefault="004D7143" w:rsidP="00F0391F">
            <w:pPr>
              <w:suppressAutoHyphens/>
              <w:autoSpaceDE/>
              <w:autoSpaceDN/>
              <w:rPr>
                <w:rFonts w:eastAsia="맑은 고딕"/>
                <w:noProof/>
                <w:lang w:val="en-US" w:eastAsia="ko-KR"/>
              </w:rPr>
            </w:pPr>
            <w:r w:rsidRPr="00E303AE">
              <w:rPr>
                <w:noProof/>
                <w:lang w:val="en-US" w:eastAsia="ko-KR"/>
              </w:rPr>
              <w:t>T</w:t>
            </w:r>
            <w:proofErr w:type="spellStart"/>
            <w:r w:rsidRPr="00E303AE">
              <w:rPr>
                <w:lang w:val="en-US"/>
              </w:rPr>
              <w:t>é</w:t>
            </w:r>
            <w:r w:rsidRPr="00E303AE">
              <w:rPr>
                <w:noProof/>
                <w:lang w:val="en-US" w:eastAsia="ko-KR"/>
              </w:rPr>
              <w:t>l</w:t>
            </w:r>
            <w:proofErr w:type="spellEnd"/>
            <w:r w:rsidRPr="00E303AE">
              <w:rPr>
                <w:noProof/>
                <w:lang w:val="en-US" w:eastAsia="ko-KR"/>
              </w:rPr>
              <w:t>.: +33 (0)1 71 25 27 00</w:t>
            </w:r>
          </w:p>
          <w:p w14:paraId="6DA2200B" w14:textId="77777777" w:rsidR="004D7143" w:rsidRPr="00E303AE" w:rsidRDefault="004D7143" w:rsidP="00F0391F">
            <w:pPr>
              <w:suppressAutoHyphens/>
              <w:autoSpaceDE/>
              <w:autoSpaceDN/>
              <w:rPr>
                <w:rFonts w:eastAsia="맑은 고딕"/>
                <w:noProof/>
                <w:lang w:val="en-US" w:eastAsia="fr-FR"/>
              </w:rPr>
            </w:pPr>
          </w:p>
        </w:tc>
        <w:tc>
          <w:tcPr>
            <w:tcW w:w="2409" w:type="pct"/>
          </w:tcPr>
          <w:p w14:paraId="7FB43E41" w14:textId="77777777" w:rsidR="004D7143" w:rsidRPr="009E4E7B" w:rsidRDefault="004D7143" w:rsidP="00F0391F">
            <w:pPr>
              <w:suppressAutoHyphens/>
              <w:adjustRightInd w:val="0"/>
              <w:rPr>
                <w:noProof/>
                <w:lang w:val="pt-PT" w:eastAsia="fr-FR"/>
              </w:rPr>
            </w:pPr>
            <w:r w:rsidRPr="009E4E7B">
              <w:rPr>
                <w:rFonts w:eastAsia="맑은 고딕"/>
                <w:b/>
                <w:noProof/>
                <w:lang w:val="pt-PT" w:eastAsia="fr-FR"/>
              </w:rPr>
              <w:t>Portugal</w:t>
            </w:r>
          </w:p>
          <w:p w14:paraId="40C531FC" w14:textId="77777777" w:rsidR="004D7143" w:rsidRPr="009E4E7B" w:rsidRDefault="004D7143" w:rsidP="00F0391F">
            <w:pPr>
              <w:suppressAutoHyphens/>
              <w:adjustRightInd w:val="0"/>
              <w:rPr>
                <w:rFonts w:eastAsia="맑은 고딕"/>
                <w:noProof/>
                <w:lang w:val="pt-PT" w:eastAsia="ko-KR"/>
              </w:rPr>
            </w:pPr>
            <w:r w:rsidRPr="009E4E7B">
              <w:rPr>
                <w:rFonts w:eastAsia="맑은 고딕"/>
                <w:noProof/>
                <w:lang w:val="pt-PT" w:eastAsia="fr-FR"/>
              </w:rPr>
              <w:t>CELLTRION PORTUGAL, UNIPESSOAL LDA.</w:t>
            </w:r>
          </w:p>
          <w:p w14:paraId="681B5973" w14:textId="77777777" w:rsidR="004D7143" w:rsidRPr="009E4E7B" w:rsidRDefault="004D7143" w:rsidP="00F0391F">
            <w:pPr>
              <w:suppressAutoHyphens/>
              <w:autoSpaceDE/>
              <w:autoSpaceDN/>
              <w:rPr>
                <w:b/>
              </w:rPr>
            </w:pPr>
            <w:r w:rsidRPr="009E4E7B">
              <w:t xml:space="preserve">Tel: </w:t>
            </w:r>
            <w:r w:rsidRPr="009E4E7B">
              <w:rPr>
                <w:rFonts w:eastAsia="맑은 고딕"/>
                <w:noProof/>
                <w:lang w:val="pt-BR" w:eastAsia="fr-FR"/>
              </w:rPr>
              <w:t>+351 21 936 8542</w:t>
            </w:r>
          </w:p>
          <w:p w14:paraId="7C4386DC" w14:textId="77777777" w:rsidR="004D7143" w:rsidRPr="009E4E7B" w:rsidRDefault="004D7143" w:rsidP="00F0391F">
            <w:pPr>
              <w:suppressAutoHyphens/>
              <w:autoSpaceDE/>
              <w:autoSpaceDN/>
              <w:rPr>
                <w:b/>
              </w:rPr>
            </w:pPr>
          </w:p>
        </w:tc>
      </w:tr>
      <w:tr w:rsidR="004D7143" w:rsidRPr="009E4E7B" w14:paraId="6548F8C1" w14:textId="77777777" w:rsidTr="00B320E1">
        <w:trPr>
          <w:cantSplit/>
        </w:trPr>
        <w:tc>
          <w:tcPr>
            <w:tcW w:w="2591" w:type="pct"/>
          </w:tcPr>
          <w:p w14:paraId="340DD9C9" w14:textId="77777777" w:rsidR="004D7143" w:rsidRPr="009E4E7B" w:rsidRDefault="004D7143" w:rsidP="00F0391F">
            <w:pPr>
              <w:suppressAutoHyphens/>
              <w:autoSpaceDE/>
              <w:autoSpaceDN/>
              <w:rPr>
                <w:b/>
                <w:noProof/>
                <w:lang w:eastAsia="ko-KR"/>
              </w:rPr>
            </w:pPr>
            <w:r w:rsidRPr="009E4E7B">
              <w:rPr>
                <w:b/>
                <w:noProof/>
                <w:lang w:eastAsia="ko-KR"/>
              </w:rPr>
              <w:lastRenderedPageBreak/>
              <w:t>Hrvatska</w:t>
            </w:r>
          </w:p>
          <w:p w14:paraId="1268BD01" w14:textId="77777777" w:rsidR="004D7143" w:rsidRPr="009E4E7B" w:rsidRDefault="004D7143" w:rsidP="00F0391F">
            <w:pPr>
              <w:suppressAutoHyphens/>
              <w:autoSpaceDE/>
              <w:autoSpaceDN/>
              <w:rPr>
                <w:noProof/>
                <w:lang w:eastAsia="ko-KR"/>
              </w:rPr>
            </w:pPr>
            <w:r w:rsidRPr="009E4E7B">
              <w:rPr>
                <w:noProof/>
                <w:lang w:eastAsia="ko-KR"/>
              </w:rPr>
              <w:t>Oktal Pharma d.o.o.</w:t>
            </w:r>
          </w:p>
          <w:p w14:paraId="57277FB1" w14:textId="77777777" w:rsidR="004D7143" w:rsidRPr="009E4E7B" w:rsidRDefault="004D7143" w:rsidP="00F0391F">
            <w:pPr>
              <w:suppressAutoHyphens/>
              <w:autoSpaceDE/>
              <w:autoSpaceDN/>
              <w:rPr>
                <w:noProof/>
                <w:lang w:eastAsia="ko-KR"/>
              </w:rPr>
            </w:pPr>
            <w:r w:rsidRPr="009E4E7B">
              <w:rPr>
                <w:noProof/>
                <w:lang w:eastAsia="ko-KR"/>
              </w:rPr>
              <w:t>Tel: +385 1 6595 777</w:t>
            </w:r>
          </w:p>
          <w:p w14:paraId="215A8936" w14:textId="77777777" w:rsidR="004D7143" w:rsidRPr="009E4E7B" w:rsidRDefault="004D7143" w:rsidP="00F0391F">
            <w:pPr>
              <w:suppressAutoHyphens/>
              <w:autoSpaceDE/>
              <w:autoSpaceDN/>
              <w:rPr>
                <w:rFonts w:eastAsia="맑은 고딕"/>
                <w:noProof/>
                <w:lang w:eastAsia="fr-FR"/>
              </w:rPr>
            </w:pPr>
          </w:p>
        </w:tc>
        <w:tc>
          <w:tcPr>
            <w:tcW w:w="2409" w:type="pct"/>
          </w:tcPr>
          <w:p w14:paraId="294EA347" w14:textId="77777777" w:rsidR="004D7143" w:rsidRPr="009E4E7B" w:rsidRDefault="004D7143" w:rsidP="00F0391F">
            <w:pPr>
              <w:tabs>
                <w:tab w:val="left" w:pos="-720"/>
              </w:tabs>
              <w:suppressAutoHyphens/>
              <w:autoSpaceDE/>
              <w:autoSpaceDN/>
              <w:rPr>
                <w:rFonts w:eastAsia="맑은 고딕"/>
                <w:b/>
                <w:noProof/>
                <w:lang w:val="en-US" w:eastAsia="fr-FR"/>
              </w:rPr>
            </w:pPr>
            <w:r w:rsidRPr="009E4E7B">
              <w:rPr>
                <w:b/>
                <w:noProof/>
                <w:lang w:val="en-US"/>
              </w:rPr>
              <w:t>România</w:t>
            </w:r>
          </w:p>
          <w:p w14:paraId="48DA9948"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05374BBB"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Tel: +36 1 231 0493</w:t>
            </w:r>
          </w:p>
          <w:p w14:paraId="3560FFFA" w14:textId="77777777" w:rsidR="004D7143" w:rsidRPr="009E4E7B" w:rsidRDefault="004D7143" w:rsidP="00F0391F">
            <w:pPr>
              <w:suppressAutoHyphens/>
              <w:autoSpaceDE/>
              <w:autoSpaceDN/>
              <w:rPr>
                <w:b/>
                <w:noProof/>
              </w:rPr>
            </w:pPr>
          </w:p>
        </w:tc>
      </w:tr>
      <w:tr w:rsidR="004D7143" w:rsidRPr="009E4E7B" w14:paraId="34FCA1D3" w14:textId="77777777" w:rsidTr="00B320E1">
        <w:trPr>
          <w:cantSplit/>
        </w:trPr>
        <w:tc>
          <w:tcPr>
            <w:tcW w:w="2591" w:type="pct"/>
          </w:tcPr>
          <w:p w14:paraId="3B7BE346" w14:textId="77777777" w:rsidR="004D7143" w:rsidRPr="009E4E7B" w:rsidRDefault="004D7143" w:rsidP="00F0391F">
            <w:pPr>
              <w:tabs>
                <w:tab w:val="left" w:pos="-720"/>
              </w:tabs>
              <w:suppressAutoHyphens/>
              <w:autoSpaceDE/>
              <w:autoSpaceDN/>
              <w:rPr>
                <w:noProof/>
                <w:lang w:val="en-US" w:eastAsia="fr-FR"/>
              </w:rPr>
            </w:pPr>
            <w:r w:rsidRPr="009E4E7B">
              <w:rPr>
                <w:rFonts w:eastAsia="맑은 고딕"/>
                <w:b/>
                <w:noProof/>
                <w:lang w:val="en-US" w:eastAsia="fr-FR"/>
              </w:rPr>
              <w:t>Ireland</w:t>
            </w:r>
          </w:p>
          <w:p w14:paraId="1ACAC222" w14:textId="77777777" w:rsidR="004D7143" w:rsidRPr="009E4E7B" w:rsidRDefault="004D7143" w:rsidP="00F0391F">
            <w:pPr>
              <w:suppressAutoHyphens/>
              <w:autoSpaceDE/>
              <w:autoSpaceDN/>
              <w:rPr>
                <w:rFonts w:eastAsia="맑은 고딕"/>
                <w:noProof/>
                <w:lang w:val="en-US" w:eastAsia="fr-FR"/>
              </w:rPr>
            </w:pPr>
            <w:r w:rsidRPr="009E4E7B">
              <w:rPr>
                <w:rFonts w:eastAsia="맑은 고딕"/>
                <w:noProof/>
                <w:lang w:val="en-US" w:eastAsia="fr-FR"/>
              </w:rPr>
              <w:t>Celltrion Healthcare Ireland Limited</w:t>
            </w:r>
          </w:p>
          <w:p w14:paraId="6F8653B0" w14:textId="77777777" w:rsidR="004D7143" w:rsidRPr="009E4E7B" w:rsidRDefault="004D7143" w:rsidP="00F0391F">
            <w:pPr>
              <w:suppressAutoHyphens/>
              <w:autoSpaceDE/>
              <w:autoSpaceDN/>
              <w:rPr>
                <w:rFonts w:eastAsia="맑은 고딕"/>
                <w:noProof/>
                <w:lang w:val="en-US" w:eastAsia="fr-FR"/>
              </w:rPr>
            </w:pPr>
            <w:r w:rsidRPr="009E4E7B">
              <w:rPr>
                <w:rFonts w:eastAsia="맑은 고딕"/>
                <w:noProof/>
                <w:lang w:val="en-US" w:eastAsia="fr-FR"/>
              </w:rPr>
              <w:t>Tel: +353 1 223 4026</w:t>
            </w:r>
          </w:p>
          <w:p w14:paraId="0F456FC4" w14:textId="77777777" w:rsidR="004D7143" w:rsidRPr="009E4E7B" w:rsidRDefault="004D7143" w:rsidP="00F0391F">
            <w:pPr>
              <w:suppressAutoHyphens/>
              <w:autoSpaceDE/>
              <w:autoSpaceDN/>
              <w:rPr>
                <w:rFonts w:eastAsia="맑은 고딕"/>
                <w:noProof/>
                <w:lang w:val="en-US" w:eastAsia="fr-FR"/>
              </w:rPr>
            </w:pPr>
          </w:p>
        </w:tc>
        <w:tc>
          <w:tcPr>
            <w:tcW w:w="2409" w:type="pct"/>
          </w:tcPr>
          <w:p w14:paraId="75DD6A2C" w14:textId="77777777" w:rsidR="004D7143" w:rsidRPr="009E4E7B" w:rsidRDefault="004D7143" w:rsidP="00F0391F">
            <w:pPr>
              <w:suppressAutoHyphens/>
              <w:autoSpaceDE/>
              <w:autoSpaceDN/>
              <w:rPr>
                <w:rFonts w:eastAsia="맑은 고딕"/>
                <w:b/>
                <w:noProof/>
                <w:lang w:val="en-GB" w:eastAsia="fr-FR"/>
              </w:rPr>
            </w:pPr>
            <w:r w:rsidRPr="009E4E7B">
              <w:rPr>
                <w:rFonts w:eastAsia="맑은 고딕"/>
                <w:b/>
                <w:noProof/>
                <w:lang w:val="en-GB" w:eastAsia="fr-FR"/>
              </w:rPr>
              <w:t>Slovenija</w:t>
            </w:r>
          </w:p>
          <w:p w14:paraId="4A3F0E1F" w14:textId="77777777" w:rsidR="004D7143" w:rsidRPr="009E4E7B" w:rsidRDefault="004D7143" w:rsidP="00F0391F">
            <w:pPr>
              <w:suppressAutoHyphens/>
              <w:autoSpaceDE/>
              <w:autoSpaceDN/>
              <w:rPr>
                <w:rFonts w:eastAsia="맑은 고딕"/>
                <w:noProof/>
                <w:lang w:val="en-GB" w:eastAsia="fr-FR"/>
              </w:rPr>
            </w:pPr>
            <w:r w:rsidRPr="009E4E7B">
              <w:rPr>
                <w:rFonts w:eastAsia="맑은 고딕"/>
                <w:noProof/>
                <w:lang w:val="en-GB" w:eastAsia="fr-FR"/>
              </w:rPr>
              <w:t>OPH Oktal Pharma d.o.o.</w:t>
            </w:r>
          </w:p>
          <w:p w14:paraId="700DAA14"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Tel.: +386 1 519 29 22</w:t>
            </w:r>
          </w:p>
          <w:p w14:paraId="5742B3E8" w14:textId="77777777" w:rsidR="004D7143" w:rsidRPr="009E4E7B" w:rsidRDefault="004D7143" w:rsidP="00F0391F">
            <w:pPr>
              <w:suppressAutoHyphens/>
              <w:autoSpaceDE/>
              <w:autoSpaceDN/>
              <w:rPr>
                <w:b/>
                <w:noProof/>
              </w:rPr>
            </w:pPr>
          </w:p>
        </w:tc>
      </w:tr>
      <w:tr w:rsidR="004D7143" w:rsidRPr="009E4E7B" w14:paraId="5B8D260C" w14:textId="77777777" w:rsidTr="00B320E1">
        <w:trPr>
          <w:cantSplit/>
        </w:trPr>
        <w:tc>
          <w:tcPr>
            <w:tcW w:w="2591" w:type="pct"/>
          </w:tcPr>
          <w:p w14:paraId="5AD8ED9F" w14:textId="77777777" w:rsidR="004D7143" w:rsidRPr="009E4E7B" w:rsidRDefault="004D7143" w:rsidP="00F0391F">
            <w:pPr>
              <w:suppressAutoHyphens/>
              <w:autoSpaceDE/>
              <w:autoSpaceDN/>
              <w:rPr>
                <w:rFonts w:eastAsia="맑은 고딕"/>
                <w:noProof/>
                <w:lang w:val="en-US" w:eastAsia="fr-FR"/>
              </w:rPr>
            </w:pPr>
            <w:r w:rsidRPr="009E4E7B">
              <w:rPr>
                <w:rFonts w:eastAsia="맑은 고딕"/>
                <w:b/>
                <w:noProof/>
                <w:lang w:val="en-US" w:eastAsia="fr-FR"/>
              </w:rPr>
              <w:t>Ísland</w:t>
            </w:r>
          </w:p>
          <w:p w14:paraId="4F20E206"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3B8BE449"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Sími: +36 1 231 0493</w:t>
            </w:r>
          </w:p>
          <w:p w14:paraId="00C191C6" w14:textId="77777777" w:rsidR="004D7143" w:rsidRPr="009E4E7B" w:rsidRDefault="004D7143" w:rsidP="00F0391F">
            <w:pPr>
              <w:suppressAutoHyphens/>
              <w:autoSpaceDE/>
              <w:autoSpaceDN/>
              <w:rPr>
                <w:rFonts w:eastAsia="맑은 고딕"/>
                <w:noProof/>
                <w:lang w:eastAsia="fr-FR"/>
              </w:rPr>
            </w:pPr>
          </w:p>
        </w:tc>
        <w:tc>
          <w:tcPr>
            <w:tcW w:w="2409" w:type="pct"/>
          </w:tcPr>
          <w:p w14:paraId="1D0216D3" w14:textId="77777777" w:rsidR="004D7143" w:rsidRPr="009E4E7B" w:rsidRDefault="004D7143" w:rsidP="00F0391F">
            <w:pPr>
              <w:suppressAutoHyphens/>
              <w:autoSpaceDE/>
              <w:autoSpaceDN/>
              <w:rPr>
                <w:rFonts w:eastAsia="맑은 고딕"/>
                <w:b/>
                <w:noProof/>
                <w:lang w:val="en-US" w:eastAsia="fr-FR"/>
              </w:rPr>
            </w:pPr>
            <w:r w:rsidRPr="009E4E7B">
              <w:rPr>
                <w:b/>
                <w:noProof/>
                <w:lang w:val="en-US"/>
              </w:rPr>
              <w:t>Slovenská republika</w:t>
            </w:r>
          </w:p>
          <w:p w14:paraId="7432517A"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496C9CD5"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Tel: +36 1 231 0493</w:t>
            </w:r>
          </w:p>
          <w:p w14:paraId="66C98200" w14:textId="77777777" w:rsidR="004D7143" w:rsidRPr="009E4E7B" w:rsidRDefault="004D7143" w:rsidP="00F0391F">
            <w:pPr>
              <w:suppressAutoHyphens/>
              <w:autoSpaceDE/>
              <w:autoSpaceDN/>
              <w:rPr>
                <w:rFonts w:eastAsia="맑은 고딕"/>
                <w:b/>
                <w:noProof/>
                <w:lang w:eastAsia="fr-FR"/>
              </w:rPr>
            </w:pPr>
          </w:p>
        </w:tc>
      </w:tr>
      <w:tr w:rsidR="004D7143" w:rsidRPr="00B80002" w14:paraId="4D351462" w14:textId="77777777" w:rsidTr="00B320E1">
        <w:trPr>
          <w:cantSplit/>
        </w:trPr>
        <w:tc>
          <w:tcPr>
            <w:tcW w:w="2591" w:type="pct"/>
          </w:tcPr>
          <w:p w14:paraId="50F9715A" w14:textId="77777777" w:rsidR="004D7143" w:rsidRPr="00E303AE" w:rsidRDefault="004D7143" w:rsidP="00F0391F">
            <w:pPr>
              <w:suppressAutoHyphens/>
              <w:autoSpaceDE/>
              <w:autoSpaceDN/>
              <w:rPr>
                <w:noProof/>
                <w:lang w:val="en-US" w:eastAsia="fr-FR"/>
              </w:rPr>
            </w:pPr>
            <w:r w:rsidRPr="00E303AE">
              <w:rPr>
                <w:rFonts w:eastAsia="맑은 고딕"/>
                <w:b/>
                <w:noProof/>
                <w:lang w:val="en-US" w:eastAsia="fr-FR"/>
              </w:rPr>
              <w:t>Italia</w:t>
            </w:r>
          </w:p>
          <w:p w14:paraId="0C7E5F1E" w14:textId="77777777" w:rsidR="004D7143" w:rsidRPr="00E303AE" w:rsidRDefault="004D7143" w:rsidP="00F0391F">
            <w:pPr>
              <w:suppressAutoHyphens/>
              <w:autoSpaceDE/>
              <w:autoSpaceDN/>
              <w:rPr>
                <w:rFonts w:eastAsia="맑은 고딕"/>
                <w:noProof/>
                <w:lang w:val="en-US" w:eastAsia="fr-FR"/>
              </w:rPr>
            </w:pPr>
            <w:r w:rsidRPr="00E303AE">
              <w:rPr>
                <w:rFonts w:eastAsia="맑은 고딕"/>
                <w:noProof/>
                <w:lang w:val="en-US" w:eastAsia="fr-FR"/>
              </w:rPr>
              <w:t>Celltrion Healthcare Italy S.r.l.</w:t>
            </w:r>
          </w:p>
          <w:p w14:paraId="6713B812" w14:textId="77777777" w:rsidR="004D7143" w:rsidRPr="009E4E7B" w:rsidRDefault="004D7143" w:rsidP="00F0391F">
            <w:pPr>
              <w:suppressAutoHyphens/>
              <w:autoSpaceDE/>
              <w:autoSpaceDN/>
              <w:rPr>
                <w:rFonts w:eastAsia="맑은 고딕"/>
                <w:noProof/>
                <w:lang w:eastAsia="fr-FR"/>
              </w:rPr>
            </w:pPr>
            <w:r w:rsidRPr="009E4E7B">
              <w:rPr>
                <w:rFonts w:eastAsia="맑은 고딕"/>
                <w:noProof/>
                <w:lang w:eastAsia="fr-FR"/>
              </w:rPr>
              <w:t>Tel: +39 02 47927040</w:t>
            </w:r>
          </w:p>
          <w:p w14:paraId="7A8970E3" w14:textId="77777777" w:rsidR="004D7143" w:rsidRPr="009E4E7B" w:rsidRDefault="004D7143" w:rsidP="00F0391F">
            <w:pPr>
              <w:suppressAutoHyphens/>
              <w:autoSpaceDE/>
              <w:autoSpaceDN/>
              <w:rPr>
                <w:rFonts w:eastAsia="맑은 고딕"/>
                <w:noProof/>
                <w:lang w:eastAsia="fr-FR"/>
              </w:rPr>
            </w:pPr>
          </w:p>
        </w:tc>
        <w:tc>
          <w:tcPr>
            <w:tcW w:w="2409" w:type="pct"/>
          </w:tcPr>
          <w:p w14:paraId="05BCB951" w14:textId="77777777" w:rsidR="004D7143" w:rsidRPr="00E303AE" w:rsidRDefault="004D7143" w:rsidP="00F0391F">
            <w:pPr>
              <w:suppressAutoHyphens/>
              <w:autoSpaceDE/>
              <w:autoSpaceDN/>
              <w:rPr>
                <w:noProof/>
                <w:lang w:val="en-US" w:eastAsia="fr-FR"/>
              </w:rPr>
            </w:pPr>
            <w:r w:rsidRPr="00E303AE">
              <w:rPr>
                <w:rFonts w:eastAsia="맑은 고딕"/>
                <w:b/>
                <w:noProof/>
                <w:lang w:val="en-US" w:eastAsia="fr-FR"/>
              </w:rPr>
              <w:t>Suomi/Finland</w:t>
            </w:r>
          </w:p>
          <w:p w14:paraId="341E0DDA" w14:textId="3F0B3B88" w:rsidR="004D7143" w:rsidRPr="00E303AE" w:rsidRDefault="004D7143" w:rsidP="00F0391F">
            <w:pPr>
              <w:tabs>
                <w:tab w:val="left" w:pos="-720"/>
              </w:tabs>
              <w:suppressAutoHyphens/>
              <w:autoSpaceDE/>
              <w:autoSpaceDN/>
              <w:rPr>
                <w:rFonts w:eastAsia="맑은 고딕"/>
                <w:noProof/>
                <w:lang w:val="en-US" w:eastAsia="fr-FR"/>
              </w:rPr>
            </w:pPr>
            <w:r w:rsidRPr="00E303AE">
              <w:rPr>
                <w:rFonts w:eastAsia="맑은 고딕"/>
                <w:noProof/>
                <w:lang w:val="en-US" w:eastAsia="fr-FR"/>
              </w:rPr>
              <w:t>Celltrion Healthcare Finland Oy.</w:t>
            </w:r>
          </w:p>
          <w:p w14:paraId="00062B3B" w14:textId="2CF794F8" w:rsidR="004D7143" w:rsidRPr="00B436C7" w:rsidRDefault="004D7143" w:rsidP="00F0391F">
            <w:pPr>
              <w:suppressAutoHyphens/>
              <w:adjustRightInd w:val="0"/>
              <w:rPr>
                <w:rFonts w:eastAsia="맑은 고딕"/>
                <w:noProof/>
                <w:lang w:val="en-US" w:eastAsia="fr-FR"/>
              </w:rPr>
            </w:pPr>
            <w:r w:rsidRPr="00B436C7">
              <w:rPr>
                <w:rFonts w:eastAsia="맑은 고딕"/>
                <w:noProof/>
                <w:lang w:val="en-US" w:eastAsia="fr-FR"/>
              </w:rPr>
              <w:t>Tel: +358 29 170 7755</w:t>
            </w:r>
          </w:p>
          <w:p w14:paraId="2E6B9398" w14:textId="58462CE9" w:rsidR="00516DC3" w:rsidRDefault="0019747F" w:rsidP="00516DC3">
            <w:pPr>
              <w:adjustRightInd w:val="0"/>
              <w:rPr>
                <w:rFonts w:eastAsia="맑은 고딕"/>
                <w:noProof/>
                <w:lang w:val="en-GB" w:eastAsia="ko-KR"/>
              </w:rPr>
            </w:pPr>
            <w:r w:rsidRPr="0019747F">
              <w:rPr>
                <w:rFonts w:eastAsia="맑은 고딕"/>
                <w:noProof/>
                <w:lang w:val="en-GB" w:eastAsia="ko-KR"/>
              </w:rPr>
              <w:t>contact_fi@celltrionhc.com</w:t>
            </w:r>
          </w:p>
          <w:p w14:paraId="07B53168" w14:textId="77777777" w:rsidR="004D7143" w:rsidRPr="00B436C7" w:rsidRDefault="004D7143" w:rsidP="00F0391F">
            <w:pPr>
              <w:suppressAutoHyphens/>
              <w:adjustRightInd w:val="0"/>
              <w:rPr>
                <w:rFonts w:eastAsia="맑은 고딕"/>
                <w:noProof/>
                <w:lang w:val="en-GB" w:eastAsia="ko-KR"/>
              </w:rPr>
            </w:pPr>
          </w:p>
        </w:tc>
      </w:tr>
      <w:tr w:rsidR="004D7143" w:rsidRPr="009E4E7B" w14:paraId="46ACC397" w14:textId="77777777" w:rsidTr="00B320E1">
        <w:trPr>
          <w:cantSplit/>
        </w:trPr>
        <w:tc>
          <w:tcPr>
            <w:tcW w:w="2591" w:type="pct"/>
          </w:tcPr>
          <w:p w14:paraId="085BE48A" w14:textId="77777777" w:rsidR="004D7143" w:rsidRPr="009E4E7B" w:rsidRDefault="004D7143" w:rsidP="00F0391F">
            <w:pPr>
              <w:tabs>
                <w:tab w:val="left" w:pos="-720"/>
              </w:tabs>
              <w:suppressAutoHyphens/>
              <w:autoSpaceDE/>
              <w:autoSpaceDN/>
              <w:rPr>
                <w:b/>
                <w:bCs/>
                <w:noProof/>
                <w:lang w:eastAsia="fr-FR"/>
              </w:rPr>
            </w:pPr>
            <w:r w:rsidRPr="009E4E7B">
              <w:rPr>
                <w:b/>
                <w:noProof/>
              </w:rPr>
              <w:t>Κύπρος</w:t>
            </w:r>
          </w:p>
          <w:p w14:paraId="485B49D7" w14:textId="77777777" w:rsidR="004D7143" w:rsidRPr="009E4E7B" w:rsidRDefault="004D7143" w:rsidP="00F0391F">
            <w:pPr>
              <w:tabs>
                <w:tab w:val="left" w:pos="-720"/>
              </w:tabs>
              <w:suppressAutoHyphens/>
              <w:autoSpaceDE/>
              <w:autoSpaceDN/>
              <w:rPr>
                <w:rFonts w:eastAsia="맑은 고딕"/>
                <w:noProof/>
                <w:lang w:eastAsia="ko-KR"/>
              </w:rPr>
            </w:pPr>
            <w:r w:rsidRPr="009E4E7B">
              <w:rPr>
                <w:rFonts w:eastAsia="맑은 고딕"/>
                <w:noProof/>
                <w:lang w:eastAsia="fr-FR"/>
              </w:rPr>
              <w:t>C.A. Papaellinas Ltd</w:t>
            </w:r>
          </w:p>
          <w:p w14:paraId="712C906C" w14:textId="77777777" w:rsidR="004D7143" w:rsidRPr="009E4E7B" w:rsidRDefault="004D7143" w:rsidP="00F0391F">
            <w:pPr>
              <w:suppressAutoHyphens/>
              <w:adjustRightInd w:val="0"/>
              <w:rPr>
                <w:rFonts w:eastAsia="맑은 고딕"/>
                <w:b/>
                <w:bCs/>
                <w:lang w:eastAsia="fr-FR"/>
              </w:rPr>
            </w:pPr>
            <w:r w:rsidRPr="009E4E7B">
              <w:rPr>
                <w:noProof/>
              </w:rPr>
              <w:t xml:space="preserve">Τηλ: </w:t>
            </w:r>
            <w:r w:rsidRPr="009E4E7B">
              <w:rPr>
                <w:rFonts w:eastAsia="맑은 고딕"/>
                <w:noProof/>
                <w:lang w:eastAsia="fr-FR"/>
              </w:rPr>
              <w:t>+357 22741741</w:t>
            </w:r>
          </w:p>
          <w:p w14:paraId="55AD7ED6" w14:textId="77777777" w:rsidR="004D7143" w:rsidRPr="009E4E7B" w:rsidRDefault="004D7143" w:rsidP="00F0391F">
            <w:pPr>
              <w:suppressAutoHyphens/>
              <w:adjustRightInd w:val="0"/>
              <w:rPr>
                <w:rFonts w:eastAsia="맑은 고딕"/>
                <w:b/>
                <w:noProof/>
                <w:lang w:eastAsia="fr-FR"/>
              </w:rPr>
            </w:pPr>
          </w:p>
        </w:tc>
        <w:tc>
          <w:tcPr>
            <w:tcW w:w="2409" w:type="pct"/>
          </w:tcPr>
          <w:p w14:paraId="7BE7BE77" w14:textId="77777777" w:rsidR="004D7143" w:rsidRPr="00B436C7" w:rsidRDefault="004D7143" w:rsidP="00F0391F">
            <w:pPr>
              <w:tabs>
                <w:tab w:val="left" w:pos="-720"/>
              </w:tabs>
              <w:suppressAutoHyphens/>
              <w:autoSpaceDE/>
              <w:autoSpaceDN/>
              <w:rPr>
                <w:b/>
                <w:noProof/>
                <w:lang w:eastAsia="fr-FR"/>
              </w:rPr>
            </w:pPr>
            <w:r w:rsidRPr="00B436C7">
              <w:rPr>
                <w:b/>
                <w:noProof/>
              </w:rPr>
              <w:t>Sverige</w:t>
            </w:r>
          </w:p>
          <w:p w14:paraId="2C5E1CCF" w14:textId="77777777" w:rsidR="007565C8" w:rsidRPr="00B436C7" w:rsidRDefault="007565C8" w:rsidP="007565C8">
            <w:pPr>
              <w:keepNext/>
            </w:pPr>
            <w:r w:rsidRPr="00B436C7">
              <w:t>Celltrion Sweden AB</w:t>
            </w:r>
          </w:p>
          <w:p w14:paraId="210928B1" w14:textId="766102E7" w:rsidR="00516DC3" w:rsidRDefault="00516DC3" w:rsidP="00B436C7">
            <w:pPr>
              <w:tabs>
                <w:tab w:val="left" w:pos="-720"/>
              </w:tabs>
              <w:suppressAutoHyphens/>
              <w:rPr>
                <w:rFonts w:eastAsia="맑은 고딕"/>
                <w:noProof/>
                <w:lang w:eastAsia="ko-KR"/>
              </w:rPr>
            </w:pPr>
            <w:r w:rsidRPr="006F04E0">
              <w:rPr>
                <w:rFonts w:eastAsia="맑은 고딕"/>
                <w:noProof/>
                <w:lang w:eastAsia="fr-FR"/>
              </w:rPr>
              <w:t>Tel: +46 8 80 11 77</w:t>
            </w:r>
          </w:p>
          <w:p w14:paraId="3183EA25" w14:textId="311AA94A" w:rsidR="007565C8" w:rsidRPr="00B436C7" w:rsidRDefault="00516DC3" w:rsidP="007565C8">
            <w:pPr>
              <w:keepNext/>
            </w:pPr>
            <w:r>
              <w:rPr>
                <w:rFonts w:eastAsia="맑은 고딕" w:hint="eastAsia"/>
                <w:lang w:eastAsia="ko-KR"/>
              </w:rPr>
              <w:t>C</w:t>
            </w:r>
            <w:r w:rsidR="007565C8" w:rsidRPr="00B436C7">
              <w:t>ontact_se@celltrionhc.com</w:t>
            </w:r>
          </w:p>
          <w:p w14:paraId="558ABE20" w14:textId="77777777" w:rsidR="004D7143" w:rsidRPr="007565C8" w:rsidRDefault="004D7143" w:rsidP="00F0391F">
            <w:pPr>
              <w:tabs>
                <w:tab w:val="left" w:pos="-720"/>
              </w:tabs>
              <w:suppressAutoHyphens/>
              <w:autoSpaceDE/>
              <w:autoSpaceDN/>
              <w:rPr>
                <w:rFonts w:eastAsia="맑은 고딕"/>
                <w:b/>
                <w:noProof/>
                <w:lang w:eastAsia="fr-FR"/>
              </w:rPr>
            </w:pPr>
          </w:p>
        </w:tc>
      </w:tr>
      <w:tr w:rsidR="004D7143" w:rsidRPr="009E4E7B" w14:paraId="1A3978E2" w14:textId="77777777" w:rsidTr="00B320E1">
        <w:trPr>
          <w:cantSplit/>
        </w:trPr>
        <w:tc>
          <w:tcPr>
            <w:tcW w:w="2591" w:type="pct"/>
          </w:tcPr>
          <w:p w14:paraId="6CD85C42" w14:textId="77777777" w:rsidR="004D7143" w:rsidRPr="009E4E7B" w:rsidRDefault="004D7143" w:rsidP="00F0391F">
            <w:pPr>
              <w:suppressAutoHyphens/>
              <w:autoSpaceDE/>
              <w:autoSpaceDN/>
              <w:rPr>
                <w:rFonts w:eastAsia="맑은 고딕"/>
                <w:b/>
                <w:noProof/>
                <w:lang w:val="en-US" w:eastAsia="fr-FR"/>
              </w:rPr>
            </w:pPr>
            <w:r w:rsidRPr="009E4E7B">
              <w:rPr>
                <w:rFonts w:eastAsia="맑은 고딕"/>
                <w:b/>
                <w:noProof/>
                <w:lang w:val="en-US" w:eastAsia="fr-FR"/>
              </w:rPr>
              <w:t>Latvija</w:t>
            </w:r>
          </w:p>
          <w:p w14:paraId="4358391A" w14:textId="77777777" w:rsidR="004D7143" w:rsidRPr="009E4E7B" w:rsidRDefault="004D7143" w:rsidP="00F0391F">
            <w:pPr>
              <w:tabs>
                <w:tab w:val="left" w:pos="-720"/>
              </w:tabs>
              <w:suppressAutoHyphens/>
              <w:autoSpaceDE/>
              <w:autoSpaceDN/>
              <w:rPr>
                <w:rFonts w:eastAsia="맑은 고딕"/>
                <w:noProof/>
                <w:lang w:val="en-US" w:eastAsia="fr-FR"/>
              </w:rPr>
            </w:pPr>
            <w:r w:rsidRPr="009E4E7B">
              <w:rPr>
                <w:rFonts w:eastAsia="맑은 고딕"/>
                <w:noProof/>
                <w:lang w:val="en-US" w:eastAsia="fr-FR"/>
              </w:rPr>
              <w:t>Celltrion Healthcare Hungary Kft.</w:t>
            </w:r>
          </w:p>
          <w:p w14:paraId="2A936E4B" w14:textId="77777777" w:rsidR="004D7143" w:rsidRPr="009E4E7B" w:rsidRDefault="004D7143" w:rsidP="00F0391F">
            <w:pPr>
              <w:suppressAutoHyphens/>
              <w:adjustRightInd w:val="0"/>
              <w:rPr>
                <w:rFonts w:eastAsia="맑은 고딕"/>
                <w:noProof/>
                <w:lang w:eastAsia="fr-FR"/>
              </w:rPr>
            </w:pPr>
            <w:r w:rsidRPr="009E4E7B">
              <w:rPr>
                <w:rFonts w:eastAsia="맑은 고딕"/>
                <w:noProof/>
                <w:lang w:eastAsia="fr-FR"/>
              </w:rPr>
              <w:t>Tālr.: +36 1 231 0493</w:t>
            </w:r>
          </w:p>
          <w:p w14:paraId="74FAF089" w14:textId="77777777" w:rsidR="004D7143" w:rsidRPr="009E4E7B" w:rsidRDefault="004D7143" w:rsidP="00F0391F">
            <w:pPr>
              <w:suppressAutoHyphens/>
              <w:adjustRightInd w:val="0"/>
              <w:rPr>
                <w:rFonts w:eastAsia="맑은 고딕"/>
                <w:b/>
                <w:bCs/>
                <w:lang w:eastAsia="fr-FR"/>
              </w:rPr>
            </w:pPr>
          </w:p>
        </w:tc>
        <w:tc>
          <w:tcPr>
            <w:tcW w:w="2409" w:type="pct"/>
          </w:tcPr>
          <w:p w14:paraId="59EAA7F0" w14:textId="77777777" w:rsidR="004D7143" w:rsidRPr="009E4E7B" w:rsidRDefault="004D7143" w:rsidP="00F0391F">
            <w:pPr>
              <w:tabs>
                <w:tab w:val="left" w:pos="-720"/>
              </w:tabs>
              <w:suppressAutoHyphens/>
              <w:autoSpaceDE/>
              <w:autoSpaceDN/>
              <w:rPr>
                <w:rFonts w:eastAsia="맑은 고딕"/>
                <w:b/>
                <w:noProof/>
                <w:lang w:eastAsia="fr-FR"/>
              </w:rPr>
            </w:pPr>
          </w:p>
        </w:tc>
      </w:tr>
    </w:tbl>
    <w:p w14:paraId="0C051CC7" w14:textId="77777777" w:rsidR="00093A5E" w:rsidRPr="006A64EE" w:rsidRDefault="00093A5E" w:rsidP="004255F8">
      <w:pPr>
        <w:pStyle w:val="a3"/>
        <w:widowControl/>
      </w:pPr>
    </w:p>
    <w:p w14:paraId="659626E1" w14:textId="77777777" w:rsidR="00093A5E" w:rsidRPr="006A64EE" w:rsidRDefault="007D680A" w:rsidP="004255F8">
      <w:pPr>
        <w:widowControl/>
        <w:rPr>
          <w:b/>
          <w:bCs/>
        </w:rPr>
      </w:pPr>
      <w:r w:rsidRPr="006A64EE">
        <w:rPr>
          <w:b/>
          <w:bCs/>
        </w:rPr>
        <w:t xml:space="preserve">Diese Packungsbeilage wurde zuletzt überarbeitet im </w:t>
      </w:r>
    </w:p>
    <w:p w14:paraId="4C5E76BB" w14:textId="77777777" w:rsidR="00093A5E" w:rsidRPr="006A64EE" w:rsidRDefault="00093A5E" w:rsidP="004255F8">
      <w:pPr>
        <w:widowControl/>
        <w:rPr>
          <w:b/>
          <w:bCs/>
        </w:rPr>
      </w:pPr>
    </w:p>
    <w:p w14:paraId="46E7AC4B" w14:textId="77777777" w:rsidR="00093A5E" w:rsidRPr="006A64EE" w:rsidRDefault="007D680A" w:rsidP="004255F8">
      <w:pPr>
        <w:widowControl/>
        <w:rPr>
          <w:b/>
          <w:bCs/>
        </w:rPr>
      </w:pPr>
      <w:r w:rsidRPr="006A64EE">
        <w:rPr>
          <w:b/>
          <w:bCs/>
        </w:rPr>
        <w:t>Weitere Informationsquellen</w:t>
      </w:r>
    </w:p>
    <w:p w14:paraId="40C98825" w14:textId="77777777" w:rsidR="00093A5E" w:rsidRPr="006A64EE" w:rsidRDefault="00093A5E" w:rsidP="004255F8">
      <w:pPr>
        <w:pStyle w:val="a3"/>
        <w:widowControl/>
      </w:pPr>
    </w:p>
    <w:p w14:paraId="4CF1E31C" w14:textId="016AF1A3" w:rsidR="00093A5E" w:rsidRPr="006A64EE" w:rsidRDefault="009C2544" w:rsidP="004255F8">
      <w:pPr>
        <w:pStyle w:val="a3"/>
        <w:widowControl/>
      </w:pPr>
      <w:r w:rsidRPr="006A64EE">
        <w:t xml:space="preserve">Ausführliche Informationen zu diesem Arzneimittel sind auf den Internetseiten der Europäischen Arzneimittel-Agentur </w:t>
      </w:r>
      <w:r w:rsidR="005A173B">
        <w:fldChar w:fldCharType="begin"/>
      </w:r>
      <w:r w:rsidR="005A173B">
        <w:instrText>HYPERLINK "https://www.ema.europa.eu/"</w:instrText>
      </w:r>
      <w:r w:rsidR="005A173B">
        <w:fldChar w:fldCharType="separate"/>
      </w:r>
      <w:r w:rsidR="005A173B" w:rsidRPr="005A173B">
        <w:rPr>
          <w:rStyle w:val="a8"/>
        </w:rPr>
        <w:t>http</w:t>
      </w:r>
      <w:r w:rsidR="005A173B" w:rsidRPr="005A173B">
        <w:rPr>
          <w:rStyle w:val="a8"/>
          <w:rFonts w:eastAsia="맑은 고딕" w:hint="eastAsia"/>
          <w:lang w:eastAsia="ko-KR"/>
        </w:rPr>
        <w:t>s</w:t>
      </w:r>
      <w:r w:rsidR="005A173B" w:rsidRPr="005A173B">
        <w:rPr>
          <w:rStyle w:val="a8"/>
        </w:rPr>
        <w:t>://www.ema.europa.eu/</w:t>
      </w:r>
      <w:r w:rsidR="005A173B">
        <w:fldChar w:fldCharType="end"/>
      </w:r>
      <w:r w:rsidRPr="006A64EE">
        <w:t xml:space="preserve"> verfügbar.</w:t>
      </w:r>
    </w:p>
    <w:p w14:paraId="362DA6FA" w14:textId="74F4A62E" w:rsidR="004D7143" w:rsidRPr="00890245" w:rsidRDefault="007D680A" w:rsidP="004D7143">
      <w:pPr>
        <w:keepNext/>
        <w:ind w:left="567" w:hanging="567"/>
        <w:rPr>
          <w:b/>
          <w:bCs/>
        </w:rPr>
      </w:pPr>
      <w:r w:rsidRPr="006A64EE">
        <w:br w:type="page"/>
      </w:r>
      <w:r w:rsidR="004D7143" w:rsidRPr="00B320E1">
        <w:rPr>
          <w:b/>
          <w:bCs/>
        </w:rPr>
        <w:lastRenderedPageBreak/>
        <w:t>7.</w:t>
      </w:r>
      <w:r w:rsidR="004D7143">
        <w:tab/>
      </w:r>
      <w:r w:rsidR="004D7143" w:rsidRPr="00890245">
        <w:rPr>
          <w:b/>
        </w:rPr>
        <w:t>Gebrauchsanweisung</w:t>
      </w:r>
    </w:p>
    <w:p w14:paraId="106B8B7B" w14:textId="77777777" w:rsidR="004D7143" w:rsidRPr="00890245" w:rsidRDefault="004D7143" w:rsidP="004D7143">
      <w:pPr>
        <w:keepNext/>
      </w:pPr>
      <w:bookmarkStart w:id="47" w:name="_Hlk146283329"/>
    </w:p>
    <w:p w14:paraId="08D2AC2D" w14:textId="09A66CED" w:rsidR="004D7143" w:rsidRPr="00890245" w:rsidRDefault="004D7143" w:rsidP="004D7143">
      <w:r w:rsidRPr="00890245">
        <w:t>Lesen und befolgen Sie die Gebrauchsanweisung, die Ihrer Avtozma</w:t>
      </w:r>
      <w:r>
        <w:t>-</w:t>
      </w:r>
      <w:r w:rsidRPr="00890245">
        <w:t>Fertigspritze beiliegt, bevor Sie mit der Anwendung beginnen und jedes Mal, wenn Sie einen neuen Vorrat des Arzneimittels erhalten. Es könnte neue Informationen geben. Wenden Sie Avtozma erst an, wenn Ihnen Ihre medizinische Fachkraft gezeigt hat, wie Sie Avtozma richtig anwenden.</w:t>
      </w:r>
    </w:p>
    <w:bookmarkEnd w:id="47"/>
    <w:p w14:paraId="1524008F" w14:textId="77777777" w:rsidR="004D7143" w:rsidRPr="00890245" w:rsidRDefault="004D7143" w:rsidP="004D7143"/>
    <w:p w14:paraId="213628FF" w14:textId="77777777" w:rsidR="004D7143" w:rsidRPr="00890245" w:rsidRDefault="004D7143" w:rsidP="004D7143">
      <w:pPr>
        <w:keepNext/>
        <w:rPr>
          <w:b/>
          <w:bCs/>
        </w:rPr>
      </w:pPr>
      <w:r w:rsidRPr="00890245">
        <w:rPr>
          <w:b/>
        </w:rPr>
        <w:t>Wichtige Informationen</w:t>
      </w:r>
    </w:p>
    <w:p w14:paraId="35CF7735" w14:textId="77777777" w:rsidR="004D7143" w:rsidRPr="00890245" w:rsidRDefault="004D7143" w:rsidP="004D7143">
      <w:pPr>
        <w:keepNext/>
        <w:rPr>
          <w:b/>
          <w:bCs/>
        </w:rPr>
      </w:pPr>
    </w:p>
    <w:p w14:paraId="731D0B69" w14:textId="77777777" w:rsidR="004D7143" w:rsidRPr="00890245" w:rsidRDefault="004D7143" w:rsidP="004D7143">
      <w:pPr>
        <w:numPr>
          <w:ilvl w:val="2"/>
          <w:numId w:val="7"/>
        </w:numPr>
        <w:tabs>
          <w:tab w:val="left" w:pos="832"/>
        </w:tabs>
        <w:autoSpaceDE/>
        <w:autoSpaceDN/>
        <w:ind w:left="567" w:hanging="567"/>
        <w:rPr>
          <w:bCs/>
        </w:rPr>
      </w:pPr>
      <w:r w:rsidRPr="00890245">
        <w:t xml:space="preserve">Nehmen Sie die Schutzkappe </w:t>
      </w:r>
      <w:r w:rsidRPr="00890245">
        <w:rPr>
          <w:b/>
        </w:rPr>
        <w:t>erst</w:t>
      </w:r>
      <w:r w:rsidRPr="00890245">
        <w:t xml:space="preserve"> von der Fertigspritze ab, wenn Sie für die Avtozma-Injektion bereit sind.</w:t>
      </w:r>
    </w:p>
    <w:p w14:paraId="3C4BAF36" w14:textId="77777777" w:rsidR="004D7143" w:rsidRPr="00890245" w:rsidRDefault="004D7143" w:rsidP="00B320E1">
      <w:pPr>
        <w:pStyle w:val="1"/>
        <w:widowControl w:val="0"/>
        <w:numPr>
          <w:ilvl w:val="2"/>
          <w:numId w:val="7"/>
        </w:numPr>
        <w:tabs>
          <w:tab w:val="num" w:pos="0"/>
          <w:tab w:val="left" w:pos="832"/>
        </w:tabs>
        <w:ind w:left="567" w:hanging="567"/>
        <w:rPr>
          <w:bCs w:val="0"/>
        </w:rPr>
      </w:pPr>
      <w:r w:rsidRPr="00890245">
        <w:t>Versuchen Sie zu keinem Zeitpunkt, die Fertigspritze auseinander zu nehmen.</w:t>
      </w:r>
    </w:p>
    <w:p w14:paraId="3E8D6C08" w14:textId="77777777" w:rsidR="004D7143" w:rsidRPr="00890245" w:rsidRDefault="004D7143" w:rsidP="004D7143">
      <w:pPr>
        <w:numPr>
          <w:ilvl w:val="2"/>
          <w:numId w:val="7"/>
        </w:numPr>
        <w:tabs>
          <w:tab w:val="left" w:pos="832"/>
        </w:tabs>
        <w:autoSpaceDE/>
        <w:autoSpaceDN/>
        <w:ind w:left="567" w:hanging="567"/>
        <w:rPr>
          <w:bCs/>
        </w:rPr>
      </w:pPr>
      <w:r w:rsidRPr="00890245">
        <w:t xml:space="preserve">Verwenden Sie dieselbe Fertigspritze </w:t>
      </w:r>
      <w:r w:rsidRPr="00890245">
        <w:rPr>
          <w:b/>
        </w:rPr>
        <w:t>nicht</w:t>
      </w:r>
      <w:r w:rsidRPr="00890245">
        <w:t xml:space="preserve"> erneut.</w:t>
      </w:r>
    </w:p>
    <w:p w14:paraId="52763856" w14:textId="77777777" w:rsidR="004D7143" w:rsidRPr="00890245" w:rsidRDefault="004D7143" w:rsidP="004D7143">
      <w:pPr>
        <w:numPr>
          <w:ilvl w:val="2"/>
          <w:numId w:val="7"/>
        </w:numPr>
        <w:tabs>
          <w:tab w:val="left" w:pos="832"/>
        </w:tabs>
        <w:autoSpaceDE/>
        <w:autoSpaceDN/>
        <w:ind w:left="567" w:hanging="567"/>
      </w:pPr>
      <w:r w:rsidRPr="00890245">
        <w:t xml:space="preserve">Schütteln Sie die Fertigspritze </w:t>
      </w:r>
      <w:r w:rsidRPr="00890245">
        <w:rPr>
          <w:b/>
        </w:rPr>
        <w:t>nicht</w:t>
      </w:r>
      <w:r w:rsidRPr="00890245">
        <w:t>.</w:t>
      </w:r>
    </w:p>
    <w:p w14:paraId="1C5C1562" w14:textId="77777777" w:rsidR="004D7143" w:rsidRPr="00890245" w:rsidRDefault="004D7143" w:rsidP="004D7143">
      <w:pPr>
        <w:numPr>
          <w:ilvl w:val="2"/>
          <w:numId w:val="7"/>
        </w:numPr>
        <w:tabs>
          <w:tab w:val="left" w:pos="832"/>
        </w:tabs>
        <w:autoSpaceDE/>
        <w:autoSpaceDN/>
        <w:ind w:left="567" w:hanging="567"/>
      </w:pPr>
      <w:r w:rsidRPr="00890245">
        <w:t xml:space="preserve">Wenden Sie die Fertigspritze </w:t>
      </w:r>
      <w:r w:rsidRPr="00890245">
        <w:rPr>
          <w:b/>
        </w:rPr>
        <w:t>nicht</w:t>
      </w:r>
      <w:r w:rsidRPr="00890245">
        <w:t xml:space="preserve"> an, wenn sie heruntergefallen oder beschädigt ist.</w:t>
      </w:r>
    </w:p>
    <w:p w14:paraId="13AD17C9" w14:textId="41209600" w:rsidR="004D7143" w:rsidRPr="00890245" w:rsidRDefault="004D7143" w:rsidP="004D7143">
      <w:pPr>
        <w:numPr>
          <w:ilvl w:val="2"/>
          <w:numId w:val="7"/>
        </w:numPr>
        <w:tabs>
          <w:tab w:val="left" w:pos="832"/>
        </w:tabs>
        <w:autoSpaceDE/>
        <w:autoSpaceDN/>
        <w:ind w:left="567" w:hanging="567"/>
        <w:rPr>
          <w:bCs/>
        </w:rPr>
      </w:pPr>
      <w:r w:rsidRPr="00890245">
        <w:rPr>
          <w:b/>
        </w:rPr>
        <w:t xml:space="preserve">Hinweis für Patienten in Bezug auf Überempfindlichkeitsreaktionen (oder Anaphylaxie): </w:t>
      </w:r>
      <w:r w:rsidRPr="00890245">
        <w:t>Wenn bei Ihnen zu irgendeinem Zeitpunkt, an dem Sie während oder nach einer Injektion nicht im Krankenhaus sind, unter anderem Symptome auftreten wie Hautausschlag, Juckreiz, Schüttelfrost, Schwellung von Gesicht, Lippen, Zunge oder Hals, Schmerzen in der Brust, Atemgeräusche, Atem- oder Schluckbeschwerden, Schwindelgefühl oder Ohnmacht, suchen Sie sofort die nächste Notaufnahme auf.</w:t>
      </w:r>
    </w:p>
    <w:p w14:paraId="727642EC" w14:textId="77777777" w:rsidR="004D7143" w:rsidRPr="00890245" w:rsidRDefault="004D7143" w:rsidP="004D7143"/>
    <w:p w14:paraId="3DF24DD2" w14:textId="77777777" w:rsidR="004D7143" w:rsidRPr="00890245" w:rsidRDefault="004D7143" w:rsidP="004D7143">
      <w:pPr>
        <w:keepNext/>
        <w:rPr>
          <w:b/>
          <w:bCs/>
        </w:rPr>
      </w:pPr>
      <w:r w:rsidRPr="00890245">
        <w:rPr>
          <w:b/>
        </w:rPr>
        <w:t>Aufbewahrung von Avtozma</w:t>
      </w:r>
    </w:p>
    <w:p w14:paraId="13A05552" w14:textId="77777777" w:rsidR="004D7143" w:rsidRPr="00890245" w:rsidRDefault="004D7143" w:rsidP="004D7143">
      <w:pPr>
        <w:keepNext/>
        <w:rPr>
          <w:b/>
          <w:bCs/>
        </w:rPr>
      </w:pPr>
    </w:p>
    <w:p w14:paraId="08F5F113" w14:textId="77777777" w:rsidR="004D7143" w:rsidRPr="00890245" w:rsidRDefault="004D7143" w:rsidP="004D7143">
      <w:pPr>
        <w:pStyle w:val="a4"/>
        <w:widowControl/>
        <w:numPr>
          <w:ilvl w:val="0"/>
          <w:numId w:val="8"/>
        </w:numPr>
        <w:autoSpaceDE/>
        <w:autoSpaceDN/>
        <w:ind w:left="567" w:hanging="567"/>
        <w:contextualSpacing/>
      </w:pPr>
      <w:r w:rsidRPr="00890245">
        <w:t xml:space="preserve">Bewahren Sie die nicht verwendete Fertigspritze in der Originalverpackung im Kühlschrank bei 2 °C bis 8 °C auf. </w:t>
      </w:r>
      <w:r w:rsidRPr="00890245">
        <w:rPr>
          <w:b/>
        </w:rPr>
        <w:t>Nicht</w:t>
      </w:r>
      <w:r w:rsidRPr="00890245">
        <w:t xml:space="preserve"> einfrieren.</w:t>
      </w:r>
    </w:p>
    <w:p w14:paraId="5E2E27EA" w14:textId="2FE98436" w:rsidR="004D7143" w:rsidRPr="00890245" w:rsidRDefault="004D7143" w:rsidP="004D7143">
      <w:pPr>
        <w:pStyle w:val="a4"/>
        <w:widowControl/>
        <w:numPr>
          <w:ilvl w:val="0"/>
          <w:numId w:val="8"/>
        </w:numPr>
        <w:autoSpaceDE/>
        <w:autoSpaceDN/>
        <w:ind w:left="567" w:hanging="567"/>
        <w:contextualSpacing/>
      </w:pPr>
      <w:r w:rsidRPr="00890245">
        <w:t xml:space="preserve">Avtozma kann nach der Entnahme aus dem Kühlschrank bis zu 3 Wochen bei höchstens 30 °C aufbewahrt werden. Wird Avtozma nicht innerhalb von </w:t>
      </w:r>
      <w:r w:rsidR="007810C8">
        <w:t>3</w:t>
      </w:r>
      <w:r w:rsidRPr="00890245">
        <w:t xml:space="preserve"> Wochen verwendet, sollte das Arzneimittel </w:t>
      </w:r>
      <w:r w:rsidR="00EC346A">
        <w:t>entsorgt</w:t>
      </w:r>
      <w:r w:rsidRPr="00890245">
        <w:t xml:space="preserve"> werden.  </w:t>
      </w:r>
    </w:p>
    <w:p w14:paraId="2BBE16D3" w14:textId="77777777" w:rsidR="004D7143" w:rsidRPr="00890245" w:rsidRDefault="004D7143" w:rsidP="004D7143">
      <w:pPr>
        <w:pStyle w:val="a4"/>
        <w:widowControl/>
        <w:numPr>
          <w:ilvl w:val="0"/>
          <w:numId w:val="8"/>
        </w:numPr>
        <w:autoSpaceDE/>
        <w:autoSpaceDN/>
        <w:ind w:left="567" w:hanging="567"/>
        <w:contextualSpacing/>
      </w:pPr>
      <w:r w:rsidRPr="00890245">
        <w:t>Bewahren Sie die Fertigspritze vor direktem Sonnenlicht geschützt auf.</w:t>
      </w:r>
    </w:p>
    <w:p w14:paraId="367E55D3" w14:textId="77777777" w:rsidR="004D7143" w:rsidRPr="00890245" w:rsidRDefault="004D7143" w:rsidP="004D7143">
      <w:pPr>
        <w:pStyle w:val="a4"/>
        <w:widowControl/>
        <w:numPr>
          <w:ilvl w:val="0"/>
          <w:numId w:val="8"/>
        </w:numPr>
        <w:autoSpaceDE/>
        <w:autoSpaceDN/>
        <w:ind w:left="567" w:hanging="567"/>
        <w:contextualSpacing/>
      </w:pPr>
      <w:r w:rsidRPr="00890245">
        <w:t xml:space="preserve">Entnehmen Sie die Fertigspritze während der Lagerung </w:t>
      </w:r>
      <w:r w:rsidRPr="00890245">
        <w:rPr>
          <w:b/>
        </w:rPr>
        <w:t>nicht</w:t>
      </w:r>
      <w:r w:rsidRPr="00890245">
        <w:t xml:space="preserve"> aus der Originalverpackung.</w:t>
      </w:r>
    </w:p>
    <w:p w14:paraId="27AF49D5" w14:textId="77777777" w:rsidR="004D7143" w:rsidRPr="00890245" w:rsidRDefault="004D7143" w:rsidP="004D7143">
      <w:pPr>
        <w:pStyle w:val="a4"/>
        <w:widowControl/>
        <w:numPr>
          <w:ilvl w:val="0"/>
          <w:numId w:val="8"/>
        </w:numPr>
        <w:autoSpaceDE/>
        <w:autoSpaceDN/>
        <w:ind w:left="567" w:hanging="567"/>
        <w:contextualSpacing/>
      </w:pPr>
      <w:r w:rsidRPr="00890245">
        <w:t>Lassen Sie die Fertigspritze</w:t>
      </w:r>
      <w:r w:rsidRPr="00890245">
        <w:rPr>
          <w:b/>
        </w:rPr>
        <w:t xml:space="preserve"> nicht</w:t>
      </w:r>
      <w:r w:rsidRPr="00890245">
        <w:t xml:space="preserve"> unbeaufsichtigt liegen.</w:t>
      </w:r>
    </w:p>
    <w:p w14:paraId="0AB0437A" w14:textId="65213F2A" w:rsidR="004D7143" w:rsidRDefault="004D7143" w:rsidP="004D7143">
      <w:pPr>
        <w:pStyle w:val="a4"/>
        <w:widowControl/>
        <w:numPr>
          <w:ilvl w:val="0"/>
          <w:numId w:val="8"/>
        </w:numPr>
        <w:autoSpaceDE/>
        <w:autoSpaceDN/>
        <w:ind w:left="567" w:hanging="567"/>
        <w:contextualSpacing/>
      </w:pPr>
      <w:r w:rsidRPr="00890245">
        <w:t>Bewahren Sie die Fertigspritze für Kinder unzugänglich auf. Enthält kleine Teile.</w:t>
      </w:r>
    </w:p>
    <w:p w14:paraId="04D82F24" w14:textId="77777777" w:rsidR="00BB4249" w:rsidRDefault="004D7143" w:rsidP="00BB4249">
      <w:pPr>
        <w:keepNext/>
        <w:rPr>
          <w:b/>
        </w:rPr>
      </w:pPr>
      <w:r>
        <w:br w:type="page"/>
      </w:r>
      <w:r w:rsidR="00BB4249" w:rsidRPr="00890245">
        <w:rPr>
          <w:b/>
        </w:rPr>
        <w:lastRenderedPageBreak/>
        <w:t>Teile Ihrer Fertigspritze (siehe Abbildung A).</w:t>
      </w:r>
    </w:p>
    <w:p w14:paraId="364760D0" w14:textId="77777777" w:rsidR="00BB4249" w:rsidRDefault="00BB4249" w:rsidP="00BB4249">
      <w:pPr>
        <w:keepNext/>
        <w:rPr>
          <w:b/>
        </w:rPr>
      </w:pPr>
    </w:p>
    <w:p w14:paraId="248A05EC" w14:textId="2CEA37A0" w:rsidR="008873C0" w:rsidRPr="00C017D7" w:rsidRDefault="00A16FF2" w:rsidP="008873C0">
      <w:pPr>
        <w:spacing w:line="200" w:lineRule="atLeast"/>
        <w:ind w:left="316"/>
      </w:pPr>
      <w:r>
        <w:rPr>
          <w:noProof/>
          <w:lang w:val="en-US" w:eastAsia="ko-KR"/>
        </w:rPr>
        <mc:AlternateContent>
          <mc:Choice Requires="wps">
            <w:drawing>
              <wp:anchor distT="0" distB="0" distL="114300" distR="114300" simplePos="0" relativeHeight="251658245" behindDoc="0" locked="0" layoutInCell="1" allowOverlap="1" wp14:anchorId="5F8CDB00" wp14:editId="48DBA232">
                <wp:simplePos x="0" y="0"/>
                <wp:positionH relativeFrom="column">
                  <wp:posOffset>2237105</wp:posOffset>
                </wp:positionH>
                <wp:positionV relativeFrom="paragraph">
                  <wp:posOffset>3111500</wp:posOffset>
                </wp:positionV>
                <wp:extent cx="1517650" cy="636270"/>
                <wp:effectExtent l="0" t="0" r="0" b="0"/>
                <wp:wrapNone/>
                <wp:docPr id="104695833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636270"/>
                        </a:xfrm>
                        <a:prstGeom prst="rect">
                          <a:avLst/>
                        </a:prstGeom>
                        <a:noFill/>
                        <a:ln>
                          <a:noFill/>
                        </a:ln>
                      </wps:spPr>
                      <wps:txbx>
                        <w:txbxContent>
                          <w:p w14:paraId="74156D61" w14:textId="5AEC14FD"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Nadelschutz</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CDB00" id="Text Box 117" o:spid="_x0000_s1029" type="#_x0000_t202" style="position:absolute;left:0;text-align:left;margin-left:176.15pt;margin-top:245pt;width:119.5pt;height:50.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" filled="f" stroked="f">
                <v:textbox inset=".5mm,.5mm,.5mm,.5mm">
                  <w:txbxContent>
                    <w:p w14:paraId="74156D61" w14:textId="5AEC14FD"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Nadelschutz</w:t>
                      </w:r>
                    </w:p>
                  </w:txbxContent>
                </v:textbox>
              </v:shape>
            </w:pict>
          </mc:Fallback>
        </mc:AlternateContent>
      </w:r>
      <w:r>
        <w:rPr>
          <w:noProof/>
          <w:lang w:val="en-US" w:eastAsia="ko-KR"/>
        </w:rPr>
        <mc:AlternateContent>
          <mc:Choice Requires="wps">
            <w:drawing>
              <wp:anchor distT="0" distB="0" distL="114300" distR="114300" simplePos="0" relativeHeight="251658243" behindDoc="0" locked="0" layoutInCell="1" allowOverlap="1" wp14:anchorId="425E4827" wp14:editId="5338C1FB">
                <wp:simplePos x="0" y="0"/>
                <wp:positionH relativeFrom="column">
                  <wp:posOffset>2453640</wp:posOffset>
                </wp:positionH>
                <wp:positionV relativeFrom="paragraph">
                  <wp:posOffset>1586865</wp:posOffset>
                </wp:positionV>
                <wp:extent cx="1117600" cy="763270"/>
                <wp:effectExtent l="0" t="0" r="0" b="0"/>
                <wp:wrapNone/>
                <wp:docPr id="14483526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763270"/>
                        </a:xfrm>
                        <a:prstGeom prst="rect">
                          <a:avLst/>
                        </a:prstGeom>
                        <a:noFill/>
                        <a:ln>
                          <a:noFill/>
                        </a:ln>
                      </wps:spPr>
                      <wps:txbx>
                        <w:txbxContent>
                          <w:p w14:paraId="54423BBC" w14:textId="38B5B324"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Weißer Fingergriff</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E4827" id="Text Box 115" o:spid="_x0000_s1030" type="#_x0000_t202" style="position:absolute;left:0;text-align:left;margin-left:193.2pt;margin-top:124.95pt;width:88pt;height:6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" filled="f" stroked="f">
                <v:textbox inset=".5mm,.5mm,.5mm,.5mm">
                  <w:txbxContent>
                    <w:p w14:paraId="54423BBC" w14:textId="38B5B324"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Weißer Fingergriff</w:t>
                      </w:r>
                    </w:p>
                  </w:txbxContent>
                </v:textbox>
              </v:shape>
            </w:pict>
          </mc:Fallback>
        </mc:AlternateContent>
      </w:r>
      <w:r>
        <w:rPr>
          <w:noProof/>
          <w:lang w:val="en-US" w:eastAsia="ko-KR"/>
        </w:rPr>
        <mc:AlternateContent>
          <mc:Choice Requires="wps">
            <w:drawing>
              <wp:anchor distT="0" distB="0" distL="114300" distR="114300" simplePos="0" relativeHeight="251658249" behindDoc="0" locked="0" layoutInCell="1" allowOverlap="1" wp14:anchorId="48DEAA02" wp14:editId="49349E0D">
                <wp:simplePos x="0" y="0"/>
                <wp:positionH relativeFrom="column">
                  <wp:posOffset>1827530</wp:posOffset>
                </wp:positionH>
                <wp:positionV relativeFrom="paragraph">
                  <wp:posOffset>4302760</wp:posOffset>
                </wp:positionV>
                <wp:extent cx="2336800" cy="636270"/>
                <wp:effectExtent l="0" t="0" r="0" b="0"/>
                <wp:wrapNone/>
                <wp:docPr id="45142468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636270"/>
                        </a:xfrm>
                        <a:prstGeom prst="rect">
                          <a:avLst/>
                        </a:prstGeom>
                        <a:noFill/>
                        <a:ln>
                          <a:noFill/>
                        </a:ln>
                      </wps:spPr>
                      <wps:txbx>
                        <w:txbxContent>
                          <w:p w14:paraId="10652A13" w14:textId="19FCE691"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Nadelschutzkappe</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EAA02" id="Text Box 113" o:spid="_x0000_s1031" type="#_x0000_t202" style="position:absolute;left:0;text-align:left;margin-left:143.9pt;margin-top:338.8pt;width:184pt;height:50.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" filled="f" stroked="f">
                <v:textbox inset=".5mm,.5mm,.5mm,.5mm">
                  <w:txbxContent>
                    <w:p w14:paraId="10652A13" w14:textId="19FCE691"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Nadelschutzkappe</w:t>
                      </w:r>
                    </w:p>
                  </w:txbxContent>
                </v:textbox>
              </v:shape>
            </w:pict>
          </mc:Fallback>
        </mc:AlternateContent>
      </w:r>
      <w:r>
        <w:rPr>
          <w:noProof/>
          <w:lang w:val="en-US" w:eastAsia="ko-KR"/>
        </w:rPr>
        <mc:AlternateContent>
          <mc:Choice Requires="wps">
            <w:drawing>
              <wp:anchor distT="0" distB="0" distL="114300" distR="114300" simplePos="0" relativeHeight="251658244" behindDoc="0" locked="0" layoutInCell="1" allowOverlap="1" wp14:anchorId="7505F87D" wp14:editId="3ADF8CBD">
                <wp:simplePos x="0" y="0"/>
                <wp:positionH relativeFrom="column">
                  <wp:posOffset>2336800</wp:posOffset>
                </wp:positionH>
                <wp:positionV relativeFrom="paragraph">
                  <wp:posOffset>2369185</wp:posOffset>
                </wp:positionV>
                <wp:extent cx="1318260" cy="331470"/>
                <wp:effectExtent l="0" t="0" r="0" b="0"/>
                <wp:wrapNone/>
                <wp:docPr id="105233957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331470"/>
                        </a:xfrm>
                        <a:prstGeom prst="rect">
                          <a:avLst/>
                        </a:prstGeom>
                        <a:noFill/>
                        <a:ln>
                          <a:noFill/>
                        </a:ln>
                      </wps:spPr>
                      <wps:txbx>
                        <w:txbxContent>
                          <w:p w14:paraId="526FCA01" w14:textId="6A0A56C6"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Sichtfenster</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5F87D" id="Text Box 111" o:spid="_x0000_s1032" type="#_x0000_t202" style="position:absolute;left:0;text-align:left;margin-left:184pt;margin-top:186.55pt;width:103.8pt;height:26.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" filled="f" stroked="f">
                <v:textbox inset=".5mm,.5mm,.5mm,.5mm">
                  <w:txbxContent>
                    <w:p w14:paraId="526FCA01" w14:textId="6A0A56C6"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Sichtfenster</w:t>
                      </w:r>
                    </w:p>
                  </w:txbxContent>
                </v:textbox>
              </v:shape>
            </w:pict>
          </mc:Fallback>
        </mc:AlternateContent>
      </w:r>
      <w:r>
        <w:rPr>
          <w:noProof/>
          <w:lang w:val="en-US" w:eastAsia="ko-KR"/>
        </w:rPr>
        <mc:AlternateContent>
          <mc:Choice Requires="wps">
            <w:drawing>
              <wp:anchor distT="0" distB="0" distL="114300" distR="114300" simplePos="0" relativeHeight="251658247" behindDoc="0" locked="0" layoutInCell="1" allowOverlap="1" wp14:anchorId="2BAF5EF6" wp14:editId="64A6F54C">
                <wp:simplePos x="0" y="0"/>
                <wp:positionH relativeFrom="column">
                  <wp:posOffset>-55245</wp:posOffset>
                </wp:positionH>
                <wp:positionV relativeFrom="paragraph">
                  <wp:posOffset>2800350</wp:posOffset>
                </wp:positionV>
                <wp:extent cx="1393825" cy="636270"/>
                <wp:effectExtent l="0" t="0" r="0" b="0"/>
                <wp:wrapNone/>
                <wp:docPr id="39815521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825" cy="636270"/>
                        </a:xfrm>
                        <a:prstGeom prst="rect">
                          <a:avLst/>
                        </a:prstGeom>
                        <a:noFill/>
                        <a:ln>
                          <a:noFill/>
                        </a:ln>
                      </wps:spPr>
                      <wps:txbx>
                        <w:txbxContent>
                          <w:p w14:paraId="698A00EE" w14:textId="2D9FAC4B" w:rsidR="00456610" w:rsidRPr="00B320E1" w:rsidRDefault="00456610" w:rsidP="008873C0">
                            <w:pPr>
                              <w:pStyle w:val="StyleArialNarrow8pts"/>
                              <w:jc w:val="right"/>
                              <w:rPr>
                                <w:rFonts w:ascii="Arial" w:hAnsi="Arial" w:cs="Arial"/>
                                <w:b/>
                                <w:bCs/>
                                <w:sz w:val="28"/>
                                <w:szCs w:val="28"/>
                                <w:lang w:val="en-US"/>
                              </w:rPr>
                            </w:pPr>
                            <w:r w:rsidRPr="00B320E1">
                              <w:rPr>
                                <w:rFonts w:ascii="Arial" w:hAnsi="Arial" w:cs="Arial"/>
                                <w:b/>
                                <w:bCs/>
                                <w:sz w:val="28"/>
                                <w:szCs w:val="28"/>
                                <w:lang w:val="en-US"/>
                              </w:rPr>
                              <w:t>Arzneimittel</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F5EF6" id="Text Box 109" o:spid="_x0000_s1033" type="#_x0000_t202" style="position:absolute;left:0;text-align:left;margin-left:-4.35pt;margin-top:220.5pt;width:109.75pt;height:50.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" filled="f" stroked="f">
                <v:textbox inset=".5mm,.5mm,.5mm,.5mm">
                  <w:txbxContent>
                    <w:p w14:paraId="698A00EE" w14:textId="2D9FAC4B" w:rsidR="00456610" w:rsidRPr="00B320E1" w:rsidRDefault="00456610" w:rsidP="008873C0">
                      <w:pPr>
                        <w:pStyle w:val="StyleArialNarrow8pts"/>
                        <w:jc w:val="right"/>
                        <w:rPr>
                          <w:rFonts w:ascii="Arial" w:hAnsi="Arial" w:cs="Arial"/>
                          <w:b/>
                          <w:bCs/>
                          <w:sz w:val="28"/>
                          <w:szCs w:val="28"/>
                          <w:lang w:val="en-US"/>
                        </w:rPr>
                      </w:pPr>
                      <w:r w:rsidRPr="00B320E1">
                        <w:rPr>
                          <w:rFonts w:ascii="Arial" w:hAnsi="Arial" w:cs="Arial"/>
                          <w:b/>
                          <w:bCs/>
                          <w:sz w:val="28"/>
                          <w:szCs w:val="28"/>
                          <w:lang w:val="en-US"/>
                        </w:rPr>
                        <w:t>Arzneimittel</w:t>
                      </w:r>
                    </w:p>
                  </w:txbxContent>
                </v:textbox>
              </v:shape>
            </w:pict>
          </mc:Fallback>
        </mc:AlternateContent>
      </w:r>
      <w:r>
        <w:rPr>
          <w:noProof/>
          <w:sz w:val="20"/>
          <w:szCs w:val="20"/>
          <w:lang w:val="en-US" w:eastAsia="ko-KR"/>
        </w:rPr>
        <w:drawing>
          <wp:inline distT="0" distB="0" distL="0" distR="0" wp14:anchorId="0119A203" wp14:editId="46BCA9CF">
            <wp:extent cx="5454650" cy="5433060"/>
            <wp:effectExtent l="0" t="0" r="0" b="0"/>
            <wp:docPr id="7" name="그림 6" descr="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텍스트, 도표이(가) 표시된 사진&#10;&#10;자동 생성된 설명"/>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4650" cy="5433060"/>
                    </a:xfrm>
                    <a:prstGeom prst="rect">
                      <a:avLst/>
                    </a:prstGeom>
                    <a:noFill/>
                    <a:ln>
                      <a:noFill/>
                    </a:ln>
                  </pic:spPr>
                </pic:pic>
              </a:graphicData>
            </a:graphic>
          </wp:inline>
        </w:drawing>
      </w:r>
      <w:r>
        <w:rPr>
          <w:noProof/>
          <w:lang w:val="en-US" w:eastAsia="ko-KR"/>
        </w:rPr>
        <mc:AlternateContent>
          <mc:Choice Requires="wps">
            <w:drawing>
              <wp:anchor distT="0" distB="0" distL="114300" distR="114300" simplePos="0" relativeHeight="251658248" behindDoc="0" locked="0" layoutInCell="1" allowOverlap="1" wp14:anchorId="7C1DC9F3" wp14:editId="7DB9DE40">
                <wp:simplePos x="0" y="0"/>
                <wp:positionH relativeFrom="column">
                  <wp:posOffset>4699635</wp:posOffset>
                </wp:positionH>
                <wp:positionV relativeFrom="paragraph">
                  <wp:posOffset>2809875</wp:posOffset>
                </wp:positionV>
                <wp:extent cx="1117600" cy="636270"/>
                <wp:effectExtent l="0" t="0" r="0" b="0"/>
                <wp:wrapNone/>
                <wp:docPr id="861108178"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2280A1DB" w14:textId="2E0EBC6F" w:rsidR="00456610" w:rsidRPr="00B320E1" w:rsidRDefault="00456610" w:rsidP="008873C0">
                            <w:pPr>
                              <w:pStyle w:val="StyleArialNarrow8pts"/>
                              <w:rPr>
                                <w:rFonts w:ascii="Arial" w:hAnsi="Arial" w:cs="Arial"/>
                                <w:b/>
                                <w:bCs/>
                                <w:sz w:val="28"/>
                                <w:szCs w:val="28"/>
                                <w:lang w:val="en-US"/>
                              </w:rPr>
                            </w:pPr>
                            <w:r w:rsidRPr="00B320E1">
                              <w:rPr>
                                <w:rFonts w:ascii="Arial" w:hAnsi="Arial" w:cs="Arial"/>
                                <w:b/>
                                <w:bCs/>
                                <w:sz w:val="28"/>
                                <w:szCs w:val="28"/>
                                <w:lang w:val="en-US"/>
                              </w:rPr>
                              <w:t>Nadel</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DC9F3" id="Text Box 107" o:spid="_x0000_s1034" type="#_x0000_t202" style="position:absolute;left:0;text-align:left;margin-left:370.05pt;margin-top:221.25pt;width:88pt;height:50.1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" filled="f" stroked="f">
                <v:textbox inset=".5mm,.5mm,.5mm,.5mm">
                  <w:txbxContent>
                    <w:p w14:paraId="2280A1DB" w14:textId="2E0EBC6F" w:rsidR="00456610" w:rsidRPr="00B320E1" w:rsidRDefault="00456610" w:rsidP="008873C0">
                      <w:pPr>
                        <w:pStyle w:val="StyleArialNarrow8pts"/>
                        <w:rPr>
                          <w:rFonts w:ascii="Arial" w:hAnsi="Arial" w:cs="Arial"/>
                          <w:b/>
                          <w:bCs/>
                          <w:sz w:val="28"/>
                          <w:szCs w:val="28"/>
                          <w:lang w:val="en-US"/>
                        </w:rPr>
                      </w:pPr>
                      <w:r w:rsidRPr="00B320E1">
                        <w:rPr>
                          <w:rFonts w:ascii="Arial" w:hAnsi="Arial" w:cs="Arial"/>
                          <w:b/>
                          <w:bCs/>
                          <w:sz w:val="28"/>
                          <w:szCs w:val="28"/>
                          <w:lang w:val="en-US"/>
                        </w:rPr>
                        <w:t>Nadel</w:t>
                      </w:r>
                    </w:p>
                  </w:txbxContent>
                </v:textbox>
              </v:shape>
            </w:pict>
          </mc:Fallback>
        </mc:AlternateContent>
      </w:r>
      <w:r>
        <w:rPr>
          <w:noProof/>
          <w:lang w:val="en-US" w:eastAsia="ko-KR"/>
        </w:rPr>
        <mc:AlternateContent>
          <mc:Choice Requires="wps">
            <w:drawing>
              <wp:anchor distT="0" distB="0" distL="114300" distR="114300" simplePos="0" relativeHeight="251658246" behindDoc="0" locked="0" layoutInCell="1" allowOverlap="1" wp14:anchorId="1F85C9C7" wp14:editId="0C919970">
                <wp:simplePos x="0" y="0"/>
                <wp:positionH relativeFrom="column">
                  <wp:posOffset>2437130</wp:posOffset>
                </wp:positionH>
                <wp:positionV relativeFrom="paragraph">
                  <wp:posOffset>3690620</wp:posOffset>
                </wp:positionV>
                <wp:extent cx="1117600" cy="636270"/>
                <wp:effectExtent l="0" t="0" r="0" b="0"/>
                <wp:wrapNone/>
                <wp:docPr id="211218158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636270"/>
                        </a:xfrm>
                        <a:prstGeom prst="rect">
                          <a:avLst/>
                        </a:prstGeom>
                        <a:noFill/>
                        <a:ln>
                          <a:noFill/>
                        </a:ln>
                      </wps:spPr>
                      <wps:txbx>
                        <w:txbxContent>
                          <w:p w14:paraId="7273040F" w14:textId="4F04DA19"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Nadel</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5C9C7" id="Text Box 105" o:spid="_x0000_s1035" type="#_x0000_t202" style="position:absolute;left:0;text-align:left;margin-left:191.9pt;margin-top:290.6pt;width:88pt;height:50.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" filled="f" stroked="f">
                <v:textbox inset=".5mm,.5mm,.5mm,.5mm">
                  <w:txbxContent>
                    <w:p w14:paraId="7273040F" w14:textId="4F04DA19"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Nadel</w:t>
                      </w:r>
                    </w:p>
                  </w:txbxContent>
                </v:textbox>
              </v:shape>
            </w:pict>
          </mc:Fallback>
        </mc:AlternateContent>
      </w:r>
      <w:r>
        <w:rPr>
          <w:noProof/>
          <w:lang w:val="en-US" w:eastAsia="ko-KR"/>
        </w:rPr>
        <mc:AlternateContent>
          <mc:Choice Requires="wps">
            <w:drawing>
              <wp:anchor distT="0" distB="0" distL="114300" distR="114300" simplePos="0" relativeHeight="251658242" behindDoc="0" locked="0" layoutInCell="1" allowOverlap="1" wp14:anchorId="015DA9F0" wp14:editId="255187ED">
                <wp:simplePos x="0" y="0"/>
                <wp:positionH relativeFrom="column">
                  <wp:posOffset>2038985</wp:posOffset>
                </wp:positionH>
                <wp:positionV relativeFrom="paragraph">
                  <wp:posOffset>868680</wp:posOffset>
                </wp:positionV>
                <wp:extent cx="1924685" cy="763270"/>
                <wp:effectExtent l="0" t="0" r="0" b="0"/>
                <wp:wrapNone/>
                <wp:docPr id="82731033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763270"/>
                        </a:xfrm>
                        <a:prstGeom prst="rect">
                          <a:avLst/>
                        </a:prstGeom>
                        <a:noFill/>
                        <a:ln>
                          <a:noFill/>
                        </a:ln>
                      </wps:spPr>
                      <wps:txbx>
                        <w:txbxContent>
                          <w:p w14:paraId="1E3AC065" w14:textId="7CC74938"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Orangefarbener Kolben</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DA9F0" id="Text Box 103" o:spid="_x0000_s1036" type="#_x0000_t202" style="position:absolute;left:0;text-align:left;margin-left:160.55pt;margin-top:68.4pt;width:151.55pt;height:6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" filled="f" stroked="f">
                <v:textbox inset=".5mm,.5mm,.5mm,.5mm">
                  <w:txbxContent>
                    <w:p w14:paraId="1E3AC065" w14:textId="7CC74938" w:rsidR="00456610" w:rsidRPr="00B320E1" w:rsidRDefault="00456610" w:rsidP="008873C0">
                      <w:pPr>
                        <w:pStyle w:val="StyleArialNarrow8pts"/>
                        <w:jc w:val="center"/>
                        <w:rPr>
                          <w:rFonts w:ascii="Arial" w:hAnsi="Arial" w:cs="Arial"/>
                          <w:b/>
                          <w:bCs/>
                          <w:sz w:val="28"/>
                          <w:szCs w:val="28"/>
                          <w:lang w:val="en-US"/>
                        </w:rPr>
                      </w:pPr>
                      <w:r w:rsidRPr="00B320E1">
                        <w:rPr>
                          <w:rFonts w:ascii="Arial" w:hAnsi="Arial" w:cs="Arial"/>
                          <w:b/>
                          <w:bCs/>
                          <w:sz w:val="28"/>
                          <w:szCs w:val="28"/>
                          <w:lang w:val="en-US"/>
                        </w:rPr>
                        <w:t>Orangefarbener Kolben</w:t>
                      </w:r>
                    </w:p>
                  </w:txbxContent>
                </v:textbox>
              </v:shape>
            </w:pict>
          </mc:Fallback>
        </mc:AlternateContent>
      </w:r>
      <w:r>
        <w:rPr>
          <w:noProof/>
          <w:lang w:val="en-US" w:eastAsia="ko-KR"/>
        </w:rPr>
        <mc:AlternateContent>
          <mc:Choice Requires="wps">
            <w:drawing>
              <wp:anchor distT="0" distB="0" distL="114300" distR="114300" simplePos="0" relativeHeight="251658240" behindDoc="0" locked="0" layoutInCell="1" allowOverlap="1" wp14:anchorId="3AD54456" wp14:editId="1945E7C4">
                <wp:simplePos x="0" y="0"/>
                <wp:positionH relativeFrom="column">
                  <wp:posOffset>848360</wp:posOffset>
                </wp:positionH>
                <wp:positionV relativeFrom="paragraph">
                  <wp:posOffset>97790</wp:posOffset>
                </wp:positionV>
                <wp:extent cx="1924685" cy="721360"/>
                <wp:effectExtent l="0" t="0" r="0" b="0"/>
                <wp:wrapNone/>
                <wp:docPr id="78624514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721360"/>
                        </a:xfrm>
                        <a:prstGeom prst="rect">
                          <a:avLst/>
                        </a:prstGeom>
                        <a:noFill/>
                        <a:ln>
                          <a:noFill/>
                        </a:ln>
                      </wps:spPr>
                      <wps:txbx>
                        <w:txbxContent>
                          <w:p w14:paraId="7289D925" w14:textId="1728FAE7" w:rsidR="00456610" w:rsidRPr="00E92F5A" w:rsidRDefault="00456610" w:rsidP="008873C0">
                            <w:pPr>
                              <w:pStyle w:val="StyleArialNarrow8pts"/>
                              <w:jc w:val="center"/>
                              <w:rPr>
                                <w:rFonts w:ascii="Arial" w:hAnsi="Arial" w:cs="Arial"/>
                                <w:b/>
                                <w:bCs/>
                                <w:sz w:val="40"/>
                                <w:szCs w:val="40"/>
                                <w:lang w:val="en-US"/>
                              </w:rPr>
                            </w:pPr>
                            <w:r w:rsidRPr="009E3677">
                              <w:rPr>
                                <w:rFonts w:ascii="Arial" w:hAnsi="Arial" w:cs="Arial"/>
                                <w:b/>
                                <w:bCs/>
                                <w:sz w:val="40"/>
                                <w:szCs w:val="40"/>
                                <w:lang w:val="en-US"/>
                              </w:rPr>
                              <w:t>Vor der Anwendung</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54456" id="Text Box 101" o:spid="_x0000_s1037" type="#_x0000_t202" style="position:absolute;left:0;text-align:left;margin-left:66.8pt;margin-top:7.7pt;width:151.55pt;height:56.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" filled="f" stroked="f">
                <v:textbox inset=".5mm,.5mm,.5mm,.5mm">
                  <w:txbxContent>
                    <w:p w14:paraId="7289D925" w14:textId="1728FAE7" w:rsidR="00456610" w:rsidRPr="00E92F5A" w:rsidRDefault="00456610" w:rsidP="008873C0">
                      <w:pPr>
                        <w:pStyle w:val="StyleArialNarrow8pts"/>
                        <w:jc w:val="center"/>
                        <w:rPr>
                          <w:rFonts w:ascii="Arial" w:hAnsi="Arial" w:cs="Arial"/>
                          <w:b/>
                          <w:bCs/>
                          <w:sz w:val="40"/>
                          <w:szCs w:val="40"/>
                          <w:lang w:val="en-US"/>
                        </w:rPr>
                      </w:pPr>
                      <w:r w:rsidRPr="009E3677">
                        <w:rPr>
                          <w:rFonts w:ascii="Arial" w:hAnsi="Arial" w:cs="Arial"/>
                          <w:b/>
                          <w:bCs/>
                          <w:sz w:val="40"/>
                          <w:szCs w:val="40"/>
                          <w:lang w:val="en-US"/>
                        </w:rPr>
                        <w:t>Vor der Anwendung</w:t>
                      </w:r>
                    </w:p>
                  </w:txbxContent>
                </v:textbox>
              </v:shape>
            </w:pict>
          </mc:Fallback>
        </mc:AlternateContent>
      </w:r>
      <w:r>
        <w:rPr>
          <w:noProof/>
          <w:lang w:val="en-US" w:eastAsia="ko-KR"/>
        </w:rPr>
        <mc:AlternateContent>
          <mc:Choice Requires="wps">
            <w:drawing>
              <wp:anchor distT="0" distB="0" distL="114300" distR="114300" simplePos="0" relativeHeight="251658241" behindDoc="0" locked="0" layoutInCell="1" allowOverlap="1" wp14:anchorId="394A8FD2" wp14:editId="222CED41">
                <wp:simplePos x="0" y="0"/>
                <wp:positionH relativeFrom="column">
                  <wp:posOffset>3227705</wp:posOffset>
                </wp:positionH>
                <wp:positionV relativeFrom="paragraph">
                  <wp:posOffset>90170</wp:posOffset>
                </wp:positionV>
                <wp:extent cx="1924685" cy="649605"/>
                <wp:effectExtent l="0" t="0" r="0" b="0"/>
                <wp:wrapNone/>
                <wp:docPr id="1108262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685" cy="649605"/>
                        </a:xfrm>
                        <a:prstGeom prst="rect">
                          <a:avLst/>
                        </a:prstGeom>
                        <a:noFill/>
                        <a:ln>
                          <a:noFill/>
                        </a:ln>
                      </wps:spPr>
                      <wps:txbx>
                        <w:txbxContent>
                          <w:p w14:paraId="47797F37" w14:textId="437CB247" w:rsidR="00456610" w:rsidRPr="00E92F5A" w:rsidRDefault="00456610" w:rsidP="008873C0">
                            <w:pPr>
                              <w:pStyle w:val="StyleArialNarrow8pts"/>
                              <w:jc w:val="center"/>
                              <w:rPr>
                                <w:rFonts w:ascii="Arial" w:hAnsi="Arial" w:cs="Arial"/>
                                <w:b/>
                                <w:bCs/>
                                <w:sz w:val="40"/>
                                <w:szCs w:val="40"/>
                                <w:lang w:val="en-US"/>
                              </w:rPr>
                            </w:pPr>
                            <w:r w:rsidRPr="009E3677">
                              <w:rPr>
                                <w:rFonts w:ascii="Arial" w:hAnsi="Arial" w:cs="Arial"/>
                                <w:b/>
                                <w:bCs/>
                                <w:sz w:val="40"/>
                                <w:szCs w:val="40"/>
                                <w:lang w:val="en-US"/>
                              </w:rPr>
                              <w:t>Nach der Anwendung</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A8FD2" id="Text Box 99" o:spid="_x0000_s1038" type="#_x0000_t202" style="position:absolute;left:0;text-align:left;margin-left:254.15pt;margin-top:7.1pt;width:151.55pt;height:5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" filled="f" stroked="f">
                <v:textbox inset=".5mm,.5mm,.5mm,.5mm">
                  <w:txbxContent>
                    <w:p w14:paraId="47797F37" w14:textId="437CB247" w:rsidR="00456610" w:rsidRPr="00E92F5A" w:rsidRDefault="00456610" w:rsidP="008873C0">
                      <w:pPr>
                        <w:pStyle w:val="StyleArialNarrow8pts"/>
                        <w:jc w:val="center"/>
                        <w:rPr>
                          <w:rFonts w:ascii="Arial" w:hAnsi="Arial" w:cs="Arial"/>
                          <w:b/>
                          <w:bCs/>
                          <w:sz w:val="40"/>
                          <w:szCs w:val="40"/>
                          <w:lang w:val="en-US"/>
                        </w:rPr>
                      </w:pPr>
                      <w:r w:rsidRPr="009E3677">
                        <w:rPr>
                          <w:rFonts w:ascii="Arial" w:hAnsi="Arial" w:cs="Arial"/>
                          <w:b/>
                          <w:bCs/>
                          <w:sz w:val="40"/>
                          <w:szCs w:val="40"/>
                          <w:lang w:val="en-US"/>
                        </w:rPr>
                        <w:t>Nach der Anwendung</w:t>
                      </w:r>
                    </w:p>
                  </w:txbxContent>
                </v:textbox>
              </v:shape>
            </w:pict>
          </mc:Fallback>
        </mc:AlternateContent>
      </w:r>
    </w:p>
    <w:p w14:paraId="5E11EC2D" w14:textId="4E7F65C0" w:rsidR="008873C0" w:rsidRPr="00C017D7" w:rsidRDefault="008873C0" w:rsidP="008873C0">
      <w:pPr>
        <w:jc w:val="center"/>
        <w:rPr>
          <w:b/>
          <w:bCs/>
        </w:rPr>
      </w:pPr>
      <w:r>
        <w:rPr>
          <w:b/>
          <w:bCs/>
        </w:rPr>
        <w:t>Abbildung </w:t>
      </w:r>
      <w:r w:rsidRPr="00C017D7">
        <w:rPr>
          <w:b/>
          <w:bCs/>
        </w:rPr>
        <w:t>A</w:t>
      </w:r>
    </w:p>
    <w:p w14:paraId="16858A83" w14:textId="77777777" w:rsidR="008873C0" w:rsidRPr="00890245" w:rsidRDefault="008873C0" w:rsidP="008873C0">
      <w:pPr>
        <w:keepNext/>
        <w:rPr>
          <w:b/>
          <w:bCs/>
        </w:rPr>
      </w:pPr>
      <w:r>
        <w:rPr>
          <w:b/>
          <w:bCs/>
        </w:rPr>
        <w:br w:type="page"/>
      </w:r>
      <w:r w:rsidRPr="00890245">
        <w:rPr>
          <w:b/>
        </w:rPr>
        <w:lastRenderedPageBreak/>
        <w:t>Vorbereitung der Injektion</w:t>
      </w:r>
    </w:p>
    <w:p w14:paraId="1410F0B0" w14:textId="1C1F8C33" w:rsidR="004D7143" w:rsidRDefault="004D7143" w:rsidP="00BB4249">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8873C0" w:rsidRPr="00124F43" w14:paraId="095AE092" w14:textId="77777777" w:rsidTr="00F0391F">
        <w:trPr>
          <w:cantSplit/>
        </w:trPr>
        <w:tc>
          <w:tcPr>
            <w:tcW w:w="3539" w:type="dxa"/>
          </w:tcPr>
          <w:p w14:paraId="776929B1" w14:textId="1384DCAC" w:rsidR="008873C0" w:rsidRPr="00B436C7" w:rsidRDefault="00945248" w:rsidP="00945248">
            <w:pPr>
              <w:autoSpaceDE/>
              <w:autoSpaceDN/>
              <w:jc w:val="right"/>
              <w:rPr>
                <w:noProof/>
                <w:sz w:val="24"/>
                <w:szCs w:val="24"/>
                <w:lang w:val="en-US" w:eastAsia="ko-KR"/>
              </w:rPr>
            </w:pPr>
            <w:r w:rsidRPr="00945248">
              <w:rPr>
                <w:noProof/>
                <w:sz w:val="24"/>
                <w:szCs w:val="24"/>
                <w:lang w:val="en-US" w:eastAsia="ko-KR"/>
              </w:rPr>
              <w:drawing>
                <wp:inline distT="0" distB="0" distL="0" distR="0" wp14:anchorId="2B33FE60" wp14:editId="495BA748">
                  <wp:extent cx="2110105" cy="3205480"/>
                  <wp:effectExtent l="0" t="0" r="4445" b="0"/>
                  <wp:docPr id="1270817050"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0105" cy="3205480"/>
                          </a:xfrm>
                          <a:prstGeom prst="rect">
                            <a:avLst/>
                          </a:prstGeom>
                          <a:noFill/>
                          <a:ln>
                            <a:noFill/>
                          </a:ln>
                        </pic:spPr>
                      </pic:pic>
                    </a:graphicData>
                  </a:graphic>
                </wp:inline>
              </w:drawing>
            </w:r>
          </w:p>
          <w:p w14:paraId="1871747F" w14:textId="3A169AB0" w:rsidR="008873C0" w:rsidRPr="00F0391F" w:rsidRDefault="00A16FF2" w:rsidP="00F0391F">
            <w:pPr>
              <w:autoSpaceDE/>
              <w:autoSpaceDN/>
              <w:jc w:val="right"/>
              <w:rPr>
                <w:b/>
                <w:bCs/>
                <w:sz w:val="24"/>
                <w:szCs w:val="24"/>
              </w:rPr>
            </w:pPr>
            <w:r>
              <w:rPr>
                <w:noProof/>
                <w:sz w:val="20"/>
                <w:szCs w:val="20"/>
                <w:lang w:val="en-US" w:eastAsia="ko-KR"/>
              </w:rPr>
              <mc:AlternateContent>
                <mc:Choice Requires="wps">
                  <w:drawing>
                    <wp:anchor distT="45720" distB="45720" distL="114300" distR="114300" simplePos="0" relativeHeight="251658250" behindDoc="0" locked="1" layoutInCell="1" allowOverlap="1" wp14:anchorId="5E41B9E0" wp14:editId="45787B14">
                      <wp:simplePos x="0" y="0"/>
                      <wp:positionH relativeFrom="column">
                        <wp:posOffset>1097915</wp:posOffset>
                      </wp:positionH>
                      <wp:positionV relativeFrom="page">
                        <wp:posOffset>172720</wp:posOffset>
                      </wp:positionV>
                      <wp:extent cx="892175" cy="427355"/>
                      <wp:effectExtent l="0" t="0" r="0" b="0"/>
                      <wp:wrapNone/>
                      <wp:docPr id="31150702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175" cy="427355"/>
                              </a:xfrm>
                              <a:prstGeom prst="rect">
                                <a:avLst/>
                              </a:prstGeom>
                              <a:noFill/>
                              <a:ln>
                                <a:noFill/>
                              </a:ln>
                            </wps:spPr>
                            <wps:txbx>
                              <w:txbxContent>
                                <w:p w14:paraId="1A5072E1" w14:textId="06A0A221" w:rsidR="00456610" w:rsidRPr="00F77610" w:rsidRDefault="00456610" w:rsidP="008873C0">
                                  <w:pPr>
                                    <w:rPr>
                                      <w:rFonts w:ascii="Arial" w:hAnsi="Arial" w:cs="Arial"/>
                                      <w:sz w:val="23"/>
                                      <w:szCs w:val="23"/>
                                      <w:lang w:val="es-ES"/>
                                    </w:rPr>
                                  </w:pPr>
                                  <w:r w:rsidRPr="00B45061">
                                    <w:rPr>
                                      <w:rFonts w:ascii="Arial" w:hAnsi="Arial" w:cs="Arial"/>
                                      <w:sz w:val="23"/>
                                      <w:szCs w:val="23"/>
                                      <w:lang w:val="es-ES"/>
                                    </w:rPr>
                                    <w:t>Umkarton mit Fertigspritze</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E41B9E0" id="Text Box 97" o:spid="_x0000_s1039" type="#_x0000_t202" style="position:absolute;left:0;text-align:left;margin-left:86.45pt;margin-top:13.6pt;width:70.25pt;height:33.65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" filled="f" stroked="f">
                      <v:textbox style="mso-fit-shape-to-text:t" inset="0,,0">
                        <w:txbxContent>
                          <w:p w14:paraId="1A5072E1" w14:textId="06A0A221" w:rsidR="00456610" w:rsidRPr="00F77610" w:rsidRDefault="00456610" w:rsidP="008873C0">
                            <w:pPr>
                              <w:rPr>
                                <w:rFonts w:ascii="Arial" w:hAnsi="Arial" w:cs="Arial"/>
                                <w:sz w:val="23"/>
                                <w:szCs w:val="23"/>
                                <w:lang w:val="es-ES"/>
                              </w:rPr>
                            </w:pPr>
                            <w:r w:rsidRPr="00B45061">
                              <w:rPr>
                                <w:rFonts w:ascii="Arial" w:hAnsi="Arial" w:cs="Arial"/>
                                <w:sz w:val="23"/>
                                <w:szCs w:val="23"/>
                                <w:lang w:val="es-ES"/>
                              </w:rPr>
                              <w:t>Umkarton mit Fertigspritze</w:t>
                            </w:r>
                          </w:p>
                        </w:txbxContent>
                      </v:textbox>
                      <w10:wrap anchory="page"/>
                      <w10:anchorlock/>
                    </v:shape>
                  </w:pict>
                </mc:Fallback>
              </mc:AlternateContent>
            </w:r>
            <w:r>
              <w:rPr>
                <w:noProof/>
                <w:sz w:val="20"/>
                <w:szCs w:val="20"/>
                <w:lang w:val="en-US" w:eastAsia="ko-KR"/>
              </w:rPr>
              <mc:AlternateContent>
                <mc:Choice Requires="wps">
                  <w:drawing>
                    <wp:anchor distT="45720" distB="45720" distL="114300" distR="114300" simplePos="0" relativeHeight="251658251" behindDoc="0" locked="1" layoutInCell="1" allowOverlap="1" wp14:anchorId="6D197AEB" wp14:editId="342100C3">
                      <wp:simplePos x="0" y="0"/>
                      <wp:positionH relativeFrom="column">
                        <wp:posOffset>1049020</wp:posOffset>
                      </wp:positionH>
                      <wp:positionV relativeFrom="page">
                        <wp:posOffset>802005</wp:posOffset>
                      </wp:positionV>
                      <wp:extent cx="1056640" cy="930910"/>
                      <wp:effectExtent l="0" t="0" r="0" b="0"/>
                      <wp:wrapNone/>
                      <wp:docPr id="11324639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930910"/>
                              </a:xfrm>
                              <a:prstGeom prst="rect">
                                <a:avLst/>
                              </a:prstGeom>
                              <a:noFill/>
                              <a:ln>
                                <a:noFill/>
                              </a:ln>
                            </wps:spPr>
                            <wps:txbx>
                              <w:txbxContent>
                                <w:p w14:paraId="7F032E40" w14:textId="1B449BCB" w:rsidR="00456610" w:rsidRPr="00F66463" w:rsidRDefault="00456610" w:rsidP="008873C0">
                                  <w:pPr>
                                    <w:rPr>
                                      <w:rFonts w:ascii="Arial" w:hAnsi="Arial" w:cs="Arial"/>
                                      <w:sz w:val="23"/>
                                      <w:szCs w:val="23"/>
                                      <w:lang w:val="en-US"/>
                                    </w:rPr>
                                  </w:pPr>
                                  <w:r w:rsidRPr="00B45061">
                                    <w:rPr>
                                      <w:rFonts w:ascii="Arial" w:hAnsi="Arial" w:cs="Arial"/>
                                      <w:sz w:val="23"/>
                                      <w:szCs w:val="23"/>
                                      <w:lang w:val="en-US"/>
                                    </w:rPr>
                                    <w:t>Baumwolltupfer oder Verbandmull und Alkoholtupfer</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197AEB" id="Text Box 95" o:spid="_x0000_s1040" type="#_x0000_t202" style="position:absolute;left:0;text-align:left;margin-left:82.6pt;margin-top:63.15pt;width:83.2pt;height:73.3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" filled="f" stroked="f">
                      <v:textbox style="mso-fit-shape-to-text:t" inset="0,,0">
                        <w:txbxContent>
                          <w:p w14:paraId="7F032E40" w14:textId="1B449BCB" w:rsidR="00456610" w:rsidRPr="00F66463" w:rsidRDefault="00456610" w:rsidP="008873C0">
                            <w:pPr>
                              <w:rPr>
                                <w:rFonts w:ascii="Arial" w:hAnsi="Arial" w:cs="Arial"/>
                                <w:sz w:val="23"/>
                                <w:szCs w:val="23"/>
                                <w:lang w:val="en-US"/>
                              </w:rPr>
                            </w:pPr>
                            <w:r w:rsidRPr="00B45061">
                              <w:rPr>
                                <w:rFonts w:ascii="Arial" w:hAnsi="Arial" w:cs="Arial"/>
                                <w:sz w:val="23"/>
                                <w:szCs w:val="23"/>
                                <w:lang w:val="en-US"/>
                              </w:rPr>
                              <w:t>Baumwolltupfer oder Verbandmull und Alkoholtupfer</w:t>
                            </w:r>
                          </w:p>
                        </w:txbxContent>
                      </v:textbox>
                      <w10:wrap anchory="page"/>
                      <w10:anchorlock/>
                    </v:shape>
                  </w:pict>
                </mc:Fallback>
              </mc:AlternateContent>
            </w:r>
            <w:r>
              <w:rPr>
                <w:noProof/>
                <w:sz w:val="20"/>
                <w:szCs w:val="20"/>
                <w:lang w:val="en-US" w:eastAsia="ko-KR"/>
              </w:rPr>
              <mc:AlternateContent>
                <mc:Choice Requires="wps">
                  <w:drawing>
                    <wp:anchor distT="45720" distB="45720" distL="114300" distR="114300" simplePos="0" relativeHeight="251658252" behindDoc="0" locked="1" layoutInCell="1" allowOverlap="1" wp14:anchorId="1B9A4FA6" wp14:editId="36E2698C">
                      <wp:simplePos x="0" y="0"/>
                      <wp:positionH relativeFrom="column">
                        <wp:posOffset>1049020</wp:posOffset>
                      </wp:positionH>
                      <wp:positionV relativeFrom="page">
                        <wp:posOffset>1847850</wp:posOffset>
                      </wp:positionV>
                      <wp:extent cx="867410" cy="259080"/>
                      <wp:effectExtent l="0" t="0" r="0" b="0"/>
                      <wp:wrapNone/>
                      <wp:docPr id="106382768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59080"/>
                              </a:xfrm>
                              <a:prstGeom prst="rect">
                                <a:avLst/>
                              </a:prstGeom>
                              <a:noFill/>
                              <a:ln>
                                <a:noFill/>
                              </a:ln>
                            </wps:spPr>
                            <wps:txbx>
                              <w:txbxContent>
                                <w:p w14:paraId="497DB49B" w14:textId="3F7E7517" w:rsidR="00456610" w:rsidRPr="00F77610" w:rsidRDefault="00456610" w:rsidP="008873C0">
                                  <w:pPr>
                                    <w:rPr>
                                      <w:rFonts w:ascii="Arial" w:hAnsi="Arial" w:cs="Arial"/>
                                      <w:sz w:val="23"/>
                                      <w:szCs w:val="23"/>
                                      <w:lang w:val="es-ES"/>
                                    </w:rPr>
                                  </w:pPr>
                                  <w:r w:rsidRPr="00B45061">
                                    <w:rPr>
                                      <w:rFonts w:ascii="Arial" w:hAnsi="Arial" w:cs="Arial"/>
                                      <w:sz w:val="23"/>
                                      <w:szCs w:val="23"/>
                                      <w:lang w:val="es-ES"/>
                                    </w:rPr>
                                    <w:t>Pflaster</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B9A4FA6" id="Text Box 93" o:spid="_x0000_s1041" type="#_x0000_t202" style="position:absolute;left:0;text-align:left;margin-left:82.6pt;margin-top:145.5pt;width:68.3pt;height:20.4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" filled="f" stroked="f">
                      <v:textbox style="mso-fit-shape-to-text:t" inset="0,,0">
                        <w:txbxContent>
                          <w:p w14:paraId="497DB49B" w14:textId="3F7E7517" w:rsidR="00456610" w:rsidRPr="00F77610" w:rsidRDefault="00456610" w:rsidP="008873C0">
                            <w:pPr>
                              <w:rPr>
                                <w:rFonts w:ascii="Arial" w:hAnsi="Arial" w:cs="Arial"/>
                                <w:sz w:val="23"/>
                                <w:szCs w:val="23"/>
                                <w:lang w:val="es-ES"/>
                              </w:rPr>
                            </w:pPr>
                            <w:r w:rsidRPr="00B45061">
                              <w:rPr>
                                <w:rFonts w:ascii="Arial" w:hAnsi="Arial" w:cs="Arial"/>
                                <w:sz w:val="23"/>
                                <w:szCs w:val="23"/>
                                <w:lang w:val="es-ES"/>
                              </w:rPr>
                              <w:t>Pflaster</w:t>
                            </w:r>
                          </w:p>
                        </w:txbxContent>
                      </v:textbox>
                      <w10:wrap anchory="page"/>
                      <w10:anchorlock/>
                    </v:shape>
                  </w:pict>
                </mc:Fallback>
              </mc:AlternateContent>
            </w:r>
            <w:r>
              <w:rPr>
                <w:noProof/>
                <w:sz w:val="20"/>
                <w:szCs w:val="20"/>
                <w:lang w:val="en-US" w:eastAsia="ko-KR"/>
              </w:rPr>
              <mc:AlternateContent>
                <mc:Choice Requires="wps">
                  <w:drawing>
                    <wp:anchor distT="45720" distB="45720" distL="114300" distR="114300" simplePos="0" relativeHeight="251658253" behindDoc="0" locked="1" layoutInCell="1" allowOverlap="1" wp14:anchorId="6AB6F525" wp14:editId="0E79B3F9">
                      <wp:simplePos x="0" y="0"/>
                      <wp:positionH relativeFrom="column">
                        <wp:posOffset>1047115</wp:posOffset>
                      </wp:positionH>
                      <wp:positionV relativeFrom="page">
                        <wp:posOffset>2506980</wp:posOffset>
                      </wp:positionV>
                      <wp:extent cx="939800" cy="427355"/>
                      <wp:effectExtent l="0" t="0" r="12700" b="0"/>
                      <wp:wrapNone/>
                      <wp:docPr id="156644587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7355"/>
                              </a:xfrm>
                              <a:prstGeom prst="rect">
                                <a:avLst/>
                              </a:prstGeom>
                              <a:noFill/>
                              <a:ln>
                                <a:noFill/>
                              </a:ln>
                            </wps:spPr>
                            <wps:txbx>
                              <w:txbxContent>
                                <w:p w14:paraId="677436BA" w14:textId="69FF75D5" w:rsidR="00456610" w:rsidRPr="00F77610" w:rsidRDefault="00456610" w:rsidP="008873C0">
                                  <w:pPr>
                                    <w:rPr>
                                      <w:rFonts w:ascii="Arial" w:hAnsi="Arial" w:cs="Arial"/>
                                      <w:sz w:val="23"/>
                                      <w:szCs w:val="23"/>
                                      <w:lang w:val="es-ES"/>
                                    </w:rPr>
                                  </w:pPr>
                                  <w:r w:rsidRPr="00B45061">
                                    <w:rPr>
                                      <w:rFonts w:ascii="Arial" w:hAnsi="Arial" w:cs="Arial"/>
                                      <w:sz w:val="23"/>
                                      <w:szCs w:val="23"/>
                                      <w:lang w:val="es-ES"/>
                                    </w:rPr>
                                    <w:t>Nadelabwurf</w:t>
                                  </w:r>
                                  <w:r>
                                    <w:rPr>
                                      <w:rFonts w:ascii="Arial" w:hAnsi="Arial" w:cs="Arial"/>
                                      <w:sz w:val="23"/>
                                      <w:szCs w:val="23"/>
                                      <w:lang w:val="es-ES"/>
                                    </w:rPr>
                                    <w:t>-</w:t>
                                  </w:r>
                                  <w:r w:rsidRPr="00B45061">
                                    <w:rPr>
                                      <w:rFonts w:ascii="Arial" w:hAnsi="Arial" w:cs="Arial"/>
                                      <w:sz w:val="23"/>
                                      <w:szCs w:val="23"/>
                                      <w:lang w:val="es-ES"/>
                                    </w:rPr>
                                    <w:t>behälter</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AB6F525" id="Text Box 91" o:spid="_x0000_s1042" type="#_x0000_t202" style="position:absolute;left:0;text-align:left;margin-left:82.45pt;margin-top:197.4pt;width:74pt;height:33.65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" filled="f" stroked="f">
                      <v:textbox style="mso-fit-shape-to-text:t" inset="0,,0">
                        <w:txbxContent>
                          <w:p w14:paraId="677436BA" w14:textId="69FF75D5" w:rsidR="00456610" w:rsidRPr="00F77610" w:rsidRDefault="00456610" w:rsidP="008873C0">
                            <w:pPr>
                              <w:rPr>
                                <w:rFonts w:ascii="Arial" w:hAnsi="Arial" w:cs="Arial"/>
                                <w:sz w:val="23"/>
                                <w:szCs w:val="23"/>
                                <w:lang w:val="es-ES"/>
                              </w:rPr>
                            </w:pPr>
                            <w:r w:rsidRPr="00B45061">
                              <w:rPr>
                                <w:rFonts w:ascii="Arial" w:hAnsi="Arial" w:cs="Arial"/>
                                <w:sz w:val="23"/>
                                <w:szCs w:val="23"/>
                                <w:lang w:val="es-ES"/>
                              </w:rPr>
                              <w:t>Nadelabwurf</w:t>
                            </w:r>
                            <w:r>
                              <w:rPr>
                                <w:rFonts w:ascii="Arial" w:hAnsi="Arial" w:cs="Arial"/>
                                <w:sz w:val="23"/>
                                <w:szCs w:val="23"/>
                                <w:lang w:val="es-ES"/>
                              </w:rPr>
                              <w:t>-</w:t>
                            </w:r>
                            <w:r w:rsidRPr="00B45061">
                              <w:rPr>
                                <w:rFonts w:ascii="Arial" w:hAnsi="Arial" w:cs="Arial"/>
                                <w:sz w:val="23"/>
                                <w:szCs w:val="23"/>
                                <w:lang w:val="es-ES"/>
                              </w:rPr>
                              <w:t>behälter</w:t>
                            </w:r>
                          </w:p>
                        </w:txbxContent>
                      </v:textbox>
                      <w10:wrap anchory="page"/>
                      <w10:anchorlock/>
                    </v:shape>
                  </w:pict>
                </mc:Fallback>
              </mc:AlternateContent>
            </w:r>
            <w:r w:rsidR="008873C0" w:rsidRPr="00B320E1">
              <w:rPr>
                <w:b/>
                <w:bCs/>
              </w:rPr>
              <w:t>Abbildung B</w:t>
            </w:r>
          </w:p>
        </w:tc>
        <w:tc>
          <w:tcPr>
            <w:tcW w:w="5517" w:type="dxa"/>
          </w:tcPr>
          <w:p w14:paraId="4003A3BE" w14:textId="77777777" w:rsidR="008873C0" w:rsidRPr="00B320E1" w:rsidRDefault="008873C0" w:rsidP="00F0391F">
            <w:pPr>
              <w:numPr>
                <w:ilvl w:val="0"/>
                <w:numId w:val="10"/>
              </w:numPr>
              <w:suppressAutoHyphens/>
              <w:autoSpaceDE/>
              <w:autoSpaceDN/>
              <w:ind w:left="567" w:hanging="567"/>
              <w:rPr>
                <w:b/>
              </w:rPr>
            </w:pPr>
            <w:r w:rsidRPr="00B320E1">
              <w:rPr>
                <w:b/>
              </w:rPr>
              <w:t>Legen Sie die für die Injektion benötigten Materialien bereit.</w:t>
            </w:r>
          </w:p>
          <w:p w14:paraId="66AD8537" w14:textId="77777777" w:rsidR="008873C0" w:rsidRPr="00B320E1" w:rsidRDefault="008873C0" w:rsidP="00F0391F">
            <w:pPr>
              <w:suppressAutoHyphens/>
              <w:autoSpaceDE/>
              <w:autoSpaceDN/>
              <w:ind w:left="567" w:hanging="567"/>
              <w:rPr>
                <w:b/>
              </w:rPr>
            </w:pPr>
          </w:p>
          <w:p w14:paraId="29DC7CFA" w14:textId="77777777" w:rsidR="008873C0" w:rsidRPr="00B320E1" w:rsidRDefault="008873C0" w:rsidP="00F0391F">
            <w:pPr>
              <w:numPr>
                <w:ilvl w:val="0"/>
                <w:numId w:val="11"/>
              </w:numPr>
              <w:suppressAutoHyphens/>
              <w:autoSpaceDE/>
              <w:autoSpaceDN/>
              <w:ind w:left="567" w:hanging="567"/>
              <w:rPr>
                <w:bCs/>
              </w:rPr>
            </w:pPr>
            <w:r w:rsidRPr="00B320E1">
              <w:t>Bereiten Sie eine saubere, ebene Oberfläche, z. B. einen Tisch oder eine Arbeitsplatte, in einem gut beleuchteten Arbeitsbereich vor.</w:t>
            </w:r>
          </w:p>
          <w:p w14:paraId="0AB34F2D" w14:textId="77777777" w:rsidR="008873C0" w:rsidRPr="00B320E1" w:rsidRDefault="008873C0" w:rsidP="00F0391F">
            <w:pPr>
              <w:numPr>
                <w:ilvl w:val="0"/>
                <w:numId w:val="11"/>
              </w:numPr>
              <w:suppressAutoHyphens/>
              <w:autoSpaceDE/>
              <w:autoSpaceDN/>
              <w:ind w:left="567" w:hanging="567"/>
              <w:rPr>
                <w:bCs/>
              </w:rPr>
            </w:pPr>
            <w:r w:rsidRPr="00B320E1">
              <w:t>Nehmen Sie den Umkarton mit der Fertigspritze aus dem Kühlschrank.</w:t>
            </w:r>
          </w:p>
          <w:p w14:paraId="1BF12859" w14:textId="77777777" w:rsidR="008873C0" w:rsidRPr="00B320E1" w:rsidRDefault="008873C0" w:rsidP="00F0391F">
            <w:pPr>
              <w:numPr>
                <w:ilvl w:val="0"/>
                <w:numId w:val="11"/>
              </w:numPr>
              <w:suppressAutoHyphens/>
              <w:autoSpaceDE/>
              <w:autoSpaceDN/>
              <w:ind w:left="567" w:hanging="567"/>
              <w:rPr>
                <w:bCs/>
              </w:rPr>
            </w:pPr>
            <w:r w:rsidRPr="00B320E1">
              <w:t xml:space="preserve">Stellen Sie sicher, dass Sie die folgenden Materialien zur Hand haben (siehe </w:t>
            </w:r>
            <w:r w:rsidRPr="00B320E1">
              <w:rPr>
                <w:b/>
              </w:rPr>
              <w:t>Abbildung B</w:t>
            </w:r>
            <w:r w:rsidRPr="00B320E1">
              <w:t>):</w:t>
            </w:r>
          </w:p>
          <w:p w14:paraId="0DA59E40" w14:textId="426F5755" w:rsidR="008873C0" w:rsidRPr="00B320E1" w:rsidRDefault="008873C0" w:rsidP="00F0391F">
            <w:pPr>
              <w:suppressAutoHyphens/>
              <w:autoSpaceDE/>
              <w:autoSpaceDN/>
            </w:pPr>
            <w:r w:rsidRPr="00B320E1">
              <w:t>- Umkarton mit der Avtozma-</w:t>
            </w:r>
            <w:r w:rsidRPr="00B320E1">
              <w:rPr>
                <w:color w:val="231F20"/>
              </w:rPr>
              <w:t>Fertigspritze</w:t>
            </w:r>
          </w:p>
          <w:p w14:paraId="25B4AE68" w14:textId="77777777" w:rsidR="008873C0" w:rsidRPr="00B320E1" w:rsidRDefault="008873C0" w:rsidP="00F0391F">
            <w:pPr>
              <w:autoSpaceDE/>
              <w:autoSpaceDN/>
            </w:pPr>
          </w:p>
          <w:p w14:paraId="1F938541" w14:textId="77777777" w:rsidR="008873C0" w:rsidRPr="00B320E1" w:rsidRDefault="008873C0" w:rsidP="00F0391F">
            <w:pPr>
              <w:suppressAutoHyphens/>
              <w:autoSpaceDE/>
              <w:autoSpaceDN/>
              <w:rPr>
                <w:b/>
              </w:rPr>
            </w:pPr>
            <w:r w:rsidRPr="00B320E1">
              <w:rPr>
                <w:b/>
              </w:rPr>
              <w:t>Nicht im Umkarton enthalten:</w:t>
            </w:r>
          </w:p>
          <w:p w14:paraId="796BCE4D" w14:textId="77777777" w:rsidR="008873C0" w:rsidRPr="00B320E1" w:rsidRDefault="008873C0" w:rsidP="00F0391F">
            <w:pPr>
              <w:suppressAutoHyphens/>
              <w:autoSpaceDE/>
              <w:autoSpaceDN/>
            </w:pPr>
            <w:r w:rsidRPr="00B320E1">
              <w:t>- Baumwolltupfer oder Verbandmull</w:t>
            </w:r>
          </w:p>
          <w:p w14:paraId="37D648F3" w14:textId="77777777" w:rsidR="008873C0" w:rsidRPr="00B320E1" w:rsidRDefault="008873C0" w:rsidP="00F0391F">
            <w:pPr>
              <w:suppressAutoHyphens/>
              <w:autoSpaceDE/>
              <w:autoSpaceDN/>
            </w:pPr>
            <w:r w:rsidRPr="00B320E1">
              <w:t>- Pflaster</w:t>
            </w:r>
          </w:p>
          <w:p w14:paraId="32B95830" w14:textId="22EADA3C" w:rsidR="008873C0" w:rsidRPr="00B320E1" w:rsidRDefault="008873C0" w:rsidP="00F0391F">
            <w:pPr>
              <w:suppressAutoHyphens/>
              <w:autoSpaceDE/>
              <w:autoSpaceDN/>
            </w:pPr>
            <w:r w:rsidRPr="00B320E1">
              <w:t xml:space="preserve">- </w:t>
            </w:r>
            <w:r w:rsidR="008370F3" w:rsidRPr="00B320E1">
              <w:t>Nadelabwurfb</w:t>
            </w:r>
            <w:r w:rsidRPr="00B320E1">
              <w:t>ehälter</w:t>
            </w:r>
          </w:p>
          <w:p w14:paraId="0B78EEF9" w14:textId="77777777" w:rsidR="008873C0" w:rsidRPr="00B320E1" w:rsidRDefault="008873C0" w:rsidP="00F0391F">
            <w:pPr>
              <w:suppressAutoHyphens/>
              <w:autoSpaceDE/>
              <w:autoSpaceDN/>
            </w:pPr>
            <w:r w:rsidRPr="00B320E1">
              <w:t>- Alkoholtupfer</w:t>
            </w:r>
          </w:p>
          <w:p w14:paraId="66092EF2" w14:textId="77777777" w:rsidR="008873C0" w:rsidRPr="00B320E1" w:rsidRDefault="008873C0" w:rsidP="00F0391F">
            <w:pPr>
              <w:autoSpaceDE/>
              <w:autoSpaceDN/>
            </w:pPr>
          </w:p>
        </w:tc>
      </w:tr>
      <w:tr w:rsidR="008873C0" w:rsidRPr="008873C0" w14:paraId="1448C280" w14:textId="77777777" w:rsidTr="00F0391F">
        <w:trPr>
          <w:cantSplit/>
        </w:trPr>
        <w:tc>
          <w:tcPr>
            <w:tcW w:w="3539" w:type="dxa"/>
          </w:tcPr>
          <w:p w14:paraId="7E65EEAB" w14:textId="6BE94141" w:rsidR="008873C0" w:rsidRPr="00F0391F" w:rsidRDefault="00A16FF2" w:rsidP="00F0391F">
            <w:pPr>
              <w:suppressAutoHyphens/>
              <w:autoSpaceDE/>
              <w:autoSpaceDN/>
              <w:rPr>
                <w:sz w:val="26"/>
                <w:szCs w:val="26"/>
              </w:rPr>
            </w:pPr>
            <w:r>
              <w:rPr>
                <w:noProof/>
                <w:lang w:val="en-US" w:eastAsia="ko-KR"/>
              </w:rPr>
              <mc:AlternateContent>
                <mc:Choice Requires="wps">
                  <w:drawing>
                    <wp:anchor distT="45720" distB="45720" distL="114300" distR="114300" simplePos="0" relativeHeight="251658255" behindDoc="0" locked="1" layoutInCell="1" allowOverlap="1" wp14:anchorId="5930900A" wp14:editId="3FE2692A">
                      <wp:simplePos x="0" y="0"/>
                      <wp:positionH relativeFrom="column">
                        <wp:posOffset>1323340</wp:posOffset>
                      </wp:positionH>
                      <wp:positionV relativeFrom="page">
                        <wp:posOffset>1962785</wp:posOffset>
                      </wp:positionV>
                      <wp:extent cx="673100" cy="87630"/>
                      <wp:effectExtent l="19050" t="38100" r="0" b="26670"/>
                      <wp:wrapNone/>
                      <wp:docPr id="121397251"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87630"/>
                              </a:xfrm>
                              <a:prstGeom prst="rect">
                                <a:avLst/>
                              </a:prstGeom>
                              <a:noFill/>
                              <a:ln>
                                <a:noFill/>
                              </a:ln>
                            </wps:spPr>
                            <wps:txbx>
                              <w:txbxContent>
                                <w:p w14:paraId="1E9D7361" w14:textId="3A92089E" w:rsidR="00456610" w:rsidRPr="00F32F95" w:rsidRDefault="00456610" w:rsidP="008873C0">
                                  <w:pPr>
                                    <w:rPr>
                                      <w:rFonts w:ascii="Arial Narrow" w:hAnsi="Arial Narrow"/>
                                      <w:b/>
                                      <w:bCs/>
                                      <w:sz w:val="12"/>
                                      <w:szCs w:val="12"/>
                                    </w:rPr>
                                  </w:pPr>
                                  <w:r>
                                    <w:rPr>
                                      <w:rFonts w:ascii="Arial Narrow" w:hAnsi="Arial Narrow"/>
                                      <w:b/>
                                      <w:bCs/>
                                      <w:sz w:val="12"/>
                                      <w:szCs w:val="12"/>
                                    </w:rPr>
                                    <w:t>v</w:t>
                                  </w:r>
                                  <w:r w:rsidRPr="00B45061">
                                    <w:rPr>
                                      <w:rFonts w:ascii="Arial Narrow" w:hAnsi="Arial Narrow"/>
                                      <w:b/>
                                      <w:bCs/>
                                      <w:sz w:val="12"/>
                                      <w:szCs w:val="12"/>
                                    </w:rPr>
                                    <w:t>erw.bis: MM JJJJ</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930900A" id="Text Box 89" o:spid="_x0000_s1043" type="#_x0000_t202" style="position:absolute;margin-left:104.2pt;margin-top:154.55pt;width:53pt;height:6.9pt;rotation:-535127fd;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" filled="f" stroked="f">
                      <v:textbox style="mso-fit-shape-to-text:t" inset="0,0,0,0">
                        <w:txbxContent>
                          <w:p w14:paraId="1E9D7361" w14:textId="3A92089E" w:rsidR="00456610" w:rsidRPr="00F32F95" w:rsidRDefault="00456610" w:rsidP="008873C0">
                            <w:pPr>
                              <w:rPr>
                                <w:rFonts w:ascii="Arial Narrow" w:hAnsi="Arial Narrow"/>
                                <w:b/>
                                <w:bCs/>
                                <w:sz w:val="12"/>
                                <w:szCs w:val="12"/>
                              </w:rPr>
                            </w:pPr>
                            <w:r>
                              <w:rPr>
                                <w:rFonts w:ascii="Arial Narrow" w:hAnsi="Arial Narrow"/>
                                <w:b/>
                                <w:bCs/>
                                <w:sz w:val="12"/>
                                <w:szCs w:val="12"/>
                              </w:rPr>
                              <w:t>v</w:t>
                            </w:r>
                            <w:r w:rsidRPr="00B45061">
                              <w:rPr>
                                <w:rFonts w:ascii="Arial Narrow" w:hAnsi="Arial Narrow"/>
                                <w:b/>
                                <w:bCs/>
                                <w:sz w:val="12"/>
                                <w:szCs w:val="12"/>
                              </w:rPr>
                              <w:t>erw.bis: MM JJJJ</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4" behindDoc="0" locked="1" layoutInCell="1" allowOverlap="1" wp14:anchorId="10E12FAD" wp14:editId="724DC55E">
                      <wp:simplePos x="0" y="0"/>
                      <wp:positionH relativeFrom="column">
                        <wp:posOffset>946150</wp:posOffset>
                      </wp:positionH>
                      <wp:positionV relativeFrom="page">
                        <wp:posOffset>873760</wp:posOffset>
                      </wp:positionV>
                      <wp:extent cx="955040" cy="116840"/>
                      <wp:effectExtent l="19050" t="38100" r="0" b="35560"/>
                      <wp:wrapNone/>
                      <wp:docPr id="67471320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955040" cy="116840"/>
                              </a:xfrm>
                              <a:prstGeom prst="rect">
                                <a:avLst/>
                              </a:prstGeom>
                              <a:noFill/>
                              <a:ln>
                                <a:noFill/>
                              </a:ln>
                            </wps:spPr>
                            <wps:txbx>
                              <w:txbxContent>
                                <w:p w14:paraId="3E14AD45" w14:textId="520F9498" w:rsidR="00456610" w:rsidRPr="00F32F95" w:rsidRDefault="00456610" w:rsidP="008873C0">
                                  <w:pPr>
                                    <w:jc w:val="center"/>
                                    <w:rPr>
                                      <w:rFonts w:ascii="Arial Narrow" w:hAnsi="Arial Narrow"/>
                                      <w:b/>
                                      <w:bCs/>
                                      <w:sz w:val="16"/>
                                      <w:szCs w:val="16"/>
                                    </w:rPr>
                                  </w:pPr>
                                  <w:r>
                                    <w:rPr>
                                      <w:rFonts w:ascii="Arial Narrow" w:hAnsi="Arial Narrow"/>
                                      <w:b/>
                                      <w:bCs/>
                                      <w:sz w:val="16"/>
                                      <w:szCs w:val="16"/>
                                    </w:rPr>
                                    <w:t>v</w:t>
                                  </w:r>
                                  <w:r w:rsidRPr="00B45061">
                                    <w:rPr>
                                      <w:rFonts w:ascii="Arial Narrow" w:hAnsi="Arial Narrow"/>
                                      <w:b/>
                                      <w:bCs/>
                                      <w:sz w:val="16"/>
                                      <w:szCs w:val="16"/>
                                    </w:rPr>
                                    <w:t>erw.bis: MM JJJJ</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0E12FAD" id="Text Box 87" o:spid="_x0000_s1044" type="#_x0000_t202" style="position:absolute;margin-left:74.5pt;margin-top:68.8pt;width:75.2pt;height:9.2pt;rotation:-448334fd;z-index:25165825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" filled="f" stroked="f">
                      <v:textbox style="mso-fit-shape-to-text:t" inset="0,0,0,0">
                        <w:txbxContent>
                          <w:p w14:paraId="3E14AD45" w14:textId="520F9498" w:rsidR="00456610" w:rsidRPr="00F32F95" w:rsidRDefault="00456610" w:rsidP="008873C0">
                            <w:pPr>
                              <w:jc w:val="center"/>
                              <w:rPr>
                                <w:rFonts w:ascii="Arial Narrow" w:hAnsi="Arial Narrow"/>
                                <w:b/>
                                <w:bCs/>
                                <w:sz w:val="16"/>
                                <w:szCs w:val="16"/>
                              </w:rPr>
                            </w:pPr>
                            <w:r>
                              <w:rPr>
                                <w:rFonts w:ascii="Arial Narrow" w:hAnsi="Arial Narrow"/>
                                <w:b/>
                                <w:bCs/>
                                <w:sz w:val="16"/>
                                <w:szCs w:val="16"/>
                              </w:rPr>
                              <w:t>v</w:t>
                            </w:r>
                            <w:r w:rsidRPr="00B45061">
                              <w:rPr>
                                <w:rFonts w:ascii="Arial Narrow" w:hAnsi="Arial Narrow"/>
                                <w:b/>
                                <w:bCs/>
                                <w:sz w:val="16"/>
                                <w:szCs w:val="16"/>
                              </w:rPr>
                              <w:t>erw.bis: MM JJJJ</w:t>
                            </w:r>
                          </w:p>
                        </w:txbxContent>
                      </v:textbox>
                      <w10:wrap anchory="page"/>
                      <w10:anchorlock/>
                    </v:shape>
                  </w:pict>
                </mc:Fallback>
              </mc:AlternateContent>
            </w:r>
            <w:r>
              <w:rPr>
                <w:b/>
                <w:noProof/>
                <w:sz w:val="24"/>
                <w:szCs w:val="24"/>
                <w:lang w:val="en-US" w:eastAsia="ko-KR"/>
              </w:rPr>
              <w:drawing>
                <wp:inline distT="0" distB="0" distL="0" distR="0" wp14:anchorId="63FF30D3" wp14:editId="3BDD205D">
                  <wp:extent cx="2073275" cy="2573020"/>
                  <wp:effectExtent l="19050" t="19050" r="3175" b="0"/>
                  <wp:docPr id="9" name="그림 4"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텍스트, 스케치, 도표, 원이(가) 표시된 사진&#10;&#10;자동 생성된 설명"/>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3275" cy="2573020"/>
                          </a:xfrm>
                          <a:prstGeom prst="rect">
                            <a:avLst/>
                          </a:prstGeom>
                          <a:noFill/>
                          <a:ln w="9525" cmpd="sng">
                            <a:solidFill>
                              <a:srgbClr val="000000"/>
                            </a:solidFill>
                            <a:miter lim="800000"/>
                            <a:headEnd/>
                            <a:tailEnd/>
                          </a:ln>
                          <a:effectLst/>
                        </pic:spPr>
                      </pic:pic>
                    </a:graphicData>
                  </a:graphic>
                </wp:inline>
              </w:drawing>
            </w:r>
          </w:p>
          <w:p w14:paraId="278207B7" w14:textId="0FCDD1E6" w:rsidR="008873C0" w:rsidRPr="00F0391F" w:rsidRDefault="008873C0" w:rsidP="00F0391F">
            <w:pPr>
              <w:autoSpaceDE/>
              <w:autoSpaceDN/>
              <w:jc w:val="right"/>
              <w:rPr>
                <w:b/>
                <w:bCs/>
                <w:noProof/>
                <w:sz w:val="24"/>
                <w:szCs w:val="24"/>
                <w:lang w:eastAsia="ko-KR"/>
              </w:rPr>
            </w:pPr>
            <w:r w:rsidRPr="00B320E1">
              <w:rPr>
                <w:b/>
                <w:bCs/>
                <w:noProof/>
                <w:lang w:eastAsia="ko-KR"/>
              </w:rPr>
              <w:t>Abbildung C</w:t>
            </w:r>
          </w:p>
        </w:tc>
        <w:tc>
          <w:tcPr>
            <w:tcW w:w="5517" w:type="dxa"/>
          </w:tcPr>
          <w:p w14:paraId="2307208C" w14:textId="77777777" w:rsidR="008873C0" w:rsidRPr="00B320E1" w:rsidRDefault="008873C0" w:rsidP="00F0391F">
            <w:pPr>
              <w:numPr>
                <w:ilvl w:val="0"/>
                <w:numId w:val="10"/>
              </w:numPr>
              <w:suppressAutoHyphens/>
              <w:autoSpaceDE/>
              <w:autoSpaceDN/>
              <w:ind w:left="567" w:hanging="567"/>
              <w:rPr>
                <w:rFonts w:cs="Arial"/>
                <w:b/>
              </w:rPr>
            </w:pPr>
            <w:r w:rsidRPr="00B320E1">
              <w:rPr>
                <w:b/>
              </w:rPr>
              <w:t>Überprüfen Sie die Verpackung.</w:t>
            </w:r>
          </w:p>
          <w:p w14:paraId="63785CB8" w14:textId="77777777" w:rsidR="008873C0" w:rsidRPr="00B320E1" w:rsidRDefault="008873C0" w:rsidP="00F0391F">
            <w:pPr>
              <w:suppressAutoHyphens/>
              <w:autoSpaceDE/>
              <w:autoSpaceDN/>
              <w:ind w:left="567" w:hanging="567"/>
              <w:rPr>
                <w:rFonts w:cs="Arial"/>
                <w:b/>
                <w:lang w:val="en-US"/>
              </w:rPr>
            </w:pPr>
          </w:p>
          <w:p w14:paraId="1B89F216" w14:textId="77777777" w:rsidR="008873C0" w:rsidRPr="00B320E1" w:rsidRDefault="008873C0" w:rsidP="00F0391F">
            <w:pPr>
              <w:numPr>
                <w:ilvl w:val="0"/>
                <w:numId w:val="12"/>
              </w:numPr>
              <w:suppressAutoHyphens/>
              <w:autoSpaceDE/>
              <w:autoSpaceDN/>
              <w:ind w:left="567" w:hanging="567"/>
              <w:rPr>
                <w:rFonts w:cs="Arial"/>
                <w:bCs/>
              </w:rPr>
            </w:pPr>
            <w:r w:rsidRPr="00B320E1">
              <w:t>Überprüfen Sie den Umkarton und stellen Sie sicher, dass Sie das richtige Arzneimittel (Avtozma) und die richtige Dosisstärke haben.</w:t>
            </w:r>
          </w:p>
          <w:p w14:paraId="1618F768" w14:textId="77777777" w:rsidR="008873C0" w:rsidRPr="00B320E1" w:rsidRDefault="008873C0" w:rsidP="00F0391F">
            <w:pPr>
              <w:numPr>
                <w:ilvl w:val="0"/>
                <w:numId w:val="12"/>
              </w:numPr>
              <w:suppressAutoHyphens/>
              <w:autoSpaceDE/>
              <w:autoSpaceDN/>
              <w:ind w:left="567" w:hanging="567"/>
              <w:rPr>
                <w:rFonts w:cs="Arial"/>
                <w:bCs/>
              </w:rPr>
            </w:pPr>
            <w:r w:rsidRPr="00B320E1">
              <w:t>Prüfen Sie das Verfalldatum auf dem Umkarton, um sicherzugehen, dass es nicht abgelaufen ist.</w:t>
            </w:r>
          </w:p>
          <w:p w14:paraId="56D81A36" w14:textId="77777777" w:rsidR="008873C0" w:rsidRPr="00B320E1" w:rsidRDefault="008873C0" w:rsidP="00F0391F">
            <w:pPr>
              <w:autoSpaceDE/>
              <w:autoSpaceDN/>
            </w:pPr>
          </w:p>
          <w:p w14:paraId="3B7263C2" w14:textId="77777777" w:rsidR="008873C0" w:rsidRPr="00B320E1" w:rsidRDefault="008873C0" w:rsidP="00F0391F">
            <w:pPr>
              <w:numPr>
                <w:ilvl w:val="0"/>
                <w:numId w:val="9"/>
              </w:numPr>
              <w:suppressAutoHyphens/>
              <w:autoSpaceDE/>
              <w:autoSpaceDN/>
              <w:ind w:left="1134" w:hanging="567"/>
              <w:rPr>
                <w:rFonts w:eastAsia="맑은 고딕" w:cs="Arial"/>
                <w:strike/>
              </w:rPr>
            </w:pPr>
            <w:r w:rsidRPr="00B320E1">
              <w:t xml:space="preserve">Verwenden Sie die Fertigspritze </w:t>
            </w:r>
            <w:r w:rsidRPr="00B320E1">
              <w:rPr>
                <w:b/>
              </w:rPr>
              <w:t>nicht</w:t>
            </w:r>
            <w:r w:rsidRPr="00B320E1">
              <w:t>, wenn das Verfalldatum abgelaufen ist.</w:t>
            </w:r>
          </w:p>
          <w:p w14:paraId="2E69D0A9" w14:textId="77777777" w:rsidR="008873C0" w:rsidRPr="00B320E1" w:rsidRDefault="008873C0" w:rsidP="00F0391F">
            <w:pPr>
              <w:numPr>
                <w:ilvl w:val="0"/>
                <w:numId w:val="9"/>
              </w:numPr>
              <w:suppressAutoHyphens/>
              <w:autoSpaceDE/>
              <w:autoSpaceDN/>
              <w:ind w:left="1134" w:hanging="567"/>
              <w:rPr>
                <w:rFonts w:cs="Arial"/>
              </w:rPr>
            </w:pPr>
            <w:r w:rsidRPr="00B320E1">
              <w:t xml:space="preserve">Verwenden Sie die Fertigspritze </w:t>
            </w:r>
            <w:r w:rsidRPr="00B320E1">
              <w:rPr>
                <w:b/>
              </w:rPr>
              <w:t>nicht</w:t>
            </w:r>
            <w:r w:rsidRPr="00B320E1">
              <w:t>, wenn die Verpackung beim ersten Öffnen aussieht, als wäre sie geöffnet oder beschädigt worden, und stellen Sie sicher, dass sie ordnungsgemäß versiegelt ist.</w:t>
            </w:r>
          </w:p>
          <w:p w14:paraId="4AC8CC0C" w14:textId="77777777" w:rsidR="008873C0" w:rsidRPr="00B320E1" w:rsidRDefault="008873C0" w:rsidP="00F0391F">
            <w:pPr>
              <w:autoSpaceDE/>
              <w:autoSpaceDN/>
            </w:pPr>
          </w:p>
        </w:tc>
      </w:tr>
    </w:tbl>
    <w:p w14:paraId="7B60B0E0" w14:textId="77777777" w:rsidR="008873C0" w:rsidRPr="008873C0" w:rsidRDefault="008873C0" w:rsidP="00BB4249">
      <w:pPr>
        <w:rPr>
          <w:b/>
          <w:bCs/>
        </w:rPr>
      </w:pPr>
    </w:p>
    <w:p w14:paraId="666FC34A" w14:textId="77777777" w:rsidR="00BB4249" w:rsidRDefault="00BB4249" w:rsidP="00BB4249">
      <w:pPr>
        <w:rPr>
          <w:b/>
          <w:bCs/>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73"/>
        <w:gridCol w:w="113"/>
        <w:gridCol w:w="5670"/>
        <w:gridCol w:w="29"/>
      </w:tblGrid>
      <w:tr w:rsidR="00193C36" w:rsidRPr="008873C0" w14:paraId="40D5C5D9" w14:textId="77777777" w:rsidTr="00F0391F">
        <w:trPr>
          <w:gridAfter w:val="1"/>
          <w:wAfter w:w="29" w:type="dxa"/>
          <w:cantSplit/>
        </w:trPr>
        <w:tc>
          <w:tcPr>
            <w:tcW w:w="3573" w:type="dxa"/>
          </w:tcPr>
          <w:p w14:paraId="153D10A7" w14:textId="5C63B0E2" w:rsidR="008873C0" w:rsidRPr="00F0391F" w:rsidRDefault="00A16FF2" w:rsidP="00F0391F">
            <w:pPr>
              <w:suppressAutoHyphens/>
              <w:autoSpaceDE/>
              <w:autoSpaceDN/>
              <w:jc w:val="right"/>
              <w:rPr>
                <w:sz w:val="26"/>
                <w:szCs w:val="26"/>
              </w:rPr>
            </w:pPr>
            <w:r>
              <w:rPr>
                <w:noProof/>
                <w:lang w:val="en-US" w:eastAsia="ko-KR"/>
              </w:rPr>
              <w:lastRenderedPageBreak/>
              <mc:AlternateContent>
                <mc:Choice Requires="wps">
                  <w:drawing>
                    <wp:anchor distT="45720" distB="45720" distL="114300" distR="114300" simplePos="0" relativeHeight="251658256" behindDoc="0" locked="1" layoutInCell="1" allowOverlap="1" wp14:anchorId="12185675" wp14:editId="6B5CA646">
                      <wp:simplePos x="0" y="0"/>
                      <wp:positionH relativeFrom="column">
                        <wp:posOffset>1108075</wp:posOffset>
                      </wp:positionH>
                      <wp:positionV relativeFrom="page">
                        <wp:posOffset>1556385</wp:posOffset>
                      </wp:positionV>
                      <wp:extent cx="1033780" cy="102235"/>
                      <wp:effectExtent l="0" t="0" r="0" b="0"/>
                      <wp:wrapNone/>
                      <wp:docPr id="20794598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102235"/>
                              </a:xfrm>
                              <a:prstGeom prst="rect">
                                <a:avLst/>
                              </a:prstGeom>
                              <a:noFill/>
                              <a:ln>
                                <a:noFill/>
                              </a:ln>
                            </wps:spPr>
                            <wps:txbx>
                              <w:txbxContent>
                                <w:p w14:paraId="7D387E89" w14:textId="23E87FE4" w:rsidR="00456610" w:rsidRPr="00C4365B" w:rsidRDefault="00456610" w:rsidP="008873C0">
                                  <w:pPr>
                                    <w:rPr>
                                      <w:rFonts w:ascii="Arial Narrow" w:hAnsi="Arial Narrow"/>
                                      <w:b/>
                                      <w:bCs/>
                                      <w:sz w:val="18"/>
                                      <w:szCs w:val="18"/>
                                    </w:rPr>
                                  </w:pPr>
                                  <w:r>
                                    <w:rPr>
                                      <w:rFonts w:ascii="Arial" w:hAnsi="Arial" w:cs="Arial"/>
                                      <w:b/>
                                      <w:bCs/>
                                      <w:sz w:val="14"/>
                                      <w:szCs w:val="14"/>
                                    </w:rPr>
                                    <w:t>v</w:t>
                                  </w:r>
                                  <w:r w:rsidRPr="00B45061">
                                    <w:rPr>
                                      <w:rFonts w:ascii="Arial" w:hAnsi="Arial" w:cs="Arial"/>
                                      <w:b/>
                                      <w:bCs/>
                                      <w:sz w:val="14"/>
                                      <w:szCs w:val="14"/>
                                    </w:rPr>
                                    <w:t>erw.bis: MM JJJJ</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2185675" id="Text Box 85" o:spid="_x0000_s1045" type="#_x0000_t202" style="position:absolute;left:0;text-align:left;margin-left:87.25pt;margin-top:122.55pt;width:81.4pt;height:8.05pt;z-index:251658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" filled="f" stroked="f">
                      <v:textbox style="mso-fit-shape-to-text:t" inset="0,0,0,0">
                        <w:txbxContent>
                          <w:p w14:paraId="7D387E89" w14:textId="23E87FE4" w:rsidR="00456610" w:rsidRPr="00C4365B" w:rsidRDefault="00456610" w:rsidP="008873C0">
                            <w:pPr>
                              <w:rPr>
                                <w:rFonts w:ascii="Arial Narrow" w:hAnsi="Arial Narrow"/>
                                <w:b/>
                                <w:bCs/>
                                <w:sz w:val="18"/>
                                <w:szCs w:val="18"/>
                              </w:rPr>
                            </w:pPr>
                            <w:r>
                              <w:rPr>
                                <w:rFonts w:ascii="Arial" w:hAnsi="Arial" w:cs="Arial"/>
                                <w:b/>
                                <w:bCs/>
                                <w:sz w:val="14"/>
                                <w:szCs w:val="14"/>
                              </w:rPr>
                              <w:t>v</w:t>
                            </w:r>
                            <w:r w:rsidRPr="00B45061">
                              <w:rPr>
                                <w:rFonts w:ascii="Arial" w:hAnsi="Arial" w:cs="Arial"/>
                                <w:b/>
                                <w:bCs/>
                                <w:sz w:val="14"/>
                                <w:szCs w:val="14"/>
                              </w:rPr>
                              <w:t>erw.bis: MM JJJJ</w:t>
                            </w:r>
                          </w:p>
                        </w:txbxContent>
                      </v:textbox>
                      <w10:wrap anchory="page"/>
                      <w10:anchorlock/>
                    </v:shape>
                  </w:pict>
                </mc:Fallback>
              </mc:AlternateContent>
            </w:r>
            <w:r>
              <w:rPr>
                <w:noProof/>
                <w:sz w:val="24"/>
                <w:szCs w:val="24"/>
                <w:lang w:val="en-US" w:eastAsia="ko-KR"/>
              </w:rPr>
              <w:drawing>
                <wp:inline distT="0" distB="0" distL="0" distR="0" wp14:anchorId="61262B7E" wp14:editId="14295CA4">
                  <wp:extent cx="2062480" cy="2562225"/>
                  <wp:effectExtent l="19050" t="19050" r="0" b="9525"/>
                  <wp:docPr id="10" name="그림 3" descr="스케치, 그림, 공구, 상징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스케치, 그림, 공구, 상징이(가) 표시된 사진&#10;&#10;자동 생성된 설명"/>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62480" cy="2562225"/>
                          </a:xfrm>
                          <a:prstGeom prst="rect">
                            <a:avLst/>
                          </a:prstGeom>
                          <a:noFill/>
                          <a:ln w="9525" cmpd="sng">
                            <a:solidFill>
                              <a:srgbClr val="000000"/>
                            </a:solidFill>
                            <a:miter lim="800000"/>
                            <a:headEnd/>
                            <a:tailEnd/>
                          </a:ln>
                          <a:effectLst/>
                        </pic:spPr>
                      </pic:pic>
                    </a:graphicData>
                  </a:graphic>
                </wp:inline>
              </w:drawing>
            </w:r>
          </w:p>
          <w:p w14:paraId="62B4A497" w14:textId="553D51C5" w:rsidR="008873C0" w:rsidRPr="00F0391F" w:rsidRDefault="008873C0" w:rsidP="00F0391F">
            <w:pPr>
              <w:suppressAutoHyphens/>
              <w:autoSpaceDE/>
              <w:autoSpaceDN/>
              <w:jc w:val="right"/>
              <w:rPr>
                <w:b/>
                <w:bCs/>
                <w:noProof/>
                <w:sz w:val="24"/>
                <w:szCs w:val="24"/>
              </w:rPr>
            </w:pPr>
            <w:r w:rsidRPr="00B320E1">
              <w:rPr>
                <w:b/>
                <w:bCs/>
                <w:noProof/>
              </w:rPr>
              <w:t>Abbildung D</w:t>
            </w:r>
          </w:p>
        </w:tc>
        <w:tc>
          <w:tcPr>
            <w:tcW w:w="5783" w:type="dxa"/>
            <w:gridSpan w:val="2"/>
          </w:tcPr>
          <w:p w14:paraId="4BA1246D" w14:textId="77777777" w:rsidR="008873C0" w:rsidRPr="00B320E1" w:rsidRDefault="008873C0" w:rsidP="00F0391F">
            <w:pPr>
              <w:pStyle w:val="a3"/>
              <w:numPr>
                <w:ilvl w:val="0"/>
                <w:numId w:val="10"/>
              </w:numPr>
              <w:suppressAutoHyphens/>
              <w:autoSpaceDE/>
              <w:autoSpaceDN/>
              <w:ind w:left="567" w:hanging="567"/>
              <w:rPr>
                <w:b/>
              </w:rPr>
            </w:pPr>
            <w:r w:rsidRPr="00B320E1">
              <w:rPr>
                <w:b/>
              </w:rPr>
              <w:t>Überprüfen Sie die Fertigspritze.</w:t>
            </w:r>
          </w:p>
          <w:p w14:paraId="7FFF5A23" w14:textId="77777777" w:rsidR="008873C0" w:rsidRPr="00B320E1" w:rsidRDefault="008873C0" w:rsidP="00F0391F">
            <w:pPr>
              <w:suppressAutoHyphens/>
              <w:autoSpaceDE/>
              <w:autoSpaceDN/>
              <w:ind w:left="567" w:hanging="567"/>
              <w:rPr>
                <w:bCs/>
              </w:rPr>
            </w:pPr>
          </w:p>
          <w:p w14:paraId="0231EA2D" w14:textId="0A3CDC48" w:rsidR="008873C0" w:rsidRPr="00B320E1" w:rsidRDefault="008873C0" w:rsidP="00F0391F">
            <w:pPr>
              <w:pStyle w:val="a3"/>
              <w:numPr>
                <w:ilvl w:val="0"/>
                <w:numId w:val="14"/>
              </w:numPr>
              <w:suppressAutoHyphens/>
              <w:autoSpaceDE/>
              <w:autoSpaceDN/>
              <w:ind w:left="567" w:hanging="567"/>
              <w:rPr>
                <w:bCs/>
              </w:rPr>
            </w:pPr>
            <w:r w:rsidRPr="00B320E1">
              <w:t>Öffnen Sie den Umkarton und entnehmen Sie 1 Einzeldosis</w:t>
            </w:r>
            <w:r w:rsidRPr="00B320E1">
              <w:noBreakHyphen/>
              <w:t>Fertigspritze aus dem Umkarton. Legen Sie alle restlichen Avtozma</w:t>
            </w:r>
            <w:r w:rsidR="00877680" w:rsidRPr="00B320E1">
              <w:t>-</w:t>
            </w:r>
            <w:r w:rsidRPr="00B320E1">
              <w:t>Fertigspritzen im Umkarton wieder zurück in den Kühlschrank.</w:t>
            </w:r>
          </w:p>
          <w:p w14:paraId="4FF184C2" w14:textId="7E7DAAE9" w:rsidR="008873C0" w:rsidRPr="00B320E1" w:rsidRDefault="008873C0" w:rsidP="00F0391F">
            <w:pPr>
              <w:pStyle w:val="a3"/>
              <w:numPr>
                <w:ilvl w:val="0"/>
                <w:numId w:val="14"/>
              </w:numPr>
              <w:suppressAutoHyphens/>
              <w:autoSpaceDE/>
              <w:autoSpaceDN/>
              <w:ind w:left="567" w:hanging="567"/>
              <w:rPr>
                <w:bCs/>
              </w:rPr>
            </w:pPr>
            <w:r w:rsidRPr="00B320E1">
              <w:t xml:space="preserve">Prüfen Sie das Verfalldatum auf der Avtozma-Fertigspritze (siehe </w:t>
            </w:r>
            <w:r w:rsidRPr="00B320E1">
              <w:rPr>
                <w:b/>
                <w:bCs/>
              </w:rPr>
              <w:t>Abbildung D</w:t>
            </w:r>
            <w:r w:rsidRPr="00B320E1">
              <w:t>).</w:t>
            </w:r>
          </w:p>
          <w:p w14:paraId="7F7EDA18" w14:textId="77777777" w:rsidR="008873C0" w:rsidRPr="00B320E1" w:rsidRDefault="008873C0" w:rsidP="00F0391F">
            <w:pPr>
              <w:pStyle w:val="a3"/>
              <w:numPr>
                <w:ilvl w:val="0"/>
                <w:numId w:val="13"/>
              </w:numPr>
              <w:suppressAutoHyphens/>
              <w:autoSpaceDE/>
              <w:autoSpaceDN/>
              <w:ind w:left="1134" w:hanging="567"/>
            </w:pPr>
            <w:r w:rsidRPr="00B320E1">
              <w:t xml:space="preserve">Verwenden Sie die Fertigspritze </w:t>
            </w:r>
            <w:r w:rsidRPr="00B320E1">
              <w:rPr>
                <w:b/>
              </w:rPr>
              <w:t>nicht</w:t>
            </w:r>
            <w:r w:rsidRPr="00B320E1">
              <w:t>, wenn das Verfalldatum abgelaufen ist. Wenn das Verfalldatum abgelaufen ist, entsorgen Sie die Fertigspritze in einem Nadelabwurfbehälter und verwenden Sie eine neue.</w:t>
            </w:r>
          </w:p>
          <w:p w14:paraId="4081D6D6" w14:textId="001B82DB" w:rsidR="008873C0" w:rsidRPr="00B320E1" w:rsidRDefault="008873C0" w:rsidP="00F0391F">
            <w:pPr>
              <w:pStyle w:val="a3"/>
              <w:numPr>
                <w:ilvl w:val="0"/>
                <w:numId w:val="14"/>
              </w:numPr>
              <w:suppressAutoHyphens/>
              <w:autoSpaceDE/>
              <w:autoSpaceDN/>
              <w:ind w:left="567" w:hanging="567"/>
              <w:rPr>
                <w:bCs/>
              </w:rPr>
            </w:pPr>
            <w:r w:rsidRPr="00B320E1">
              <w:t xml:space="preserve">Überprüfen Sie die Fertigspritze und stellen Sie sicher, dass sie nicht beschädigt ist und keine Anzeichen einer </w:t>
            </w:r>
            <w:r w:rsidR="005433AA" w:rsidRPr="005433AA">
              <w:t>Undichtigkeit</w:t>
            </w:r>
            <w:r w:rsidR="005433AA" w:rsidRPr="005433AA" w:rsidDel="005433AA">
              <w:t xml:space="preserve"> </w:t>
            </w:r>
            <w:r w:rsidRPr="00B320E1">
              <w:t>aufweist.</w:t>
            </w:r>
          </w:p>
          <w:p w14:paraId="501B9CFE" w14:textId="77777777" w:rsidR="008873C0" w:rsidRPr="00B320E1" w:rsidRDefault="008873C0" w:rsidP="00F0391F">
            <w:pPr>
              <w:pStyle w:val="a3"/>
              <w:numPr>
                <w:ilvl w:val="0"/>
                <w:numId w:val="13"/>
              </w:numPr>
              <w:suppressAutoHyphens/>
              <w:autoSpaceDE/>
              <w:autoSpaceDN/>
              <w:ind w:left="1134" w:hanging="567"/>
            </w:pPr>
            <w:r w:rsidRPr="00B320E1">
              <w:t xml:space="preserve">Verwenden Sie die Fertigspritze </w:t>
            </w:r>
            <w:r w:rsidRPr="00B320E1">
              <w:rPr>
                <w:b/>
              </w:rPr>
              <w:t>nicht</w:t>
            </w:r>
            <w:r w:rsidRPr="00B320E1">
              <w:t>, wenn sie heruntergefallen, beschädigt oder ausgelaufen ist.</w:t>
            </w:r>
          </w:p>
          <w:p w14:paraId="7A07E3E5" w14:textId="77777777" w:rsidR="008873C0" w:rsidRPr="00F0391F" w:rsidRDefault="008873C0" w:rsidP="00F0391F">
            <w:pPr>
              <w:autoSpaceDE/>
              <w:autoSpaceDN/>
              <w:rPr>
                <w:sz w:val="24"/>
                <w:szCs w:val="24"/>
              </w:rPr>
            </w:pPr>
          </w:p>
        </w:tc>
      </w:tr>
      <w:tr w:rsidR="009B29EB" w:rsidRPr="00193C36" w14:paraId="3F98C76D" w14:textId="77777777" w:rsidTr="00F0391F">
        <w:trPr>
          <w:cantSplit/>
        </w:trPr>
        <w:tc>
          <w:tcPr>
            <w:tcW w:w="3539" w:type="dxa"/>
          </w:tcPr>
          <w:p w14:paraId="7506EA81" w14:textId="34B37A0E" w:rsidR="00193C36" w:rsidRPr="00F0391F" w:rsidRDefault="00A16FF2" w:rsidP="00F0391F">
            <w:pPr>
              <w:suppressAutoHyphens/>
              <w:autoSpaceDE/>
              <w:autoSpaceDN/>
              <w:rPr>
                <w:noProof/>
                <w:sz w:val="24"/>
                <w:szCs w:val="24"/>
              </w:rPr>
            </w:pPr>
            <w:r>
              <w:rPr>
                <w:noProof/>
                <w:lang w:val="en-US" w:eastAsia="ko-KR"/>
              </w:rPr>
              <mc:AlternateContent>
                <mc:Choice Requires="wps">
                  <w:drawing>
                    <wp:anchor distT="45720" distB="45720" distL="114300" distR="114300" simplePos="0" relativeHeight="251658258" behindDoc="0" locked="1" layoutInCell="1" allowOverlap="1" wp14:anchorId="3002AAB2" wp14:editId="1F73B355">
                      <wp:simplePos x="0" y="0"/>
                      <wp:positionH relativeFrom="column">
                        <wp:posOffset>245745</wp:posOffset>
                      </wp:positionH>
                      <wp:positionV relativeFrom="page">
                        <wp:posOffset>389890</wp:posOffset>
                      </wp:positionV>
                      <wp:extent cx="885190" cy="489585"/>
                      <wp:effectExtent l="0" t="0" r="0" b="0"/>
                      <wp:wrapNone/>
                      <wp:docPr id="192043218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489585"/>
                              </a:xfrm>
                              <a:prstGeom prst="rect">
                                <a:avLst/>
                              </a:prstGeom>
                              <a:noFill/>
                              <a:ln>
                                <a:noFill/>
                              </a:ln>
                            </wps:spPr>
                            <wps:txbx>
                              <w:txbxContent>
                                <w:p w14:paraId="32241DB2" w14:textId="3B3CE02F" w:rsidR="00456610" w:rsidRPr="00D67FF9" w:rsidRDefault="00456610" w:rsidP="00193C36">
                                  <w:pPr>
                                    <w:spacing w:line="216" w:lineRule="auto"/>
                                    <w:jc w:val="center"/>
                                    <w:rPr>
                                      <w:rFonts w:ascii="Arial" w:hAnsi="Arial" w:cs="Arial"/>
                                      <w:b/>
                                      <w:bCs/>
                                      <w:sz w:val="16"/>
                                      <w:szCs w:val="16"/>
                                    </w:rPr>
                                  </w:pPr>
                                  <w:r w:rsidRPr="00B45061">
                                    <w:rPr>
                                      <w:rFonts w:ascii="Arial" w:hAnsi="Arial" w:cs="Arial"/>
                                      <w:b/>
                                      <w:bCs/>
                                      <w:sz w:val="36"/>
                                      <w:szCs w:val="36"/>
                                    </w:rPr>
                                    <w:t xml:space="preserve">30 </w:t>
                                  </w:r>
                                  <w:r w:rsidRPr="00B320E1">
                                    <w:rPr>
                                      <w:rFonts w:ascii="Arial" w:hAnsi="Arial" w:cs="Arial"/>
                                      <w:b/>
                                      <w:bCs/>
                                      <w:sz w:val="24"/>
                                      <w:szCs w:val="24"/>
                                    </w:rPr>
                                    <w:t>Minuten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2AAB2" id="Text Box 83" o:spid="_x0000_s1046" type="#_x0000_t202" style="position:absolute;margin-left:19.35pt;margin-top:30.7pt;width:69.7pt;height:38.55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" filled="f" stroked="f">
                      <v:textbox inset="0,0,0,0">
                        <w:txbxContent>
                          <w:p w14:paraId="32241DB2" w14:textId="3B3CE02F" w:rsidR="00456610" w:rsidRPr="00D67FF9" w:rsidRDefault="00456610" w:rsidP="00193C36">
                            <w:pPr>
                              <w:spacing w:line="216" w:lineRule="auto"/>
                              <w:jc w:val="center"/>
                              <w:rPr>
                                <w:rFonts w:ascii="Arial" w:hAnsi="Arial" w:cs="Arial"/>
                                <w:b/>
                                <w:bCs/>
                                <w:sz w:val="16"/>
                                <w:szCs w:val="16"/>
                              </w:rPr>
                            </w:pPr>
                            <w:r w:rsidRPr="00B45061">
                              <w:rPr>
                                <w:rFonts w:ascii="Arial" w:hAnsi="Arial" w:cs="Arial"/>
                                <w:b/>
                                <w:bCs/>
                                <w:sz w:val="36"/>
                                <w:szCs w:val="36"/>
                              </w:rPr>
                              <w:t xml:space="preserve">30 </w:t>
                            </w:r>
                            <w:r w:rsidRPr="00B320E1">
                              <w:rPr>
                                <w:rFonts w:ascii="Arial" w:hAnsi="Arial" w:cs="Arial"/>
                                <w:b/>
                                <w:bCs/>
                                <w:sz w:val="24"/>
                                <w:szCs w:val="24"/>
                              </w:rPr>
                              <w:t>Minuten</w:t>
                            </w:r>
                          </w:p>
                        </w:txbxContent>
                      </v:textbox>
                      <w10:wrap anchory="page"/>
                      <w10:anchorlock/>
                    </v:shape>
                  </w:pict>
                </mc:Fallback>
              </mc:AlternateContent>
            </w:r>
            <w:r>
              <w:rPr>
                <w:noProof/>
                <w:lang w:val="en-US" w:eastAsia="ko-KR"/>
              </w:rPr>
              <mc:AlternateContent>
                <mc:Choice Requires="wps">
                  <w:drawing>
                    <wp:anchor distT="45720" distB="45720" distL="114300" distR="114300" simplePos="0" relativeHeight="251658257" behindDoc="0" locked="1" layoutInCell="1" allowOverlap="1" wp14:anchorId="1786A6FD" wp14:editId="3F907E43">
                      <wp:simplePos x="0" y="0"/>
                      <wp:positionH relativeFrom="column">
                        <wp:posOffset>-1918970</wp:posOffset>
                      </wp:positionH>
                      <wp:positionV relativeFrom="page">
                        <wp:posOffset>446405</wp:posOffset>
                      </wp:positionV>
                      <wp:extent cx="767080" cy="489585"/>
                      <wp:effectExtent l="0" t="0" r="0" b="0"/>
                      <wp:wrapNone/>
                      <wp:docPr id="82004469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2E9414C0" w14:textId="77777777" w:rsidR="00456610" w:rsidRPr="00D67FF9" w:rsidRDefault="00456610" w:rsidP="00193C36">
                                  <w:pPr>
                                    <w:spacing w:line="216" w:lineRule="auto"/>
                                    <w:jc w:val="center"/>
                                    <w:rPr>
                                      <w:rFonts w:ascii="Arial" w:hAnsi="Arial" w:cs="Arial"/>
                                      <w:b/>
                                      <w:bCs/>
                                      <w:sz w:val="16"/>
                                      <w:szCs w:val="16"/>
                                    </w:rPr>
                                  </w:pPr>
                                  <w:r w:rsidRPr="00D67FF9">
                                    <w:rPr>
                                      <w:rFonts w:ascii="Arial" w:hAnsi="Arial" w:cs="Arial"/>
                                      <w:b/>
                                      <w:bCs/>
                                      <w:sz w:val="36"/>
                                      <w:szCs w:val="36"/>
                                    </w:rPr>
                                    <w:t>30</w:t>
                                  </w:r>
                                  <w:r w:rsidRPr="00D67FF9">
                                    <w:rPr>
                                      <w:rFonts w:ascii="Arial" w:hAnsi="Arial" w:cs="Arial"/>
                                      <w:b/>
                                      <w:bCs/>
                                      <w:sz w:val="16"/>
                                      <w:szCs w:val="16"/>
                                    </w:rPr>
                                    <w:t xml:space="preserve"> </w:t>
                                  </w:r>
                                  <w:r w:rsidRPr="00D67FF9">
                                    <w:rPr>
                                      <w:rFonts w:ascii="Arial" w:hAnsi="Arial" w:cs="Arial"/>
                                      <w:b/>
                                      <w:bCs/>
                                      <w:sz w:val="16"/>
                                      <w:szCs w:val="16"/>
                                    </w:rPr>
                                    <w:br/>
                                  </w:r>
                                  <w:r w:rsidRPr="00D67FF9">
                                    <w:rPr>
                                      <w:rFonts w:ascii="Arial" w:hAnsi="Arial" w:cs="Arial"/>
                                      <w:b/>
                                      <w:bCs/>
                                      <w:sz w:val="24"/>
                                      <w:szCs w:val="24"/>
                                    </w:rPr>
                                    <w:t>minutes</w:t>
                                  </w:r>
                                </w:p>
                                <w:p w14:paraId="01ECD07D" w14:textId="77777777" w:rsidR="00456610" w:rsidRPr="00D67FF9" w:rsidRDefault="00456610" w:rsidP="00193C36">
                                  <w:pPr>
                                    <w:spacing w:line="216" w:lineRule="auto"/>
                                    <w:jc w:val="center"/>
                                    <w:rPr>
                                      <w:rFonts w:ascii="Arial" w:hAnsi="Arial" w:cs="Arial"/>
                                      <w:b/>
                                      <w:bCs/>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86A6FD" id="Text Box 81" o:spid="_x0000_s1047" type="#_x0000_t202" style="position:absolute;margin-left:-151.1pt;margin-top:35.15pt;width:60.4pt;height:38.55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" filled="f" stroked="f">
                      <v:textbox inset="0,0,0,0">
                        <w:txbxContent>
                          <w:p w14:paraId="2E9414C0" w14:textId="77777777" w:rsidR="00456610" w:rsidRPr="00D67FF9" w:rsidRDefault="00456610" w:rsidP="00193C36">
                            <w:pPr>
                              <w:spacing w:line="216" w:lineRule="auto"/>
                              <w:jc w:val="center"/>
                              <w:rPr>
                                <w:rFonts w:ascii="Arial" w:hAnsi="Arial" w:cs="Arial"/>
                                <w:b/>
                                <w:bCs/>
                                <w:sz w:val="16"/>
                                <w:szCs w:val="16"/>
                              </w:rPr>
                            </w:pPr>
                            <w:r w:rsidRPr="00D67FF9">
                              <w:rPr>
                                <w:rFonts w:ascii="Arial" w:hAnsi="Arial" w:cs="Arial"/>
                                <w:b/>
                                <w:bCs/>
                                <w:sz w:val="36"/>
                                <w:szCs w:val="36"/>
                              </w:rPr>
                              <w:t>30</w:t>
                            </w:r>
                            <w:r w:rsidRPr="00D67FF9">
                              <w:rPr>
                                <w:rFonts w:ascii="Arial" w:hAnsi="Arial" w:cs="Arial"/>
                                <w:b/>
                                <w:bCs/>
                                <w:sz w:val="16"/>
                                <w:szCs w:val="16"/>
                              </w:rPr>
                              <w:t xml:space="preserve"> </w:t>
                            </w:r>
                            <w:r w:rsidRPr="00D67FF9">
                              <w:rPr>
                                <w:rFonts w:ascii="Arial" w:hAnsi="Arial" w:cs="Arial"/>
                                <w:b/>
                                <w:bCs/>
                                <w:sz w:val="16"/>
                                <w:szCs w:val="16"/>
                              </w:rPr>
                              <w:br/>
                            </w:r>
                            <w:r w:rsidRPr="00D67FF9">
                              <w:rPr>
                                <w:rFonts w:ascii="Arial" w:hAnsi="Arial" w:cs="Arial"/>
                                <w:b/>
                                <w:bCs/>
                                <w:sz w:val="24"/>
                                <w:szCs w:val="24"/>
                              </w:rPr>
                              <w:t>minutes</w:t>
                            </w:r>
                          </w:p>
                          <w:p w14:paraId="01ECD07D" w14:textId="77777777" w:rsidR="00456610" w:rsidRPr="00D67FF9" w:rsidRDefault="00456610" w:rsidP="00193C36">
                            <w:pPr>
                              <w:spacing w:line="216" w:lineRule="auto"/>
                              <w:jc w:val="center"/>
                              <w:rPr>
                                <w:rFonts w:ascii="Arial" w:hAnsi="Arial" w:cs="Arial"/>
                                <w:b/>
                                <w:bCs/>
                                <w:sz w:val="16"/>
                                <w:szCs w:val="16"/>
                              </w:rPr>
                            </w:pPr>
                          </w:p>
                        </w:txbxContent>
                      </v:textbox>
                      <w10:wrap anchory="page"/>
                      <w10:anchorlock/>
                    </v:shape>
                  </w:pict>
                </mc:Fallback>
              </mc:AlternateContent>
            </w:r>
            <w:r>
              <w:rPr>
                <w:noProof/>
                <w:sz w:val="24"/>
                <w:szCs w:val="24"/>
                <w:lang w:val="en-US" w:eastAsia="ko-KR"/>
              </w:rPr>
              <w:drawing>
                <wp:inline distT="0" distB="0" distL="0" distR="0" wp14:anchorId="297D2CF0" wp14:editId="5B5FC241">
                  <wp:extent cx="2084070" cy="2562225"/>
                  <wp:effectExtent l="19050" t="19050" r="0" b="9525"/>
                  <wp:docPr id="11" name="그림 2" descr="공구, 시계,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공구, 시계, 일러스트레이션, 디자인이(가) 표시된 사진&#10;&#10;자동 생성된 설명"/>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255F3F51" w14:textId="68AE6C1D" w:rsidR="00193C36" w:rsidRPr="00F0391F" w:rsidRDefault="00193C36" w:rsidP="00F0391F">
            <w:pPr>
              <w:suppressAutoHyphens/>
              <w:autoSpaceDE/>
              <w:autoSpaceDN/>
              <w:jc w:val="right"/>
              <w:rPr>
                <w:b/>
                <w:bCs/>
                <w:noProof/>
                <w:sz w:val="24"/>
                <w:szCs w:val="24"/>
              </w:rPr>
            </w:pPr>
            <w:r w:rsidRPr="00B320E1">
              <w:rPr>
                <w:b/>
                <w:bCs/>
                <w:noProof/>
              </w:rPr>
              <w:t>Abbildung </w:t>
            </w:r>
            <w:r w:rsidR="00CF4698">
              <w:rPr>
                <w:b/>
                <w:bCs/>
                <w:noProof/>
              </w:rPr>
              <w:t>E</w:t>
            </w:r>
          </w:p>
        </w:tc>
        <w:tc>
          <w:tcPr>
            <w:tcW w:w="5812" w:type="dxa"/>
            <w:gridSpan w:val="3"/>
          </w:tcPr>
          <w:p w14:paraId="520CD8EC" w14:textId="77777777" w:rsidR="00193C36" w:rsidRPr="00B320E1" w:rsidRDefault="00193C36" w:rsidP="00F0391F">
            <w:pPr>
              <w:pStyle w:val="a3"/>
              <w:numPr>
                <w:ilvl w:val="0"/>
                <w:numId w:val="10"/>
              </w:numPr>
              <w:suppressAutoHyphens/>
              <w:autoSpaceDE/>
              <w:autoSpaceDN/>
              <w:ind w:left="567" w:hanging="567"/>
              <w:rPr>
                <w:b/>
              </w:rPr>
            </w:pPr>
            <w:r w:rsidRPr="00B320E1">
              <w:rPr>
                <w:b/>
              </w:rPr>
              <w:t>Warten Sie 30 Minuten.</w:t>
            </w:r>
          </w:p>
          <w:p w14:paraId="51EAAF0C" w14:textId="77777777" w:rsidR="00193C36" w:rsidRPr="00B320E1" w:rsidRDefault="00193C36" w:rsidP="00F0391F">
            <w:pPr>
              <w:suppressAutoHyphens/>
              <w:autoSpaceDE/>
              <w:autoSpaceDN/>
              <w:ind w:left="567" w:hanging="567"/>
              <w:rPr>
                <w:noProof/>
              </w:rPr>
            </w:pPr>
          </w:p>
          <w:p w14:paraId="334A4CFB" w14:textId="5D8325DF" w:rsidR="00193C36" w:rsidRPr="00B320E1" w:rsidRDefault="00193C36" w:rsidP="00F0391F">
            <w:pPr>
              <w:pStyle w:val="a3"/>
              <w:numPr>
                <w:ilvl w:val="0"/>
                <w:numId w:val="15"/>
              </w:numPr>
              <w:suppressAutoHyphens/>
              <w:autoSpaceDE/>
              <w:autoSpaceDN/>
              <w:ind w:left="567" w:hanging="567"/>
              <w:rPr>
                <w:rFonts w:eastAsia="MS Mincho"/>
                <w:noProof/>
              </w:rPr>
            </w:pPr>
            <w:r w:rsidRPr="00B320E1">
              <w:t>Lassen Sie die Fertigspritze außerhalb des Umkartons 30 Minuten Raumtemperatur (</w:t>
            </w:r>
            <w:r w:rsidR="00575C67">
              <w:rPr>
                <w:rFonts w:eastAsia="맑은 고딕" w:hint="eastAsia"/>
                <w:lang w:eastAsia="ko-KR"/>
              </w:rPr>
              <w:t>18</w:t>
            </w:r>
            <w:r w:rsidR="00575C67" w:rsidRPr="00B320E1">
              <w:t> </w:t>
            </w:r>
            <w:r w:rsidRPr="00B320E1">
              <w:t xml:space="preserve">°C bis </w:t>
            </w:r>
            <w:r w:rsidR="00575C67" w:rsidRPr="00B320E1">
              <w:t>2</w:t>
            </w:r>
            <w:r w:rsidR="00575C67">
              <w:rPr>
                <w:rFonts w:eastAsia="맑은 고딕" w:hint="eastAsia"/>
                <w:lang w:eastAsia="ko-KR"/>
              </w:rPr>
              <w:t>8</w:t>
            </w:r>
            <w:r w:rsidR="00575C67" w:rsidRPr="00B320E1">
              <w:t> </w:t>
            </w:r>
            <w:r w:rsidRPr="00B320E1">
              <w:t xml:space="preserve">°C) annehmen (siehe </w:t>
            </w:r>
            <w:r w:rsidRPr="00B320E1">
              <w:rPr>
                <w:b/>
                <w:bCs/>
              </w:rPr>
              <w:t>Abbildung E</w:t>
            </w:r>
            <w:r w:rsidRPr="00B320E1">
              <w:t>).</w:t>
            </w:r>
          </w:p>
          <w:p w14:paraId="4478090F" w14:textId="77777777" w:rsidR="00193C36" w:rsidRPr="00B320E1" w:rsidRDefault="00193C36" w:rsidP="00F0391F">
            <w:pPr>
              <w:pStyle w:val="a3"/>
              <w:numPr>
                <w:ilvl w:val="0"/>
                <w:numId w:val="13"/>
              </w:numPr>
              <w:suppressAutoHyphens/>
              <w:autoSpaceDE/>
              <w:autoSpaceDN/>
              <w:ind w:left="1134" w:hanging="567"/>
              <w:rPr>
                <w:rFonts w:eastAsia="MS Mincho"/>
                <w:noProof/>
              </w:rPr>
            </w:pPr>
            <w:r w:rsidRPr="00B320E1">
              <w:t xml:space="preserve">Erwärmen Sie die Fertigspritze </w:t>
            </w:r>
            <w:r w:rsidRPr="00B320E1">
              <w:rPr>
                <w:b/>
              </w:rPr>
              <w:t>nicht</w:t>
            </w:r>
            <w:r w:rsidRPr="00B320E1">
              <w:t xml:space="preserve"> mit einer Wärmequelle wie heißem Wasser oder in der Mikrowelle.</w:t>
            </w:r>
          </w:p>
          <w:p w14:paraId="4C00500D" w14:textId="77777777" w:rsidR="00193C36" w:rsidRPr="00B320E1" w:rsidRDefault="00193C36" w:rsidP="00F0391F">
            <w:pPr>
              <w:pStyle w:val="a3"/>
              <w:numPr>
                <w:ilvl w:val="0"/>
                <w:numId w:val="13"/>
              </w:numPr>
              <w:suppressAutoHyphens/>
              <w:autoSpaceDE/>
              <w:autoSpaceDN/>
              <w:ind w:left="1134" w:hanging="567"/>
              <w:rPr>
                <w:rFonts w:eastAsia="MS Mincho"/>
                <w:noProof/>
              </w:rPr>
            </w:pPr>
            <w:r w:rsidRPr="00B320E1">
              <w:t xml:space="preserve">Lassen Sie die Fertigspritze </w:t>
            </w:r>
            <w:r w:rsidRPr="00B320E1">
              <w:rPr>
                <w:b/>
              </w:rPr>
              <w:t>nicht</w:t>
            </w:r>
            <w:r w:rsidRPr="00B320E1">
              <w:t xml:space="preserve"> in direktem Sonnenlicht liegen.</w:t>
            </w:r>
          </w:p>
          <w:p w14:paraId="430BE720" w14:textId="77777777" w:rsidR="00193C36" w:rsidRPr="00B320E1" w:rsidRDefault="00193C36" w:rsidP="00F0391F">
            <w:pPr>
              <w:pStyle w:val="a3"/>
              <w:numPr>
                <w:ilvl w:val="0"/>
                <w:numId w:val="13"/>
              </w:numPr>
              <w:suppressAutoHyphens/>
              <w:autoSpaceDE/>
              <w:autoSpaceDN/>
              <w:ind w:left="1134" w:hanging="567"/>
              <w:rPr>
                <w:rFonts w:eastAsia="MS Mincho"/>
                <w:noProof/>
              </w:rPr>
            </w:pPr>
            <w:r w:rsidRPr="00B320E1">
              <w:t xml:space="preserve">Nehmen Sie die Schutzkappe </w:t>
            </w:r>
            <w:r w:rsidRPr="00B320E1">
              <w:rPr>
                <w:b/>
              </w:rPr>
              <w:t>nicht</w:t>
            </w:r>
            <w:r w:rsidRPr="00B320E1">
              <w:t xml:space="preserve"> von der Fertigspritze ab, während diese Raumtemperatur annimmt.</w:t>
            </w:r>
          </w:p>
          <w:p w14:paraId="58335C85" w14:textId="3A77B2AC" w:rsidR="00193C36" w:rsidRPr="00B320E1" w:rsidRDefault="00193C36" w:rsidP="00F0391F">
            <w:pPr>
              <w:pStyle w:val="a3"/>
              <w:numPr>
                <w:ilvl w:val="0"/>
                <w:numId w:val="13"/>
              </w:numPr>
              <w:suppressAutoHyphens/>
              <w:autoSpaceDE/>
              <w:autoSpaceDN/>
              <w:ind w:left="1134" w:hanging="567"/>
              <w:rPr>
                <w:rFonts w:eastAsia="MS Mincho"/>
                <w:noProof/>
              </w:rPr>
            </w:pPr>
            <w:r w:rsidRPr="00B320E1">
              <w:t xml:space="preserve">Wenn die Fertigspritze keine Raumtemperatur annimmt, könnte dies zu Beschwerden führen und das </w:t>
            </w:r>
            <w:r w:rsidR="001937F6" w:rsidRPr="001937F6">
              <w:t xml:space="preserve">Herunterdrücken des Kolbens </w:t>
            </w:r>
            <w:r w:rsidRPr="00B320E1">
              <w:t>erschweren.</w:t>
            </w:r>
          </w:p>
          <w:p w14:paraId="45713701" w14:textId="77777777" w:rsidR="00193C36" w:rsidRPr="00F0391F" w:rsidRDefault="00193C36" w:rsidP="00F0391F">
            <w:pPr>
              <w:autoSpaceDE/>
              <w:autoSpaceDN/>
              <w:rPr>
                <w:sz w:val="24"/>
                <w:szCs w:val="24"/>
              </w:rPr>
            </w:pPr>
          </w:p>
        </w:tc>
      </w:tr>
      <w:tr w:rsidR="009B29EB" w:rsidRPr="00124F43" w14:paraId="6C59659A" w14:textId="77777777" w:rsidTr="00F0391F">
        <w:trPr>
          <w:gridAfter w:val="1"/>
          <w:wAfter w:w="29" w:type="dxa"/>
          <w:cantSplit/>
        </w:trPr>
        <w:tc>
          <w:tcPr>
            <w:tcW w:w="3686" w:type="dxa"/>
            <w:gridSpan w:val="2"/>
          </w:tcPr>
          <w:p w14:paraId="7942D85C" w14:textId="69EDDBB6" w:rsidR="00193C36" w:rsidRPr="00F0391F" w:rsidRDefault="00A16FF2" w:rsidP="00F0391F">
            <w:pPr>
              <w:suppressAutoHyphens/>
              <w:autoSpaceDE/>
              <w:autoSpaceDN/>
              <w:rPr>
                <w:noProof/>
                <w:sz w:val="24"/>
                <w:szCs w:val="24"/>
              </w:rPr>
            </w:pPr>
            <w:r>
              <w:rPr>
                <w:noProof/>
                <w:sz w:val="24"/>
                <w:szCs w:val="24"/>
                <w:lang w:val="en-US" w:eastAsia="ko-KR"/>
              </w:rPr>
              <w:drawing>
                <wp:inline distT="0" distB="0" distL="0" distR="0" wp14:anchorId="0905DB3C" wp14:editId="1CDD1EA8">
                  <wp:extent cx="2084070" cy="2573020"/>
                  <wp:effectExtent l="19050" t="19050" r="0" b="0"/>
                  <wp:docPr id="12" name="그림 1590965773" descr="스케치, 그림, 검,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90965773" descr="스케치, 그림, 검, 일러스트레이션이(가) 표시된 사진&#10;&#10;자동 생성된 설명"/>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84070" cy="2573020"/>
                          </a:xfrm>
                          <a:prstGeom prst="rect">
                            <a:avLst/>
                          </a:prstGeom>
                          <a:noFill/>
                          <a:ln w="9525" cmpd="sng">
                            <a:solidFill>
                              <a:srgbClr val="000000"/>
                            </a:solidFill>
                            <a:miter lim="800000"/>
                            <a:headEnd/>
                            <a:tailEnd/>
                          </a:ln>
                          <a:effectLst/>
                        </pic:spPr>
                      </pic:pic>
                    </a:graphicData>
                  </a:graphic>
                </wp:inline>
              </w:drawing>
            </w:r>
          </w:p>
          <w:p w14:paraId="14732BE6" w14:textId="0E9843ED" w:rsidR="00193C36" w:rsidRPr="00B320E1" w:rsidRDefault="00193C36" w:rsidP="00F0391F">
            <w:pPr>
              <w:suppressAutoHyphens/>
              <w:autoSpaceDE/>
              <w:autoSpaceDN/>
              <w:jc w:val="right"/>
              <w:rPr>
                <w:b/>
                <w:bCs/>
                <w:noProof/>
              </w:rPr>
            </w:pPr>
            <w:r w:rsidRPr="00B320E1">
              <w:rPr>
                <w:b/>
                <w:bCs/>
                <w:noProof/>
              </w:rPr>
              <w:t>Abbildung </w:t>
            </w:r>
            <w:r w:rsidR="00CF4698" w:rsidRPr="00B320E1">
              <w:rPr>
                <w:b/>
                <w:bCs/>
                <w:noProof/>
              </w:rPr>
              <w:t>F</w:t>
            </w:r>
          </w:p>
        </w:tc>
        <w:tc>
          <w:tcPr>
            <w:tcW w:w="5670" w:type="dxa"/>
          </w:tcPr>
          <w:p w14:paraId="1837716D" w14:textId="77777777" w:rsidR="00193C36" w:rsidRPr="00B320E1" w:rsidRDefault="00193C36" w:rsidP="00F0391F">
            <w:pPr>
              <w:pStyle w:val="a3"/>
              <w:numPr>
                <w:ilvl w:val="0"/>
                <w:numId w:val="10"/>
              </w:numPr>
              <w:suppressAutoHyphens/>
              <w:autoSpaceDE/>
              <w:autoSpaceDN/>
              <w:ind w:left="567" w:hanging="567"/>
              <w:rPr>
                <w:b/>
              </w:rPr>
            </w:pPr>
            <w:r w:rsidRPr="00B320E1">
              <w:rPr>
                <w:b/>
              </w:rPr>
              <w:t>Überprüfen Sie das Arzneimittel.</w:t>
            </w:r>
          </w:p>
          <w:p w14:paraId="22072B35" w14:textId="77777777" w:rsidR="00193C36" w:rsidRPr="00B320E1" w:rsidRDefault="00193C36" w:rsidP="00F0391F">
            <w:pPr>
              <w:suppressAutoHyphens/>
              <w:autoSpaceDE/>
              <w:autoSpaceDN/>
              <w:ind w:left="567" w:hanging="567"/>
              <w:rPr>
                <w:noProof/>
              </w:rPr>
            </w:pPr>
          </w:p>
          <w:p w14:paraId="0811441C" w14:textId="6ED295B1" w:rsidR="00193C36" w:rsidRPr="00B320E1" w:rsidRDefault="00193C36" w:rsidP="00F0391F">
            <w:pPr>
              <w:pStyle w:val="a3"/>
              <w:numPr>
                <w:ilvl w:val="0"/>
                <w:numId w:val="16"/>
              </w:numPr>
              <w:suppressAutoHyphens/>
              <w:autoSpaceDE/>
              <w:autoSpaceDN/>
              <w:ind w:left="567" w:hanging="567"/>
              <w:rPr>
                <w:rFonts w:eastAsia="MS Mincho"/>
                <w:noProof/>
              </w:rPr>
            </w:pPr>
            <w:r w:rsidRPr="00B320E1">
              <w:t>Halten Sie die Avtozma</w:t>
            </w:r>
            <w:r w:rsidR="00877680" w:rsidRPr="00B320E1">
              <w:t>-</w:t>
            </w:r>
            <w:r w:rsidRPr="00B320E1">
              <w:t>Spritze mit der Schutzkappe nach unten gerichtet vor sich.</w:t>
            </w:r>
          </w:p>
          <w:p w14:paraId="196E8DF6" w14:textId="0719D090" w:rsidR="00193C36" w:rsidRPr="00B320E1" w:rsidRDefault="00193C36" w:rsidP="00F0391F">
            <w:pPr>
              <w:pStyle w:val="a3"/>
              <w:numPr>
                <w:ilvl w:val="0"/>
                <w:numId w:val="16"/>
              </w:numPr>
              <w:suppressAutoHyphens/>
              <w:autoSpaceDE/>
              <w:autoSpaceDN/>
              <w:ind w:left="567" w:hanging="567"/>
              <w:rPr>
                <w:rFonts w:eastAsia="MS Mincho"/>
                <w:noProof/>
              </w:rPr>
            </w:pPr>
            <w:r w:rsidRPr="00B320E1">
              <w:t xml:space="preserve">Überprüfen Sie das Arzneimittel und stellen Sie sicher, dass die Flüssigkeit klar </w:t>
            </w:r>
            <w:r w:rsidR="006F14A1">
              <w:t xml:space="preserve">bis leicht opaleszent </w:t>
            </w:r>
            <w:r w:rsidRPr="00B320E1">
              <w:t xml:space="preserve">und farblos bis gelb ist und keine Partikel oder Schwebstoffe enthält (siehe </w:t>
            </w:r>
            <w:r w:rsidRPr="00B320E1">
              <w:rPr>
                <w:b/>
                <w:bCs/>
              </w:rPr>
              <w:t>Abbildung F</w:t>
            </w:r>
            <w:r w:rsidRPr="00B320E1">
              <w:t>).</w:t>
            </w:r>
          </w:p>
          <w:p w14:paraId="4148DB27" w14:textId="77777777" w:rsidR="00193C36" w:rsidRPr="00B320E1" w:rsidRDefault="00193C36" w:rsidP="00F0391F">
            <w:pPr>
              <w:pStyle w:val="a3"/>
              <w:numPr>
                <w:ilvl w:val="0"/>
                <w:numId w:val="13"/>
              </w:numPr>
              <w:suppressAutoHyphens/>
              <w:autoSpaceDE/>
              <w:autoSpaceDN/>
              <w:ind w:left="1134" w:hanging="567"/>
              <w:rPr>
                <w:rFonts w:eastAsia="MS Mincho"/>
                <w:noProof/>
              </w:rPr>
            </w:pPr>
            <w:r w:rsidRPr="00B320E1">
              <w:t xml:space="preserve">Verwenden Sie die Fertigspritze </w:t>
            </w:r>
            <w:r w:rsidRPr="00B320E1">
              <w:rPr>
                <w:b/>
                <w:bCs/>
              </w:rPr>
              <w:t>nicht</w:t>
            </w:r>
            <w:r w:rsidRPr="00B320E1">
              <w:t>, wenn die Flüssigkeit verfärbt oder trübe ist oder Partikel oder Schwebstoffe enthält. Entsorgen Sie die Fertigspritze sicher in einem Nadelabwurfbehälter und verwenden Sie eine neue.</w:t>
            </w:r>
          </w:p>
          <w:p w14:paraId="230C3745" w14:textId="77777777" w:rsidR="00193C36" w:rsidRPr="00B320E1" w:rsidRDefault="00193C36" w:rsidP="00F0391F">
            <w:pPr>
              <w:pStyle w:val="a3"/>
              <w:numPr>
                <w:ilvl w:val="0"/>
                <w:numId w:val="13"/>
              </w:numPr>
              <w:suppressAutoHyphens/>
              <w:autoSpaceDE/>
              <w:autoSpaceDN/>
              <w:ind w:left="1134" w:hanging="567"/>
              <w:rPr>
                <w:rFonts w:eastAsia="MS Mincho"/>
                <w:noProof/>
              </w:rPr>
            </w:pPr>
            <w:r w:rsidRPr="00B320E1">
              <w:t>Luftbläschen sind normal.</w:t>
            </w:r>
          </w:p>
          <w:p w14:paraId="26B10C36" w14:textId="77777777" w:rsidR="00193C36" w:rsidRPr="00F0391F" w:rsidRDefault="00193C36" w:rsidP="00F0391F">
            <w:pPr>
              <w:autoSpaceDE/>
              <w:autoSpaceDN/>
              <w:rPr>
                <w:sz w:val="24"/>
                <w:szCs w:val="24"/>
                <w:lang w:val="en-US"/>
              </w:rPr>
            </w:pPr>
          </w:p>
          <w:p w14:paraId="7BF7CBFB" w14:textId="77777777" w:rsidR="00193C36" w:rsidRPr="00F0391F" w:rsidRDefault="00193C36" w:rsidP="00F0391F">
            <w:pPr>
              <w:autoSpaceDE/>
              <w:autoSpaceDN/>
              <w:rPr>
                <w:sz w:val="24"/>
                <w:szCs w:val="24"/>
              </w:rPr>
            </w:pPr>
          </w:p>
        </w:tc>
      </w:tr>
      <w:tr w:rsidR="0063190A" w:rsidRPr="0063190A" w14:paraId="44A59750" w14:textId="77777777" w:rsidTr="00F0391F">
        <w:tblPrEx>
          <w:tblBorders>
            <w:insideV w:val="single" w:sz="4" w:space="0" w:color="auto"/>
          </w:tblBorders>
          <w:tblCellMar>
            <w:top w:w="0" w:type="dxa"/>
            <w:bottom w:w="0" w:type="dxa"/>
          </w:tblCellMar>
        </w:tblPrEx>
        <w:trPr>
          <w:gridAfter w:val="1"/>
          <w:wAfter w:w="29" w:type="dxa"/>
        </w:trPr>
        <w:tc>
          <w:tcPr>
            <w:tcW w:w="3686" w:type="dxa"/>
            <w:gridSpan w:val="2"/>
          </w:tcPr>
          <w:p w14:paraId="429E8D6F" w14:textId="62E8C825" w:rsidR="0063190A" w:rsidRPr="00F0391F" w:rsidRDefault="00A16FF2" w:rsidP="00F0391F">
            <w:pPr>
              <w:suppressAutoHyphens/>
              <w:autoSpaceDE/>
              <w:autoSpaceDN/>
              <w:rPr>
                <w:noProof/>
                <w:sz w:val="24"/>
                <w:szCs w:val="24"/>
              </w:rPr>
            </w:pPr>
            <w:r>
              <w:rPr>
                <w:noProof/>
                <w:sz w:val="24"/>
                <w:szCs w:val="24"/>
                <w:lang w:val="en-US" w:eastAsia="ko-KR"/>
              </w:rPr>
              <w:lastRenderedPageBreak/>
              <w:drawing>
                <wp:inline distT="0" distB="0" distL="0" distR="0" wp14:anchorId="2179DFAE" wp14:editId="5FA89F01">
                  <wp:extent cx="2084070" cy="2573020"/>
                  <wp:effectExtent l="19050" t="19050" r="0" b="0"/>
                  <wp:docPr id="13" name="그림 1920431552"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20431552" descr="스케치, 그림, 라인 아트, 아동 미술이(가) 표시된 사진&#10;&#10;자동 생성된 설명"/>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4070" cy="2573020"/>
                          </a:xfrm>
                          <a:prstGeom prst="rect">
                            <a:avLst/>
                          </a:prstGeom>
                          <a:noFill/>
                          <a:ln w="9525" cmpd="sng">
                            <a:solidFill>
                              <a:srgbClr val="000000"/>
                            </a:solidFill>
                            <a:miter lim="800000"/>
                            <a:headEnd/>
                            <a:tailEnd/>
                          </a:ln>
                          <a:effectLst/>
                        </pic:spPr>
                      </pic:pic>
                    </a:graphicData>
                  </a:graphic>
                </wp:inline>
              </w:drawing>
            </w:r>
          </w:p>
          <w:p w14:paraId="57A4A308" w14:textId="0F8E0798" w:rsidR="0063190A" w:rsidRPr="00F0391F" w:rsidRDefault="0063190A" w:rsidP="00F0391F">
            <w:pPr>
              <w:suppressAutoHyphens/>
              <w:autoSpaceDE/>
              <w:autoSpaceDN/>
              <w:jc w:val="right"/>
              <w:rPr>
                <w:b/>
                <w:bCs/>
                <w:noProof/>
                <w:sz w:val="24"/>
                <w:szCs w:val="24"/>
              </w:rPr>
            </w:pPr>
            <w:r w:rsidRPr="00B320E1">
              <w:rPr>
                <w:b/>
                <w:bCs/>
                <w:noProof/>
              </w:rPr>
              <w:t>Abbildung G</w:t>
            </w:r>
          </w:p>
        </w:tc>
        <w:tc>
          <w:tcPr>
            <w:tcW w:w="5670" w:type="dxa"/>
          </w:tcPr>
          <w:p w14:paraId="3E850F6A" w14:textId="77777777" w:rsidR="0063190A" w:rsidRPr="00B320E1" w:rsidRDefault="0063190A" w:rsidP="00F0391F">
            <w:pPr>
              <w:pStyle w:val="a3"/>
              <w:numPr>
                <w:ilvl w:val="0"/>
                <w:numId w:val="10"/>
              </w:numPr>
              <w:suppressAutoHyphens/>
              <w:autoSpaceDE/>
              <w:autoSpaceDN/>
              <w:ind w:left="567" w:hanging="567"/>
              <w:rPr>
                <w:b/>
              </w:rPr>
            </w:pPr>
            <w:r w:rsidRPr="00B320E1">
              <w:rPr>
                <w:b/>
              </w:rPr>
              <w:t>Waschen Sie Ihre Hände.</w:t>
            </w:r>
          </w:p>
          <w:p w14:paraId="11AD3904" w14:textId="77777777" w:rsidR="0063190A" w:rsidRPr="00B320E1" w:rsidRDefault="0063190A" w:rsidP="00F0391F">
            <w:pPr>
              <w:suppressAutoHyphens/>
              <w:autoSpaceDE/>
              <w:autoSpaceDN/>
              <w:ind w:left="567" w:hanging="567"/>
              <w:rPr>
                <w:noProof/>
              </w:rPr>
            </w:pPr>
          </w:p>
          <w:p w14:paraId="3D710A52" w14:textId="77777777" w:rsidR="0063190A" w:rsidRPr="00B320E1" w:rsidRDefault="0063190A" w:rsidP="00F0391F">
            <w:pPr>
              <w:pStyle w:val="a3"/>
              <w:numPr>
                <w:ilvl w:val="0"/>
                <w:numId w:val="17"/>
              </w:numPr>
              <w:suppressAutoHyphens/>
              <w:autoSpaceDE/>
              <w:autoSpaceDN/>
              <w:ind w:left="567" w:hanging="567"/>
              <w:rPr>
                <w:rFonts w:eastAsia="MS Mincho"/>
                <w:noProof/>
              </w:rPr>
            </w:pPr>
            <w:r w:rsidRPr="00B320E1">
              <w:t xml:space="preserve">Waschen Sie Ihre Hände mit Wasser und Seife und trocknen Sie sie sorgfältig ab (siehe </w:t>
            </w:r>
            <w:r w:rsidRPr="00B320E1">
              <w:rPr>
                <w:b/>
                <w:bCs/>
              </w:rPr>
              <w:t>Abbildung G</w:t>
            </w:r>
            <w:r w:rsidRPr="00B320E1">
              <w:t>).</w:t>
            </w:r>
          </w:p>
          <w:p w14:paraId="4D68B2F1" w14:textId="77777777" w:rsidR="0063190A" w:rsidRPr="00F0391F" w:rsidRDefault="0063190A" w:rsidP="00F0391F">
            <w:pPr>
              <w:autoSpaceDE/>
              <w:autoSpaceDN/>
              <w:rPr>
                <w:sz w:val="24"/>
                <w:szCs w:val="24"/>
              </w:rPr>
            </w:pPr>
          </w:p>
        </w:tc>
      </w:tr>
      <w:tr w:rsidR="0063190A" w:rsidRPr="0063190A" w14:paraId="2BF3EB3A" w14:textId="77777777" w:rsidTr="00F0391F">
        <w:tblPrEx>
          <w:tblBorders>
            <w:insideV w:val="single" w:sz="4" w:space="0" w:color="auto"/>
          </w:tblBorders>
          <w:tblCellMar>
            <w:top w:w="0" w:type="dxa"/>
            <w:bottom w:w="0" w:type="dxa"/>
          </w:tblCellMar>
        </w:tblPrEx>
        <w:trPr>
          <w:gridAfter w:val="1"/>
          <w:wAfter w:w="29" w:type="dxa"/>
        </w:trPr>
        <w:tc>
          <w:tcPr>
            <w:tcW w:w="3686" w:type="dxa"/>
            <w:gridSpan w:val="2"/>
          </w:tcPr>
          <w:p w14:paraId="1FAAAC6F" w14:textId="5BE034C3" w:rsidR="0063190A" w:rsidRPr="00F0391F" w:rsidRDefault="00A16FF2" w:rsidP="00F0391F">
            <w:pPr>
              <w:suppressAutoHyphens/>
              <w:autoSpaceDE/>
              <w:autoSpaceDN/>
              <w:rPr>
                <w:noProof/>
                <w:sz w:val="24"/>
                <w:szCs w:val="24"/>
              </w:rPr>
            </w:pPr>
            <w:r>
              <w:rPr>
                <w:noProof/>
                <w:sz w:val="24"/>
                <w:szCs w:val="24"/>
                <w:lang w:val="en-US" w:eastAsia="ko-KR"/>
              </w:rPr>
              <w:drawing>
                <wp:inline distT="0" distB="0" distL="0" distR="0" wp14:anchorId="18A90A3C" wp14:editId="0545A539">
                  <wp:extent cx="2084070" cy="3317240"/>
                  <wp:effectExtent l="19050" t="19050" r="0" b="0"/>
                  <wp:docPr id="14" name="그림 1910960139" descr="스케치, 화이트, 그림,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910960139" descr="스케치, 화이트, 그림, 디자인이(가) 표시된 사진&#10;&#10;자동 생성된 설명"/>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4070" cy="3317240"/>
                          </a:xfrm>
                          <a:prstGeom prst="rect">
                            <a:avLst/>
                          </a:prstGeom>
                          <a:noFill/>
                          <a:ln w="9525" cmpd="sng">
                            <a:solidFill>
                              <a:srgbClr val="000000"/>
                            </a:solidFill>
                            <a:miter lim="800000"/>
                            <a:headEnd/>
                            <a:tailEnd/>
                          </a:ln>
                          <a:effectLst/>
                        </pic:spPr>
                      </pic:pic>
                    </a:graphicData>
                  </a:graphic>
                </wp:inline>
              </w:drawing>
            </w:r>
          </w:p>
          <w:p w14:paraId="71A5E607" w14:textId="02AC5FEB" w:rsidR="0063190A" w:rsidRPr="00F0391F" w:rsidRDefault="00A16FF2" w:rsidP="00F0391F">
            <w:pPr>
              <w:suppressAutoHyphens/>
              <w:autoSpaceDE/>
              <w:autoSpaceDN/>
              <w:jc w:val="right"/>
              <w:rPr>
                <w:b/>
                <w:bCs/>
                <w:noProof/>
                <w:sz w:val="24"/>
                <w:szCs w:val="24"/>
              </w:rPr>
            </w:pPr>
            <w:r>
              <w:rPr>
                <w:noProof/>
                <w:sz w:val="20"/>
                <w:szCs w:val="20"/>
                <w:lang w:val="en-US" w:eastAsia="ko-KR"/>
              </w:rPr>
              <mc:AlternateContent>
                <mc:Choice Requires="wps">
                  <w:drawing>
                    <wp:anchor distT="45720" distB="45720" distL="114300" distR="114300" simplePos="0" relativeHeight="251658259" behindDoc="0" locked="1" layoutInCell="1" allowOverlap="1" wp14:anchorId="1D6CF1A4" wp14:editId="3ACA6C60">
                      <wp:simplePos x="0" y="0"/>
                      <wp:positionH relativeFrom="column">
                        <wp:posOffset>574675</wp:posOffset>
                      </wp:positionH>
                      <wp:positionV relativeFrom="page">
                        <wp:posOffset>2843530</wp:posOffset>
                      </wp:positionV>
                      <wp:extent cx="1438910" cy="434975"/>
                      <wp:effectExtent l="0" t="0" r="0" b="0"/>
                      <wp:wrapNone/>
                      <wp:docPr id="197803680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434975"/>
                              </a:xfrm>
                              <a:prstGeom prst="rect">
                                <a:avLst/>
                              </a:prstGeom>
                              <a:noFill/>
                              <a:ln>
                                <a:noFill/>
                              </a:ln>
                            </wps:spPr>
                            <wps:txbx>
                              <w:txbxContent>
                                <w:p w14:paraId="13C091D0" w14:textId="02F3267F" w:rsidR="00456610" w:rsidRPr="00B320E1" w:rsidRDefault="00456610" w:rsidP="0063190A">
                                  <w:pPr>
                                    <w:rPr>
                                      <w:rFonts w:ascii="Arial" w:hAnsi="Arial" w:cs="Arial"/>
                                      <w:b/>
                                      <w:bCs/>
                                      <w:sz w:val="20"/>
                                      <w:szCs w:val="20"/>
                                    </w:rPr>
                                  </w:pPr>
                                  <w:r w:rsidRPr="00B320E1">
                                    <w:rPr>
                                      <w:rFonts w:ascii="Arial" w:hAnsi="Arial" w:cs="Arial"/>
                                      <w:b/>
                                      <w:bCs/>
                                      <w:sz w:val="20"/>
                                      <w:szCs w:val="20"/>
                                    </w:rPr>
                                    <w:t>Selbstinjektion, Pflegeperson und medizinische Fachkraft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6CF1A4" id="Text Box 79" o:spid="_x0000_s1048" type="#_x0000_t202" style="position:absolute;left:0;text-align:left;margin-left:45.25pt;margin-top:223.9pt;width:113.3pt;height:34.25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" filled="f" stroked="f">
                      <v:textbox inset="0,0,0,0">
                        <w:txbxContent>
                          <w:p w14:paraId="13C091D0" w14:textId="02F3267F" w:rsidR="00456610" w:rsidRPr="00B320E1" w:rsidRDefault="00456610" w:rsidP="0063190A">
                            <w:pPr>
                              <w:rPr>
                                <w:rFonts w:ascii="Arial" w:hAnsi="Arial" w:cs="Arial"/>
                                <w:b/>
                                <w:bCs/>
                                <w:sz w:val="20"/>
                                <w:szCs w:val="20"/>
                              </w:rPr>
                            </w:pPr>
                            <w:r w:rsidRPr="00B320E1">
                              <w:rPr>
                                <w:rFonts w:ascii="Arial" w:hAnsi="Arial" w:cs="Arial"/>
                                <w:b/>
                                <w:bCs/>
                                <w:sz w:val="20"/>
                                <w:szCs w:val="20"/>
                              </w:rPr>
                              <w:t>Selbstinjektion, Pflegeperson und medizinische Fachkraft</w:t>
                            </w:r>
                          </w:p>
                        </w:txbxContent>
                      </v:textbox>
                      <w10:wrap anchory="page"/>
                      <w10:anchorlock/>
                    </v:shape>
                  </w:pict>
                </mc:Fallback>
              </mc:AlternateContent>
            </w:r>
            <w:r>
              <w:rPr>
                <w:noProof/>
                <w:sz w:val="20"/>
                <w:szCs w:val="20"/>
                <w:lang w:val="en-US" w:eastAsia="ko-KR"/>
              </w:rPr>
              <mc:AlternateContent>
                <mc:Choice Requires="wps">
                  <w:drawing>
                    <wp:anchor distT="45720" distB="45720" distL="114300" distR="114300" simplePos="0" relativeHeight="251658260" behindDoc="0" locked="1" layoutInCell="1" allowOverlap="1" wp14:anchorId="55DB8124" wp14:editId="4C97AB46">
                      <wp:simplePos x="0" y="0"/>
                      <wp:positionH relativeFrom="column">
                        <wp:posOffset>573405</wp:posOffset>
                      </wp:positionH>
                      <wp:positionV relativeFrom="page">
                        <wp:posOffset>2439035</wp:posOffset>
                      </wp:positionV>
                      <wp:extent cx="1440180" cy="340360"/>
                      <wp:effectExtent l="0" t="0" r="0" b="0"/>
                      <wp:wrapNone/>
                      <wp:docPr id="67077510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340360"/>
                              </a:xfrm>
                              <a:prstGeom prst="rect">
                                <a:avLst/>
                              </a:prstGeom>
                              <a:noFill/>
                              <a:ln>
                                <a:noFill/>
                              </a:ln>
                            </wps:spPr>
                            <wps:txbx>
                              <w:txbxContent>
                                <w:p w14:paraId="11AF0469" w14:textId="30E90321" w:rsidR="00456610" w:rsidRPr="00B320E1" w:rsidRDefault="00456610" w:rsidP="0063190A">
                                  <w:pPr>
                                    <w:rPr>
                                      <w:rFonts w:ascii="Arial" w:hAnsi="Arial" w:cs="Arial"/>
                                      <w:b/>
                                      <w:bCs/>
                                      <w:sz w:val="20"/>
                                      <w:szCs w:val="20"/>
                                    </w:rPr>
                                  </w:pPr>
                                  <w:r w:rsidRPr="00B320E1">
                                    <w:rPr>
                                      <w:rFonts w:ascii="Arial" w:hAnsi="Arial" w:cs="Arial"/>
                                      <w:b/>
                                      <w:bCs/>
                                      <w:sz w:val="20"/>
                                      <w:szCs w:val="20"/>
                                    </w:rPr>
                                    <w:t>Nur Pflegeperson und medizinische Fachkraft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DB8124" id="Text Box 77" o:spid="_x0000_s1049" type="#_x0000_t202" style="position:absolute;left:0;text-align:left;margin-left:45.15pt;margin-top:192.05pt;width:113.4pt;height:26.8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" filled="f" stroked="f">
                      <v:textbox inset="0,0,0,0">
                        <w:txbxContent>
                          <w:p w14:paraId="11AF0469" w14:textId="30E90321" w:rsidR="00456610" w:rsidRPr="00B320E1" w:rsidRDefault="00456610" w:rsidP="0063190A">
                            <w:pPr>
                              <w:rPr>
                                <w:rFonts w:ascii="Arial" w:hAnsi="Arial" w:cs="Arial"/>
                                <w:b/>
                                <w:bCs/>
                                <w:sz w:val="20"/>
                                <w:szCs w:val="20"/>
                              </w:rPr>
                            </w:pPr>
                            <w:r w:rsidRPr="00B320E1">
                              <w:rPr>
                                <w:rFonts w:ascii="Arial" w:hAnsi="Arial" w:cs="Arial"/>
                                <w:b/>
                                <w:bCs/>
                                <w:sz w:val="20"/>
                                <w:szCs w:val="20"/>
                              </w:rPr>
                              <w:t>Nur Pflegeperson und medizinische Fachkraft</w:t>
                            </w:r>
                          </w:p>
                        </w:txbxContent>
                      </v:textbox>
                      <w10:wrap anchory="page"/>
                      <w10:anchorlock/>
                    </v:shape>
                  </w:pict>
                </mc:Fallback>
              </mc:AlternateContent>
            </w:r>
            <w:r w:rsidR="0063190A" w:rsidRPr="00B320E1">
              <w:rPr>
                <w:b/>
                <w:bCs/>
                <w:noProof/>
              </w:rPr>
              <w:t>Abbildung H</w:t>
            </w:r>
          </w:p>
        </w:tc>
        <w:tc>
          <w:tcPr>
            <w:tcW w:w="5670" w:type="dxa"/>
          </w:tcPr>
          <w:p w14:paraId="1CC6630B" w14:textId="77777777" w:rsidR="0063190A" w:rsidRPr="00B320E1" w:rsidRDefault="0063190A" w:rsidP="00F0391F">
            <w:pPr>
              <w:pStyle w:val="a3"/>
              <w:numPr>
                <w:ilvl w:val="0"/>
                <w:numId w:val="10"/>
              </w:numPr>
              <w:suppressAutoHyphens/>
              <w:autoSpaceDE/>
              <w:autoSpaceDN/>
              <w:ind w:left="567" w:hanging="567"/>
              <w:rPr>
                <w:b/>
              </w:rPr>
            </w:pPr>
            <w:r w:rsidRPr="00B320E1">
              <w:rPr>
                <w:b/>
              </w:rPr>
              <w:t>Wählen Sie eine geeignete Injektionsstelle (siehe Abbildung H).</w:t>
            </w:r>
          </w:p>
          <w:p w14:paraId="01D26D8C" w14:textId="77777777" w:rsidR="0063190A" w:rsidRPr="00B320E1" w:rsidRDefault="0063190A" w:rsidP="00F0391F">
            <w:pPr>
              <w:autoSpaceDE/>
              <w:autoSpaceDN/>
            </w:pPr>
          </w:p>
          <w:p w14:paraId="00C15174" w14:textId="77777777" w:rsidR="0063190A" w:rsidRPr="00B320E1" w:rsidRDefault="0063190A" w:rsidP="00F0391F">
            <w:pPr>
              <w:pStyle w:val="a3"/>
              <w:numPr>
                <w:ilvl w:val="0"/>
                <w:numId w:val="18"/>
              </w:numPr>
              <w:suppressAutoHyphens/>
              <w:autoSpaceDE/>
              <w:autoSpaceDN/>
              <w:ind w:left="567" w:hanging="567"/>
              <w:rPr>
                <w:rFonts w:eastAsia="MS Mincho"/>
                <w:noProof/>
              </w:rPr>
            </w:pPr>
            <w:r w:rsidRPr="00B320E1">
              <w:t xml:space="preserve">Empfohlene Injektionsstellen sind: </w:t>
            </w:r>
          </w:p>
          <w:p w14:paraId="135E8E76" w14:textId="77777777" w:rsidR="0063190A" w:rsidRPr="00B320E1" w:rsidRDefault="0063190A" w:rsidP="00F0391F">
            <w:pPr>
              <w:pStyle w:val="a3"/>
              <w:numPr>
                <w:ilvl w:val="0"/>
                <w:numId w:val="19"/>
              </w:numPr>
              <w:suppressAutoHyphens/>
              <w:autoSpaceDE/>
              <w:autoSpaceDN/>
              <w:ind w:left="1134" w:hanging="567"/>
              <w:rPr>
                <w:rFonts w:eastAsia="MS Mincho"/>
                <w:noProof/>
              </w:rPr>
            </w:pPr>
            <w:r w:rsidRPr="00B320E1">
              <w:t>die Vorderseite der Oberschenkel</w:t>
            </w:r>
          </w:p>
          <w:p w14:paraId="2D8BFBA3" w14:textId="77777777" w:rsidR="0063190A" w:rsidRPr="00B320E1" w:rsidRDefault="0063190A" w:rsidP="00F0391F">
            <w:pPr>
              <w:pStyle w:val="a3"/>
              <w:numPr>
                <w:ilvl w:val="0"/>
                <w:numId w:val="19"/>
              </w:numPr>
              <w:suppressAutoHyphens/>
              <w:autoSpaceDE/>
              <w:autoSpaceDN/>
              <w:ind w:left="1134" w:hanging="567"/>
              <w:rPr>
                <w:rFonts w:eastAsia="MS Mincho"/>
                <w:noProof/>
              </w:rPr>
            </w:pPr>
            <w:r w:rsidRPr="00B320E1">
              <w:t>der Bauch, mit Ausnahme eines Bereichs von 5 cm um den Bauchnabel herum</w:t>
            </w:r>
          </w:p>
          <w:p w14:paraId="6E415A76" w14:textId="77777777" w:rsidR="0063190A" w:rsidRPr="00B320E1" w:rsidRDefault="0063190A" w:rsidP="00F0391F">
            <w:pPr>
              <w:pStyle w:val="a3"/>
              <w:numPr>
                <w:ilvl w:val="0"/>
                <w:numId w:val="19"/>
              </w:numPr>
              <w:suppressAutoHyphens/>
              <w:autoSpaceDE/>
              <w:autoSpaceDN/>
              <w:ind w:left="1134" w:hanging="567"/>
              <w:rPr>
                <w:rFonts w:eastAsia="MS Mincho"/>
                <w:noProof/>
              </w:rPr>
            </w:pPr>
            <w:r w:rsidRPr="00B320E1">
              <w:t>die Außenseite der Oberarme (nur für Pflegepersonen oder medizinische Fachkräfte).</w:t>
            </w:r>
          </w:p>
          <w:p w14:paraId="5C384066" w14:textId="77777777" w:rsidR="0063190A" w:rsidRPr="00B320E1" w:rsidRDefault="0063190A" w:rsidP="00F0391F">
            <w:pPr>
              <w:pStyle w:val="a3"/>
              <w:numPr>
                <w:ilvl w:val="0"/>
                <w:numId w:val="13"/>
              </w:numPr>
              <w:suppressAutoHyphens/>
              <w:autoSpaceDE/>
              <w:autoSpaceDN/>
              <w:ind w:left="1134" w:hanging="567"/>
              <w:rPr>
                <w:rFonts w:eastAsia="MS Mincho"/>
                <w:noProof/>
              </w:rPr>
            </w:pPr>
            <w:r w:rsidRPr="00B320E1">
              <w:t xml:space="preserve">Verabreichen Sie sich </w:t>
            </w:r>
            <w:r w:rsidRPr="00B320E1">
              <w:rPr>
                <w:b/>
              </w:rPr>
              <w:t>nicht</w:t>
            </w:r>
            <w:r w:rsidRPr="00B320E1">
              <w:t xml:space="preserve"> selbst die Injektion in den Oberarm.</w:t>
            </w:r>
          </w:p>
          <w:p w14:paraId="750B79AB" w14:textId="77777777" w:rsidR="0063190A" w:rsidRPr="00B320E1" w:rsidRDefault="0063190A" w:rsidP="00F0391F">
            <w:pPr>
              <w:pStyle w:val="a3"/>
              <w:numPr>
                <w:ilvl w:val="0"/>
                <w:numId w:val="13"/>
              </w:numPr>
              <w:suppressAutoHyphens/>
              <w:autoSpaceDE/>
              <w:autoSpaceDN/>
              <w:ind w:left="1134" w:hanging="567"/>
              <w:rPr>
                <w:rFonts w:eastAsia="MS Mincho"/>
                <w:noProof/>
              </w:rPr>
            </w:pPr>
            <w:r w:rsidRPr="00B320E1">
              <w:t>Wählen Sie für jede neue Injektion eine andere Injektionsstelle, die mindestens 2,5 cm von der vorhergehenden entfernt ist.</w:t>
            </w:r>
          </w:p>
          <w:p w14:paraId="5447958C" w14:textId="77777777" w:rsidR="0063190A" w:rsidRPr="00B320E1" w:rsidRDefault="0063190A" w:rsidP="00F0391F">
            <w:pPr>
              <w:pStyle w:val="a3"/>
              <w:numPr>
                <w:ilvl w:val="0"/>
                <w:numId w:val="13"/>
              </w:numPr>
              <w:suppressAutoHyphens/>
              <w:autoSpaceDE/>
              <w:autoSpaceDN/>
              <w:ind w:left="1134" w:hanging="567"/>
              <w:rPr>
                <w:rFonts w:eastAsia="MS Mincho"/>
                <w:noProof/>
              </w:rPr>
            </w:pPr>
            <w:r w:rsidRPr="00B320E1">
              <w:t xml:space="preserve">Injizieren Sie </w:t>
            </w:r>
            <w:r w:rsidRPr="00B320E1">
              <w:rPr>
                <w:b/>
              </w:rPr>
              <w:t>nicht</w:t>
            </w:r>
            <w:r w:rsidRPr="00B320E1">
              <w:t xml:space="preserve"> in Leberflecken, Narbengewebe, blaue Flecken oder Bereiche, in denen die Haut empfindlich, gerötet oder verhärtet ist.</w:t>
            </w:r>
          </w:p>
          <w:p w14:paraId="5E20D0B7" w14:textId="77777777" w:rsidR="0063190A" w:rsidRPr="00F0391F" w:rsidRDefault="0063190A" w:rsidP="00B436C7">
            <w:pPr>
              <w:pStyle w:val="a3"/>
              <w:numPr>
                <w:ilvl w:val="0"/>
                <w:numId w:val="13"/>
              </w:numPr>
              <w:suppressAutoHyphens/>
              <w:autoSpaceDE/>
              <w:autoSpaceDN/>
              <w:ind w:left="1134" w:hanging="567"/>
              <w:rPr>
                <w:sz w:val="24"/>
                <w:szCs w:val="24"/>
              </w:rPr>
            </w:pPr>
          </w:p>
        </w:tc>
      </w:tr>
      <w:tr w:rsidR="0063190A" w:rsidRPr="0063190A" w14:paraId="7FC74151" w14:textId="77777777" w:rsidTr="00F0391F">
        <w:tblPrEx>
          <w:tblBorders>
            <w:insideV w:val="single" w:sz="4" w:space="0" w:color="auto"/>
          </w:tblBorders>
          <w:tblCellMar>
            <w:top w:w="0" w:type="dxa"/>
            <w:bottom w:w="0" w:type="dxa"/>
          </w:tblCellMar>
        </w:tblPrEx>
        <w:trPr>
          <w:gridAfter w:val="1"/>
          <w:wAfter w:w="29" w:type="dxa"/>
        </w:trPr>
        <w:tc>
          <w:tcPr>
            <w:tcW w:w="3686" w:type="dxa"/>
            <w:gridSpan w:val="2"/>
          </w:tcPr>
          <w:p w14:paraId="481AE725" w14:textId="311B5B1B" w:rsidR="0063190A" w:rsidRPr="00F0391F" w:rsidRDefault="00A16FF2" w:rsidP="00F0391F">
            <w:pPr>
              <w:suppressAutoHyphens/>
              <w:autoSpaceDE/>
              <w:autoSpaceDN/>
              <w:rPr>
                <w:noProof/>
                <w:sz w:val="24"/>
                <w:szCs w:val="24"/>
              </w:rPr>
            </w:pPr>
            <w:r>
              <w:rPr>
                <w:noProof/>
                <w:sz w:val="24"/>
                <w:szCs w:val="24"/>
                <w:lang w:val="en-US" w:eastAsia="ko-KR"/>
              </w:rPr>
              <w:drawing>
                <wp:inline distT="0" distB="0" distL="0" distR="0" wp14:anchorId="5409C69C" wp14:editId="14B9A5D3">
                  <wp:extent cx="2073275" cy="2583815"/>
                  <wp:effectExtent l="19050" t="19050" r="3175" b="6985"/>
                  <wp:docPr id="15" name="그림 1185998282"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85998282" descr="스케치, 라인 아트, 클립아트, 그림이(가) 표시된 사진&#10;&#10;자동 생성된 설명"/>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3275" cy="2583815"/>
                          </a:xfrm>
                          <a:prstGeom prst="rect">
                            <a:avLst/>
                          </a:prstGeom>
                          <a:noFill/>
                          <a:ln w="9525" cmpd="sng">
                            <a:solidFill>
                              <a:srgbClr val="000000"/>
                            </a:solidFill>
                            <a:miter lim="800000"/>
                            <a:headEnd/>
                            <a:tailEnd/>
                          </a:ln>
                          <a:effectLst/>
                        </pic:spPr>
                      </pic:pic>
                    </a:graphicData>
                  </a:graphic>
                </wp:inline>
              </w:drawing>
            </w:r>
          </w:p>
          <w:p w14:paraId="4B2249B0" w14:textId="1CBD1733" w:rsidR="0063190A" w:rsidRPr="00F0391F" w:rsidRDefault="0063190A" w:rsidP="00F0391F">
            <w:pPr>
              <w:suppressAutoHyphens/>
              <w:autoSpaceDE/>
              <w:autoSpaceDN/>
              <w:jc w:val="right"/>
              <w:rPr>
                <w:b/>
                <w:bCs/>
                <w:noProof/>
                <w:sz w:val="24"/>
                <w:szCs w:val="24"/>
              </w:rPr>
            </w:pPr>
            <w:r w:rsidRPr="00B320E1">
              <w:rPr>
                <w:b/>
                <w:bCs/>
                <w:noProof/>
              </w:rPr>
              <w:t>Abbildung I</w:t>
            </w:r>
          </w:p>
        </w:tc>
        <w:tc>
          <w:tcPr>
            <w:tcW w:w="5670" w:type="dxa"/>
          </w:tcPr>
          <w:p w14:paraId="25191DB6" w14:textId="77777777" w:rsidR="0063190A" w:rsidRPr="00B320E1" w:rsidRDefault="0063190A" w:rsidP="00F0391F">
            <w:pPr>
              <w:pStyle w:val="a3"/>
              <w:numPr>
                <w:ilvl w:val="0"/>
                <w:numId w:val="10"/>
              </w:numPr>
              <w:suppressAutoHyphens/>
              <w:autoSpaceDE/>
              <w:autoSpaceDN/>
              <w:ind w:left="567" w:hanging="567"/>
              <w:rPr>
                <w:b/>
              </w:rPr>
            </w:pPr>
            <w:r w:rsidRPr="00B320E1">
              <w:rPr>
                <w:b/>
              </w:rPr>
              <w:t>Reinigen Sie die Injektionsstelle.</w:t>
            </w:r>
          </w:p>
          <w:p w14:paraId="4F9583DE" w14:textId="77777777" w:rsidR="0063190A" w:rsidRPr="00B320E1" w:rsidRDefault="0063190A" w:rsidP="00F0391F">
            <w:pPr>
              <w:suppressAutoHyphens/>
              <w:autoSpaceDE/>
              <w:autoSpaceDN/>
              <w:ind w:left="567" w:hanging="567"/>
              <w:rPr>
                <w:noProof/>
              </w:rPr>
            </w:pPr>
          </w:p>
          <w:p w14:paraId="35F0B0B1" w14:textId="77777777" w:rsidR="0063190A" w:rsidRPr="00B320E1" w:rsidRDefault="0063190A" w:rsidP="00F0391F">
            <w:pPr>
              <w:pStyle w:val="a3"/>
              <w:numPr>
                <w:ilvl w:val="0"/>
                <w:numId w:val="20"/>
              </w:numPr>
              <w:suppressAutoHyphens/>
              <w:autoSpaceDE/>
              <w:autoSpaceDN/>
              <w:ind w:left="567" w:hanging="567"/>
              <w:rPr>
                <w:rFonts w:eastAsia="MS Mincho"/>
                <w:noProof/>
              </w:rPr>
            </w:pPr>
            <w:r w:rsidRPr="00B320E1">
              <w:t xml:space="preserve">Reinigen Sie die Injektionsstelle mit einem Alkoholtupfer und lassen Sie sie etwa 10 Sekunden lang an der Luft trocknen (siehe </w:t>
            </w:r>
            <w:r w:rsidRPr="00B320E1">
              <w:rPr>
                <w:b/>
                <w:bCs/>
              </w:rPr>
              <w:t>Abbildung I</w:t>
            </w:r>
            <w:r w:rsidRPr="00B320E1">
              <w:t>). Dadurch wird das Risiko für Infektionen verringert.</w:t>
            </w:r>
          </w:p>
          <w:p w14:paraId="6DB7565B" w14:textId="77777777" w:rsidR="0063190A" w:rsidRPr="00B320E1" w:rsidRDefault="0063190A" w:rsidP="00F0391F">
            <w:pPr>
              <w:pStyle w:val="a3"/>
              <w:numPr>
                <w:ilvl w:val="0"/>
                <w:numId w:val="13"/>
              </w:numPr>
              <w:suppressAutoHyphens/>
              <w:autoSpaceDE/>
              <w:autoSpaceDN/>
              <w:ind w:left="1134" w:hanging="567"/>
              <w:rPr>
                <w:rFonts w:eastAsia="MS Mincho"/>
                <w:noProof/>
              </w:rPr>
            </w:pPr>
            <w:r w:rsidRPr="00B320E1">
              <w:t xml:space="preserve">Berühren Sie die Injektionsstelle vor Verabreichung der Injektion </w:t>
            </w:r>
            <w:r w:rsidRPr="00B320E1">
              <w:rPr>
                <w:b/>
                <w:bCs/>
              </w:rPr>
              <w:t>nicht</w:t>
            </w:r>
            <w:r w:rsidRPr="00B320E1">
              <w:t xml:space="preserve"> mehr.</w:t>
            </w:r>
          </w:p>
          <w:p w14:paraId="109D6225" w14:textId="28AC52D5" w:rsidR="0063190A" w:rsidRPr="00B320E1" w:rsidRDefault="0063190A" w:rsidP="00F0391F">
            <w:pPr>
              <w:pStyle w:val="a3"/>
              <w:numPr>
                <w:ilvl w:val="0"/>
                <w:numId w:val="13"/>
              </w:numPr>
              <w:suppressAutoHyphens/>
              <w:autoSpaceDE/>
              <w:autoSpaceDN/>
              <w:ind w:left="1134" w:hanging="567"/>
              <w:rPr>
                <w:rFonts w:eastAsia="MS Mincho"/>
                <w:noProof/>
              </w:rPr>
            </w:pPr>
            <w:r w:rsidRPr="00B320E1">
              <w:t xml:space="preserve">Fächern oder pusten Sie </w:t>
            </w:r>
            <w:r w:rsidRPr="00B320E1">
              <w:rPr>
                <w:b/>
                <w:bCs/>
              </w:rPr>
              <w:t>nicht</w:t>
            </w:r>
            <w:r w:rsidRPr="00B320E1">
              <w:t xml:space="preserve"> auf die gereinigte Stelle.</w:t>
            </w:r>
          </w:p>
          <w:p w14:paraId="2CF9A1F7" w14:textId="77777777" w:rsidR="0063190A" w:rsidRPr="00F0391F" w:rsidRDefault="0063190A" w:rsidP="00F0391F">
            <w:pPr>
              <w:autoSpaceDE/>
              <w:autoSpaceDN/>
              <w:rPr>
                <w:sz w:val="24"/>
                <w:szCs w:val="24"/>
              </w:rPr>
            </w:pPr>
          </w:p>
        </w:tc>
      </w:tr>
    </w:tbl>
    <w:p w14:paraId="593EAFE8" w14:textId="77777777" w:rsidR="008873C0" w:rsidRPr="0063190A" w:rsidRDefault="008873C0" w:rsidP="00BB4249">
      <w:pPr>
        <w:rPr>
          <w:b/>
          <w:bCs/>
        </w:rPr>
      </w:pPr>
    </w:p>
    <w:p w14:paraId="24DFDAAA" w14:textId="0558A0BD" w:rsidR="008873C0" w:rsidRDefault="0063190A" w:rsidP="00314391">
      <w:pPr>
        <w:keepNext/>
        <w:widowControl/>
        <w:rPr>
          <w:b/>
          <w:bCs/>
        </w:rPr>
      </w:pPr>
      <w:r>
        <w:rPr>
          <w:b/>
          <w:bCs/>
        </w:rPr>
        <w:t>Verabreichung der Injektion</w:t>
      </w:r>
    </w:p>
    <w:p w14:paraId="344C3E98" w14:textId="77777777" w:rsidR="0063190A" w:rsidRDefault="0063190A" w:rsidP="00314391">
      <w:pPr>
        <w:keepNext/>
        <w:widowControl/>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517"/>
      </w:tblGrid>
      <w:tr w:rsidR="0063190A" w:rsidRPr="0063190A" w14:paraId="695FF34B" w14:textId="77777777" w:rsidTr="00F0391F">
        <w:trPr>
          <w:cantSplit/>
        </w:trPr>
        <w:tc>
          <w:tcPr>
            <w:tcW w:w="3539" w:type="dxa"/>
          </w:tcPr>
          <w:p w14:paraId="020CC90F" w14:textId="2CD23E33" w:rsidR="0063190A"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510085AE" wp14:editId="09195B5A">
                  <wp:extent cx="2084070" cy="2583815"/>
                  <wp:effectExtent l="19050" t="19050" r="0" b="6985"/>
                  <wp:docPr id="16" name="그림 268006210"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8006210" descr="스케치, 그림, 라인 아트, 클립아트이(가) 표시된 사진&#10;&#10;자동 생성된 설명"/>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3F89E378" w14:textId="26D4630A" w:rsidR="0063190A" w:rsidRPr="00F0391F" w:rsidRDefault="0063190A" w:rsidP="00F0391F">
            <w:pPr>
              <w:suppressAutoHyphens/>
              <w:autoSpaceDE/>
              <w:autoSpaceDN/>
              <w:jc w:val="right"/>
              <w:rPr>
                <w:b/>
                <w:bCs/>
                <w:noProof/>
                <w:sz w:val="24"/>
                <w:szCs w:val="24"/>
              </w:rPr>
            </w:pPr>
            <w:r w:rsidRPr="00B320E1">
              <w:rPr>
                <w:b/>
                <w:bCs/>
                <w:noProof/>
              </w:rPr>
              <w:t>Abbildung J</w:t>
            </w:r>
          </w:p>
        </w:tc>
        <w:tc>
          <w:tcPr>
            <w:tcW w:w="5517" w:type="dxa"/>
          </w:tcPr>
          <w:p w14:paraId="66DCB80F" w14:textId="77777777" w:rsidR="0063190A" w:rsidRPr="00B320E1" w:rsidRDefault="0063190A" w:rsidP="00F0391F">
            <w:pPr>
              <w:pStyle w:val="a3"/>
              <w:numPr>
                <w:ilvl w:val="0"/>
                <w:numId w:val="10"/>
              </w:numPr>
              <w:suppressAutoHyphens/>
              <w:autoSpaceDE/>
              <w:autoSpaceDN/>
              <w:ind w:left="567" w:hanging="567"/>
              <w:rPr>
                <w:b/>
              </w:rPr>
            </w:pPr>
            <w:r w:rsidRPr="00B320E1">
              <w:rPr>
                <w:b/>
              </w:rPr>
              <w:t>Ziehen Sie die Schutzkappe ab.</w:t>
            </w:r>
          </w:p>
          <w:p w14:paraId="3C8DFE54" w14:textId="77777777" w:rsidR="0063190A" w:rsidRPr="00B320E1" w:rsidRDefault="0063190A" w:rsidP="00F0391F">
            <w:pPr>
              <w:pStyle w:val="Default"/>
              <w:autoSpaceDE/>
              <w:autoSpaceDN/>
              <w:ind w:left="567" w:hanging="567"/>
              <w:rPr>
                <w:rFonts w:eastAsia="새굴림"/>
                <w:sz w:val="20"/>
                <w:szCs w:val="20"/>
                <w:lang w:val="de-DE"/>
              </w:rPr>
            </w:pPr>
          </w:p>
          <w:p w14:paraId="2E629F0E" w14:textId="77777777" w:rsidR="0063190A" w:rsidRPr="00B320E1" w:rsidRDefault="0063190A" w:rsidP="00F0391F">
            <w:pPr>
              <w:pStyle w:val="a3"/>
              <w:numPr>
                <w:ilvl w:val="0"/>
                <w:numId w:val="21"/>
              </w:numPr>
              <w:autoSpaceDE/>
              <w:autoSpaceDN/>
              <w:ind w:left="567" w:hanging="567"/>
              <w:rPr>
                <w:bCs/>
              </w:rPr>
            </w:pPr>
            <w:r w:rsidRPr="00B320E1">
              <w:rPr>
                <w:color w:val="231F20"/>
              </w:rPr>
              <w:t>Halten Sie die Fertigspritze mit einer Hand am Spritzenkörper fest.</w:t>
            </w:r>
            <w:r w:rsidRPr="00B320E1">
              <w:rPr>
                <w:color w:val="231F20"/>
              </w:rPr>
              <w:br/>
            </w:r>
            <w:r w:rsidRPr="00B320E1">
              <w:t xml:space="preserve">Ziehen Sie die Schutzkappe mit der anderen Hand vorsichtig gerade ab (siehe </w:t>
            </w:r>
            <w:r w:rsidRPr="00B320E1">
              <w:rPr>
                <w:b/>
                <w:bCs/>
              </w:rPr>
              <w:t>Abbildung J</w:t>
            </w:r>
            <w:r w:rsidRPr="00B320E1">
              <w:t>).</w:t>
            </w:r>
          </w:p>
          <w:p w14:paraId="187C9AF4" w14:textId="77777777" w:rsidR="0063190A" w:rsidRPr="00B320E1" w:rsidRDefault="0063190A" w:rsidP="00F0391F">
            <w:pPr>
              <w:pStyle w:val="a3"/>
              <w:autoSpaceDE/>
              <w:autoSpaceDN/>
              <w:ind w:left="567"/>
              <w:rPr>
                <w:bCs/>
                <w:noProof/>
              </w:rPr>
            </w:pPr>
            <w:r w:rsidRPr="00B320E1">
              <w:rPr>
                <w:i/>
              </w:rPr>
              <w:t>Hinweis</w:t>
            </w:r>
            <w:r w:rsidRPr="00B320E1">
              <w:t>: Wenn Sie die Schutzkappe nicht abziehen können, sollten Sie eine Pflegeperson um Hilfe bitten oder mit Ihrem Arzt Kontakt aufnehmen.</w:t>
            </w:r>
          </w:p>
          <w:p w14:paraId="7F514553" w14:textId="77777777" w:rsidR="0063190A" w:rsidRPr="00B320E1" w:rsidRDefault="0063190A" w:rsidP="00F0391F">
            <w:pPr>
              <w:pStyle w:val="a3"/>
              <w:numPr>
                <w:ilvl w:val="12"/>
                <w:numId w:val="0"/>
              </w:numPr>
              <w:autoSpaceDE/>
              <w:autoSpaceDN/>
              <w:ind w:left="567" w:hanging="567"/>
              <w:rPr>
                <w:bCs/>
                <w:noProof/>
                <w:lang w:eastAsia="ko-KR"/>
              </w:rPr>
            </w:pPr>
          </w:p>
          <w:p w14:paraId="6BDD7451" w14:textId="77777777" w:rsidR="0063190A" w:rsidRPr="00B320E1" w:rsidRDefault="0063190A" w:rsidP="00F0391F">
            <w:pPr>
              <w:pStyle w:val="a3"/>
              <w:numPr>
                <w:ilvl w:val="0"/>
                <w:numId w:val="13"/>
              </w:numPr>
              <w:suppressAutoHyphens/>
              <w:autoSpaceDE/>
              <w:autoSpaceDN/>
              <w:ind w:left="1134" w:hanging="567"/>
            </w:pPr>
            <w:r w:rsidRPr="00B320E1">
              <w:t xml:space="preserve">Halten Sie die Spritze beim Abziehen der Schutzkappe </w:t>
            </w:r>
            <w:r w:rsidRPr="00B320E1">
              <w:rPr>
                <w:b/>
                <w:bCs/>
              </w:rPr>
              <w:t>nicht</w:t>
            </w:r>
            <w:r w:rsidRPr="00B320E1">
              <w:t xml:space="preserve"> am Kolben fest.</w:t>
            </w:r>
          </w:p>
          <w:p w14:paraId="29C4284F" w14:textId="77777777" w:rsidR="0063190A" w:rsidRPr="00B320E1" w:rsidRDefault="0063190A" w:rsidP="00F0391F">
            <w:pPr>
              <w:pStyle w:val="a3"/>
              <w:numPr>
                <w:ilvl w:val="0"/>
                <w:numId w:val="13"/>
              </w:numPr>
              <w:suppressAutoHyphens/>
              <w:autoSpaceDE/>
              <w:autoSpaceDN/>
              <w:ind w:left="1134" w:hanging="567"/>
              <w:rPr>
                <w:bCs/>
              </w:rPr>
            </w:pPr>
            <w:r w:rsidRPr="00B320E1">
              <w:t>An der Nadelspitze kann ein Tropfen Flüssigkeit zu sehen sein. Das ist normal.</w:t>
            </w:r>
          </w:p>
          <w:p w14:paraId="654B334B" w14:textId="77777777" w:rsidR="0063190A" w:rsidRPr="00B320E1" w:rsidRDefault="0063190A" w:rsidP="00F0391F">
            <w:pPr>
              <w:pStyle w:val="a3"/>
              <w:numPr>
                <w:ilvl w:val="0"/>
                <w:numId w:val="13"/>
              </w:numPr>
              <w:suppressAutoHyphens/>
              <w:autoSpaceDE/>
              <w:autoSpaceDN/>
              <w:ind w:left="1134" w:hanging="567"/>
              <w:rPr>
                <w:bCs/>
              </w:rPr>
            </w:pPr>
            <w:r w:rsidRPr="00B320E1">
              <w:t>Wird die Fertigspritze nicht innerhalb von 5 Minuten nach dem Abziehen der Schutzkappe verwendet, sollte die Fertigspritze im Nadelabwurfbehälter entsorgt und eine neue Fertigspritze verwendet werden.</w:t>
            </w:r>
          </w:p>
          <w:p w14:paraId="10FBA0DC" w14:textId="77777777" w:rsidR="0063190A" w:rsidRPr="00B320E1" w:rsidRDefault="0063190A" w:rsidP="00F0391F">
            <w:pPr>
              <w:pStyle w:val="a3"/>
              <w:numPr>
                <w:ilvl w:val="0"/>
                <w:numId w:val="21"/>
              </w:numPr>
              <w:autoSpaceDE/>
              <w:autoSpaceDN/>
              <w:ind w:left="567" w:hanging="567"/>
            </w:pPr>
            <w:r w:rsidRPr="00B320E1">
              <w:rPr>
                <w:color w:val="231F20"/>
              </w:rPr>
              <w:t xml:space="preserve">Entsorgen Sie die Schutzkappe umgehend in einem Nadelabwurfbehälter (siehe </w:t>
            </w:r>
            <w:r w:rsidRPr="00B320E1">
              <w:rPr>
                <w:b/>
                <w:bCs/>
                <w:color w:val="231F20"/>
              </w:rPr>
              <w:t>Schritt 14. Entsorgen Sie die Fertigspritze</w:t>
            </w:r>
            <w:r w:rsidRPr="00B320E1">
              <w:rPr>
                <w:color w:val="231F20"/>
              </w:rPr>
              <w:t xml:space="preserve"> und </w:t>
            </w:r>
            <w:r w:rsidRPr="00B320E1">
              <w:rPr>
                <w:b/>
                <w:bCs/>
                <w:color w:val="231F20"/>
              </w:rPr>
              <w:t>Abbildung N</w:t>
            </w:r>
            <w:r w:rsidRPr="00B320E1">
              <w:rPr>
                <w:color w:val="231F20"/>
              </w:rPr>
              <w:t>).</w:t>
            </w:r>
          </w:p>
          <w:p w14:paraId="3FB1381A" w14:textId="77777777" w:rsidR="0063190A" w:rsidRPr="00B320E1" w:rsidRDefault="0063190A" w:rsidP="00F0391F">
            <w:pPr>
              <w:pStyle w:val="a3"/>
              <w:autoSpaceDE/>
              <w:autoSpaceDN/>
              <w:ind w:left="567" w:hanging="567"/>
            </w:pPr>
          </w:p>
          <w:p w14:paraId="0CC21989" w14:textId="77777777" w:rsidR="0063190A" w:rsidRPr="00B320E1" w:rsidRDefault="0063190A" w:rsidP="00F0391F">
            <w:pPr>
              <w:pStyle w:val="a3"/>
              <w:numPr>
                <w:ilvl w:val="0"/>
                <w:numId w:val="13"/>
              </w:numPr>
              <w:suppressAutoHyphens/>
              <w:autoSpaceDE/>
              <w:autoSpaceDN/>
              <w:ind w:left="1134" w:hanging="567"/>
            </w:pPr>
            <w:r w:rsidRPr="00B320E1">
              <w:t xml:space="preserve">Setzen Sie die Schutzkappe </w:t>
            </w:r>
            <w:r w:rsidRPr="00B320E1">
              <w:rPr>
                <w:b/>
                <w:bCs/>
              </w:rPr>
              <w:t>nicht</w:t>
            </w:r>
            <w:r w:rsidRPr="00B320E1">
              <w:t xml:space="preserve"> wieder auf die Fertigspritze auf.</w:t>
            </w:r>
          </w:p>
          <w:p w14:paraId="5E2122E9" w14:textId="00308E75" w:rsidR="0063190A" w:rsidRPr="00B320E1" w:rsidRDefault="0063190A" w:rsidP="00F0391F">
            <w:pPr>
              <w:pStyle w:val="a3"/>
              <w:numPr>
                <w:ilvl w:val="0"/>
                <w:numId w:val="13"/>
              </w:numPr>
              <w:suppressAutoHyphens/>
              <w:autoSpaceDE/>
              <w:autoSpaceDN/>
              <w:ind w:left="1134" w:hanging="567"/>
              <w:rPr>
                <w:b/>
              </w:rPr>
            </w:pPr>
            <w:r w:rsidRPr="00B320E1">
              <w:t xml:space="preserve">Berühren Sie den Nadelschutz an der Spitze der Fertigspritze </w:t>
            </w:r>
            <w:r w:rsidRPr="00B320E1">
              <w:rPr>
                <w:b/>
                <w:bCs/>
              </w:rPr>
              <w:t>nicht</w:t>
            </w:r>
            <w:r w:rsidRPr="00B320E1">
              <w:t>, um eine versehentliche Nadelstichverletzung zu vermeiden.</w:t>
            </w:r>
          </w:p>
          <w:p w14:paraId="1ECE3F52" w14:textId="77777777" w:rsidR="0063190A" w:rsidRPr="00F0391F" w:rsidRDefault="0063190A" w:rsidP="00F0391F">
            <w:pPr>
              <w:autoSpaceDE/>
              <w:autoSpaceDN/>
              <w:rPr>
                <w:sz w:val="24"/>
                <w:szCs w:val="24"/>
              </w:rPr>
            </w:pPr>
          </w:p>
        </w:tc>
      </w:tr>
      <w:tr w:rsidR="0063190A" w:rsidRPr="0063190A" w14:paraId="12202B35" w14:textId="77777777" w:rsidTr="00F0391F">
        <w:trPr>
          <w:cantSplit/>
        </w:trPr>
        <w:tc>
          <w:tcPr>
            <w:tcW w:w="3539" w:type="dxa"/>
          </w:tcPr>
          <w:p w14:paraId="21058187" w14:textId="4DBDF70E" w:rsidR="0063190A" w:rsidRPr="00F0391F" w:rsidRDefault="00A16FF2" w:rsidP="00F0391F">
            <w:pPr>
              <w:suppressAutoHyphens/>
              <w:autoSpaceDE/>
              <w:autoSpaceDN/>
              <w:jc w:val="right"/>
              <w:rPr>
                <w:noProof/>
                <w:sz w:val="24"/>
                <w:szCs w:val="24"/>
              </w:rPr>
            </w:pPr>
            <w:r>
              <w:rPr>
                <w:noProof/>
                <w:lang w:val="en-US" w:eastAsia="ko-KR"/>
              </w:rPr>
              <w:lastRenderedPageBreak/>
              <mc:AlternateContent>
                <mc:Choice Requires="wps">
                  <w:drawing>
                    <wp:anchor distT="45720" distB="45720" distL="114300" distR="114300" simplePos="0" relativeHeight="251658264" behindDoc="0" locked="0" layoutInCell="1" allowOverlap="1" wp14:anchorId="18856EA8" wp14:editId="1E80C979">
                      <wp:simplePos x="0" y="0"/>
                      <wp:positionH relativeFrom="column">
                        <wp:posOffset>8255</wp:posOffset>
                      </wp:positionH>
                      <wp:positionV relativeFrom="page">
                        <wp:posOffset>1730375</wp:posOffset>
                      </wp:positionV>
                      <wp:extent cx="1983740" cy="277495"/>
                      <wp:effectExtent l="0" t="0" r="0" b="0"/>
                      <wp:wrapNone/>
                      <wp:docPr id="540269747"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a:noFill/>
                              </a:ln>
                            </wps:spPr>
                            <wps:txbx>
                              <w:txbxContent>
                                <w:p w14:paraId="5D97C988" w14:textId="7E414A77" w:rsidR="00456610" w:rsidRPr="00F0391F" w:rsidRDefault="00456610" w:rsidP="0063190A">
                                  <w:pPr>
                                    <w:jc w:val="center"/>
                                    <w:rPr>
                                      <w:rFonts w:ascii="Arial" w:hAnsi="Arial" w:cs="Arial"/>
                                      <w:b/>
                                      <w:bCs/>
                                      <w:color w:val="FFFFFF"/>
                                      <w:sz w:val="28"/>
                                      <w:szCs w:val="28"/>
                                    </w:rPr>
                                  </w:pPr>
                                  <w:r w:rsidRPr="00B45061">
                                    <w:rPr>
                                      <w:rFonts w:ascii="Arial" w:hAnsi="Arial" w:cs="Arial"/>
                                      <w:b/>
                                      <w:bCs/>
                                      <w:color w:val="FFFFFF"/>
                                      <w:sz w:val="28"/>
                                      <w:szCs w:val="28"/>
                                    </w:rPr>
                                    <w:t>ODER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856EA8" id="Text Box 75" o:spid="_x0000_s1050" type="#_x0000_t202" style="position:absolute;left:0;text-align:left;margin-left:.65pt;margin-top:136.25pt;width:156.2pt;height:21.85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" filled="f" stroked="f">
                      <v:textbox inset="0,0,0,0">
                        <w:txbxContent>
                          <w:p w14:paraId="5D97C988" w14:textId="7E414A77" w:rsidR="00456610" w:rsidRPr="00F0391F" w:rsidRDefault="00456610" w:rsidP="0063190A">
                            <w:pPr>
                              <w:jc w:val="center"/>
                              <w:rPr>
                                <w:rFonts w:ascii="Arial" w:hAnsi="Arial" w:cs="Arial"/>
                                <w:b/>
                                <w:bCs/>
                                <w:color w:val="FFFFFF"/>
                                <w:sz w:val="28"/>
                                <w:szCs w:val="28"/>
                              </w:rPr>
                            </w:pPr>
                            <w:r w:rsidRPr="00B45061">
                              <w:rPr>
                                <w:rFonts w:ascii="Arial" w:hAnsi="Arial" w:cs="Arial"/>
                                <w:b/>
                                <w:bCs/>
                                <w:color w:val="FFFFFF"/>
                                <w:sz w:val="28"/>
                                <w:szCs w:val="28"/>
                              </w:rPr>
                              <w:t>ODER</w:t>
                            </w:r>
                          </w:p>
                        </w:txbxContent>
                      </v:textbox>
                      <w10:wrap anchory="page"/>
                    </v:shape>
                  </w:pict>
                </mc:Fallback>
              </mc:AlternateContent>
            </w:r>
            <w:r>
              <w:rPr>
                <w:noProof/>
                <w:sz w:val="24"/>
                <w:szCs w:val="24"/>
                <w:lang w:val="en-US" w:eastAsia="ko-KR"/>
              </w:rPr>
              <w:drawing>
                <wp:inline distT="0" distB="0" distL="0" distR="0" wp14:anchorId="07F47802" wp14:editId="39E4C908">
                  <wp:extent cx="2073275" cy="3561715"/>
                  <wp:effectExtent l="19050" t="19050" r="3175" b="635"/>
                  <wp:docPr id="17" name="그림 627406449" descr="그림, 스케치,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27406449" descr="그림, 스케치, 만화 영화, 클립아트이(가) 표시된 사진&#10;&#10;자동 생성된 설명"/>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3275" cy="3561715"/>
                          </a:xfrm>
                          <a:prstGeom prst="rect">
                            <a:avLst/>
                          </a:prstGeom>
                          <a:noFill/>
                          <a:ln w="9525" cmpd="sng">
                            <a:solidFill>
                              <a:srgbClr val="000000"/>
                            </a:solidFill>
                            <a:miter lim="800000"/>
                            <a:headEnd/>
                            <a:tailEnd/>
                          </a:ln>
                          <a:effectLst/>
                        </pic:spPr>
                      </pic:pic>
                    </a:graphicData>
                  </a:graphic>
                </wp:inline>
              </w:drawing>
            </w:r>
          </w:p>
          <w:p w14:paraId="6B46E67E" w14:textId="3F4A011F" w:rsidR="0063190A" w:rsidRPr="00F0391F" w:rsidRDefault="00A16FF2" w:rsidP="00F0391F">
            <w:pPr>
              <w:suppressAutoHyphens/>
              <w:autoSpaceDE/>
              <w:autoSpaceDN/>
              <w:jc w:val="right"/>
              <w:rPr>
                <w:b/>
                <w:bCs/>
                <w:noProof/>
                <w:sz w:val="24"/>
                <w:szCs w:val="24"/>
              </w:rPr>
            </w:pPr>
            <w:r>
              <w:rPr>
                <w:noProof/>
                <w:sz w:val="20"/>
                <w:szCs w:val="20"/>
                <w:lang w:val="en-US" w:eastAsia="ko-KR"/>
              </w:rPr>
              <mc:AlternateContent>
                <mc:Choice Requires="wps">
                  <w:drawing>
                    <wp:anchor distT="45720" distB="45720" distL="114300" distR="114300" simplePos="0" relativeHeight="251658262" behindDoc="0" locked="0" layoutInCell="1" allowOverlap="1" wp14:anchorId="2B962C36" wp14:editId="38E4DEF4">
                      <wp:simplePos x="0" y="0"/>
                      <wp:positionH relativeFrom="column">
                        <wp:posOffset>950595</wp:posOffset>
                      </wp:positionH>
                      <wp:positionV relativeFrom="page">
                        <wp:posOffset>381635</wp:posOffset>
                      </wp:positionV>
                      <wp:extent cx="629920" cy="408940"/>
                      <wp:effectExtent l="0" t="0" r="0" b="0"/>
                      <wp:wrapNone/>
                      <wp:docPr id="134088480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6A4E0218" w14:textId="77777777" w:rsidR="00456610" w:rsidRPr="00EF1826" w:rsidRDefault="00456610" w:rsidP="0063190A">
                                  <w:pPr>
                                    <w:rPr>
                                      <w:rFonts w:ascii="Arial" w:hAnsi="Arial" w:cs="Arial"/>
                                      <w:b/>
                                      <w:bCs/>
                                      <w:sz w:val="28"/>
                                      <w:szCs w:val="28"/>
                                    </w:rPr>
                                  </w:pPr>
                                  <w:r>
                                    <w:rPr>
                                      <w:rFonts w:ascii="Arial" w:hAnsi="Arial" w:cs="Arial"/>
                                      <w:b/>
                                      <w:bCs/>
                                      <w:sz w:val="28"/>
                                      <w:szCs w:val="28"/>
                                    </w:rPr>
                                    <w:t>45</w:t>
                                  </w:r>
                                  <w:r w:rsidRPr="00EF1826">
                                    <w:rPr>
                                      <w:rFonts w:ascii="Arial" w:hAnsi="Arial" w:cs="Arial"/>
                                      <w:b/>
                                      <w:bCs/>
                                      <w:sz w:val="28"/>
                                      <w:szCs w:val="28"/>
                                    </w:rPr>
                                    <w:t>°</w:t>
                                  </w:r>
                                </w:p>
                                <w:p w14:paraId="4DB353E5" w14:textId="77777777" w:rsidR="00456610" w:rsidRPr="00EF1826" w:rsidRDefault="00456610" w:rsidP="0063190A">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B962C36" id="Text Box 73" o:spid="_x0000_s1051" type="#_x0000_t202" style="position:absolute;left:0;text-align:left;margin-left:74.85pt;margin-top:30.05pt;width:49.6pt;height:32.2pt;z-index:25165826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" filled="f" stroked="f">
                      <v:textbox style="mso-fit-shape-to-text:t" inset="0,0,0,0">
                        <w:txbxContent>
                          <w:p w14:paraId="6A4E0218" w14:textId="77777777" w:rsidR="00456610" w:rsidRPr="00EF1826" w:rsidRDefault="00456610" w:rsidP="0063190A">
                            <w:pPr>
                              <w:rPr>
                                <w:rFonts w:ascii="Arial" w:hAnsi="Arial" w:cs="Arial"/>
                                <w:b/>
                                <w:bCs/>
                                <w:sz w:val="28"/>
                                <w:szCs w:val="28"/>
                              </w:rPr>
                            </w:pPr>
                            <w:r>
                              <w:rPr>
                                <w:rFonts w:ascii="Arial" w:hAnsi="Arial" w:cs="Arial"/>
                                <w:b/>
                                <w:bCs/>
                                <w:sz w:val="28"/>
                                <w:szCs w:val="28"/>
                              </w:rPr>
                              <w:t>45</w:t>
                            </w:r>
                            <w:r w:rsidRPr="00EF1826">
                              <w:rPr>
                                <w:rFonts w:ascii="Arial" w:hAnsi="Arial" w:cs="Arial"/>
                                <w:b/>
                                <w:bCs/>
                                <w:sz w:val="28"/>
                                <w:szCs w:val="28"/>
                              </w:rPr>
                              <w:t>°</w:t>
                            </w:r>
                          </w:p>
                          <w:p w14:paraId="4DB353E5" w14:textId="77777777" w:rsidR="00456610" w:rsidRPr="00EF1826" w:rsidRDefault="00456610" w:rsidP="0063190A">
                            <w:pPr>
                              <w:rPr>
                                <w:rFonts w:ascii="Arial" w:hAnsi="Arial" w:cs="Arial"/>
                                <w:b/>
                                <w:bCs/>
                                <w:sz w:val="28"/>
                                <w:szCs w:val="28"/>
                              </w:rPr>
                            </w:pPr>
                          </w:p>
                        </w:txbxContent>
                      </v:textbox>
                      <w10:wrap anchory="page"/>
                    </v:shape>
                  </w:pict>
                </mc:Fallback>
              </mc:AlternateContent>
            </w:r>
            <w:r>
              <w:rPr>
                <w:noProof/>
                <w:sz w:val="20"/>
                <w:szCs w:val="20"/>
                <w:lang w:val="en-US" w:eastAsia="ko-KR"/>
              </w:rPr>
              <mc:AlternateContent>
                <mc:Choice Requires="wps">
                  <w:drawing>
                    <wp:anchor distT="45720" distB="45720" distL="114300" distR="114300" simplePos="0" relativeHeight="251658265" behindDoc="0" locked="0" layoutInCell="1" allowOverlap="1" wp14:anchorId="64242650" wp14:editId="61C8A259">
                      <wp:simplePos x="0" y="0"/>
                      <wp:positionH relativeFrom="column">
                        <wp:posOffset>422275</wp:posOffset>
                      </wp:positionH>
                      <wp:positionV relativeFrom="page">
                        <wp:posOffset>264160</wp:posOffset>
                      </wp:positionV>
                      <wp:extent cx="629920" cy="408940"/>
                      <wp:effectExtent l="0" t="0" r="0" b="0"/>
                      <wp:wrapNone/>
                      <wp:docPr id="126273855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4F8044C0" w14:textId="77777777" w:rsidR="00456610" w:rsidRPr="00EF1826" w:rsidRDefault="00456610" w:rsidP="0063190A">
                                  <w:pPr>
                                    <w:rPr>
                                      <w:rFonts w:ascii="Arial" w:hAnsi="Arial" w:cs="Arial"/>
                                      <w:b/>
                                      <w:bCs/>
                                      <w:sz w:val="28"/>
                                      <w:szCs w:val="28"/>
                                    </w:rPr>
                                  </w:pPr>
                                  <w:r w:rsidRPr="00EF1826">
                                    <w:rPr>
                                      <w:rFonts w:ascii="Arial" w:hAnsi="Arial" w:cs="Arial"/>
                                      <w:b/>
                                      <w:bCs/>
                                      <w:sz w:val="28"/>
                                      <w:szCs w:val="28"/>
                                    </w:rPr>
                                    <w:t>90°</w:t>
                                  </w:r>
                                </w:p>
                                <w:p w14:paraId="06DA4D00" w14:textId="77777777" w:rsidR="00456610" w:rsidRPr="00EF1826" w:rsidRDefault="00456610" w:rsidP="0063190A">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4242650" id="Text Box 71" o:spid="_x0000_s1052" type="#_x0000_t202" style="position:absolute;left:0;text-align:left;margin-left:33.25pt;margin-top:20.8pt;width:49.6pt;height:32.2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" filled="f" stroked="f">
                      <v:textbox style="mso-fit-shape-to-text:t" inset="0,0,0,0">
                        <w:txbxContent>
                          <w:p w14:paraId="4F8044C0" w14:textId="77777777" w:rsidR="00456610" w:rsidRPr="00EF1826" w:rsidRDefault="00456610" w:rsidP="0063190A">
                            <w:pPr>
                              <w:rPr>
                                <w:rFonts w:ascii="Arial" w:hAnsi="Arial" w:cs="Arial"/>
                                <w:b/>
                                <w:bCs/>
                                <w:sz w:val="28"/>
                                <w:szCs w:val="28"/>
                              </w:rPr>
                            </w:pPr>
                            <w:r w:rsidRPr="00EF1826">
                              <w:rPr>
                                <w:rFonts w:ascii="Arial" w:hAnsi="Arial" w:cs="Arial"/>
                                <w:b/>
                                <w:bCs/>
                                <w:sz w:val="28"/>
                                <w:szCs w:val="28"/>
                              </w:rPr>
                              <w:t>90°</w:t>
                            </w:r>
                          </w:p>
                          <w:p w14:paraId="06DA4D00" w14:textId="77777777" w:rsidR="00456610" w:rsidRPr="00EF1826" w:rsidRDefault="00456610" w:rsidP="0063190A">
                            <w:pPr>
                              <w:rPr>
                                <w:rFonts w:ascii="Arial" w:hAnsi="Arial" w:cs="Arial"/>
                                <w:b/>
                                <w:bCs/>
                                <w:sz w:val="28"/>
                                <w:szCs w:val="28"/>
                              </w:rPr>
                            </w:pPr>
                          </w:p>
                        </w:txbxContent>
                      </v:textbox>
                      <w10:wrap anchory="page"/>
                    </v:shape>
                  </w:pict>
                </mc:Fallback>
              </mc:AlternateContent>
            </w:r>
            <w:r>
              <w:rPr>
                <w:noProof/>
                <w:sz w:val="20"/>
                <w:szCs w:val="20"/>
                <w:lang w:val="en-US" w:eastAsia="ko-KR"/>
              </w:rPr>
              <mc:AlternateContent>
                <mc:Choice Requires="wps">
                  <w:drawing>
                    <wp:anchor distT="45720" distB="45720" distL="114300" distR="114300" simplePos="0" relativeHeight="251658266" behindDoc="0" locked="0" layoutInCell="1" allowOverlap="1" wp14:anchorId="19D987C7" wp14:editId="0FD01A9B">
                      <wp:simplePos x="0" y="0"/>
                      <wp:positionH relativeFrom="column">
                        <wp:posOffset>598170</wp:posOffset>
                      </wp:positionH>
                      <wp:positionV relativeFrom="page">
                        <wp:posOffset>500380</wp:posOffset>
                      </wp:positionV>
                      <wp:extent cx="629920" cy="306705"/>
                      <wp:effectExtent l="0" t="0" r="0" b="0"/>
                      <wp:wrapNone/>
                      <wp:docPr id="2080720332"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4F6B430E" w14:textId="77777777" w:rsidR="00456610" w:rsidRPr="00EF1826" w:rsidRDefault="00456610" w:rsidP="0063190A">
                                  <w:pPr>
                                    <w:rPr>
                                      <w:rFonts w:ascii="Arial" w:hAnsi="Arial" w:cs="Arial"/>
                                      <w:b/>
                                      <w:bCs/>
                                      <w:sz w:val="21"/>
                                      <w:szCs w:val="21"/>
                                    </w:rPr>
                                  </w:pPr>
                                  <w:r w:rsidRPr="00EF1826">
                                    <w:rPr>
                                      <w:rFonts w:ascii="Arial" w:hAnsi="Arial" w:cs="Arial"/>
                                      <w:b/>
                                      <w:bCs/>
                                      <w:sz w:val="21"/>
                                      <w:szCs w:val="21"/>
                                    </w:rPr>
                                    <w:t>OK</w:t>
                                  </w:r>
                                </w:p>
                                <w:p w14:paraId="60F843C7" w14:textId="77777777" w:rsidR="00456610" w:rsidRPr="00EF1826" w:rsidRDefault="00456610" w:rsidP="0063190A">
                                  <w:pPr>
                                    <w:rPr>
                                      <w:rFonts w:ascii="Arial" w:hAnsi="Arial" w:cs="Arial"/>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9D987C7" id="Text Box 69" o:spid="_x0000_s1053" type="#_x0000_t202" style="position:absolute;left:0;text-align:left;margin-left:47.1pt;margin-top:39.4pt;width:49.6pt;height:24.1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" filled="f" stroked="f">
                      <v:textbox style="mso-fit-shape-to-text:t" inset="0,0,0,0">
                        <w:txbxContent>
                          <w:p w14:paraId="4F6B430E" w14:textId="77777777" w:rsidR="00456610" w:rsidRPr="00EF1826" w:rsidRDefault="00456610" w:rsidP="0063190A">
                            <w:pPr>
                              <w:rPr>
                                <w:rFonts w:ascii="Arial" w:hAnsi="Arial" w:cs="Arial"/>
                                <w:b/>
                                <w:bCs/>
                                <w:sz w:val="21"/>
                                <w:szCs w:val="21"/>
                              </w:rPr>
                            </w:pPr>
                            <w:r w:rsidRPr="00EF1826">
                              <w:rPr>
                                <w:rFonts w:ascii="Arial" w:hAnsi="Arial" w:cs="Arial"/>
                                <w:b/>
                                <w:bCs/>
                                <w:sz w:val="21"/>
                                <w:szCs w:val="21"/>
                              </w:rPr>
                              <w:t>OK</w:t>
                            </w:r>
                          </w:p>
                          <w:p w14:paraId="60F843C7" w14:textId="77777777" w:rsidR="00456610" w:rsidRPr="00EF1826" w:rsidRDefault="00456610" w:rsidP="0063190A">
                            <w:pPr>
                              <w:rPr>
                                <w:rFonts w:ascii="Arial" w:hAnsi="Arial" w:cs="Arial"/>
                                <w:b/>
                                <w:bCs/>
                                <w:sz w:val="21"/>
                                <w:szCs w:val="21"/>
                              </w:rPr>
                            </w:pPr>
                          </w:p>
                        </w:txbxContent>
                      </v:textbox>
                      <w10:wrap anchory="page"/>
                    </v:shape>
                  </w:pict>
                </mc:Fallback>
              </mc:AlternateContent>
            </w:r>
            <w:r>
              <w:rPr>
                <w:noProof/>
                <w:sz w:val="20"/>
                <w:szCs w:val="20"/>
                <w:lang w:val="en-US" w:eastAsia="ko-KR"/>
              </w:rPr>
              <mc:AlternateContent>
                <mc:Choice Requires="wps">
                  <w:drawing>
                    <wp:anchor distT="45720" distB="45720" distL="114300" distR="114300" simplePos="0" relativeHeight="251658267" behindDoc="0" locked="0" layoutInCell="1" allowOverlap="1" wp14:anchorId="5D4955B6" wp14:editId="446743C7">
                      <wp:simplePos x="0" y="0"/>
                      <wp:positionH relativeFrom="column">
                        <wp:posOffset>594360</wp:posOffset>
                      </wp:positionH>
                      <wp:positionV relativeFrom="page">
                        <wp:posOffset>2816225</wp:posOffset>
                      </wp:positionV>
                      <wp:extent cx="629920" cy="408940"/>
                      <wp:effectExtent l="0" t="0" r="0" b="0"/>
                      <wp:wrapNone/>
                      <wp:docPr id="149004654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3D9FA5EC" w14:textId="77777777" w:rsidR="00456610" w:rsidRPr="00EF1826" w:rsidRDefault="00456610" w:rsidP="0063190A">
                                  <w:pPr>
                                    <w:rPr>
                                      <w:rFonts w:ascii="Arial" w:hAnsi="Arial" w:cs="Arial"/>
                                      <w:b/>
                                      <w:bCs/>
                                      <w:sz w:val="28"/>
                                      <w:szCs w:val="28"/>
                                    </w:rPr>
                                  </w:pPr>
                                  <w:r w:rsidRPr="00EF1826">
                                    <w:rPr>
                                      <w:rFonts w:ascii="Arial" w:hAnsi="Arial" w:cs="Arial"/>
                                      <w:b/>
                                      <w:bCs/>
                                      <w:sz w:val="28"/>
                                      <w:szCs w:val="28"/>
                                    </w:rPr>
                                    <w:t>90°</w:t>
                                  </w:r>
                                </w:p>
                                <w:p w14:paraId="30AD249A" w14:textId="77777777" w:rsidR="00456610" w:rsidRPr="00EF1826" w:rsidRDefault="00456610" w:rsidP="0063190A">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D4955B6" id="Text Box 67" o:spid="_x0000_s1054" type="#_x0000_t202" style="position:absolute;left:0;text-align:left;margin-left:46.8pt;margin-top:221.75pt;width:49.6pt;height:32.2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" filled="f" stroked="f">
                      <v:textbox style="mso-fit-shape-to-text:t" inset="0,0,0,0">
                        <w:txbxContent>
                          <w:p w14:paraId="3D9FA5EC" w14:textId="77777777" w:rsidR="00456610" w:rsidRPr="00EF1826" w:rsidRDefault="00456610" w:rsidP="0063190A">
                            <w:pPr>
                              <w:rPr>
                                <w:rFonts w:ascii="Arial" w:hAnsi="Arial" w:cs="Arial"/>
                                <w:b/>
                                <w:bCs/>
                                <w:sz w:val="28"/>
                                <w:szCs w:val="28"/>
                              </w:rPr>
                            </w:pPr>
                            <w:r w:rsidRPr="00EF1826">
                              <w:rPr>
                                <w:rFonts w:ascii="Arial" w:hAnsi="Arial" w:cs="Arial"/>
                                <w:b/>
                                <w:bCs/>
                                <w:sz w:val="28"/>
                                <w:szCs w:val="28"/>
                              </w:rPr>
                              <w:t>90°</w:t>
                            </w:r>
                          </w:p>
                          <w:p w14:paraId="30AD249A" w14:textId="77777777" w:rsidR="00456610" w:rsidRPr="00EF1826" w:rsidRDefault="00456610" w:rsidP="0063190A">
                            <w:pPr>
                              <w:rPr>
                                <w:rFonts w:ascii="Arial" w:hAnsi="Arial" w:cs="Arial"/>
                                <w:b/>
                                <w:bCs/>
                                <w:sz w:val="28"/>
                                <w:szCs w:val="28"/>
                              </w:rPr>
                            </w:pPr>
                          </w:p>
                        </w:txbxContent>
                      </v:textbox>
                      <w10:wrap anchory="page"/>
                    </v:shape>
                  </w:pict>
                </mc:Fallback>
              </mc:AlternateContent>
            </w:r>
            <w:r>
              <w:rPr>
                <w:noProof/>
                <w:sz w:val="20"/>
                <w:szCs w:val="20"/>
                <w:lang w:val="en-US" w:eastAsia="ko-KR"/>
              </w:rPr>
              <mc:AlternateContent>
                <mc:Choice Requires="wps">
                  <w:drawing>
                    <wp:anchor distT="45720" distB="45720" distL="114300" distR="114300" simplePos="0" relativeHeight="251658268" behindDoc="0" locked="0" layoutInCell="1" allowOverlap="1" wp14:anchorId="39C0DDDE" wp14:editId="00EC272A">
                      <wp:simplePos x="0" y="0"/>
                      <wp:positionH relativeFrom="column">
                        <wp:posOffset>12700</wp:posOffset>
                      </wp:positionH>
                      <wp:positionV relativeFrom="page">
                        <wp:posOffset>2966720</wp:posOffset>
                      </wp:positionV>
                      <wp:extent cx="629920" cy="408940"/>
                      <wp:effectExtent l="0" t="0" r="0" b="0"/>
                      <wp:wrapNone/>
                      <wp:docPr id="127509087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08940"/>
                              </a:xfrm>
                              <a:prstGeom prst="rect">
                                <a:avLst/>
                              </a:prstGeom>
                              <a:noFill/>
                              <a:ln>
                                <a:noFill/>
                              </a:ln>
                            </wps:spPr>
                            <wps:txbx>
                              <w:txbxContent>
                                <w:p w14:paraId="34D70316" w14:textId="77777777" w:rsidR="00456610" w:rsidRPr="00EF1826" w:rsidRDefault="00456610" w:rsidP="0063190A">
                                  <w:pPr>
                                    <w:rPr>
                                      <w:rFonts w:ascii="Arial" w:hAnsi="Arial" w:cs="Arial"/>
                                      <w:b/>
                                      <w:bCs/>
                                      <w:sz w:val="28"/>
                                      <w:szCs w:val="28"/>
                                    </w:rPr>
                                  </w:pPr>
                                  <w:r>
                                    <w:rPr>
                                      <w:rFonts w:ascii="Arial" w:hAnsi="Arial" w:cs="Arial"/>
                                      <w:b/>
                                      <w:bCs/>
                                      <w:sz w:val="28"/>
                                      <w:szCs w:val="28"/>
                                    </w:rPr>
                                    <w:t>45</w:t>
                                  </w:r>
                                  <w:r w:rsidRPr="00EF1826">
                                    <w:rPr>
                                      <w:rFonts w:ascii="Arial" w:hAnsi="Arial" w:cs="Arial"/>
                                      <w:b/>
                                      <w:bCs/>
                                      <w:sz w:val="28"/>
                                      <w:szCs w:val="28"/>
                                    </w:rPr>
                                    <w:t>°</w:t>
                                  </w:r>
                                </w:p>
                                <w:p w14:paraId="379E43BA" w14:textId="77777777" w:rsidR="00456610" w:rsidRPr="00EF1826" w:rsidRDefault="00456610" w:rsidP="0063190A">
                                  <w:pPr>
                                    <w:rPr>
                                      <w:rFonts w:ascii="Arial" w:hAnsi="Arial" w:cs="Arial"/>
                                      <w:b/>
                                      <w:bCs/>
                                      <w:sz w:val="28"/>
                                      <w:szCs w:val="28"/>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9C0DDDE" id="Text Box 65" o:spid="_x0000_s1055" type="#_x0000_t202" style="position:absolute;left:0;text-align:left;margin-left:1pt;margin-top:233.6pt;width:49.6pt;height:32.2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" filled="f" stroked="f">
                      <v:textbox style="mso-fit-shape-to-text:t" inset="0,0,0,0">
                        <w:txbxContent>
                          <w:p w14:paraId="34D70316" w14:textId="77777777" w:rsidR="00456610" w:rsidRPr="00EF1826" w:rsidRDefault="00456610" w:rsidP="0063190A">
                            <w:pPr>
                              <w:rPr>
                                <w:rFonts w:ascii="Arial" w:hAnsi="Arial" w:cs="Arial"/>
                                <w:b/>
                                <w:bCs/>
                                <w:sz w:val="28"/>
                                <w:szCs w:val="28"/>
                              </w:rPr>
                            </w:pPr>
                            <w:r>
                              <w:rPr>
                                <w:rFonts w:ascii="Arial" w:hAnsi="Arial" w:cs="Arial"/>
                                <w:b/>
                                <w:bCs/>
                                <w:sz w:val="28"/>
                                <w:szCs w:val="28"/>
                              </w:rPr>
                              <w:t>45</w:t>
                            </w:r>
                            <w:r w:rsidRPr="00EF1826">
                              <w:rPr>
                                <w:rFonts w:ascii="Arial" w:hAnsi="Arial" w:cs="Arial"/>
                                <w:b/>
                                <w:bCs/>
                                <w:sz w:val="28"/>
                                <w:szCs w:val="28"/>
                              </w:rPr>
                              <w:t>°</w:t>
                            </w:r>
                          </w:p>
                          <w:p w14:paraId="379E43BA" w14:textId="77777777" w:rsidR="00456610" w:rsidRPr="00EF1826" w:rsidRDefault="00456610" w:rsidP="0063190A">
                            <w:pPr>
                              <w:rPr>
                                <w:rFonts w:ascii="Arial" w:hAnsi="Arial" w:cs="Arial"/>
                                <w:b/>
                                <w:bCs/>
                                <w:sz w:val="28"/>
                                <w:szCs w:val="28"/>
                              </w:rPr>
                            </w:pPr>
                          </w:p>
                        </w:txbxContent>
                      </v:textbox>
                      <w10:wrap anchory="page"/>
                    </v:shape>
                  </w:pict>
                </mc:Fallback>
              </mc:AlternateContent>
            </w:r>
            <w:r>
              <w:rPr>
                <w:noProof/>
                <w:sz w:val="20"/>
                <w:szCs w:val="20"/>
                <w:lang w:val="en-US" w:eastAsia="ko-KR"/>
              </w:rPr>
              <mc:AlternateContent>
                <mc:Choice Requires="wps">
                  <w:drawing>
                    <wp:anchor distT="45720" distB="45720" distL="114300" distR="114300" simplePos="0" relativeHeight="251658269" behindDoc="0" locked="0" layoutInCell="1" allowOverlap="1" wp14:anchorId="07B8AF08" wp14:editId="1D55F57C">
                      <wp:simplePos x="0" y="0"/>
                      <wp:positionH relativeFrom="column">
                        <wp:posOffset>421005</wp:posOffset>
                      </wp:positionH>
                      <wp:positionV relativeFrom="page">
                        <wp:posOffset>3077210</wp:posOffset>
                      </wp:positionV>
                      <wp:extent cx="629920" cy="306705"/>
                      <wp:effectExtent l="0" t="0" r="0" b="0"/>
                      <wp:wrapNone/>
                      <wp:docPr id="109425394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306705"/>
                              </a:xfrm>
                              <a:prstGeom prst="rect">
                                <a:avLst/>
                              </a:prstGeom>
                              <a:noFill/>
                              <a:ln>
                                <a:noFill/>
                              </a:ln>
                            </wps:spPr>
                            <wps:txbx>
                              <w:txbxContent>
                                <w:p w14:paraId="01349F0F" w14:textId="77777777" w:rsidR="00456610" w:rsidRPr="00EF1826" w:rsidRDefault="00456610" w:rsidP="0063190A">
                                  <w:pPr>
                                    <w:rPr>
                                      <w:rFonts w:ascii="Arial" w:hAnsi="Arial" w:cs="Arial"/>
                                      <w:b/>
                                      <w:bCs/>
                                      <w:sz w:val="21"/>
                                      <w:szCs w:val="21"/>
                                    </w:rPr>
                                  </w:pPr>
                                  <w:r w:rsidRPr="00EF1826">
                                    <w:rPr>
                                      <w:rFonts w:ascii="Arial" w:hAnsi="Arial" w:cs="Arial"/>
                                      <w:b/>
                                      <w:bCs/>
                                      <w:sz w:val="21"/>
                                      <w:szCs w:val="21"/>
                                    </w:rPr>
                                    <w:t>OK</w:t>
                                  </w:r>
                                </w:p>
                                <w:p w14:paraId="5AC6A66A" w14:textId="77777777" w:rsidR="00456610" w:rsidRPr="00EF1826" w:rsidRDefault="00456610" w:rsidP="0063190A">
                                  <w:pPr>
                                    <w:rPr>
                                      <w:rFonts w:ascii="Arial" w:hAnsi="Arial" w:cs="Arial"/>
                                      <w:b/>
                                      <w:bCs/>
                                      <w:sz w:val="21"/>
                                      <w:szCs w:val="21"/>
                                    </w:rPr>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7B8AF08" id="Text Box 63" o:spid="_x0000_s1056" type="#_x0000_t202" style="position:absolute;left:0;text-align:left;margin-left:33.15pt;margin-top:242.3pt;width:49.6pt;height:24.1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" filled="f" stroked="f">
                      <v:textbox style="mso-fit-shape-to-text:t" inset="0,0,0,0">
                        <w:txbxContent>
                          <w:p w14:paraId="01349F0F" w14:textId="77777777" w:rsidR="00456610" w:rsidRPr="00EF1826" w:rsidRDefault="00456610" w:rsidP="0063190A">
                            <w:pPr>
                              <w:rPr>
                                <w:rFonts w:ascii="Arial" w:hAnsi="Arial" w:cs="Arial"/>
                                <w:b/>
                                <w:bCs/>
                                <w:sz w:val="21"/>
                                <w:szCs w:val="21"/>
                              </w:rPr>
                            </w:pPr>
                            <w:r w:rsidRPr="00EF1826">
                              <w:rPr>
                                <w:rFonts w:ascii="Arial" w:hAnsi="Arial" w:cs="Arial"/>
                                <w:b/>
                                <w:bCs/>
                                <w:sz w:val="21"/>
                                <w:szCs w:val="21"/>
                              </w:rPr>
                              <w:t>OK</w:t>
                            </w:r>
                          </w:p>
                          <w:p w14:paraId="5AC6A66A" w14:textId="77777777" w:rsidR="00456610" w:rsidRPr="00EF1826" w:rsidRDefault="00456610" w:rsidP="0063190A">
                            <w:pPr>
                              <w:rPr>
                                <w:rFonts w:ascii="Arial" w:hAnsi="Arial" w:cs="Arial"/>
                                <w:b/>
                                <w:bCs/>
                                <w:sz w:val="21"/>
                                <w:szCs w:val="21"/>
                              </w:rPr>
                            </w:pPr>
                          </w:p>
                        </w:txbxContent>
                      </v:textbox>
                      <w10:wrap anchory="page"/>
                    </v:shape>
                  </w:pict>
                </mc:Fallback>
              </mc:AlternateContent>
            </w:r>
            <w:r w:rsidR="0063190A" w:rsidRPr="00B320E1">
              <w:rPr>
                <w:b/>
                <w:bCs/>
                <w:noProof/>
              </w:rPr>
              <w:t>Abbildung K</w:t>
            </w:r>
          </w:p>
        </w:tc>
        <w:tc>
          <w:tcPr>
            <w:tcW w:w="5517" w:type="dxa"/>
          </w:tcPr>
          <w:p w14:paraId="7D955121" w14:textId="77777777" w:rsidR="0063190A" w:rsidRPr="00B320E1" w:rsidRDefault="0063190A" w:rsidP="00F0391F">
            <w:pPr>
              <w:pStyle w:val="a3"/>
              <w:numPr>
                <w:ilvl w:val="0"/>
                <w:numId w:val="10"/>
              </w:numPr>
              <w:suppressAutoHyphens/>
              <w:autoSpaceDE/>
              <w:autoSpaceDN/>
              <w:ind w:left="567" w:hanging="567"/>
              <w:rPr>
                <w:b/>
              </w:rPr>
            </w:pPr>
            <w:r w:rsidRPr="00B320E1">
              <w:rPr>
                <w:b/>
              </w:rPr>
              <w:t>Stechen Sie die Fertigspritze in die Injektionsstelle ein.</w:t>
            </w:r>
          </w:p>
          <w:p w14:paraId="64564F61" w14:textId="77777777" w:rsidR="0063190A" w:rsidRPr="00CF4698" w:rsidRDefault="0063190A" w:rsidP="00F0391F">
            <w:pPr>
              <w:pStyle w:val="Default"/>
              <w:autoSpaceDE/>
              <w:autoSpaceDN/>
              <w:ind w:left="567" w:hanging="567"/>
              <w:rPr>
                <w:rFonts w:eastAsia="새굴림"/>
                <w:sz w:val="22"/>
                <w:szCs w:val="22"/>
                <w:lang w:val="de-DE"/>
              </w:rPr>
            </w:pPr>
          </w:p>
          <w:p w14:paraId="5E3027C2" w14:textId="77777777" w:rsidR="0063190A" w:rsidRPr="00B320E1" w:rsidRDefault="0063190A" w:rsidP="00F0391F">
            <w:pPr>
              <w:pStyle w:val="a3"/>
              <w:numPr>
                <w:ilvl w:val="0"/>
                <w:numId w:val="22"/>
              </w:numPr>
              <w:autoSpaceDE/>
              <w:autoSpaceDN/>
              <w:ind w:left="567" w:hanging="567"/>
              <w:rPr>
                <w:color w:val="231F20"/>
              </w:rPr>
            </w:pPr>
            <w:r w:rsidRPr="00B320E1">
              <w:rPr>
                <w:color w:val="231F20"/>
              </w:rPr>
              <w:t>Drücken Sie die Haut an der Injektionsstelle vorsichtig mit einer Hand zu einer Hautfalte zusammen.</w:t>
            </w:r>
          </w:p>
          <w:p w14:paraId="7872306A" w14:textId="77777777" w:rsidR="0063190A" w:rsidRPr="00B320E1" w:rsidRDefault="0063190A" w:rsidP="00F0391F">
            <w:pPr>
              <w:pStyle w:val="a3"/>
              <w:autoSpaceDE/>
              <w:autoSpaceDN/>
              <w:ind w:left="567" w:hanging="567"/>
              <w:rPr>
                <w:color w:val="231F20"/>
              </w:rPr>
            </w:pPr>
          </w:p>
          <w:p w14:paraId="4FB844C6" w14:textId="1BC30DBC" w:rsidR="0063190A" w:rsidRPr="00B320E1" w:rsidRDefault="0063190A" w:rsidP="00F0391F">
            <w:pPr>
              <w:pStyle w:val="a3"/>
              <w:autoSpaceDE/>
              <w:autoSpaceDN/>
              <w:ind w:left="567"/>
              <w:rPr>
                <w:color w:val="231F20"/>
              </w:rPr>
            </w:pPr>
            <w:r w:rsidRPr="00B320E1">
              <w:rPr>
                <w:i/>
              </w:rPr>
              <w:t>Hinweis</w:t>
            </w:r>
            <w:r w:rsidRPr="00B320E1">
              <w:t xml:space="preserve">: Es ist wichtig, die Haut zusammengedrückt zu halten, um sicherzugehen, dass Sie unter die Haut (in das Fettgewebe), </w:t>
            </w:r>
            <w:r w:rsidRPr="00B320E1">
              <w:rPr>
                <w:color w:val="231F20"/>
              </w:rPr>
              <w:t>aber nicht tiefer (in den Muskel) injizieren.</w:t>
            </w:r>
          </w:p>
          <w:p w14:paraId="6B3339EB" w14:textId="77777777" w:rsidR="0063190A" w:rsidRPr="00B320E1" w:rsidRDefault="0063190A" w:rsidP="00F0391F">
            <w:pPr>
              <w:pStyle w:val="a3"/>
              <w:numPr>
                <w:ilvl w:val="12"/>
                <w:numId w:val="0"/>
              </w:numPr>
              <w:autoSpaceDE/>
              <w:autoSpaceDN/>
              <w:ind w:left="567" w:hanging="567"/>
              <w:rPr>
                <w:bCs/>
                <w:noProof/>
                <w:lang w:eastAsia="ko-KR"/>
              </w:rPr>
            </w:pPr>
          </w:p>
          <w:p w14:paraId="2741CBFB" w14:textId="77777777" w:rsidR="0063190A" w:rsidRPr="00B320E1" w:rsidRDefault="0063190A" w:rsidP="00F0391F">
            <w:pPr>
              <w:pStyle w:val="a3"/>
              <w:numPr>
                <w:ilvl w:val="0"/>
                <w:numId w:val="13"/>
              </w:numPr>
              <w:suppressAutoHyphens/>
              <w:autoSpaceDE/>
              <w:autoSpaceDN/>
              <w:ind w:left="1134" w:hanging="567"/>
            </w:pPr>
            <w:r w:rsidRPr="00B320E1">
              <w:t xml:space="preserve">Ziehen Sie den Spritzenkolben </w:t>
            </w:r>
            <w:r w:rsidRPr="00B320E1">
              <w:rPr>
                <w:b/>
                <w:bCs/>
              </w:rPr>
              <w:t>zu keinem Zeitpunkt</w:t>
            </w:r>
            <w:r w:rsidRPr="00B320E1">
              <w:t xml:space="preserve"> zurück.</w:t>
            </w:r>
          </w:p>
          <w:p w14:paraId="223B2D55" w14:textId="77777777" w:rsidR="0063190A" w:rsidRPr="00B320E1" w:rsidRDefault="0063190A" w:rsidP="00F0391F">
            <w:pPr>
              <w:pStyle w:val="a3"/>
              <w:autoSpaceDE/>
              <w:autoSpaceDN/>
              <w:ind w:left="567" w:hanging="567"/>
              <w:rPr>
                <w:color w:val="231F20"/>
              </w:rPr>
            </w:pPr>
          </w:p>
          <w:p w14:paraId="5346E4DA" w14:textId="66E640F5" w:rsidR="0063190A" w:rsidRPr="00B320E1" w:rsidRDefault="0063190A" w:rsidP="00F0391F">
            <w:pPr>
              <w:pStyle w:val="a3"/>
              <w:numPr>
                <w:ilvl w:val="0"/>
                <w:numId w:val="22"/>
              </w:numPr>
              <w:autoSpaceDE/>
              <w:autoSpaceDN/>
              <w:ind w:left="567" w:hanging="567"/>
              <w:rPr>
                <w:color w:val="231F20"/>
              </w:rPr>
            </w:pPr>
            <w:r w:rsidRPr="00B320E1">
              <w:rPr>
                <w:color w:val="231F20"/>
              </w:rPr>
              <w:t xml:space="preserve">Stechen Sie die Nadel mit einer schnellen und </w:t>
            </w:r>
            <w:r w:rsidR="00B938BC">
              <w:rPr>
                <w:color w:val="231F20"/>
              </w:rPr>
              <w:t>kurzen</w:t>
            </w:r>
            <w:r w:rsidRPr="00B320E1">
              <w:rPr>
                <w:color w:val="231F20"/>
              </w:rPr>
              <w:t xml:space="preserve"> Bewegung in einem Winkel von 45 bis 90 Grad vollständig in die Hautfalte ein (siehe </w:t>
            </w:r>
            <w:r w:rsidRPr="00B320E1">
              <w:rPr>
                <w:b/>
                <w:bCs/>
                <w:color w:val="231F20"/>
              </w:rPr>
              <w:t>Abbildung K</w:t>
            </w:r>
            <w:r w:rsidRPr="00B320E1">
              <w:rPr>
                <w:color w:val="231F20"/>
              </w:rPr>
              <w:t>).</w:t>
            </w:r>
          </w:p>
          <w:p w14:paraId="61C66A44" w14:textId="77777777" w:rsidR="0063190A" w:rsidRPr="00B320E1" w:rsidRDefault="0063190A" w:rsidP="00F0391F">
            <w:pPr>
              <w:pStyle w:val="a3"/>
              <w:autoSpaceDE/>
              <w:autoSpaceDN/>
              <w:ind w:left="567" w:hanging="567"/>
              <w:rPr>
                <w:bCs/>
                <w:i/>
                <w:iCs/>
                <w:noProof/>
                <w:lang w:eastAsia="ko-KR"/>
              </w:rPr>
            </w:pPr>
          </w:p>
          <w:p w14:paraId="13E7A233" w14:textId="77777777" w:rsidR="0063190A" w:rsidRPr="00B320E1" w:rsidRDefault="0063190A" w:rsidP="00F0391F">
            <w:pPr>
              <w:pStyle w:val="a3"/>
              <w:autoSpaceDE/>
              <w:autoSpaceDN/>
              <w:ind w:left="567"/>
              <w:rPr>
                <w:bCs/>
                <w:noProof/>
              </w:rPr>
            </w:pPr>
            <w:r w:rsidRPr="00B320E1">
              <w:rPr>
                <w:i/>
              </w:rPr>
              <w:t>Hinweis</w:t>
            </w:r>
            <w:r w:rsidRPr="00B320E1">
              <w:t xml:space="preserve">: Es ist wichtig, die Fertigspritze im richtigen Winkel aufzusetzen, um sicherzustellen, dass das </w:t>
            </w:r>
            <w:r w:rsidRPr="00B320E1">
              <w:rPr>
                <w:color w:val="231F20"/>
              </w:rPr>
              <w:t>Arzneimittel</w:t>
            </w:r>
            <w:r w:rsidRPr="00B320E1">
              <w:t xml:space="preserve"> unter die Haut (in das Fettgewebe) injiziert wird. Ansonsten könnte die Injektion schmerzhaft sein und das Arzneimittel nicht richtig wirken.</w:t>
            </w:r>
          </w:p>
          <w:p w14:paraId="38463CCB" w14:textId="77777777" w:rsidR="0063190A" w:rsidRPr="00B320E1" w:rsidRDefault="0063190A" w:rsidP="00F0391F">
            <w:pPr>
              <w:pStyle w:val="a3"/>
              <w:autoSpaceDE/>
              <w:autoSpaceDN/>
              <w:ind w:left="567" w:hanging="567"/>
              <w:rPr>
                <w:color w:val="231F20"/>
              </w:rPr>
            </w:pPr>
          </w:p>
          <w:p w14:paraId="33371CEA" w14:textId="3F47AC17" w:rsidR="0063190A" w:rsidRPr="00B320E1" w:rsidRDefault="0063190A" w:rsidP="00F0391F">
            <w:pPr>
              <w:pStyle w:val="a3"/>
              <w:numPr>
                <w:ilvl w:val="0"/>
                <w:numId w:val="13"/>
              </w:numPr>
              <w:suppressAutoHyphens/>
              <w:autoSpaceDE/>
              <w:autoSpaceDN/>
              <w:ind w:left="1134" w:hanging="567"/>
            </w:pPr>
            <w:r w:rsidRPr="00B320E1">
              <w:t xml:space="preserve">Berühren Sie während des Einstechens der Nadel </w:t>
            </w:r>
            <w:r w:rsidR="003E77F3" w:rsidRPr="00B320E1">
              <w:t xml:space="preserve">in </w:t>
            </w:r>
            <w:r w:rsidRPr="00B320E1">
              <w:t xml:space="preserve">die Haut </w:t>
            </w:r>
            <w:r w:rsidRPr="00B320E1">
              <w:rPr>
                <w:b/>
              </w:rPr>
              <w:t>nicht</w:t>
            </w:r>
            <w:r w:rsidR="003E77F3" w:rsidRPr="00B320E1">
              <w:t xml:space="preserve"> den Kolben</w:t>
            </w:r>
            <w:r w:rsidRPr="00B320E1">
              <w:t>.</w:t>
            </w:r>
          </w:p>
          <w:p w14:paraId="2ABF90BB" w14:textId="77777777" w:rsidR="0063190A" w:rsidRPr="00B320E1" w:rsidRDefault="0063190A" w:rsidP="00F0391F">
            <w:pPr>
              <w:autoSpaceDE/>
              <w:autoSpaceDN/>
            </w:pPr>
          </w:p>
        </w:tc>
      </w:tr>
      <w:tr w:rsidR="0063190A" w:rsidRPr="000821BB" w14:paraId="5099C939" w14:textId="77777777" w:rsidTr="00F0391F">
        <w:trPr>
          <w:cantSplit/>
        </w:trPr>
        <w:tc>
          <w:tcPr>
            <w:tcW w:w="3539" w:type="dxa"/>
          </w:tcPr>
          <w:p w14:paraId="7726387D" w14:textId="7AA01208" w:rsidR="0063190A"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2A4CB159" wp14:editId="3E639CD9">
                  <wp:extent cx="2094865" cy="2583815"/>
                  <wp:effectExtent l="19050" t="19050" r="635" b="6985"/>
                  <wp:docPr id="18" name="그림 468000863" descr="그림, 클립아트, 스케치,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68000863" descr="그림, 클립아트, 스케치, 만화 영화이(가) 표시된 사진&#10;&#10;자동 생성된 설명"/>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4865" cy="2583815"/>
                          </a:xfrm>
                          <a:prstGeom prst="rect">
                            <a:avLst/>
                          </a:prstGeom>
                          <a:noFill/>
                          <a:ln w="9525" cmpd="sng">
                            <a:solidFill>
                              <a:srgbClr val="000000"/>
                            </a:solidFill>
                            <a:miter lim="800000"/>
                            <a:headEnd/>
                            <a:tailEnd/>
                          </a:ln>
                          <a:effectLst/>
                        </pic:spPr>
                      </pic:pic>
                    </a:graphicData>
                  </a:graphic>
                </wp:inline>
              </w:drawing>
            </w:r>
          </w:p>
          <w:p w14:paraId="10520202" w14:textId="1221642E" w:rsidR="0063190A" w:rsidRPr="00F0391F" w:rsidRDefault="00877680" w:rsidP="00F0391F">
            <w:pPr>
              <w:suppressAutoHyphens/>
              <w:autoSpaceDE/>
              <w:autoSpaceDN/>
              <w:jc w:val="right"/>
              <w:rPr>
                <w:b/>
                <w:bCs/>
                <w:noProof/>
                <w:sz w:val="24"/>
                <w:szCs w:val="24"/>
              </w:rPr>
            </w:pPr>
            <w:r w:rsidRPr="00B320E1">
              <w:rPr>
                <w:b/>
                <w:bCs/>
                <w:noProof/>
              </w:rPr>
              <w:t>Abbildung </w:t>
            </w:r>
            <w:r w:rsidR="0063190A" w:rsidRPr="00B320E1">
              <w:rPr>
                <w:b/>
                <w:bCs/>
                <w:noProof/>
              </w:rPr>
              <w:t>L</w:t>
            </w:r>
          </w:p>
        </w:tc>
        <w:tc>
          <w:tcPr>
            <w:tcW w:w="5517" w:type="dxa"/>
          </w:tcPr>
          <w:p w14:paraId="1D989B97" w14:textId="77777777" w:rsidR="0063190A" w:rsidRPr="00B320E1" w:rsidRDefault="0063190A" w:rsidP="00F0391F">
            <w:pPr>
              <w:pStyle w:val="a3"/>
              <w:numPr>
                <w:ilvl w:val="0"/>
                <w:numId w:val="10"/>
              </w:numPr>
              <w:suppressAutoHyphens/>
              <w:autoSpaceDE/>
              <w:autoSpaceDN/>
              <w:ind w:left="567" w:hanging="567"/>
              <w:rPr>
                <w:b/>
              </w:rPr>
            </w:pPr>
            <w:r w:rsidRPr="00B320E1">
              <w:rPr>
                <w:b/>
              </w:rPr>
              <w:t>Verabreichen Sie die Injektion.</w:t>
            </w:r>
          </w:p>
          <w:p w14:paraId="0295AE93" w14:textId="77777777" w:rsidR="0063190A" w:rsidRPr="00CF4698" w:rsidRDefault="0063190A" w:rsidP="00F0391F">
            <w:pPr>
              <w:pStyle w:val="Default"/>
              <w:autoSpaceDE/>
              <w:autoSpaceDN/>
              <w:ind w:left="567" w:hanging="567"/>
              <w:rPr>
                <w:rFonts w:eastAsia="새굴림"/>
                <w:sz w:val="22"/>
                <w:szCs w:val="22"/>
              </w:rPr>
            </w:pPr>
          </w:p>
          <w:p w14:paraId="4356F227" w14:textId="77777777" w:rsidR="0063190A" w:rsidRPr="00B320E1" w:rsidRDefault="0063190A" w:rsidP="00F0391F">
            <w:pPr>
              <w:pStyle w:val="a3"/>
              <w:numPr>
                <w:ilvl w:val="0"/>
                <w:numId w:val="23"/>
              </w:numPr>
              <w:autoSpaceDE/>
              <w:autoSpaceDN/>
              <w:ind w:left="567" w:hanging="567"/>
              <w:rPr>
                <w:bCs/>
              </w:rPr>
            </w:pPr>
            <w:r w:rsidRPr="00B320E1">
              <w:t>Lassen Sie die Hautfalte nach dem Einstechen der Nadel los.</w:t>
            </w:r>
          </w:p>
          <w:p w14:paraId="79949736" w14:textId="77777777" w:rsidR="0063190A" w:rsidRPr="00B320E1" w:rsidRDefault="0063190A" w:rsidP="00F0391F">
            <w:pPr>
              <w:pStyle w:val="a3"/>
              <w:numPr>
                <w:ilvl w:val="0"/>
                <w:numId w:val="23"/>
              </w:numPr>
              <w:autoSpaceDE/>
              <w:autoSpaceDN/>
              <w:ind w:left="567" w:hanging="567"/>
              <w:rPr>
                <w:bCs/>
              </w:rPr>
            </w:pPr>
            <w:r w:rsidRPr="00B320E1">
              <w:t xml:space="preserve">Drücken Sie den Kolben langsam vollständig herunter, bis die vollständige Dosis des Arzneimittels verabreicht wurde und die Spritze leer ist (siehe </w:t>
            </w:r>
            <w:r w:rsidRPr="00B320E1">
              <w:rPr>
                <w:b/>
                <w:bCs/>
              </w:rPr>
              <w:t>Abbildung L</w:t>
            </w:r>
            <w:r w:rsidRPr="00B320E1">
              <w:t>).</w:t>
            </w:r>
          </w:p>
          <w:p w14:paraId="5479E9AD" w14:textId="77777777" w:rsidR="0063190A" w:rsidRPr="00B320E1" w:rsidRDefault="0063190A" w:rsidP="00F0391F">
            <w:pPr>
              <w:pStyle w:val="a3"/>
              <w:numPr>
                <w:ilvl w:val="12"/>
                <w:numId w:val="0"/>
              </w:numPr>
              <w:autoSpaceDE/>
              <w:autoSpaceDN/>
              <w:ind w:left="567" w:hanging="567"/>
              <w:rPr>
                <w:bCs/>
                <w:noProof/>
                <w:lang w:eastAsia="ko-KR"/>
              </w:rPr>
            </w:pPr>
          </w:p>
          <w:p w14:paraId="640683D0" w14:textId="77777777" w:rsidR="0063190A" w:rsidRPr="00B320E1" w:rsidRDefault="0063190A" w:rsidP="00F0391F">
            <w:pPr>
              <w:pStyle w:val="a3"/>
              <w:numPr>
                <w:ilvl w:val="0"/>
                <w:numId w:val="13"/>
              </w:numPr>
              <w:suppressAutoHyphens/>
              <w:autoSpaceDE/>
              <w:autoSpaceDN/>
              <w:ind w:left="1134" w:hanging="567"/>
            </w:pPr>
            <w:r w:rsidRPr="00B320E1">
              <w:t>Wenn sich der Kolben nicht herunterdrücken lässt, entsorgen Sie die Fertigspritze und verwenden Sie eine neue Fertigspritze.</w:t>
            </w:r>
          </w:p>
          <w:p w14:paraId="68FBA6F7" w14:textId="77777777" w:rsidR="0063190A" w:rsidRPr="00B320E1" w:rsidRDefault="0063190A" w:rsidP="00F0391F">
            <w:pPr>
              <w:pStyle w:val="a3"/>
              <w:numPr>
                <w:ilvl w:val="0"/>
                <w:numId w:val="13"/>
              </w:numPr>
              <w:suppressAutoHyphens/>
              <w:autoSpaceDE/>
              <w:autoSpaceDN/>
              <w:ind w:left="1134" w:hanging="567"/>
            </w:pPr>
            <w:r w:rsidRPr="00B320E1">
              <w:t xml:space="preserve">Verändern Sie die Position der Fertigspritze </w:t>
            </w:r>
            <w:r w:rsidRPr="00B320E1">
              <w:rPr>
                <w:b/>
                <w:bCs/>
              </w:rPr>
              <w:t>nicht</w:t>
            </w:r>
            <w:r w:rsidRPr="00B320E1">
              <w:t>, nachdem Sie mit der Injektion begonnen haben.</w:t>
            </w:r>
          </w:p>
          <w:p w14:paraId="19413ADC" w14:textId="77777777" w:rsidR="0063190A" w:rsidRPr="00B320E1" w:rsidRDefault="0063190A" w:rsidP="00F0391F">
            <w:pPr>
              <w:pStyle w:val="a3"/>
              <w:numPr>
                <w:ilvl w:val="0"/>
                <w:numId w:val="13"/>
              </w:numPr>
              <w:suppressAutoHyphens/>
              <w:autoSpaceDE/>
              <w:autoSpaceDN/>
              <w:ind w:left="1134" w:hanging="567"/>
            </w:pPr>
            <w:r w:rsidRPr="00B320E1">
              <w:t>Wenn der Kolben nicht vollständig heruntergedrückt wurde, wird der Nadelschutz beim Herausziehen der Nadel nicht ausgefahren, um diese abzudecken.</w:t>
            </w:r>
          </w:p>
          <w:p w14:paraId="767BB753" w14:textId="77777777" w:rsidR="0063190A" w:rsidRPr="00B320E1" w:rsidRDefault="0063190A" w:rsidP="00F0391F">
            <w:pPr>
              <w:pStyle w:val="a3"/>
              <w:numPr>
                <w:ilvl w:val="0"/>
                <w:numId w:val="13"/>
              </w:numPr>
              <w:suppressAutoHyphens/>
              <w:autoSpaceDE/>
              <w:autoSpaceDN/>
              <w:ind w:left="1134" w:hanging="567"/>
            </w:pPr>
            <w:r w:rsidRPr="00B320E1">
              <w:t xml:space="preserve">Wurde die Nadel nicht abgedeckt, handhaben Sie die Spritze vorsichtig und entsorgen Sie sie (siehe </w:t>
            </w:r>
            <w:r w:rsidRPr="00B320E1">
              <w:rPr>
                <w:b/>
              </w:rPr>
              <w:t>Schritt 14. Entsorgen Sie die Fertigspritze</w:t>
            </w:r>
            <w:r w:rsidRPr="00B320E1">
              <w:t>).</w:t>
            </w:r>
          </w:p>
          <w:p w14:paraId="61994931" w14:textId="77777777" w:rsidR="0063190A" w:rsidRPr="00B320E1" w:rsidRDefault="0063190A" w:rsidP="00F0391F">
            <w:pPr>
              <w:autoSpaceDE/>
              <w:autoSpaceDN/>
            </w:pPr>
          </w:p>
        </w:tc>
      </w:tr>
      <w:tr w:rsidR="00877680" w:rsidRPr="00877680" w14:paraId="3DFFFC71" w14:textId="77777777" w:rsidTr="00F0391F">
        <w:trPr>
          <w:cantSplit/>
        </w:trPr>
        <w:tc>
          <w:tcPr>
            <w:tcW w:w="3539" w:type="dxa"/>
          </w:tcPr>
          <w:p w14:paraId="094F82AE" w14:textId="2D44A425" w:rsidR="00877680" w:rsidRPr="00F0391F" w:rsidRDefault="00A16FF2" w:rsidP="00F0391F">
            <w:pPr>
              <w:suppressAutoHyphens/>
              <w:autoSpaceDE/>
              <w:autoSpaceDN/>
              <w:jc w:val="right"/>
              <w:rPr>
                <w:noProof/>
                <w:sz w:val="24"/>
                <w:szCs w:val="24"/>
              </w:rPr>
            </w:pPr>
            <w:r>
              <w:rPr>
                <w:noProof/>
                <w:sz w:val="24"/>
                <w:szCs w:val="24"/>
                <w:lang w:val="en-US" w:eastAsia="ko-KR"/>
              </w:rPr>
              <w:lastRenderedPageBreak/>
              <w:drawing>
                <wp:inline distT="0" distB="0" distL="0" distR="0" wp14:anchorId="114A7C7A" wp14:editId="09195E55">
                  <wp:extent cx="2084070" cy="2573020"/>
                  <wp:effectExtent l="19050" t="19050" r="0" b="0"/>
                  <wp:docPr id="19" name="그림 1861318681" descr="스케치, 그림, 만화 영화,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61318681" descr="스케치, 그림, 만화 영화, 클립아트이(가) 표시된 사진&#10;&#10;자동 생성된 설명"/>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4070" cy="2573020"/>
                          </a:xfrm>
                          <a:prstGeom prst="rect">
                            <a:avLst/>
                          </a:prstGeom>
                          <a:noFill/>
                          <a:ln w="9525" cmpd="sng">
                            <a:solidFill>
                              <a:srgbClr val="000000"/>
                            </a:solidFill>
                            <a:miter lim="800000"/>
                            <a:headEnd/>
                            <a:tailEnd/>
                          </a:ln>
                          <a:effectLst/>
                        </pic:spPr>
                      </pic:pic>
                    </a:graphicData>
                  </a:graphic>
                </wp:inline>
              </w:drawing>
            </w:r>
          </w:p>
          <w:p w14:paraId="4A55136B" w14:textId="4F518311" w:rsidR="00877680" w:rsidRPr="00F0391F" w:rsidRDefault="00877680" w:rsidP="00F0391F">
            <w:pPr>
              <w:suppressAutoHyphens/>
              <w:autoSpaceDE/>
              <w:autoSpaceDN/>
              <w:jc w:val="right"/>
              <w:rPr>
                <w:b/>
                <w:bCs/>
                <w:noProof/>
                <w:sz w:val="24"/>
                <w:szCs w:val="24"/>
              </w:rPr>
            </w:pPr>
            <w:r w:rsidRPr="00B320E1">
              <w:rPr>
                <w:b/>
                <w:bCs/>
                <w:noProof/>
              </w:rPr>
              <w:t>Abbildung M</w:t>
            </w:r>
          </w:p>
        </w:tc>
        <w:tc>
          <w:tcPr>
            <w:tcW w:w="5517" w:type="dxa"/>
          </w:tcPr>
          <w:p w14:paraId="4216BF0F" w14:textId="77777777" w:rsidR="00877680" w:rsidRPr="00B320E1" w:rsidRDefault="00877680" w:rsidP="00F0391F">
            <w:pPr>
              <w:pStyle w:val="a3"/>
              <w:numPr>
                <w:ilvl w:val="0"/>
                <w:numId w:val="10"/>
              </w:numPr>
              <w:suppressAutoHyphens/>
              <w:autoSpaceDE/>
              <w:autoSpaceDN/>
              <w:ind w:left="567" w:hanging="567"/>
              <w:rPr>
                <w:b/>
              </w:rPr>
            </w:pPr>
            <w:r w:rsidRPr="00B320E1">
              <w:rPr>
                <w:b/>
              </w:rPr>
              <w:t>Ziehen Sie die Fertigspritze aus der Injektionsstelle heraus.</w:t>
            </w:r>
          </w:p>
          <w:p w14:paraId="7DAC6821" w14:textId="77777777" w:rsidR="00877680" w:rsidRPr="00B320E1" w:rsidRDefault="00877680" w:rsidP="00F0391F">
            <w:pPr>
              <w:pStyle w:val="Default"/>
              <w:autoSpaceDE/>
              <w:autoSpaceDN/>
              <w:ind w:left="567" w:hanging="567"/>
              <w:rPr>
                <w:rFonts w:eastAsia="새굴림"/>
                <w:sz w:val="20"/>
                <w:szCs w:val="20"/>
                <w:lang w:val="de-DE"/>
              </w:rPr>
            </w:pPr>
          </w:p>
          <w:p w14:paraId="5A23B758" w14:textId="77777777" w:rsidR="00877680" w:rsidRPr="00B320E1" w:rsidRDefault="00877680" w:rsidP="00F0391F">
            <w:pPr>
              <w:pStyle w:val="a3"/>
              <w:numPr>
                <w:ilvl w:val="0"/>
                <w:numId w:val="24"/>
              </w:numPr>
              <w:autoSpaceDE/>
              <w:autoSpaceDN/>
              <w:ind w:left="567" w:hanging="567"/>
              <w:rPr>
                <w:bCs/>
              </w:rPr>
            </w:pPr>
            <w:r w:rsidRPr="00B320E1">
              <w:t xml:space="preserve">Wenn die Fertigspritze leer ist, ziehen Sie die Nadel aus der Injektionsstelle heraus und lassen Sie den Kolben los, bis die Nadel vollständig vom Nadelschutz abgedeckt ist (siehe </w:t>
            </w:r>
            <w:r w:rsidRPr="00B320E1">
              <w:rPr>
                <w:b/>
                <w:bCs/>
              </w:rPr>
              <w:t>Abbildung M</w:t>
            </w:r>
            <w:r w:rsidRPr="00B320E1">
              <w:t>).</w:t>
            </w:r>
          </w:p>
          <w:p w14:paraId="273D8077" w14:textId="77777777" w:rsidR="00877680" w:rsidRPr="00B320E1" w:rsidRDefault="00877680" w:rsidP="00F0391F">
            <w:pPr>
              <w:pStyle w:val="a3"/>
              <w:numPr>
                <w:ilvl w:val="0"/>
                <w:numId w:val="13"/>
              </w:numPr>
              <w:suppressAutoHyphens/>
              <w:autoSpaceDE/>
              <w:autoSpaceDN/>
              <w:ind w:left="1134" w:hanging="567"/>
            </w:pPr>
            <w:r w:rsidRPr="00B320E1">
              <w:t xml:space="preserve">In manchen Fällen kann die Stelle etwas bluten (siehe </w:t>
            </w:r>
            <w:r w:rsidRPr="00B320E1">
              <w:rPr>
                <w:b/>
              </w:rPr>
              <w:t>Schritt 13. Versorgen Sie die Injektionsstelle</w:t>
            </w:r>
            <w:r w:rsidRPr="00B320E1">
              <w:t>).</w:t>
            </w:r>
          </w:p>
          <w:p w14:paraId="7D76125E" w14:textId="77777777" w:rsidR="00877680" w:rsidRPr="00B320E1" w:rsidRDefault="00877680" w:rsidP="00F0391F">
            <w:pPr>
              <w:pStyle w:val="a3"/>
              <w:numPr>
                <w:ilvl w:val="0"/>
                <w:numId w:val="13"/>
              </w:numPr>
              <w:suppressAutoHyphens/>
              <w:autoSpaceDE/>
              <w:autoSpaceDN/>
              <w:ind w:left="1134" w:hanging="567"/>
            </w:pPr>
            <w:r w:rsidRPr="00B320E1">
              <w:t>Bei Kontakt des Arzneimittels mit der Haut waschen Sie den Bereich, der mit dem Arzneimittel in Kontakt gekommen ist, mit Wasser.</w:t>
            </w:r>
          </w:p>
          <w:p w14:paraId="35ABA8BE" w14:textId="73DB06CF" w:rsidR="00877680" w:rsidRPr="00B320E1" w:rsidRDefault="00877680" w:rsidP="00F0391F">
            <w:pPr>
              <w:pStyle w:val="a3"/>
              <w:numPr>
                <w:ilvl w:val="0"/>
                <w:numId w:val="13"/>
              </w:numPr>
              <w:suppressAutoHyphens/>
              <w:autoSpaceDE/>
              <w:autoSpaceDN/>
              <w:ind w:left="1134" w:hanging="567"/>
            </w:pPr>
            <w:r w:rsidRPr="00B320E1">
              <w:t xml:space="preserve">Verwenden Sie </w:t>
            </w:r>
            <w:r w:rsidR="001220E1" w:rsidRPr="00B320E1">
              <w:t xml:space="preserve">die </w:t>
            </w:r>
            <w:r w:rsidRPr="00B320E1">
              <w:t xml:space="preserve">Fertigspritze </w:t>
            </w:r>
            <w:r w:rsidRPr="00B320E1">
              <w:rPr>
                <w:b/>
              </w:rPr>
              <w:t>nicht</w:t>
            </w:r>
            <w:r w:rsidRPr="00B320E1">
              <w:t xml:space="preserve"> erneut.</w:t>
            </w:r>
          </w:p>
          <w:p w14:paraId="15755FF6" w14:textId="77777777" w:rsidR="00877680" w:rsidRPr="00F0391F" w:rsidRDefault="00877680" w:rsidP="00F0391F">
            <w:pPr>
              <w:autoSpaceDE/>
              <w:autoSpaceDN/>
              <w:rPr>
                <w:sz w:val="24"/>
                <w:szCs w:val="24"/>
              </w:rPr>
            </w:pPr>
          </w:p>
          <w:p w14:paraId="036E6AB3" w14:textId="77777777" w:rsidR="00877680" w:rsidRPr="00F0391F" w:rsidRDefault="00877680" w:rsidP="00F0391F">
            <w:pPr>
              <w:autoSpaceDE/>
              <w:autoSpaceDN/>
              <w:rPr>
                <w:sz w:val="24"/>
                <w:szCs w:val="24"/>
              </w:rPr>
            </w:pPr>
          </w:p>
        </w:tc>
      </w:tr>
    </w:tbl>
    <w:p w14:paraId="2084435C" w14:textId="77777777" w:rsidR="00877680" w:rsidRPr="00877680" w:rsidRDefault="00877680" w:rsidP="00877680"/>
    <w:p w14:paraId="0D18DEC4" w14:textId="1081717D" w:rsidR="00877680" w:rsidRPr="00BD6707" w:rsidRDefault="00877680" w:rsidP="00877680">
      <w:pPr>
        <w:keepNext/>
        <w:rPr>
          <w:b/>
          <w:bCs/>
        </w:rPr>
      </w:pPr>
      <w:r>
        <w:rPr>
          <w:b/>
          <w:bCs/>
        </w:rPr>
        <w:t>Nach der Injektion</w:t>
      </w:r>
    </w:p>
    <w:p w14:paraId="0E26BD7A" w14:textId="77777777" w:rsidR="00877680" w:rsidRDefault="00877680" w:rsidP="00877680">
      <w:pPr>
        <w:keepNex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73"/>
        <w:gridCol w:w="5500"/>
      </w:tblGrid>
      <w:tr w:rsidR="00877680" w:rsidRPr="00877680" w14:paraId="668ACB53" w14:textId="77777777" w:rsidTr="00F0391F">
        <w:trPr>
          <w:cantSplit/>
        </w:trPr>
        <w:tc>
          <w:tcPr>
            <w:tcW w:w="9039" w:type="dxa"/>
            <w:gridSpan w:val="2"/>
          </w:tcPr>
          <w:p w14:paraId="2CB08D56" w14:textId="77777777" w:rsidR="00877680" w:rsidRPr="00B320E1" w:rsidRDefault="00877680" w:rsidP="00F0391F">
            <w:pPr>
              <w:pStyle w:val="a3"/>
              <w:numPr>
                <w:ilvl w:val="0"/>
                <w:numId w:val="10"/>
              </w:numPr>
              <w:suppressAutoHyphens/>
              <w:autoSpaceDE/>
              <w:autoSpaceDN/>
              <w:ind w:left="567" w:hanging="567"/>
              <w:rPr>
                <w:b/>
              </w:rPr>
            </w:pPr>
            <w:r w:rsidRPr="00B320E1">
              <w:rPr>
                <w:b/>
              </w:rPr>
              <w:t>Versorgen Sie die Injektionsstelle.</w:t>
            </w:r>
          </w:p>
          <w:p w14:paraId="0C2AF449" w14:textId="77777777" w:rsidR="00877680" w:rsidRPr="00B320E1" w:rsidRDefault="00877680" w:rsidP="00F0391F">
            <w:pPr>
              <w:pStyle w:val="Default"/>
              <w:autoSpaceDE/>
              <w:autoSpaceDN/>
              <w:ind w:left="567" w:hanging="567"/>
              <w:rPr>
                <w:rFonts w:eastAsia="새굴림"/>
                <w:sz w:val="20"/>
                <w:szCs w:val="20"/>
              </w:rPr>
            </w:pPr>
          </w:p>
          <w:p w14:paraId="66EA5867" w14:textId="77777777" w:rsidR="00877680" w:rsidRPr="00B320E1" w:rsidRDefault="00877680" w:rsidP="00F0391F">
            <w:pPr>
              <w:pStyle w:val="a3"/>
              <w:numPr>
                <w:ilvl w:val="0"/>
                <w:numId w:val="25"/>
              </w:numPr>
              <w:autoSpaceDE/>
              <w:autoSpaceDN/>
              <w:ind w:left="567" w:hanging="567"/>
              <w:rPr>
                <w:bCs/>
              </w:rPr>
            </w:pPr>
            <w:r w:rsidRPr="00B320E1">
              <w:t>Falls es zu einer leichten Blutung kommt, versorgen Sie die Injektionsstelle, indem Sie einen Baumwolltupfer oder Verbandmull sanft auf die Stelle drücken (nicht reiben) und bei Bedarf ein Pflaster aufkleben.</w:t>
            </w:r>
          </w:p>
          <w:p w14:paraId="236BED25" w14:textId="6D0D3E46" w:rsidR="00877680" w:rsidRPr="00B320E1" w:rsidRDefault="00877680" w:rsidP="00F0391F">
            <w:pPr>
              <w:pStyle w:val="a3"/>
              <w:numPr>
                <w:ilvl w:val="0"/>
                <w:numId w:val="13"/>
              </w:numPr>
              <w:suppressAutoHyphens/>
              <w:autoSpaceDE/>
              <w:autoSpaceDN/>
              <w:ind w:left="1134" w:hanging="567"/>
            </w:pPr>
            <w:r w:rsidRPr="00B320E1">
              <w:t xml:space="preserve">Reiben Sie die Injektionsstelle </w:t>
            </w:r>
            <w:r w:rsidRPr="00B320E1">
              <w:rPr>
                <w:b/>
              </w:rPr>
              <w:t>nicht</w:t>
            </w:r>
            <w:r w:rsidRPr="00B320E1">
              <w:t>.</w:t>
            </w:r>
          </w:p>
          <w:p w14:paraId="22EFD9FF" w14:textId="77777777" w:rsidR="00877680" w:rsidRPr="00F0391F" w:rsidRDefault="00877680" w:rsidP="00F0391F">
            <w:pPr>
              <w:autoSpaceDE/>
              <w:autoSpaceDN/>
              <w:rPr>
                <w:sz w:val="24"/>
                <w:szCs w:val="24"/>
              </w:rPr>
            </w:pPr>
          </w:p>
        </w:tc>
      </w:tr>
      <w:tr w:rsidR="00877680" w:rsidRPr="00EA5451" w14:paraId="0550DFE5" w14:textId="77777777" w:rsidTr="00F0391F">
        <w:trPr>
          <w:cantSplit/>
        </w:trPr>
        <w:tc>
          <w:tcPr>
            <w:tcW w:w="3573" w:type="dxa"/>
          </w:tcPr>
          <w:p w14:paraId="75A71820" w14:textId="1CC7D2D5" w:rsidR="00877680" w:rsidRPr="00F0391F" w:rsidRDefault="00A16FF2" w:rsidP="00F0391F">
            <w:pPr>
              <w:suppressAutoHyphens/>
              <w:autoSpaceDE/>
              <w:autoSpaceDN/>
              <w:jc w:val="right"/>
              <w:rPr>
                <w:noProof/>
                <w:sz w:val="24"/>
                <w:szCs w:val="24"/>
              </w:rPr>
            </w:pPr>
            <w:r>
              <w:rPr>
                <w:noProof/>
                <w:sz w:val="24"/>
                <w:szCs w:val="24"/>
                <w:lang w:val="en-US" w:eastAsia="ko-KR"/>
              </w:rPr>
              <w:lastRenderedPageBreak/>
              <w:drawing>
                <wp:inline distT="0" distB="0" distL="0" distR="0" wp14:anchorId="2F61019C" wp14:editId="2A02898D">
                  <wp:extent cx="1956435" cy="2562225"/>
                  <wp:effectExtent l="19050" t="19050" r="5715" b="9525"/>
                  <wp:docPr id="20" name="그림 2017990357" descr="스케치, 그림, 아동 미술, 예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17990357" descr="스케치, 그림, 아동 미술, 예술이(가) 표시된 사진&#10;&#10;자동 생성된 설명"/>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56435" cy="2562225"/>
                          </a:xfrm>
                          <a:prstGeom prst="rect">
                            <a:avLst/>
                          </a:prstGeom>
                          <a:noFill/>
                          <a:ln w="9525" cmpd="sng">
                            <a:solidFill>
                              <a:srgbClr val="000000"/>
                            </a:solidFill>
                            <a:miter lim="800000"/>
                            <a:headEnd/>
                            <a:tailEnd/>
                          </a:ln>
                          <a:effectLst/>
                        </pic:spPr>
                      </pic:pic>
                    </a:graphicData>
                  </a:graphic>
                </wp:inline>
              </w:drawing>
            </w:r>
          </w:p>
          <w:p w14:paraId="26556FD3" w14:textId="05E251E5" w:rsidR="00877680" w:rsidRPr="00F0391F" w:rsidRDefault="00877680" w:rsidP="00F0391F">
            <w:pPr>
              <w:suppressAutoHyphens/>
              <w:autoSpaceDE/>
              <w:autoSpaceDN/>
              <w:jc w:val="right"/>
              <w:rPr>
                <w:b/>
                <w:bCs/>
                <w:noProof/>
                <w:sz w:val="24"/>
                <w:szCs w:val="24"/>
              </w:rPr>
            </w:pPr>
            <w:r w:rsidRPr="00B320E1">
              <w:rPr>
                <w:b/>
                <w:bCs/>
                <w:noProof/>
              </w:rPr>
              <w:t>Abbildung N</w:t>
            </w:r>
          </w:p>
        </w:tc>
        <w:tc>
          <w:tcPr>
            <w:tcW w:w="5500" w:type="dxa"/>
          </w:tcPr>
          <w:p w14:paraId="74C89B30" w14:textId="77777777" w:rsidR="00877680" w:rsidRPr="00B320E1" w:rsidRDefault="00877680" w:rsidP="00F0391F">
            <w:pPr>
              <w:pStyle w:val="a3"/>
              <w:numPr>
                <w:ilvl w:val="0"/>
                <w:numId w:val="10"/>
              </w:numPr>
              <w:suppressAutoHyphens/>
              <w:autoSpaceDE/>
              <w:autoSpaceDN/>
              <w:ind w:left="567" w:hanging="567"/>
              <w:rPr>
                <w:b/>
              </w:rPr>
            </w:pPr>
            <w:r w:rsidRPr="00B320E1">
              <w:rPr>
                <w:b/>
              </w:rPr>
              <w:t>Entsorgen Sie die Fertigspritze.</w:t>
            </w:r>
          </w:p>
          <w:p w14:paraId="4EF689A1" w14:textId="77777777" w:rsidR="00877680" w:rsidRPr="00B320E1" w:rsidRDefault="00877680" w:rsidP="00F0391F">
            <w:pPr>
              <w:pStyle w:val="Default"/>
              <w:autoSpaceDE/>
              <w:autoSpaceDN/>
              <w:ind w:left="567" w:hanging="567"/>
              <w:rPr>
                <w:rFonts w:eastAsia="새굴림"/>
                <w:sz w:val="20"/>
                <w:szCs w:val="20"/>
              </w:rPr>
            </w:pPr>
          </w:p>
          <w:p w14:paraId="630AD5CE" w14:textId="2C81C96F" w:rsidR="00877680" w:rsidRPr="00B320E1" w:rsidRDefault="00877680" w:rsidP="00F0391F">
            <w:pPr>
              <w:pStyle w:val="a3"/>
              <w:numPr>
                <w:ilvl w:val="0"/>
                <w:numId w:val="26"/>
              </w:numPr>
              <w:autoSpaceDE/>
              <w:autoSpaceDN/>
              <w:ind w:left="567" w:hanging="567"/>
              <w:rPr>
                <w:bCs/>
              </w:rPr>
            </w:pPr>
            <w:r w:rsidRPr="00B320E1">
              <w:t xml:space="preserve">Entsorgen Sie die verwendete Fertigspritze sofort nach der Verwendung im Nadelabwurfbehälter (siehe </w:t>
            </w:r>
            <w:r w:rsidRPr="00B320E1">
              <w:rPr>
                <w:b/>
                <w:bCs/>
              </w:rPr>
              <w:t>Abbildung N</w:t>
            </w:r>
            <w:r w:rsidRPr="00B320E1">
              <w:t>).</w:t>
            </w:r>
          </w:p>
          <w:p w14:paraId="31B92464" w14:textId="77777777" w:rsidR="00877680" w:rsidRPr="00B320E1" w:rsidRDefault="00877680" w:rsidP="00F0391F">
            <w:pPr>
              <w:pStyle w:val="a3"/>
              <w:autoSpaceDE/>
              <w:autoSpaceDN/>
              <w:ind w:left="567" w:hanging="567"/>
              <w:rPr>
                <w:bCs/>
              </w:rPr>
            </w:pPr>
          </w:p>
          <w:p w14:paraId="26B5E107" w14:textId="77777777" w:rsidR="00877680" w:rsidRPr="00B320E1" w:rsidRDefault="00877680" w:rsidP="00F0391F">
            <w:pPr>
              <w:pStyle w:val="a3"/>
              <w:autoSpaceDE/>
              <w:autoSpaceDN/>
              <w:ind w:left="567"/>
              <w:rPr>
                <w:bCs/>
                <w:noProof/>
              </w:rPr>
            </w:pPr>
            <w:r w:rsidRPr="00B320E1">
              <w:rPr>
                <w:i/>
              </w:rPr>
              <w:t>Hinweis</w:t>
            </w:r>
            <w:r w:rsidRPr="00B320E1">
              <w:t>: Wenn Ihnen die Injektion von jemand anderem verabreicht wird, muss diese Person ebenfalls beim Herausziehen und Entsorgen der Fertigspritze Vorsicht walten lassen, um eine versehentliche Nadelstichverletzung und die Übertragung einer Infektion zu vermeiden</w:t>
            </w:r>
            <w:r w:rsidRPr="00B320E1">
              <w:rPr>
                <w:color w:val="231F20"/>
              </w:rPr>
              <w:t>.</w:t>
            </w:r>
          </w:p>
          <w:p w14:paraId="2A869513" w14:textId="77777777" w:rsidR="00877680" w:rsidRPr="00B320E1" w:rsidRDefault="00877680" w:rsidP="00F0391F">
            <w:pPr>
              <w:pStyle w:val="a3"/>
              <w:autoSpaceDE/>
              <w:autoSpaceDN/>
              <w:ind w:left="567" w:hanging="567"/>
              <w:rPr>
                <w:bCs/>
              </w:rPr>
            </w:pPr>
          </w:p>
          <w:p w14:paraId="0811B0FA" w14:textId="13DC7BA4" w:rsidR="00877680" w:rsidRPr="00B320E1" w:rsidRDefault="00877680" w:rsidP="00F0391F">
            <w:pPr>
              <w:pStyle w:val="a3"/>
              <w:numPr>
                <w:ilvl w:val="0"/>
                <w:numId w:val="13"/>
              </w:numPr>
              <w:suppressAutoHyphens/>
              <w:autoSpaceDE/>
              <w:autoSpaceDN/>
              <w:ind w:left="1134" w:hanging="567"/>
            </w:pPr>
            <w:r w:rsidRPr="00B320E1">
              <w:t xml:space="preserve">Verwenden Sie die Fertigspritze </w:t>
            </w:r>
            <w:r w:rsidRPr="00B320E1">
              <w:rPr>
                <w:b/>
              </w:rPr>
              <w:t>nicht</w:t>
            </w:r>
            <w:r w:rsidRPr="00B320E1">
              <w:t xml:space="preserve"> erneut.</w:t>
            </w:r>
          </w:p>
          <w:p w14:paraId="29BF2DB4" w14:textId="77777777" w:rsidR="00877680" w:rsidRPr="00B320E1" w:rsidRDefault="00877680" w:rsidP="00F0391F">
            <w:pPr>
              <w:pStyle w:val="a3"/>
              <w:numPr>
                <w:ilvl w:val="0"/>
                <w:numId w:val="13"/>
              </w:numPr>
              <w:suppressAutoHyphens/>
              <w:autoSpaceDE/>
              <w:autoSpaceDN/>
              <w:ind w:left="1134" w:hanging="567"/>
            </w:pPr>
            <w:r w:rsidRPr="00B320E1">
              <w:t xml:space="preserve">Setzen Sie die Schutzkappe </w:t>
            </w:r>
            <w:r w:rsidRPr="00B320E1">
              <w:rPr>
                <w:b/>
              </w:rPr>
              <w:t>nicht</w:t>
            </w:r>
            <w:r w:rsidRPr="00B320E1">
              <w:t xml:space="preserve"> wieder auf die Fertigspritze auf.</w:t>
            </w:r>
          </w:p>
          <w:p w14:paraId="264925CA" w14:textId="77777777" w:rsidR="00877680" w:rsidRPr="00B320E1" w:rsidRDefault="00877680" w:rsidP="00F0391F">
            <w:pPr>
              <w:pStyle w:val="a3"/>
              <w:numPr>
                <w:ilvl w:val="0"/>
                <w:numId w:val="13"/>
              </w:numPr>
              <w:suppressAutoHyphens/>
              <w:autoSpaceDE/>
              <w:autoSpaceDN/>
              <w:ind w:left="1134" w:hanging="567"/>
            </w:pPr>
            <w:r w:rsidRPr="00B320E1">
              <w:t xml:space="preserve">Werfen (entsorgen) Sie den Nadelabwurfbehälter </w:t>
            </w:r>
            <w:r w:rsidRPr="00B320E1">
              <w:rPr>
                <w:b/>
                <w:bCs/>
              </w:rPr>
              <w:t>nicht</w:t>
            </w:r>
            <w:r w:rsidRPr="00B320E1">
              <w:t xml:space="preserve"> in den normalen Hausmüll.</w:t>
            </w:r>
          </w:p>
          <w:p w14:paraId="5F3B703A" w14:textId="77777777" w:rsidR="00877680" w:rsidRPr="00B320E1" w:rsidRDefault="00877680" w:rsidP="00F0391F">
            <w:pPr>
              <w:pStyle w:val="a3"/>
              <w:numPr>
                <w:ilvl w:val="0"/>
                <w:numId w:val="13"/>
              </w:numPr>
              <w:suppressAutoHyphens/>
              <w:autoSpaceDE/>
              <w:autoSpaceDN/>
              <w:ind w:left="1134" w:hanging="567"/>
            </w:pPr>
            <w:r w:rsidRPr="00B320E1">
              <w:t xml:space="preserve">Der Nadelabwurfbehälter darf </w:t>
            </w:r>
            <w:r w:rsidRPr="00B320E1">
              <w:rPr>
                <w:b/>
              </w:rPr>
              <w:t>nicht</w:t>
            </w:r>
            <w:r w:rsidRPr="00B320E1">
              <w:t xml:space="preserve"> recycelt werden.</w:t>
            </w:r>
          </w:p>
          <w:p w14:paraId="064D439B" w14:textId="068B8CCA" w:rsidR="00877680" w:rsidRPr="00B320E1" w:rsidRDefault="00877680" w:rsidP="00F0391F">
            <w:pPr>
              <w:pStyle w:val="a3"/>
              <w:numPr>
                <w:ilvl w:val="0"/>
                <w:numId w:val="13"/>
              </w:numPr>
              <w:suppressAutoHyphens/>
              <w:autoSpaceDE/>
              <w:autoSpaceDN/>
              <w:ind w:left="1134" w:hanging="567"/>
              <w:rPr>
                <w:bCs/>
              </w:rPr>
            </w:pPr>
            <w:r w:rsidRPr="00B320E1">
              <w:t>Bewahren Sie die Avtozma</w:t>
            </w:r>
            <w:r w:rsidR="009F4CAB" w:rsidRPr="00B320E1">
              <w:t>-</w:t>
            </w:r>
            <w:r w:rsidRPr="00B320E1">
              <w:t>Fertigspritze und den Nadelabwurfbehälter für Kinder unzugänglich auf.</w:t>
            </w:r>
          </w:p>
          <w:p w14:paraId="5D273F50" w14:textId="77777777" w:rsidR="00877680" w:rsidRPr="00B320E1" w:rsidRDefault="00877680" w:rsidP="00F0391F">
            <w:pPr>
              <w:pStyle w:val="a3"/>
              <w:autoSpaceDE/>
              <w:autoSpaceDN/>
              <w:ind w:left="567" w:hanging="567"/>
              <w:rPr>
                <w:bCs/>
              </w:rPr>
            </w:pPr>
          </w:p>
          <w:p w14:paraId="4454C1AC" w14:textId="57D4622F" w:rsidR="00877680" w:rsidRPr="00B320E1" w:rsidRDefault="00877680" w:rsidP="00F0391F">
            <w:pPr>
              <w:autoSpaceDE/>
              <w:autoSpaceDN/>
            </w:pPr>
            <w:r w:rsidRPr="00B320E1">
              <w:t>Entsorgen Sie den vollen Behälter entsprechend der Anweisung Ihres Arztes oder Apothekers. Wenn Sie keinen Nadelabwurfbehälter haben, können Sie einen verschließbaren und durchstichsicheren Behälter aus Ihrem Haushalt verwenden. Nicht verwendetes Arzneimittel oder Abfallmaterial ist entsprechend den nationalen Anforderungen zu beseitigen.</w:t>
            </w:r>
          </w:p>
          <w:p w14:paraId="6294E638" w14:textId="77777777" w:rsidR="00877680" w:rsidRPr="00F0391F" w:rsidRDefault="00877680" w:rsidP="00F0391F">
            <w:pPr>
              <w:autoSpaceDE/>
              <w:autoSpaceDN/>
              <w:rPr>
                <w:sz w:val="24"/>
                <w:szCs w:val="24"/>
              </w:rPr>
            </w:pPr>
          </w:p>
        </w:tc>
      </w:tr>
      <w:tr w:rsidR="00EA5451" w:rsidRPr="00EA5451" w14:paraId="568ABAE2" w14:textId="77777777" w:rsidTr="00F0391F">
        <w:trPr>
          <w:cantSplit/>
        </w:trPr>
        <w:tc>
          <w:tcPr>
            <w:tcW w:w="9073" w:type="dxa"/>
            <w:gridSpan w:val="2"/>
          </w:tcPr>
          <w:p w14:paraId="5A7595D2" w14:textId="77777777" w:rsidR="00EA5451" w:rsidRPr="00B320E1" w:rsidRDefault="00EA5451" w:rsidP="00F0391F">
            <w:pPr>
              <w:pStyle w:val="a3"/>
              <w:numPr>
                <w:ilvl w:val="0"/>
                <w:numId w:val="10"/>
              </w:numPr>
              <w:autoSpaceDE/>
              <w:autoSpaceDN/>
              <w:ind w:left="567" w:hanging="567"/>
              <w:rPr>
                <w:b/>
              </w:rPr>
            </w:pPr>
            <w:r w:rsidRPr="00B320E1">
              <w:rPr>
                <w:b/>
              </w:rPr>
              <w:t>Dokumentieren Sie die Injektion.</w:t>
            </w:r>
          </w:p>
          <w:p w14:paraId="6C0170BA" w14:textId="77777777" w:rsidR="00EA5451" w:rsidRPr="00B320E1" w:rsidRDefault="00EA5451" w:rsidP="00F0391F">
            <w:pPr>
              <w:pStyle w:val="Default"/>
              <w:autoSpaceDE/>
              <w:autoSpaceDN/>
              <w:ind w:left="567" w:hanging="567"/>
              <w:rPr>
                <w:rFonts w:eastAsia="새굴림"/>
                <w:sz w:val="20"/>
                <w:szCs w:val="20"/>
              </w:rPr>
            </w:pPr>
          </w:p>
          <w:p w14:paraId="0E4E8ECD" w14:textId="77777777" w:rsidR="00EA5451" w:rsidRPr="00B320E1" w:rsidRDefault="00EA5451" w:rsidP="00F0391F">
            <w:pPr>
              <w:pStyle w:val="a3"/>
              <w:numPr>
                <w:ilvl w:val="0"/>
                <w:numId w:val="27"/>
              </w:numPr>
              <w:autoSpaceDE/>
              <w:autoSpaceDN/>
              <w:ind w:left="567" w:hanging="567"/>
            </w:pPr>
            <w:r w:rsidRPr="00B320E1">
              <w:t>Notieren Sie das Datum, die Uhrzeit und die Stelle, an der Sie sich die Injektion selbst verabreicht haben.</w:t>
            </w:r>
          </w:p>
          <w:p w14:paraId="046CA1E0" w14:textId="77777777" w:rsidR="00EA5451" w:rsidRPr="00F0391F" w:rsidRDefault="00EA5451" w:rsidP="00F0391F">
            <w:pPr>
              <w:autoSpaceDE/>
              <w:autoSpaceDN/>
              <w:rPr>
                <w:sz w:val="24"/>
                <w:szCs w:val="24"/>
                <w:highlight w:val="green"/>
              </w:rPr>
            </w:pPr>
          </w:p>
        </w:tc>
      </w:tr>
    </w:tbl>
    <w:p w14:paraId="766AEBC3" w14:textId="2F2AB28C" w:rsidR="00877680" w:rsidRPr="00B320E1" w:rsidRDefault="00877680" w:rsidP="00BB4249"/>
    <w:p w14:paraId="0F5E6BEB" w14:textId="48C9B79D" w:rsidR="00093A5E" w:rsidRPr="006A64EE" w:rsidRDefault="00877680" w:rsidP="00EA5451">
      <w:pPr>
        <w:widowControl/>
        <w:jc w:val="center"/>
      </w:pPr>
      <w:r w:rsidRPr="00B320E1">
        <w:br w:type="page"/>
      </w:r>
      <w:r w:rsidR="007D680A" w:rsidRPr="006A64EE">
        <w:rPr>
          <w:b/>
        </w:rPr>
        <w:lastRenderedPageBreak/>
        <w:t>Gebrauchsinformation: Information für Anwender</w:t>
      </w:r>
    </w:p>
    <w:p w14:paraId="345EBCA9" w14:textId="77777777" w:rsidR="00093A5E" w:rsidRPr="006A64EE" w:rsidRDefault="00093A5E" w:rsidP="004255F8">
      <w:pPr>
        <w:pStyle w:val="a3"/>
        <w:widowControl/>
        <w:rPr>
          <w:b/>
        </w:rPr>
      </w:pPr>
    </w:p>
    <w:p w14:paraId="74C4707E" w14:textId="63D77AB3" w:rsidR="00093A5E" w:rsidRPr="006A64EE" w:rsidRDefault="00EA5451" w:rsidP="004255F8">
      <w:pPr>
        <w:widowControl/>
        <w:jc w:val="center"/>
        <w:rPr>
          <w:b/>
        </w:rPr>
      </w:pPr>
      <w:r>
        <w:rPr>
          <w:b/>
        </w:rPr>
        <w:t>Avtozma</w:t>
      </w:r>
      <w:r w:rsidRPr="006A64EE">
        <w:rPr>
          <w:b/>
        </w:rPr>
        <w:t xml:space="preserve"> </w:t>
      </w:r>
      <w:r w:rsidR="009C2544" w:rsidRPr="006A64EE">
        <w:rPr>
          <w:b/>
        </w:rPr>
        <w:t>162 mg Injektionslösung in einem Fertigpen</w:t>
      </w:r>
    </w:p>
    <w:p w14:paraId="75F956E9" w14:textId="77777777" w:rsidR="00093A5E" w:rsidRDefault="009C2544" w:rsidP="004255F8">
      <w:pPr>
        <w:pStyle w:val="a3"/>
        <w:widowControl/>
        <w:jc w:val="center"/>
      </w:pPr>
      <w:r w:rsidRPr="006A64EE">
        <w:t>Tocilizumab</w:t>
      </w:r>
    </w:p>
    <w:p w14:paraId="1E745CA1" w14:textId="77777777" w:rsidR="00EA5451" w:rsidRPr="006A64EE" w:rsidRDefault="00EA5451" w:rsidP="004255F8">
      <w:pPr>
        <w:pStyle w:val="a3"/>
        <w:widowControl/>
        <w:jc w:val="center"/>
      </w:pPr>
    </w:p>
    <w:p w14:paraId="79882F5D" w14:textId="641DD43C" w:rsidR="00093A5E" w:rsidRDefault="00A16FF2" w:rsidP="004255F8">
      <w:pPr>
        <w:pStyle w:val="a3"/>
        <w:widowControl/>
      </w:pPr>
      <w:r>
        <w:rPr>
          <w:noProof/>
          <w:lang w:val="en-US" w:eastAsia="ko-KR"/>
        </w:rPr>
        <w:drawing>
          <wp:inline distT="0" distB="0" distL="0" distR="0" wp14:anchorId="05ECE607" wp14:editId="048E59F6">
            <wp:extent cx="201930" cy="170180"/>
            <wp:effectExtent l="0" t="0" r="0" b="0"/>
            <wp:docPr id="21"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00EA5451" w:rsidRPr="00C119D8">
        <w:t>Dieses Arzneimittel unterliegt einer zusätzlichen Überwachung. Dies ermöglicht eine schnelle Identifizierung neuer Erkenntnisse über die Sicherheit. Sie können dabei helfen, indem Sie jede auftretende Nebenwirkung melden. Hinweise zur Meldung von Nebenwirkungen, siehe Ende Abschnitt 4</w:t>
      </w:r>
      <w:r w:rsidR="00EA5451">
        <w:t>.</w:t>
      </w:r>
    </w:p>
    <w:p w14:paraId="4247E67D" w14:textId="77777777" w:rsidR="00EA5451" w:rsidRPr="006A64EE" w:rsidRDefault="00EA5451" w:rsidP="004255F8">
      <w:pPr>
        <w:pStyle w:val="a3"/>
        <w:widowControl/>
      </w:pPr>
    </w:p>
    <w:p w14:paraId="78BF908E" w14:textId="77777777" w:rsidR="00093A5E" w:rsidRPr="008D6825" w:rsidRDefault="009C2544" w:rsidP="008D6825">
      <w:pPr>
        <w:widowControl/>
        <w:rPr>
          <w:b/>
          <w:bCs/>
        </w:rPr>
      </w:pPr>
      <w:r w:rsidRPr="008D6825">
        <w:rPr>
          <w:b/>
          <w:bCs/>
        </w:rPr>
        <w:t>Lesen Sie die gesamte Packungsbeilage sorgfältig durch, bevor Sie mit der Anwendung dieses Arzneimittels beginnen, denn sie enthält wichtige Informationen.</w:t>
      </w:r>
    </w:p>
    <w:p w14:paraId="68198534" w14:textId="77777777" w:rsidR="00093A5E" w:rsidRPr="006A64EE" w:rsidRDefault="00093A5E" w:rsidP="00121CB7"/>
    <w:p w14:paraId="547F2776"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Heben Sie die Packungsbeilage auf. Vielleicht möchten Sie diese später nochmals lesen.</w:t>
      </w:r>
    </w:p>
    <w:p w14:paraId="4F072D4E"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Wenn Sie weitere Fragen haben, wenden Sie sich an Ihren Arzt, Apotheker oder das medizinische Fachpersonal.</w:t>
      </w:r>
    </w:p>
    <w:p w14:paraId="01E51794"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Dieses Arzneimittel wurde Ihnen persönlich verschrieben. Geben Sie es nicht an Dritte weiter. Es kann anderen Menschen schaden, auch wenn diese die gleichen Beschwerden haben wie Sie.</w:t>
      </w:r>
    </w:p>
    <w:p w14:paraId="6A80B986"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Wenn Sie Nebenwirkungen bemerken, wenden Sie sich an Ihren Arzt, Apotheker oder das medizinische Fachpersonal. Dies gilt auch für Nebenwirkungen, die nicht in dieser Packungsbeilage angegeben sind. Siehe Abschnitt 4.</w:t>
      </w:r>
    </w:p>
    <w:p w14:paraId="675A4935" w14:textId="77777777" w:rsidR="00093A5E" w:rsidRPr="006A64EE" w:rsidRDefault="00093A5E" w:rsidP="004255F8">
      <w:pPr>
        <w:pStyle w:val="a3"/>
        <w:widowControl/>
      </w:pPr>
    </w:p>
    <w:p w14:paraId="4D68B04D" w14:textId="5C8B02B0" w:rsidR="00093A5E" w:rsidRPr="006A64EE" w:rsidRDefault="009C2544" w:rsidP="004255F8">
      <w:pPr>
        <w:pStyle w:val="a3"/>
        <w:widowControl/>
      </w:pPr>
      <w:r w:rsidRPr="006A64EE">
        <w:t xml:space="preserve">Zusätzlich zu dieser Gebrauchsinformation werden Sie einen </w:t>
      </w:r>
      <w:r w:rsidRPr="006A64EE">
        <w:rPr>
          <w:b/>
        </w:rPr>
        <w:t xml:space="preserve">Patientenpass </w:t>
      </w:r>
      <w:r w:rsidRPr="006A64EE">
        <w:t xml:space="preserve">erhalten, der wichtige Sicherheitsinformationen enthält, über die Sie vor und während Ihrer Behandlung mit </w:t>
      </w:r>
      <w:r w:rsidR="00994B96">
        <w:t>Avtozma</w:t>
      </w:r>
      <w:r w:rsidRPr="006A64EE">
        <w:t xml:space="preserve"> Bescheid wissen müssen.</w:t>
      </w:r>
    </w:p>
    <w:p w14:paraId="44406B30" w14:textId="77777777" w:rsidR="00093A5E" w:rsidRPr="006A64EE" w:rsidRDefault="00093A5E" w:rsidP="004255F8">
      <w:pPr>
        <w:pStyle w:val="a3"/>
        <w:widowControl/>
      </w:pPr>
    </w:p>
    <w:p w14:paraId="6837F912" w14:textId="77777777" w:rsidR="00093A5E" w:rsidRPr="008D6825" w:rsidRDefault="009C2544" w:rsidP="008D6825">
      <w:pPr>
        <w:widowControl/>
        <w:rPr>
          <w:b/>
          <w:bCs/>
        </w:rPr>
      </w:pPr>
      <w:r w:rsidRPr="008D6825">
        <w:rPr>
          <w:b/>
          <w:bCs/>
        </w:rPr>
        <w:t>Was in dieser Packungsbeilage steht</w:t>
      </w:r>
    </w:p>
    <w:p w14:paraId="3CBE4145" w14:textId="5BF2F5B9" w:rsidR="00093A5E" w:rsidRPr="006A64EE" w:rsidRDefault="0059713A" w:rsidP="00732DEA">
      <w:pPr>
        <w:widowControl/>
        <w:ind w:left="567" w:hanging="567"/>
      </w:pPr>
      <w:r w:rsidRPr="006A64EE">
        <w:t>1.</w:t>
      </w:r>
      <w:r w:rsidRPr="006A64EE">
        <w:tab/>
        <w:t xml:space="preserve">Was ist </w:t>
      </w:r>
      <w:r w:rsidR="00994B96">
        <w:t>Avtozma</w:t>
      </w:r>
      <w:r w:rsidRPr="006A64EE">
        <w:t xml:space="preserve"> und wofür wird es angewendet?</w:t>
      </w:r>
    </w:p>
    <w:p w14:paraId="06CFD4D9" w14:textId="12C9A79B" w:rsidR="00093A5E" w:rsidRPr="006A64EE" w:rsidRDefault="0059713A" w:rsidP="00732DEA">
      <w:pPr>
        <w:widowControl/>
        <w:ind w:left="567" w:hanging="567"/>
      </w:pPr>
      <w:r w:rsidRPr="006A64EE">
        <w:t>2.</w:t>
      </w:r>
      <w:r w:rsidRPr="006A64EE">
        <w:tab/>
        <w:t xml:space="preserve">Was sollten Sie vor der Anwendung von </w:t>
      </w:r>
      <w:r w:rsidR="00994B96">
        <w:t>Avtozma</w:t>
      </w:r>
      <w:r w:rsidRPr="006A64EE">
        <w:t xml:space="preserve"> beachten?</w:t>
      </w:r>
    </w:p>
    <w:p w14:paraId="2830B5B9" w14:textId="5D2FA047" w:rsidR="00093A5E" w:rsidRPr="006A64EE" w:rsidRDefault="0059713A" w:rsidP="00732DEA">
      <w:pPr>
        <w:widowControl/>
        <w:ind w:left="567" w:hanging="567"/>
      </w:pPr>
      <w:r w:rsidRPr="006A64EE">
        <w:t>3.</w:t>
      </w:r>
      <w:r w:rsidRPr="006A64EE">
        <w:tab/>
        <w:t xml:space="preserve">Wie ist </w:t>
      </w:r>
      <w:r w:rsidR="00994B96">
        <w:t>Avtozma</w:t>
      </w:r>
      <w:r w:rsidRPr="006A64EE">
        <w:t xml:space="preserve"> anzuwenden?</w:t>
      </w:r>
    </w:p>
    <w:p w14:paraId="0ACB4113" w14:textId="77777777" w:rsidR="00093A5E" w:rsidRPr="006A64EE" w:rsidRDefault="0059713A" w:rsidP="00732DEA">
      <w:pPr>
        <w:widowControl/>
        <w:ind w:left="567" w:hanging="567"/>
      </w:pPr>
      <w:r w:rsidRPr="006A64EE">
        <w:t>4.</w:t>
      </w:r>
      <w:r w:rsidRPr="006A64EE">
        <w:tab/>
        <w:t>Welche Nebenwirkungen sind möglich?</w:t>
      </w:r>
    </w:p>
    <w:p w14:paraId="44CECEE9" w14:textId="07249BC3" w:rsidR="00093A5E" w:rsidRPr="006A64EE" w:rsidRDefault="0059713A" w:rsidP="00732DEA">
      <w:pPr>
        <w:widowControl/>
        <w:ind w:left="567" w:hanging="567"/>
      </w:pPr>
      <w:r w:rsidRPr="006A64EE">
        <w:t>5.</w:t>
      </w:r>
      <w:r w:rsidRPr="006A64EE">
        <w:tab/>
        <w:t xml:space="preserve">Wie ist </w:t>
      </w:r>
      <w:r w:rsidR="00994B96">
        <w:t>Avtozma</w:t>
      </w:r>
      <w:r w:rsidRPr="006A64EE">
        <w:t xml:space="preserve"> aufzubewahren?</w:t>
      </w:r>
    </w:p>
    <w:p w14:paraId="7B9C7AF8" w14:textId="77777777" w:rsidR="00093A5E" w:rsidRDefault="0059713A" w:rsidP="00732DEA">
      <w:pPr>
        <w:widowControl/>
        <w:ind w:left="567" w:hanging="567"/>
      </w:pPr>
      <w:r w:rsidRPr="006A64EE">
        <w:t>6.</w:t>
      </w:r>
      <w:r w:rsidRPr="006A64EE">
        <w:tab/>
        <w:t>Inhalt der Packung und weitere Informationen</w:t>
      </w:r>
    </w:p>
    <w:p w14:paraId="5AB87919" w14:textId="7F0C0EFA" w:rsidR="007810C8" w:rsidRPr="006A64EE" w:rsidRDefault="007810C8" w:rsidP="00732DEA">
      <w:pPr>
        <w:widowControl/>
        <w:ind w:left="567" w:hanging="567"/>
      </w:pPr>
      <w:r>
        <w:t>7.</w:t>
      </w:r>
      <w:r>
        <w:tab/>
        <w:t>Gebrauchsanweisung</w:t>
      </w:r>
    </w:p>
    <w:p w14:paraId="3D268716" w14:textId="77777777" w:rsidR="00093A5E" w:rsidRPr="006A64EE" w:rsidRDefault="00093A5E" w:rsidP="00732DEA">
      <w:pPr>
        <w:pStyle w:val="a3"/>
        <w:widowControl/>
      </w:pPr>
    </w:p>
    <w:p w14:paraId="0A192EBD" w14:textId="77777777" w:rsidR="00093A5E" w:rsidRPr="006A64EE" w:rsidRDefault="00093A5E" w:rsidP="00732DEA">
      <w:pPr>
        <w:pStyle w:val="a3"/>
        <w:widowControl/>
      </w:pPr>
    </w:p>
    <w:p w14:paraId="64E0902C" w14:textId="227844C2" w:rsidR="00093A5E" w:rsidRPr="006A64EE" w:rsidRDefault="0059713A" w:rsidP="00732DEA">
      <w:pPr>
        <w:pStyle w:val="1"/>
      </w:pPr>
      <w:r w:rsidRPr="006A64EE">
        <w:t>1.</w:t>
      </w:r>
      <w:r w:rsidRPr="006A64EE">
        <w:tab/>
        <w:t xml:space="preserve">Was ist </w:t>
      </w:r>
      <w:r w:rsidR="00994B96">
        <w:t>Avtozma</w:t>
      </w:r>
      <w:r w:rsidRPr="006A64EE">
        <w:t xml:space="preserve"> und wofür wird es angewendet?</w:t>
      </w:r>
    </w:p>
    <w:p w14:paraId="1607D217" w14:textId="77777777" w:rsidR="00093A5E" w:rsidRPr="006A64EE" w:rsidRDefault="00093A5E" w:rsidP="00732DEA">
      <w:pPr>
        <w:pStyle w:val="a3"/>
        <w:widowControl/>
      </w:pPr>
    </w:p>
    <w:p w14:paraId="1493BD1E" w14:textId="471D0AB2" w:rsidR="00093A5E" w:rsidRPr="006A64EE" w:rsidRDefault="00994B96" w:rsidP="00732DEA">
      <w:pPr>
        <w:pStyle w:val="a3"/>
        <w:widowControl/>
      </w:pPr>
      <w:r>
        <w:t>Avtozma</w:t>
      </w:r>
      <w:r w:rsidR="009C2544" w:rsidRPr="006A64EE">
        <w:t xml:space="preserve"> enthält den Wirkstoff Tocilizumab, ein Protein, welches aus bestimmten Immunzellen gewonnen wird (ein monoklonaler Antikörper), das die Wirkung eines bestimmten Proteins (Zytokin), das Interleukin-6 genannt wird, blockiert. Dieses Protein spielt bei Entzündungsvorgängen im Körper eine Rolle und durch seine Blockade kann die Entzündung in Ihrem Körper verringert werden.</w:t>
      </w:r>
      <w:r w:rsidR="009E0A66" w:rsidRPr="006A64EE">
        <w:t xml:space="preserve"> </w:t>
      </w:r>
      <w:r>
        <w:t>Avtozma</w:t>
      </w:r>
      <w:r w:rsidR="009C2544" w:rsidRPr="006A64EE">
        <w:t xml:space="preserve"> wird angewendet zur Behandlung von:</w:t>
      </w:r>
    </w:p>
    <w:p w14:paraId="02CAD529" w14:textId="77777777" w:rsidR="00093A5E" w:rsidRPr="006A64EE" w:rsidRDefault="00093A5E" w:rsidP="004255F8">
      <w:pPr>
        <w:pStyle w:val="a3"/>
        <w:widowControl/>
      </w:pPr>
    </w:p>
    <w:p w14:paraId="16DC5654"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rPr>
          <w:b/>
        </w:rPr>
        <w:t xml:space="preserve">Erwachsenen mit mäßiger bis schwerer aktiver rheumatoider Arthritis (RA), </w:t>
      </w:r>
      <w:r w:rsidRPr="006A64EE">
        <w:t>einer Autoimmunerkrankung, wenn vorangegangene Behandlungen nicht gut genug gewirkt haben.</w:t>
      </w:r>
    </w:p>
    <w:p w14:paraId="1DE89AA7" w14:textId="77777777" w:rsidR="00093A5E" w:rsidRPr="006A64EE" w:rsidRDefault="00093A5E" w:rsidP="004255F8">
      <w:pPr>
        <w:pStyle w:val="a3"/>
        <w:widowControl/>
      </w:pPr>
    </w:p>
    <w:p w14:paraId="2CCCD815" w14:textId="77777777" w:rsidR="00093A5E" w:rsidRPr="006A64EE" w:rsidRDefault="0059713A" w:rsidP="00732DEA">
      <w:pPr>
        <w:widowControl/>
        <w:ind w:left="567" w:hanging="567"/>
      </w:pPr>
      <w:r w:rsidRPr="006A64EE">
        <w:rPr>
          <w:rFonts w:ascii="Symbol" w:hAnsi="Symbol"/>
        </w:rPr>
        <w:t></w:t>
      </w:r>
      <w:r w:rsidRPr="006A64EE">
        <w:rPr>
          <w:rFonts w:ascii="Symbol" w:hAnsi="Symbol"/>
        </w:rPr>
        <w:tab/>
      </w:r>
      <w:r w:rsidRPr="006A64EE">
        <w:rPr>
          <w:b/>
        </w:rPr>
        <w:t>Erwachsenen mit schwerer aktiver und fortschreitender (progressiver) rheumatoider Arthritis (RA)</w:t>
      </w:r>
      <w:r w:rsidRPr="006A64EE">
        <w:t>, die keine vorherige Methotrexat-Behandlung erhalten haben.</w:t>
      </w:r>
    </w:p>
    <w:p w14:paraId="498A5633" w14:textId="77777777" w:rsidR="00093A5E" w:rsidRPr="006A64EE" w:rsidRDefault="00093A5E" w:rsidP="004255F8">
      <w:pPr>
        <w:pStyle w:val="a3"/>
        <w:widowControl/>
      </w:pPr>
    </w:p>
    <w:p w14:paraId="06284AA4" w14:textId="7A8A1628" w:rsidR="00093A5E" w:rsidRPr="006A64EE" w:rsidRDefault="00994B96" w:rsidP="00A95D75">
      <w:pPr>
        <w:pStyle w:val="a3"/>
        <w:widowControl/>
        <w:ind w:left="567"/>
      </w:pPr>
      <w:r>
        <w:t>Avtozma</w:t>
      </w:r>
      <w:r w:rsidR="009C2544" w:rsidRPr="006A64EE">
        <w:t xml:space="preserve"> hilft, die </w:t>
      </w:r>
      <w:r w:rsidR="00FC22D7">
        <w:t>RA-</w:t>
      </w:r>
      <w:r w:rsidR="009C2544" w:rsidRPr="006A64EE">
        <w:t xml:space="preserve">Beschwerden, wie Schmerzen und Schwellungen Ihrer Gelenke, zu verringern und kann auch Ihre Leistungsfähigkeit in Hinblick auf Ihre täglichen Aufgaben verbessern. </w:t>
      </w:r>
      <w:r>
        <w:t>Avtozma</w:t>
      </w:r>
      <w:r w:rsidR="009C2544" w:rsidRPr="006A64EE">
        <w:t xml:space="preserve"> verlangsamt das Fortschreiten der durch die Erkrankung verursachten Knorpel- und Knochenschädigungen der Gelenke und verbessert Ihre Fähigkeit, die normalen täglichen Tätigkeiten auszuführen.</w:t>
      </w:r>
    </w:p>
    <w:p w14:paraId="52C436EA" w14:textId="77777777" w:rsidR="00093A5E" w:rsidRPr="006A64EE" w:rsidRDefault="00093A5E" w:rsidP="00A95D75">
      <w:pPr>
        <w:pStyle w:val="a3"/>
        <w:widowControl/>
        <w:ind w:left="567"/>
      </w:pPr>
    </w:p>
    <w:p w14:paraId="3C7CA4A4" w14:textId="2E5A86D2" w:rsidR="00093A5E" w:rsidRPr="006A64EE" w:rsidRDefault="00994B96" w:rsidP="00A95D75">
      <w:pPr>
        <w:pStyle w:val="a3"/>
        <w:widowControl/>
        <w:ind w:left="567"/>
      </w:pPr>
      <w:r>
        <w:t>Avtozma</w:t>
      </w:r>
      <w:r w:rsidR="009C2544" w:rsidRPr="006A64EE">
        <w:t xml:space="preserve"> wird normalerweise zusammen mit Methotrexat, einem anderen Arzneimittel gegen RA, angewendet. Wenn Ihr Arzt jedoch feststellt, dass Methotrexat nicht für Sie geeignet ist, kann er Ihnen auch nur </w:t>
      </w:r>
      <w:r>
        <w:t>Avtozma</w:t>
      </w:r>
      <w:r w:rsidR="009C2544" w:rsidRPr="006A64EE">
        <w:t xml:space="preserve"> allein geben.</w:t>
      </w:r>
    </w:p>
    <w:p w14:paraId="14C4EE63" w14:textId="77777777" w:rsidR="00093A5E" w:rsidRPr="006A64EE" w:rsidRDefault="00093A5E" w:rsidP="004255F8">
      <w:pPr>
        <w:widowControl/>
      </w:pPr>
    </w:p>
    <w:p w14:paraId="528698A8" w14:textId="77777777" w:rsidR="00093A5E" w:rsidRPr="006A64EE" w:rsidRDefault="0059713A" w:rsidP="00732DEA">
      <w:pPr>
        <w:pStyle w:val="bullet"/>
      </w:pPr>
      <w:r w:rsidRPr="006A64EE">
        <w:rPr>
          <w:rFonts w:ascii="Symbol" w:hAnsi="Symbol"/>
        </w:rPr>
        <w:t></w:t>
      </w:r>
      <w:r w:rsidRPr="006A64EE">
        <w:rPr>
          <w:rFonts w:ascii="Symbol" w:hAnsi="Symbol"/>
        </w:rPr>
        <w:tab/>
      </w:r>
      <w:r w:rsidR="007D680A" w:rsidRPr="006A64EE">
        <w:rPr>
          <w:b/>
        </w:rPr>
        <w:t>Erwachsenen mit einer Erkrankung der Arterien namens Riesenzellarteriitis (RZA)</w:t>
      </w:r>
      <w:r w:rsidR="007D680A" w:rsidRPr="006A64EE">
        <w:t>. Diese Erkrankung entsteht durch eine Entzündung der großen Körperarterien, insbesondere der Arterien, die Kopf und Hals mit Blut versorgen. Zu den Symptomen gehören Kopfschmerzen, Ermüdung und Kieferschmerzen. Mögliche Auswirkungen sind Schlaganfall und Erblindung.</w:t>
      </w:r>
    </w:p>
    <w:p w14:paraId="109B4731" w14:textId="77777777" w:rsidR="00093A5E" w:rsidRPr="006A64EE" w:rsidRDefault="00093A5E" w:rsidP="004255F8">
      <w:pPr>
        <w:pStyle w:val="a3"/>
        <w:widowControl/>
      </w:pPr>
    </w:p>
    <w:p w14:paraId="110C76D5" w14:textId="61F2FDBB" w:rsidR="00093A5E" w:rsidRPr="006A64EE" w:rsidRDefault="00994B96" w:rsidP="00A95D75">
      <w:pPr>
        <w:pStyle w:val="a3"/>
        <w:widowControl/>
        <w:ind w:left="567"/>
      </w:pPr>
      <w:r>
        <w:t>Avtozma</w:t>
      </w:r>
      <w:r w:rsidR="009C2544" w:rsidRPr="006A64EE">
        <w:t xml:space="preserve"> kann die Schmerzen und das Anschwellen der Arterien und Venen in Kopf, Hals und Armen verringern.</w:t>
      </w:r>
    </w:p>
    <w:p w14:paraId="26377477" w14:textId="77777777" w:rsidR="00093A5E" w:rsidRPr="006A64EE" w:rsidRDefault="00093A5E" w:rsidP="00A95D75">
      <w:pPr>
        <w:pStyle w:val="a3"/>
        <w:widowControl/>
        <w:ind w:left="567"/>
      </w:pPr>
    </w:p>
    <w:p w14:paraId="7E29F011" w14:textId="41FCC7CC" w:rsidR="00093A5E" w:rsidRPr="006A64EE" w:rsidRDefault="009C2544" w:rsidP="00A95D75">
      <w:pPr>
        <w:pStyle w:val="a3"/>
        <w:widowControl/>
        <w:ind w:left="567"/>
      </w:pPr>
      <w:r w:rsidRPr="006A64EE">
        <w:t xml:space="preserve">RZA wird oft mit Medikamenten behandelt, die zu den sogenannten Steroiden gehören. Sie sind meistens wirksam, können aber Nebenwirkungen haben, wenn sie über lange Zeit in hohen Dosierungen angewendet werden. Eine Reduzierung der Steroid-Dosis kann ebenfalls zu einem Schub der RZA führen. Wenn man zusätzlich </w:t>
      </w:r>
      <w:r w:rsidR="00994B96">
        <w:t>Avtozma</w:t>
      </w:r>
      <w:r w:rsidRPr="006A64EE">
        <w:t xml:space="preserve"> anwendet, können die Steroide für eine kürzere Zeit eingesetzt und die RZA trotzdem kontrolliert werden.</w:t>
      </w:r>
    </w:p>
    <w:p w14:paraId="29EBAD2B" w14:textId="77777777" w:rsidR="00093A5E" w:rsidRPr="006A64EE" w:rsidRDefault="00093A5E" w:rsidP="004255F8">
      <w:pPr>
        <w:pStyle w:val="a3"/>
        <w:widowControl/>
      </w:pPr>
    </w:p>
    <w:p w14:paraId="49881A3B"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rPr>
          <w:b/>
        </w:rPr>
        <w:t xml:space="preserve">Kindern und Jugendlichen im Alter von 12 Jahren und älter mit aktiver </w:t>
      </w:r>
      <w:r w:rsidRPr="006A64EE">
        <w:rPr>
          <w:b/>
          <w:i/>
        </w:rPr>
        <w:t>systemischer juveniler idiopathischer Arthritis (sJIA)</w:t>
      </w:r>
      <w:r w:rsidRPr="006A64EE">
        <w:t>, einer entzündlichen Erkrankung, die zu Schmerzen und Schwellungen in einem oder mehreren Gelenken, sowie Fieber und Ausschlag führt.</w:t>
      </w:r>
    </w:p>
    <w:p w14:paraId="05631856" w14:textId="77777777" w:rsidR="00093A5E" w:rsidRPr="006A64EE" w:rsidRDefault="00093A5E" w:rsidP="004255F8">
      <w:pPr>
        <w:pStyle w:val="a3"/>
        <w:widowControl/>
      </w:pPr>
    </w:p>
    <w:p w14:paraId="0CC788CD" w14:textId="1989C749" w:rsidR="00093A5E" w:rsidRPr="006A64EE" w:rsidRDefault="00994B96" w:rsidP="00A95D75">
      <w:pPr>
        <w:pStyle w:val="a3"/>
        <w:widowControl/>
        <w:ind w:left="567"/>
      </w:pPr>
      <w:r>
        <w:t>Avtozma</w:t>
      </w:r>
      <w:r w:rsidR="009C2544" w:rsidRPr="006A64EE">
        <w:t xml:space="preserve"> wird zur Verbesserung der Symptome einer sJIA angewendet und kann in Kombination mit Methotrexat oder allein gegeben werden.</w:t>
      </w:r>
    </w:p>
    <w:p w14:paraId="5DD7DE5D" w14:textId="77777777" w:rsidR="00093A5E" w:rsidRPr="006A64EE" w:rsidRDefault="00093A5E" w:rsidP="004255F8">
      <w:pPr>
        <w:pStyle w:val="a3"/>
        <w:widowControl/>
      </w:pPr>
    </w:p>
    <w:p w14:paraId="1D4CDC79" w14:textId="77777777" w:rsidR="00093A5E" w:rsidRPr="006A64EE" w:rsidRDefault="0059713A" w:rsidP="00732DEA">
      <w:pPr>
        <w:widowControl/>
        <w:ind w:left="567" w:hanging="567"/>
      </w:pPr>
      <w:r w:rsidRPr="006A64EE">
        <w:rPr>
          <w:rFonts w:ascii="Symbol" w:hAnsi="Symbol"/>
        </w:rPr>
        <w:t></w:t>
      </w:r>
      <w:r w:rsidRPr="006A64EE">
        <w:rPr>
          <w:rFonts w:ascii="Symbol" w:hAnsi="Symbol"/>
        </w:rPr>
        <w:tab/>
      </w:r>
      <w:r w:rsidRPr="006A64EE">
        <w:rPr>
          <w:b/>
        </w:rPr>
        <w:t xml:space="preserve">Kindern und Jugendlichen im Alter von 12 Jahren und älter mit aktiver </w:t>
      </w:r>
      <w:r w:rsidRPr="006A64EE">
        <w:rPr>
          <w:b/>
          <w:i/>
        </w:rPr>
        <w:t>polyartikulärer juveniler idiopathischer Arthritis (pJIA)</w:t>
      </w:r>
      <w:r w:rsidRPr="006A64EE">
        <w:t>. Das ist eine entzündliche Erkrankung, die zu Schmerzen und Schwellungen in einem oder mehreren Gelenken führt.</w:t>
      </w:r>
    </w:p>
    <w:p w14:paraId="28B2C388" w14:textId="77777777" w:rsidR="00093A5E" w:rsidRPr="006A64EE" w:rsidRDefault="00093A5E" w:rsidP="004255F8">
      <w:pPr>
        <w:pStyle w:val="a3"/>
        <w:widowControl/>
      </w:pPr>
    </w:p>
    <w:p w14:paraId="4F81F4F7" w14:textId="55AEFDC1" w:rsidR="00093A5E" w:rsidRPr="006A64EE" w:rsidRDefault="00994B96" w:rsidP="00A95D75">
      <w:pPr>
        <w:pStyle w:val="a3"/>
        <w:widowControl/>
        <w:ind w:left="567"/>
      </w:pPr>
      <w:r>
        <w:t>Avtozma</w:t>
      </w:r>
      <w:r w:rsidR="009C2544" w:rsidRPr="006A64EE">
        <w:t xml:space="preserve"> wird zur Verbesserung der Symptome einer pJIA angewendet. Es kann in Kombination mit Methotrexat oder allein gegeben werden.</w:t>
      </w:r>
    </w:p>
    <w:p w14:paraId="479F8085" w14:textId="77777777" w:rsidR="00093A5E" w:rsidRPr="006A64EE" w:rsidRDefault="00093A5E" w:rsidP="004255F8">
      <w:pPr>
        <w:pStyle w:val="a3"/>
        <w:widowControl/>
      </w:pPr>
    </w:p>
    <w:p w14:paraId="4D125185" w14:textId="77777777" w:rsidR="00093A5E" w:rsidRPr="006A64EE" w:rsidRDefault="00093A5E" w:rsidP="004255F8">
      <w:pPr>
        <w:pStyle w:val="a3"/>
        <w:widowControl/>
      </w:pPr>
    </w:p>
    <w:p w14:paraId="4EAE709D" w14:textId="3549C4D5" w:rsidR="00093A5E" w:rsidRPr="006A64EE" w:rsidRDefault="0059713A" w:rsidP="008D6825">
      <w:pPr>
        <w:pStyle w:val="1"/>
      </w:pPr>
      <w:r w:rsidRPr="006A64EE">
        <w:t>2.</w:t>
      </w:r>
      <w:r w:rsidRPr="006A64EE">
        <w:tab/>
        <w:t xml:space="preserve">Was sollten Sie vor der Anwendung von </w:t>
      </w:r>
      <w:r w:rsidR="00994B96">
        <w:t>Avtozma</w:t>
      </w:r>
      <w:r w:rsidRPr="006A64EE">
        <w:t xml:space="preserve"> beachten?</w:t>
      </w:r>
    </w:p>
    <w:p w14:paraId="15230DBB" w14:textId="77777777" w:rsidR="00093A5E" w:rsidRPr="006A64EE" w:rsidRDefault="00093A5E" w:rsidP="00732DEA">
      <w:pPr>
        <w:pStyle w:val="a3"/>
        <w:widowControl/>
        <w:rPr>
          <w:b/>
        </w:rPr>
      </w:pPr>
    </w:p>
    <w:p w14:paraId="3164CD58" w14:textId="6A10F28C" w:rsidR="00093A5E" w:rsidRPr="006A64EE" w:rsidRDefault="00994B96" w:rsidP="00732DEA">
      <w:pPr>
        <w:widowControl/>
        <w:rPr>
          <w:b/>
        </w:rPr>
      </w:pPr>
      <w:r>
        <w:rPr>
          <w:b/>
        </w:rPr>
        <w:t>Avtozma</w:t>
      </w:r>
      <w:r w:rsidR="009C2544" w:rsidRPr="006A64EE">
        <w:rPr>
          <w:b/>
        </w:rPr>
        <w:t xml:space="preserve"> darf nicht angewendet werden,</w:t>
      </w:r>
    </w:p>
    <w:p w14:paraId="735EBFF1" w14:textId="38C0606D" w:rsidR="00093A5E" w:rsidRPr="006A64EE" w:rsidRDefault="0059713A" w:rsidP="00732DEA">
      <w:pPr>
        <w:pStyle w:val="bullet"/>
      </w:pPr>
      <w:r w:rsidRPr="006A64EE">
        <w:rPr>
          <w:rFonts w:ascii="Symbol" w:hAnsi="Symbol"/>
        </w:rPr>
        <w:t></w:t>
      </w:r>
      <w:r w:rsidRPr="006A64EE">
        <w:rPr>
          <w:rFonts w:ascii="Symbol" w:hAnsi="Symbol"/>
        </w:rPr>
        <w:tab/>
      </w:r>
      <w:r w:rsidRPr="006A64EE">
        <w:t>wenn Sie oder der minderjährige Patient, den Sie betreuen, allergisch gegen Tocilizumab oder einen der in Abschnitt 6. genannten sonstigen Bestandteile dieses Arzneimittels sind</w:t>
      </w:r>
      <w:r w:rsidR="008370F3">
        <w:t xml:space="preserve"> (siehe besondere Warnhinweise am Ende dieses Abschnitts unter der Zwischenüberschrift „Avtozma enthält Polysorbat“)</w:t>
      </w:r>
      <w:r w:rsidRPr="006A64EE">
        <w:t>.</w:t>
      </w:r>
    </w:p>
    <w:p w14:paraId="503A8ED7"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wenn Sie oder der minderjährige Patient, den Sie betreuen, eine aktive, schwere Infektion haben.</w:t>
      </w:r>
    </w:p>
    <w:p w14:paraId="7186A0AC" w14:textId="77777777" w:rsidR="00093A5E" w:rsidRPr="006A64EE" w:rsidRDefault="00093A5E" w:rsidP="00732DEA">
      <w:pPr>
        <w:pStyle w:val="a3"/>
        <w:widowControl/>
      </w:pPr>
    </w:p>
    <w:p w14:paraId="216BF490" w14:textId="2735D687" w:rsidR="00093A5E" w:rsidRPr="006A64EE" w:rsidRDefault="009C2544" w:rsidP="00732DEA">
      <w:pPr>
        <w:pStyle w:val="a3"/>
        <w:widowControl/>
      </w:pPr>
      <w:r w:rsidRPr="006A64EE">
        <w:t xml:space="preserve">Wenn einer dieser Punkte auf Sie zutrifft, informieren Sie einen Arzt. Wenden Sie </w:t>
      </w:r>
      <w:r w:rsidR="00994B96">
        <w:t>Avtozma</w:t>
      </w:r>
      <w:r w:rsidRPr="006A64EE">
        <w:t xml:space="preserve"> nicht an.</w:t>
      </w:r>
    </w:p>
    <w:p w14:paraId="45920F87" w14:textId="77777777" w:rsidR="00093A5E" w:rsidRPr="006A64EE" w:rsidRDefault="00093A5E" w:rsidP="00732DEA">
      <w:pPr>
        <w:pStyle w:val="a3"/>
        <w:widowControl/>
      </w:pPr>
    </w:p>
    <w:p w14:paraId="07641E53" w14:textId="77777777" w:rsidR="00093A5E" w:rsidRPr="008D6825" w:rsidRDefault="009C2544" w:rsidP="008D6825">
      <w:pPr>
        <w:widowControl/>
        <w:rPr>
          <w:b/>
          <w:bCs/>
        </w:rPr>
      </w:pPr>
      <w:r w:rsidRPr="008D6825">
        <w:rPr>
          <w:b/>
          <w:bCs/>
        </w:rPr>
        <w:t>Warnhinweise und Vorsichtsmaßnahmen</w:t>
      </w:r>
    </w:p>
    <w:p w14:paraId="26EC1744" w14:textId="77777777" w:rsidR="00093A5E" w:rsidRPr="006A64EE" w:rsidRDefault="00093A5E" w:rsidP="00121CB7"/>
    <w:p w14:paraId="62724162" w14:textId="5773C193" w:rsidR="00093A5E" w:rsidRPr="006A64EE" w:rsidRDefault="009C2544" w:rsidP="004255F8">
      <w:pPr>
        <w:pStyle w:val="a3"/>
        <w:widowControl/>
      </w:pPr>
      <w:r w:rsidRPr="006A64EE">
        <w:t xml:space="preserve">Bitte sprechen Sie mit Ihrem Arzt, Apotheker oder dem medizinischen Fachpersonal, bevor Ihnen </w:t>
      </w:r>
      <w:r w:rsidR="00994B96">
        <w:t>Avtozma</w:t>
      </w:r>
      <w:r w:rsidRPr="006A64EE">
        <w:t xml:space="preserve"> verabreicht wird,</w:t>
      </w:r>
    </w:p>
    <w:p w14:paraId="544338A6" w14:textId="77777777" w:rsidR="00093A5E" w:rsidRPr="006A64EE" w:rsidRDefault="00093A5E" w:rsidP="004255F8">
      <w:pPr>
        <w:pStyle w:val="a3"/>
        <w:widowControl/>
      </w:pPr>
    </w:p>
    <w:p w14:paraId="2214AC08"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während oder nach der Injektion </w:t>
      </w:r>
      <w:r w:rsidRPr="006A64EE">
        <w:rPr>
          <w:b/>
        </w:rPr>
        <w:t xml:space="preserve">allergische Reaktionen </w:t>
      </w:r>
      <w:r w:rsidRPr="006A64EE">
        <w:t xml:space="preserve">wie Engegefühl in der Brust, Atemgeräusche, starken Schwindel oder Benommenheit, Schwellung von Lippen, Zunge, Gesicht oder Juckreiz, Quaddeln oder Hautausschlag bemerken, </w:t>
      </w:r>
      <w:r w:rsidRPr="006A64EE">
        <w:rPr>
          <w:b/>
        </w:rPr>
        <w:t>teilen Sie dies sofort Ihrem Arzt mit</w:t>
      </w:r>
      <w:r w:rsidRPr="006A64EE">
        <w:t>.</w:t>
      </w:r>
    </w:p>
    <w:p w14:paraId="0E186515" w14:textId="77777777" w:rsidR="00093A5E" w:rsidRPr="006A64EE" w:rsidRDefault="00093A5E" w:rsidP="004255F8">
      <w:pPr>
        <w:pStyle w:val="a3"/>
        <w:widowControl/>
      </w:pPr>
    </w:p>
    <w:p w14:paraId="3AA109E2" w14:textId="0ED5F7A7" w:rsidR="00093A5E" w:rsidRPr="006A64EE" w:rsidRDefault="0059713A" w:rsidP="00732DEA">
      <w:pPr>
        <w:pStyle w:val="bullet"/>
      </w:pPr>
      <w:r w:rsidRPr="006A64EE">
        <w:rPr>
          <w:rFonts w:ascii="Symbol" w:hAnsi="Symbol"/>
        </w:rPr>
        <w:lastRenderedPageBreak/>
        <w:t></w:t>
      </w:r>
      <w:r w:rsidRPr="006A64EE">
        <w:rPr>
          <w:rFonts w:ascii="Symbol" w:hAnsi="Symbol"/>
        </w:rPr>
        <w:tab/>
      </w:r>
      <w:r w:rsidRPr="006A64EE">
        <w:t xml:space="preserve">wenn Sie nach der Anwendung von </w:t>
      </w:r>
      <w:r w:rsidR="00994B96">
        <w:t>Avtozma</w:t>
      </w:r>
      <w:r w:rsidRPr="006A64EE">
        <w:t xml:space="preserve"> Symptome einer allergischen Reaktion hatten, wenden Sie die nächste Dosis nicht an, bevor Sie Ihren Arzt informiert haben UND dieser Ihnen gesagt hat, dass Sie die nächste Dosis anwenden können.</w:t>
      </w:r>
    </w:p>
    <w:p w14:paraId="4F04FED0" w14:textId="77777777" w:rsidR="00093A5E" w:rsidRPr="006A64EE" w:rsidRDefault="00093A5E" w:rsidP="004255F8">
      <w:pPr>
        <w:widowControl/>
      </w:pPr>
    </w:p>
    <w:p w14:paraId="412C6A5D" w14:textId="418A6D94" w:rsidR="00093A5E" w:rsidRPr="006A64EE" w:rsidRDefault="0059713A" w:rsidP="00732DEA">
      <w:pPr>
        <w:pStyle w:val="bullet"/>
      </w:pPr>
      <w:r w:rsidRPr="006A64EE">
        <w:rPr>
          <w:rFonts w:ascii="Symbol" w:hAnsi="Symbol"/>
        </w:rPr>
        <w:t></w:t>
      </w:r>
      <w:r w:rsidRPr="006A64EE">
        <w:rPr>
          <w:rFonts w:ascii="Symbol" w:hAnsi="Symbol"/>
        </w:rPr>
        <w:tab/>
      </w:r>
      <w:r w:rsidR="007D680A" w:rsidRPr="006A64EE">
        <w:t xml:space="preserve">wenn Sie, seit Kurzem oder seit Langem, irgendeine Art von </w:t>
      </w:r>
      <w:r w:rsidR="007D680A" w:rsidRPr="006A64EE">
        <w:rPr>
          <w:b/>
        </w:rPr>
        <w:t xml:space="preserve">Infektion </w:t>
      </w:r>
      <w:r w:rsidR="007D680A" w:rsidRPr="006A64EE">
        <w:t xml:space="preserve">haben oder wenn Sie oft Infektionen bekommen. </w:t>
      </w:r>
      <w:r w:rsidR="007D680A" w:rsidRPr="006A64EE">
        <w:rPr>
          <w:b/>
        </w:rPr>
        <w:t>Teilen Sie Ihrem Arzt sofort mit</w:t>
      </w:r>
      <w:r w:rsidR="007D680A" w:rsidRPr="006A64EE">
        <w:t xml:space="preserve">, wenn Sie sich nicht wohl fühlen. </w:t>
      </w:r>
      <w:r w:rsidR="00994B96">
        <w:t>Avtozma</w:t>
      </w:r>
      <w:r w:rsidR="007D680A" w:rsidRPr="006A64EE">
        <w:t xml:space="preserve"> kann die Fähigkeit Ihres Körpers gegen Infektionen vorzugehen vermindern und kann eine bestehende Infektion verschlimmern oder die Wahrscheinlichkeit eine neue Infektion zu bekommen erhöhen.</w:t>
      </w:r>
    </w:p>
    <w:p w14:paraId="5FF94960" w14:textId="77777777" w:rsidR="00093A5E" w:rsidRPr="006A64EE" w:rsidRDefault="00093A5E" w:rsidP="004255F8">
      <w:pPr>
        <w:pStyle w:val="a3"/>
        <w:widowControl/>
      </w:pPr>
    </w:p>
    <w:p w14:paraId="5D85A4C7" w14:textId="769A8B2C"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eine </w:t>
      </w:r>
      <w:r w:rsidRPr="006A64EE">
        <w:rPr>
          <w:b/>
        </w:rPr>
        <w:t xml:space="preserve">Tuberkulose </w:t>
      </w:r>
      <w:r w:rsidRPr="006A64EE">
        <w:t>hatten. Dies müssen Sie Ihrem Arzt mitteilen. Ihr Arzt wird Sie auf Anzeichen u</w:t>
      </w:r>
      <w:r w:rsidRPr="006A64EE">
        <w:rPr>
          <w:rStyle w:val="bulletChar"/>
        </w:rPr>
        <w:t xml:space="preserve">nd Symptome einer Tuberkulose untersuchen, bevor er die Behandlung mit </w:t>
      </w:r>
      <w:r w:rsidR="00994B96">
        <w:rPr>
          <w:rStyle w:val="bulletChar"/>
        </w:rPr>
        <w:t>Avtozma</w:t>
      </w:r>
      <w:r w:rsidRPr="006A64EE">
        <w:rPr>
          <w:rStyle w:val="bulletChar"/>
        </w:rPr>
        <w:t xml:space="preserve"> beginnt. Wenn </w:t>
      </w:r>
      <w:r w:rsidRPr="006A64EE">
        <w:t>während oder nach der Behandlung Symptome einer Tuberkulose (anhaltender Husten, Gewichtsverlust, Teilnahmslosigkeit, leichtes Fieber) oder andere Infektionen auftreten, informieren Sie umgehend Ihren Arzt.</w:t>
      </w:r>
    </w:p>
    <w:p w14:paraId="6B0F4FB7" w14:textId="77777777" w:rsidR="00093A5E" w:rsidRPr="006A64EE" w:rsidRDefault="00093A5E" w:rsidP="004255F8">
      <w:pPr>
        <w:widowControl/>
      </w:pPr>
    </w:p>
    <w:p w14:paraId="43BB0AFA"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w:t>
      </w:r>
      <w:r w:rsidRPr="006A64EE">
        <w:rPr>
          <w:b/>
        </w:rPr>
        <w:t>Magen</w:t>
      </w:r>
      <w:r w:rsidRPr="006A64EE">
        <w:t xml:space="preserve">- bzw. </w:t>
      </w:r>
      <w:r w:rsidRPr="006A64EE">
        <w:rPr>
          <w:b/>
        </w:rPr>
        <w:t xml:space="preserve">Darmgeschwüre </w:t>
      </w:r>
      <w:r w:rsidRPr="006A64EE">
        <w:t xml:space="preserve">oder </w:t>
      </w:r>
      <w:r w:rsidRPr="006A64EE">
        <w:rPr>
          <w:b/>
        </w:rPr>
        <w:t xml:space="preserve">Divertikulitis </w:t>
      </w:r>
      <w:r w:rsidRPr="006A64EE">
        <w:t>hatten. Dies müssen Sie Ihrem Arzt mitteilen. Symptome sind z. B. Magen- bzw. Bauchschmerzen und ungeklärte Veränderungen bei der Verdauung mit Fieber.</w:t>
      </w:r>
    </w:p>
    <w:p w14:paraId="79A0F62E" w14:textId="77777777" w:rsidR="00093A5E" w:rsidRPr="006A64EE" w:rsidRDefault="00093A5E" w:rsidP="004255F8">
      <w:pPr>
        <w:pStyle w:val="a3"/>
        <w:widowControl/>
      </w:pPr>
    </w:p>
    <w:p w14:paraId="405E4980" w14:textId="21DA10F8"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eine </w:t>
      </w:r>
      <w:r w:rsidRPr="006A64EE">
        <w:rPr>
          <w:b/>
        </w:rPr>
        <w:t xml:space="preserve">Lebererkrankung </w:t>
      </w:r>
      <w:r w:rsidRPr="006A64EE">
        <w:t xml:space="preserve">haben. Dies müssen Sie Ihrem Arzt mitteilen. Bevor Sie </w:t>
      </w:r>
      <w:r w:rsidR="00994B96">
        <w:t>Avtozma</w:t>
      </w:r>
      <w:r w:rsidRPr="006A64EE">
        <w:t xml:space="preserve"> anwenden, wird Ihr Arzt möglicherweise eine Blutuntersuchung durchführen, um Ihre Leberfunktion zu messen.</w:t>
      </w:r>
    </w:p>
    <w:p w14:paraId="7C369A4C" w14:textId="77777777" w:rsidR="00093A5E" w:rsidRPr="006A64EE" w:rsidRDefault="00093A5E" w:rsidP="004255F8">
      <w:pPr>
        <w:widowControl/>
      </w:pPr>
    </w:p>
    <w:p w14:paraId="4F815057" w14:textId="692ADCA2" w:rsidR="00093A5E" w:rsidRPr="006A64EE" w:rsidRDefault="0059713A" w:rsidP="00732DEA">
      <w:pPr>
        <w:pStyle w:val="bullet"/>
      </w:pPr>
      <w:r w:rsidRPr="006A64EE">
        <w:rPr>
          <w:rFonts w:ascii="Symbol" w:hAnsi="Symbol"/>
        </w:rPr>
        <w:t></w:t>
      </w:r>
      <w:r w:rsidRPr="006A64EE">
        <w:rPr>
          <w:rFonts w:ascii="Symbol" w:hAnsi="Symbol"/>
        </w:rPr>
        <w:tab/>
      </w:r>
      <w:r w:rsidRPr="006A64EE">
        <w:rPr>
          <w:b/>
        </w:rPr>
        <w:t xml:space="preserve">wenn ein Patient vor Kurzem geimpft wurde </w:t>
      </w:r>
      <w:r w:rsidRPr="006A64EE">
        <w:t xml:space="preserve">oder eine Impfung geplant ist, informieren Sie Ihren Arzt. Alle Patienten sollten alle notwendigen Impfungen erhalten, bevor eine Behandlung mit </w:t>
      </w:r>
      <w:r w:rsidR="00994B96">
        <w:t>Avtozma</w:t>
      </w:r>
      <w:r w:rsidRPr="006A64EE">
        <w:t xml:space="preserve"> begonnen wird. Während Sie </w:t>
      </w:r>
      <w:r w:rsidR="00994B96">
        <w:t>Avtozma</w:t>
      </w:r>
      <w:r w:rsidRPr="006A64EE">
        <w:t xml:space="preserve"> erhalten, sollten bestimmte Impfstoffe nicht verwendet werden.</w:t>
      </w:r>
    </w:p>
    <w:p w14:paraId="2EF40940" w14:textId="77777777" w:rsidR="00093A5E" w:rsidRPr="006A64EE" w:rsidRDefault="00093A5E" w:rsidP="004255F8">
      <w:pPr>
        <w:widowControl/>
      </w:pPr>
    </w:p>
    <w:p w14:paraId="04323992" w14:textId="2C5F2EB6"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w:t>
      </w:r>
      <w:r w:rsidRPr="006A64EE">
        <w:rPr>
          <w:b/>
        </w:rPr>
        <w:t xml:space="preserve">Krebs </w:t>
      </w:r>
      <w:r w:rsidRPr="006A64EE">
        <w:t xml:space="preserve">haben. Dies müssen Sie Ihrem Arzt mitteilen. Ihr Arzt muss dann entscheiden, ob Sie </w:t>
      </w:r>
      <w:r w:rsidR="00994B96">
        <w:t>Avtozma</w:t>
      </w:r>
      <w:r w:rsidRPr="006A64EE">
        <w:t xml:space="preserve"> dennoch erhalten können.</w:t>
      </w:r>
    </w:p>
    <w:p w14:paraId="15D737D6" w14:textId="77777777" w:rsidR="00093A5E" w:rsidRPr="006A64EE" w:rsidRDefault="00093A5E" w:rsidP="004255F8">
      <w:pPr>
        <w:widowControl/>
      </w:pPr>
    </w:p>
    <w:p w14:paraId="31B61B52" w14:textId="5A8FB942"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w:t>
      </w:r>
      <w:r w:rsidRPr="006A64EE">
        <w:rPr>
          <w:b/>
        </w:rPr>
        <w:t>Herz-/Kreislauf-Risikofaktoren</w:t>
      </w:r>
      <w:r w:rsidRPr="006A64EE">
        <w:t xml:space="preserve">, wie Bluthochdruck und erhöhte Cholesterinwerte haben. Dies müssen Sie Ihrem Arzt mitteilen. Diese Faktoren müssen überwacht werden, während Sie </w:t>
      </w:r>
      <w:r w:rsidR="00994B96">
        <w:t>Avtozma</w:t>
      </w:r>
      <w:r w:rsidRPr="006A64EE">
        <w:t xml:space="preserve"> erhalten.</w:t>
      </w:r>
    </w:p>
    <w:p w14:paraId="3242DB67" w14:textId="77777777" w:rsidR="00093A5E" w:rsidRPr="006A64EE" w:rsidRDefault="00093A5E" w:rsidP="004255F8">
      <w:pPr>
        <w:pStyle w:val="a3"/>
        <w:widowControl/>
      </w:pPr>
    </w:p>
    <w:p w14:paraId="5B60B02D"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eine mäßige bis schwere </w:t>
      </w:r>
      <w:r w:rsidRPr="006A64EE">
        <w:rPr>
          <w:b/>
        </w:rPr>
        <w:t xml:space="preserve">Nierenfunktionsstörung </w:t>
      </w:r>
      <w:r w:rsidRPr="006A64EE">
        <w:t>haben, wird Sie Ihr Arzt kontrollieren.</w:t>
      </w:r>
    </w:p>
    <w:p w14:paraId="2753A1E4" w14:textId="77777777" w:rsidR="00093A5E" w:rsidRPr="006A64EE" w:rsidRDefault="00093A5E" w:rsidP="004255F8">
      <w:pPr>
        <w:widowControl/>
      </w:pPr>
    </w:p>
    <w:p w14:paraId="2E1DCB0F"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an </w:t>
      </w:r>
      <w:r w:rsidRPr="00E303AE">
        <w:rPr>
          <w:b/>
        </w:rPr>
        <w:t>anhaltenden Kopfschmerzen</w:t>
      </w:r>
      <w:r w:rsidRPr="006A64EE">
        <w:t xml:space="preserve"> leiden.</w:t>
      </w:r>
    </w:p>
    <w:p w14:paraId="4803DA16" w14:textId="77777777" w:rsidR="00093A5E" w:rsidRPr="006A64EE" w:rsidRDefault="00093A5E" w:rsidP="004255F8">
      <w:pPr>
        <w:pStyle w:val="a3"/>
        <w:widowControl/>
      </w:pPr>
    </w:p>
    <w:p w14:paraId="5F57EE5A" w14:textId="56C2FB35" w:rsidR="00093A5E" w:rsidRPr="006A64EE" w:rsidRDefault="009C2544" w:rsidP="004255F8">
      <w:pPr>
        <w:pStyle w:val="a3"/>
        <w:widowControl/>
      </w:pPr>
      <w:r w:rsidRPr="006A64EE">
        <w:t xml:space="preserve">Ihr Arzt wird, bevor Sie </w:t>
      </w:r>
      <w:r w:rsidR="00994B96">
        <w:t>Avtozma</w:t>
      </w:r>
      <w:r w:rsidRPr="006A64EE">
        <w:t xml:space="preserve"> erhalten, einen Bluttest machen, um herauszufinden, ob Sie eine niedrige Anzahl weißer Blutzellen und Blutplättchen oder hohe Leberenzymwerte haben.</w:t>
      </w:r>
    </w:p>
    <w:p w14:paraId="4B5FC9E9" w14:textId="77777777" w:rsidR="00093A5E" w:rsidRPr="006A64EE" w:rsidRDefault="00093A5E" w:rsidP="004255F8">
      <w:pPr>
        <w:pStyle w:val="a3"/>
        <w:widowControl/>
      </w:pPr>
    </w:p>
    <w:p w14:paraId="71A3CF44" w14:textId="77777777" w:rsidR="00093A5E" w:rsidRPr="008D6825" w:rsidRDefault="009C2544" w:rsidP="008D6825">
      <w:pPr>
        <w:widowControl/>
        <w:rPr>
          <w:b/>
          <w:bCs/>
        </w:rPr>
      </w:pPr>
      <w:r w:rsidRPr="008D6825">
        <w:rPr>
          <w:b/>
          <w:bCs/>
        </w:rPr>
        <w:t>Kinder und Jugendliche</w:t>
      </w:r>
    </w:p>
    <w:p w14:paraId="7A77F7B4" w14:textId="15CF9FF5" w:rsidR="00093A5E" w:rsidRPr="006A64EE" w:rsidRDefault="009C2544" w:rsidP="00314391">
      <w:pPr>
        <w:pStyle w:val="a3"/>
        <w:widowControl/>
      </w:pPr>
      <w:r w:rsidRPr="006A64EE">
        <w:t xml:space="preserve">Der </w:t>
      </w:r>
      <w:r w:rsidR="00994B96">
        <w:t>Avtozma-</w:t>
      </w:r>
      <w:r w:rsidRPr="006A64EE">
        <w:t xml:space="preserve">Fertigpen wird nicht für die Behandlung von Kindern unter 12 Jahren empfohlen. </w:t>
      </w:r>
      <w:r w:rsidR="00994B96">
        <w:t>Avtozma</w:t>
      </w:r>
      <w:r w:rsidRPr="006A64EE">
        <w:t xml:space="preserve"> darf nicht bei Kindern mit sJIA mit einem Gewicht von weniger als 10 kg angewendet werden.</w:t>
      </w:r>
    </w:p>
    <w:p w14:paraId="5668D64E" w14:textId="77777777" w:rsidR="00A95D75" w:rsidRPr="006A64EE" w:rsidRDefault="00A95D75" w:rsidP="00732DEA">
      <w:pPr>
        <w:pStyle w:val="a3"/>
        <w:widowControl/>
        <w:jc w:val="both"/>
      </w:pPr>
    </w:p>
    <w:p w14:paraId="67FA761B" w14:textId="59383EF0" w:rsidR="00093A5E" w:rsidRPr="006A64EE" w:rsidRDefault="009C2544" w:rsidP="00732DEA">
      <w:pPr>
        <w:pStyle w:val="a3"/>
        <w:widowControl/>
      </w:pPr>
      <w:r w:rsidRPr="006A64EE">
        <w:t xml:space="preserve">Wenn ein Kind in der Vergangenheit schon einmal ein </w:t>
      </w:r>
      <w:r w:rsidRPr="006A64EE">
        <w:rPr>
          <w:b/>
          <w:i/>
        </w:rPr>
        <w:t xml:space="preserve">Makrophagenaktivierungssyndrom </w:t>
      </w:r>
      <w:r w:rsidRPr="006A64EE">
        <w:t xml:space="preserve">(Aktivierung und unkontrollierte Vermehrung bestimmter Blutzellen) hatte, teilen Sie dies Ihrem Arzt mit. Ihr Arzt muss dann entscheiden, ob es </w:t>
      </w:r>
      <w:r w:rsidR="00994B96">
        <w:t>Avtozma</w:t>
      </w:r>
      <w:r w:rsidRPr="006A64EE">
        <w:t xml:space="preserve"> trotzdem erhalten kann.</w:t>
      </w:r>
    </w:p>
    <w:p w14:paraId="0E91E78B" w14:textId="77777777" w:rsidR="00093A5E" w:rsidRPr="006A64EE" w:rsidRDefault="00093A5E" w:rsidP="00732DEA">
      <w:pPr>
        <w:pStyle w:val="a3"/>
        <w:widowControl/>
      </w:pPr>
    </w:p>
    <w:p w14:paraId="7052D9D6" w14:textId="5DD35B39" w:rsidR="00093A5E" w:rsidRPr="006A64EE" w:rsidRDefault="009C2544" w:rsidP="00732DEA">
      <w:pPr>
        <w:pStyle w:val="2"/>
        <w:ind w:left="0" w:firstLine="0"/>
      </w:pPr>
      <w:r w:rsidRPr="006A64EE">
        <w:lastRenderedPageBreak/>
        <w:t xml:space="preserve">Anwendung von </w:t>
      </w:r>
      <w:r w:rsidR="00994B96">
        <w:t>Avtozma</w:t>
      </w:r>
      <w:r w:rsidRPr="006A64EE">
        <w:t xml:space="preserve"> zusammen mit anderen Arzneimitteln</w:t>
      </w:r>
    </w:p>
    <w:p w14:paraId="69BFCD0B" w14:textId="105F71FA" w:rsidR="00093A5E" w:rsidRPr="006A64EE" w:rsidRDefault="009C2544" w:rsidP="00732DEA">
      <w:pPr>
        <w:pStyle w:val="a3"/>
        <w:widowControl/>
      </w:pPr>
      <w:r w:rsidRPr="006A64EE">
        <w:t xml:space="preserve">Informieren Sie Ihren Arzt, wenn Sie andere Arzneimittel einnehmen/anwenden oder kürzlich andere Arzneimittel eingenommen/angewendet haben. </w:t>
      </w:r>
      <w:r w:rsidR="00994B96">
        <w:t>Avtozma</w:t>
      </w:r>
      <w:r w:rsidRPr="006A64EE">
        <w:t xml:space="preserve"> kann die Art der Wirkung einiger Arzneimittel beeinträchtigen und möglicherweise muss deren Dosierung angepasst werden. </w:t>
      </w:r>
      <w:r w:rsidRPr="006A64EE">
        <w:rPr>
          <w:b/>
        </w:rPr>
        <w:t>Teilen Sie Ihrem Arzt mit</w:t>
      </w:r>
      <w:r w:rsidRPr="006A64EE">
        <w:t>, wenn Sie Arzneimittel anwenden, die einen der folgenden Wirkstoffe enthalten:</w:t>
      </w:r>
    </w:p>
    <w:p w14:paraId="2E5DF755"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Methylprednisolon, Dexamethason, die zur Verringerung von Entzündungen angewendet werden</w:t>
      </w:r>
    </w:p>
    <w:p w14:paraId="4FF69039" w14:textId="77777777" w:rsidR="00093A5E" w:rsidRPr="006A64EE" w:rsidRDefault="0059713A" w:rsidP="00732DEA">
      <w:pPr>
        <w:pStyle w:val="bullet"/>
      </w:pPr>
      <w:r w:rsidRPr="006A64EE">
        <w:rPr>
          <w:rFonts w:ascii="Symbol" w:hAnsi="Symbol"/>
        </w:rPr>
        <w:t></w:t>
      </w:r>
      <w:r w:rsidRPr="006A64EE">
        <w:rPr>
          <w:rFonts w:ascii="Symbol" w:hAnsi="Symbol"/>
        </w:rPr>
        <w:tab/>
      </w:r>
      <w:r w:rsidR="007D680A" w:rsidRPr="006A64EE">
        <w:t>Simvastatin oder Atorvastatin, die angewendet werden, um die Cholesterinwerte zu senken</w:t>
      </w:r>
    </w:p>
    <w:p w14:paraId="5F27B638" w14:textId="648D46FA" w:rsidR="00093A5E" w:rsidRPr="006A64EE" w:rsidRDefault="0059713A" w:rsidP="00732DEA">
      <w:pPr>
        <w:pStyle w:val="bullet"/>
      </w:pPr>
      <w:r w:rsidRPr="006A64EE">
        <w:rPr>
          <w:rFonts w:ascii="Symbol" w:hAnsi="Symbol"/>
        </w:rPr>
        <w:t></w:t>
      </w:r>
      <w:r w:rsidRPr="006A64EE">
        <w:rPr>
          <w:rFonts w:ascii="Symbol" w:hAnsi="Symbol"/>
        </w:rPr>
        <w:tab/>
      </w:r>
      <w:r w:rsidRPr="006A64EE">
        <w:t>Calciumkanalblocker (z. B. Amlodipin), d</w:t>
      </w:r>
      <w:r w:rsidR="00CF1594">
        <w:t>ie</w:t>
      </w:r>
      <w:r w:rsidRPr="006A64EE">
        <w:t xml:space="preserve"> angewendet w</w:t>
      </w:r>
      <w:r w:rsidR="00CF1594">
        <w:t>e</w:t>
      </w:r>
      <w:r w:rsidRPr="006A64EE">
        <w:t>rd</w:t>
      </w:r>
      <w:r w:rsidR="00CF1594">
        <w:t>en</w:t>
      </w:r>
      <w:r w:rsidRPr="006A64EE">
        <w:t>, um Bluthochdruck zu behandeln</w:t>
      </w:r>
    </w:p>
    <w:p w14:paraId="6EA75969"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Theophyllin, das angewendet wird, um Asthma zu behandeln</w:t>
      </w:r>
    </w:p>
    <w:p w14:paraId="0BA96ACF"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Warfarin oder Phenprocoumon, die als Blutverdünner angewendet werden</w:t>
      </w:r>
    </w:p>
    <w:p w14:paraId="49DDE22A"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Phenytoin, das angewendet wird, um Krämpfe zu behandeln</w:t>
      </w:r>
    </w:p>
    <w:p w14:paraId="35F52F5C"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Ciclosporin, das angewendet wird, um Ihr Immunsystem während Organtransplantationen zu unterdrücken</w:t>
      </w:r>
    </w:p>
    <w:p w14:paraId="5659A5FB" w14:textId="70D28970" w:rsidR="00093A5E" w:rsidRPr="006A64EE" w:rsidRDefault="0059713A" w:rsidP="00732DEA">
      <w:pPr>
        <w:pStyle w:val="bullet"/>
      </w:pPr>
      <w:r w:rsidRPr="006A64EE">
        <w:rPr>
          <w:rFonts w:ascii="Symbol" w:hAnsi="Symbol"/>
        </w:rPr>
        <w:t></w:t>
      </w:r>
      <w:r w:rsidRPr="006A64EE">
        <w:rPr>
          <w:rFonts w:ascii="Symbol" w:hAnsi="Symbol"/>
        </w:rPr>
        <w:tab/>
      </w:r>
      <w:r w:rsidRPr="006A64EE">
        <w:t>Benzodiazepine (z. B. Temazepam), d</w:t>
      </w:r>
      <w:r w:rsidR="00082C20">
        <w:t>ie</w:t>
      </w:r>
      <w:r w:rsidRPr="006A64EE">
        <w:t xml:space="preserve"> angewendet w</w:t>
      </w:r>
      <w:r w:rsidR="00082C20">
        <w:t>e</w:t>
      </w:r>
      <w:r w:rsidRPr="006A64EE">
        <w:t>rd</w:t>
      </w:r>
      <w:r w:rsidR="00082C20">
        <w:t>en</w:t>
      </w:r>
      <w:r w:rsidRPr="006A64EE">
        <w:t>, um Angstzustände zu lindern.</w:t>
      </w:r>
    </w:p>
    <w:p w14:paraId="48417BA7" w14:textId="77777777" w:rsidR="00093A5E" w:rsidRPr="006A64EE" w:rsidRDefault="00093A5E" w:rsidP="004255F8">
      <w:pPr>
        <w:pStyle w:val="a3"/>
        <w:widowControl/>
      </w:pPr>
    </w:p>
    <w:p w14:paraId="718606F0" w14:textId="38A4363F" w:rsidR="00093A5E" w:rsidRPr="006A64EE" w:rsidRDefault="009C2544" w:rsidP="004255F8">
      <w:pPr>
        <w:pStyle w:val="a3"/>
        <w:widowControl/>
      </w:pPr>
      <w:r w:rsidRPr="006A64EE">
        <w:t xml:space="preserve">Aufgrund fehlender klinischer Erfahrung wird nicht empfohlen, </w:t>
      </w:r>
      <w:r w:rsidR="00994B96">
        <w:t>Tocilizumab</w:t>
      </w:r>
      <w:r w:rsidR="00994B96" w:rsidRPr="006A64EE">
        <w:t xml:space="preserve"> </w:t>
      </w:r>
      <w:r w:rsidRPr="006A64EE">
        <w:t>zusammen mit anderen biologischen Arzneimitteln zur Behandlung der RA, sJIA, pJIA oder RZA anzuwenden.</w:t>
      </w:r>
    </w:p>
    <w:p w14:paraId="3DC508D8" w14:textId="77777777" w:rsidR="00093A5E" w:rsidRPr="006A64EE" w:rsidRDefault="00093A5E" w:rsidP="004255F8">
      <w:pPr>
        <w:pStyle w:val="a3"/>
        <w:widowControl/>
      </w:pPr>
    </w:p>
    <w:p w14:paraId="1D0FE3CA" w14:textId="77777777" w:rsidR="00093A5E" w:rsidRPr="008D6825" w:rsidRDefault="009C2544" w:rsidP="008D6825">
      <w:pPr>
        <w:widowControl/>
        <w:rPr>
          <w:b/>
          <w:bCs/>
        </w:rPr>
      </w:pPr>
      <w:r w:rsidRPr="008D6825">
        <w:rPr>
          <w:b/>
          <w:bCs/>
        </w:rPr>
        <w:t>Schwangerschaft, Stillzeit und Fortpflanzungsfähigkeit</w:t>
      </w:r>
    </w:p>
    <w:p w14:paraId="05A28D16" w14:textId="77777777" w:rsidR="00093A5E" w:rsidRPr="006A64EE" w:rsidRDefault="00093A5E" w:rsidP="00121CB7"/>
    <w:p w14:paraId="6F5D1DF7" w14:textId="0EC1F218" w:rsidR="00093A5E" w:rsidRPr="006A64EE" w:rsidRDefault="00994B96" w:rsidP="00732DEA">
      <w:pPr>
        <w:widowControl/>
      </w:pPr>
      <w:r>
        <w:rPr>
          <w:b/>
        </w:rPr>
        <w:t>Avtozma</w:t>
      </w:r>
      <w:r w:rsidR="009C2544" w:rsidRPr="006A64EE">
        <w:rPr>
          <w:b/>
        </w:rPr>
        <w:t xml:space="preserve"> sollte während der Schwangerschaft nicht angewendet werden</w:t>
      </w:r>
      <w:r w:rsidR="009C2544" w:rsidRPr="006A64EE">
        <w:t>, es sei denn, es ist eindeutig erforderlich. Wenn Sie schwanger sind oder stillen, oder wenn Sie vermuten, schwanger zu sein oder beabsichtigen, schwanger zu werden, fragen Sie vor der Anwendung dieses Arzneimittels Ihren Arzt um Rat.</w:t>
      </w:r>
    </w:p>
    <w:p w14:paraId="625379F9" w14:textId="77777777" w:rsidR="00093A5E" w:rsidRPr="006A64EE" w:rsidRDefault="00093A5E" w:rsidP="00732DEA">
      <w:pPr>
        <w:pStyle w:val="a3"/>
        <w:widowControl/>
      </w:pPr>
    </w:p>
    <w:p w14:paraId="0E3AC0EF" w14:textId="77777777" w:rsidR="00093A5E" w:rsidRPr="006A64EE" w:rsidRDefault="009C2544" w:rsidP="00732DEA">
      <w:pPr>
        <w:widowControl/>
      </w:pPr>
      <w:r w:rsidRPr="006A64EE">
        <w:rPr>
          <w:b/>
        </w:rPr>
        <w:t xml:space="preserve">Frauen im gebärfähigen Alter müssen </w:t>
      </w:r>
      <w:r w:rsidRPr="006A64EE">
        <w:t>während der Behandlung und während 3 Monaten danach eine wirksame Schwangerschaftsverhütung durchführen.</w:t>
      </w:r>
    </w:p>
    <w:p w14:paraId="7F0844BF" w14:textId="77777777" w:rsidR="00093A5E" w:rsidRPr="006A64EE" w:rsidRDefault="00093A5E" w:rsidP="00732DEA">
      <w:pPr>
        <w:pStyle w:val="a3"/>
        <w:widowControl/>
      </w:pPr>
    </w:p>
    <w:p w14:paraId="39D881AD" w14:textId="320D4D3F" w:rsidR="00093A5E" w:rsidRPr="006A64EE" w:rsidRDefault="009C2544" w:rsidP="00732DEA">
      <w:pPr>
        <w:widowControl/>
      </w:pPr>
      <w:r w:rsidRPr="006A64EE">
        <w:rPr>
          <w:b/>
        </w:rPr>
        <w:t xml:space="preserve">Stillen Sie ab, wenn Sie </w:t>
      </w:r>
      <w:r w:rsidR="00994B96">
        <w:rPr>
          <w:b/>
        </w:rPr>
        <w:t>Avtozma</w:t>
      </w:r>
      <w:r w:rsidRPr="006A64EE">
        <w:rPr>
          <w:b/>
        </w:rPr>
        <w:t xml:space="preserve"> erhalten sollen </w:t>
      </w:r>
      <w:r w:rsidRPr="006A64EE">
        <w:t xml:space="preserve">und sprechen Sie mit Ihrem Arzt. Warten Sie nach Ihrer letzten Behandlung mindestens drei Monate ab, bevor Sie mit dem Stillen beginnen. Es ist nicht bekannt, ob </w:t>
      </w:r>
      <w:r w:rsidR="00994B96">
        <w:t>Avtozma</w:t>
      </w:r>
      <w:r w:rsidRPr="006A64EE">
        <w:t xml:space="preserve"> in die Muttermilch übergeht.</w:t>
      </w:r>
    </w:p>
    <w:p w14:paraId="41F39A65" w14:textId="77777777" w:rsidR="00093A5E" w:rsidRPr="006A64EE" w:rsidRDefault="00093A5E" w:rsidP="00732DEA">
      <w:pPr>
        <w:pStyle w:val="a3"/>
        <w:widowControl/>
      </w:pPr>
    </w:p>
    <w:p w14:paraId="242DB79F" w14:textId="77777777" w:rsidR="00093A5E" w:rsidRPr="008D6825" w:rsidRDefault="009C2544" w:rsidP="008D6825">
      <w:pPr>
        <w:widowControl/>
        <w:rPr>
          <w:b/>
          <w:bCs/>
        </w:rPr>
      </w:pPr>
      <w:r w:rsidRPr="008D6825">
        <w:rPr>
          <w:b/>
          <w:bCs/>
        </w:rPr>
        <w:t>Verkehrstüchtigkeit und Fähigkeit zum Bedienen von Maschinen</w:t>
      </w:r>
    </w:p>
    <w:p w14:paraId="17306FA2" w14:textId="77777777" w:rsidR="00093A5E" w:rsidRPr="006A64EE" w:rsidRDefault="009C2544" w:rsidP="00732DEA">
      <w:pPr>
        <w:pStyle w:val="a3"/>
        <w:widowControl/>
      </w:pPr>
      <w:r w:rsidRPr="006A64EE">
        <w:t>Dieses Arzneimittel kann Schwindel verursachen. Wenn Sie Schwindel verspüren, dann sollten Sie nicht fahren oder Maschinen bedienen.</w:t>
      </w:r>
    </w:p>
    <w:p w14:paraId="5ACB1A52" w14:textId="77777777" w:rsidR="00994B96" w:rsidRDefault="00994B96" w:rsidP="00994B96">
      <w:pPr>
        <w:keepNext/>
        <w:rPr>
          <w:b/>
        </w:rPr>
      </w:pPr>
    </w:p>
    <w:p w14:paraId="6F729EEC" w14:textId="7A09889E" w:rsidR="00994B96" w:rsidRPr="00890245" w:rsidRDefault="00994B96" w:rsidP="00994B96">
      <w:pPr>
        <w:keepNext/>
        <w:rPr>
          <w:b/>
          <w:bCs/>
        </w:rPr>
      </w:pPr>
      <w:r w:rsidRPr="00890245">
        <w:rPr>
          <w:b/>
        </w:rPr>
        <w:t>Avtozma enthält Polysorbat</w:t>
      </w:r>
    </w:p>
    <w:p w14:paraId="27F30571" w14:textId="7EDA5FFE" w:rsidR="00994B96" w:rsidRPr="00890245" w:rsidRDefault="00994B96" w:rsidP="00994B96">
      <w:r w:rsidRPr="0083750D">
        <w:t>Dieses Arzneimittel enthält 0,2 mg Polysorbat 80 pro Fertigpen. Polysorbate können allergische Reaktionen hervorrufen. Informieren Sie Ihren Arzt, wenn Sie bekannte Allergien haben.</w:t>
      </w:r>
    </w:p>
    <w:p w14:paraId="3837568B" w14:textId="77777777" w:rsidR="00093A5E" w:rsidRPr="006A64EE" w:rsidRDefault="00093A5E" w:rsidP="00732DEA">
      <w:pPr>
        <w:pStyle w:val="a3"/>
        <w:widowControl/>
      </w:pPr>
    </w:p>
    <w:p w14:paraId="3DFFF148" w14:textId="77777777" w:rsidR="00093A5E" w:rsidRPr="006A64EE" w:rsidRDefault="00093A5E" w:rsidP="00732DEA">
      <w:pPr>
        <w:pStyle w:val="a3"/>
        <w:widowControl/>
      </w:pPr>
    </w:p>
    <w:p w14:paraId="6591E72E" w14:textId="43594094" w:rsidR="00093A5E" w:rsidRPr="006A64EE" w:rsidRDefault="0059713A" w:rsidP="00732DEA">
      <w:pPr>
        <w:pStyle w:val="1"/>
      </w:pPr>
      <w:r w:rsidRPr="006A64EE">
        <w:t>3.</w:t>
      </w:r>
      <w:r w:rsidRPr="006A64EE">
        <w:tab/>
        <w:t xml:space="preserve">Wie ist </w:t>
      </w:r>
      <w:r w:rsidR="00994B96">
        <w:t>Avtozma</w:t>
      </w:r>
      <w:r w:rsidRPr="006A64EE">
        <w:t xml:space="preserve"> anzuwenden?</w:t>
      </w:r>
    </w:p>
    <w:p w14:paraId="295EB6AA" w14:textId="77777777" w:rsidR="00093A5E" w:rsidRPr="006A64EE" w:rsidRDefault="00093A5E" w:rsidP="00732DEA">
      <w:pPr>
        <w:pStyle w:val="a3"/>
        <w:widowControl/>
      </w:pPr>
    </w:p>
    <w:p w14:paraId="57AA2872" w14:textId="77777777" w:rsidR="00093A5E" w:rsidRPr="006A64EE" w:rsidRDefault="009C2544" w:rsidP="004255F8">
      <w:pPr>
        <w:pStyle w:val="a3"/>
        <w:widowControl/>
      </w:pPr>
      <w:r w:rsidRPr="006A64EE">
        <w:t>Wenden Sie dieses Arzneimittel immer genau nach Absprache mit Ihrem Arzt, Apotheker oder dem medizinischen Fachpersonal an. Fragen Sie bei Ihrem Arzt, Apotheker oder dem medizinischen Fachpersonal nach, wenn Sie sich nicht sicher sind.</w:t>
      </w:r>
    </w:p>
    <w:p w14:paraId="35DE86D7" w14:textId="77777777" w:rsidR="00093A5E" w:rsidRPr="006A64EE" w:rsidRDefault="00093A5E" w:rsidP="004255F8">
      <w:pPr>
        <w:pStyle w:val="a3"/>
        <w:widowControl/>
      </w:pPr>
    </w:p>
    <w:p w14:paraId="3740352B" w14:textId="77777777" w:rsidR="00093A5E" w:rsidRPr="006A64EE" w:rsidRDefault="009C2544" w:rsidP="004255F8">
      <w:pPr>
        <w:pStyle w:val="a3"/>
        <w:widowControl/>
      </w:pPr>
      <w:r w:rsidRPr="006A64EE">
        <w:t>Die Behandlung wird von einem Arzt verschrieben und unter seiner Aufsicht begonnen, der in der Diagnose und Behandlung von RA, sJIA, pJIA oder RZA erfahren ist.</w:t>
      </w:r>
    </w:p>
    <w:p w14:paraId="3544820C" w14:textId="77777777" w:rsidR="00093A5E" w:rsidRPr="006A64EE" w:rsidRDefault="00093A5E" w:rsidP="004255F8">
      <w:pPr>
        <w:pStyle w:val="a3"/>
        <w:widowControl/>
      </w:pPr>
    </w:p>
    <w:p w14:paraId="7E2874B7" w14:textId="77777777" w:rsidR="00093A5E" w:rsidRPr="008D6825" w:rsidRDefault="009C2544" w:rsidP="008D6825">
      <w:pPr>
        <w:widowControl/>
        <w:rPr>
          <w:b/>
          <w:bCs/>
        </w:rPr>
      </w:pPr>
      <w:r w:rsidRPr="008D6825">
        <w:rPr>
          <w:b/>
          <w:bCs/>
        </w:rPr>
        <w:t>Die empfohlene Dosis</w:t>
      </w:r>
    </w:p>
    <w:p w14:paraId="723984D1" w14:textId="77777777" w:rsidR="00093A5E" w:rsidRPr="006A64EE" w:rsidRDefault="009C2544" w:rsidP="00732DEA">
      <w:pPr>
        <w:pStyle w:val="a3"/>
        <w:widowControl/>
      </w:pPr>
      <w:r w:rsidRPr="006A64EE">
        <w:t>Die Dosis zur Behandlung der RA oder RZA für alle Erwachsenen beträgt 162 mg (der Inhalt eines Fertigpens), einmal pro Woche angewendet.</w:t>
      </w:r>
    </w:p>
    <w:p w14:paraId="23A93233" w14:textId="77777777" w:rsidR="00093A5E" w:rsidRPr="006A64EE" w:rsidRDefault="00093A5E" w:rsidP="00732DEA">
      <w:pPr>
        <w:pStyle w:val="a3"/>
        <w:widowControl/>
      </w:pPr>
    </w:p>
    <w:p w14:paraId="30FAD2BD" w14:textId="77777777" w:rsidR="00093A5E" w:rsidRPr="008D6825" w:rsidRDefault="009C2544" w:rsidP="008D6825">
      <w:pPr>
        <w:widowControl/>
        <w:rPr>
          <w:b/>
          <w:bCs/>
        </w:rPr>
      </w:pPr>
      <w:r w:rsidRPr="008D6825">
        <w:rPr>
          <w:b/>
          <w:bCs/>
        </w:rPr>
        <w:t>Jugendliche mit sJIA (12 Jahre und älter)</w:t>
      </w:r>
    </w:p>
    <w:p w14:paraId="658A5EB0" w14:textId="3023AC82" w:rsidR="00093A5E" w:rsidRPr="006A64EE" w:rsidRDefault="009C2544" w:rsidP="004255F8">
      <w:pPr>
        <w:widowControl/>
        <w:rPr>
          <w:b/>
        </w:rPr>
      </w:pPr>
      <w:r w:rsidRPr="006A64EE">
        <w:rPr>
          <w:b/>
        </w:rPr>
        <w:t xml:space="preserve">Die übliche Dosis von </w:t>
      </w:r>
      <w:r w:rsidR="00994B96">
        <w:rPr>
          <w:b/>
        </w:rPr>
        <w:t>Avtozma</w:t>
      </w:r>
      <w:r w:rsidR="003671E1">
        <w:rPr>
          <w:b/>
        </w:rPr>
        <w:t xml:space="preserve"> </w:t>
      </w:r>
      <w:r w:rsidRPr="006A64EE">
        <w:rPr>
          <w:b/>
        </w:rPr>
        <w:t>ist vom Körpergewicht des Patienten abhängig.</w:t>
      </w:r>
    </w:p>
    <w:p w14:paraId="50514B4A"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 xml:space="preserve">wenn der Patient </w:t>
      </w:r>
      <w:r w:rsidRPr="006A64EE">
        <w:rPr>
          <w:b/>
        </w:rPr>
        <w:t xml:space="preserve">weniger als 30 kg </w:t>
      </w:r>
      <w:r w:rsidRPr="006A64EE">
        <w:t>wiegt: die Dosis beträgt 162 mg (Inhalt eines Fertigpens),</w:t>
      </w:r>
      <w:r w:rsidR="009E0A66" w:rsidRPr="006A64EE">
        <w:t xml:space="preserve"> </w:t>
      </w:r>
      <w:r w:rsidRPr="006A64EE">
        <w:rPr>
          <w:b/>
          <w:bCs/>
        </w:rPr>
        <w:t>ei</w:t>
      </w:r>
      <w:r w:rsidR="009E0A66" w:rsidRPr="006A64EE">
        <w:rPr>
          <w:b/>
          <w:bCs/>
        </w:rPr>
        <w:t>n</w:t>
      </w:r>
      <w:r w:rsidRPr="006A64EE">
        <w:rPr>
          <w:b/>
          <w:bCs/>
        </w:rPr>
        <w:t>mal alle 2 Wochen</w:t>
      </w:r>
    </w:p>
    <w:p w14:paraId="09AD9DE2"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 xml:space="preserve">wenn der Patient </w:t>
      </w:r>
      <w:r w:rsidRPr="006A64EE">
        <w:rPr>
          <w:b/>
        </w:rPr>
        <w:t xml:space="preserve">30 kg und mehr </w:t>
      </w:r>
      <w:r w:rsidRPr="006A64EE">
        <w:t>wiegt: die Dosis beträgt 162 mg (Inhalt eines Fertigpens),</w:t>
      </w:r>
      <w:r w:rsidR="009E0A66" w:rsidRPr="006A64EE">
        <w:t xml:space="preserve"> </w:t>
      </w:r>
      <w:r w:rsidRPr="006A64EE">
        <w:rPr>
          <w:b/>
          <w:bCs/>
        </w:rPr>
        <w:t>einmal jede Woche.</w:t>
      </w:r>
    </w:p>
    <w:p w14:paraId="648E9A20" w14:textId="77777777" w:rsidR="00093A5E" w:rsidRPr="006A64EE" w:rsidRDefault="00093A5E" w:rsidP="004255F8">
      <w:pPr>
        <w:pStyle w:val="a3"/>
        <w:widowControl/>
      </w:pPr>
    </w:p>
    <w:p w14:paraId="34B0B3BC" w14:textId="77777777" w:rsidR="00093A5E" w:rsidRPr="006A64EE" w:rsidRDefault="009C2544" w:rsidP="004255F8">
      <w:pPr>
        <w:pStyle w:val="a3"/>
        <w:widowControl/>
      </w:pPr>
      <w:r w:rsidRPr="006A64EE">
        <w:t>Der Fertigpen sollte nicht bei Kindern unter 12 Jahren angewendet werden.</w:t>
      </w:r>
    </w:p>
    <w:p w14:paraId="79EBFF45" w14:textId="77777777" w:rsidR="00093A5E" w:rsidRPr="006A64EE" w:rsidRDefault="00093A5E" w:rsidP="004255F8">
      <w:pPr>
        <w:widowControl/>
        <w:rPr>
          <w:b/>
          <w:bCs/>
        </w:rPr>
      </w:pPr>
    </w:p>
    <w:p w14:paraId="21182EA9" w14:textId="77777777" w:rsidR="00093A5E" w:rsidRPr="006A64EE" w:rsidRDefault="007D680A" w:rsidP="008D6825">
      <w:pPr>
        <w:widowControl/>
        <w:rPr>
          <w:b/>
          <w:bCs/>
        </w:rPr>
      </w:pPr>
      <w:r w:rsidRPr="006A64EE">
        <w:rPr>
          <w:b/>
          <w:bCs/>
        </w:rPr>
        <w:t>Jugendliche mit pJIA (12 Jahre und älter)</w:t>
      </w:r>
    </w:p>
    <w:p w14:paraId="4541C3C5" w14:textId="34511A0D" w:rsidR="00093A5E" w:rsidRPr="006A64EE" w:rsidRDefault="009C2544" w:rsidP="00732DEA">
      <w:pPr>
        <w:keepNext/>
        <w:widowControl/>
        <w:rPr>
          <w:b/>
        </w:rPr>
      </w:pPr>
      <w:r w:rsidRPr="006A64EE">
        <w:rPr>
          <w:b/>
        </w:rPr>
        <w:t xml:space="preserve">Die übliche Dosis von </w:t>
      </w:r>
      <w:r w:rsidR="00994B96">
        <w:rPr>
          <w:b/>
        </w:rPr>
        <w:t>Avtozma</w:t>
      </w:r>
      <w:r w:rsidR="003671E1">
        <w:rPr>
          <w:b/>
        </w:rPr>
        <w:t xml:space="preserve"> </w:t>
      </w:r>
      <w:r w:rsidRPr="006A64EE">
        <w:rPr>
          <w:b/>
        </w:rPr>
        <w:t>ist vom Körpergewicht des Patienten abhängig.</w:t>
      </w:r>
    </w:p>
    <w:p w14:paraId="2DAA0BAA"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wenn der Patient weniger als 30 kg wiegt: die Dosis beträgt 162 mg (Inhalt eines Fertigpens),</w:t>
      </w:r>
      <w:r w:rsidR="009E0A66" w:rsidRPr="006A64EE">
        <w:t xml:space="preserve"> </w:t>
      </w:r>
      <w:r w:rsidRPr="006A64EE">
        <w:rPr>
          <w:b/>
          <w:bCs/>
        </w:rPr>
        <w:t>einmal alle 3 Wochen</w:t>
      </w:r>
    </w:p>
    <w:p w14:paraId="3D1881E6" w14:textId="77777777" w:rsidR="00093A5E" w:rsidRPr="006A64EE" w:rsidRDefault="0059713A" w:rsidP="004255F8">
      <w:pPr>
        <w:pStyle w:val="bullet"/>
      </w:pPr>
      <w:r w:rsidRPr="006A64EE">
        <w:rPr>
          <w:rFonts w:ascii="Symbol" w:hAnsi="Symbol"/>
        </w:rPr>
        <w:t></w:t>
      </w:r>
      <w:r w:rsidRPr="006A64EE">
        <w:rPr>
          <w:rFonts w:ascii="Symbol" w:hAnsi="Symbol"/>
        </w:rPr>
        <w:tab/>
      </w:r>
      <w:r w:rsidRPr="006A64EE">
        <w:t>wenn der Patient 30 kg und mehr wiegt: die Dosis beträgt 162 mg (Inhalt eines Fertigpens),</w:t>
      </w:r>
      <w:r w:rsidR="009E0A66" w:rsidRPr="006A64EE">
        <w:t xml:space="preserve"> </w:t>
      </w:r>
      <w:r w:rsidRPr="006A64EE">
        <w:rPr>
          <w:b/>
          <w:bCs/>
        </w:rPr>
        <w:t>einmal alle 2 Wochen.</w:t>
      </w:r>
    </w:p>
    <w:p w14:paraId="703C2FE4" w14:textId="77777777" w:rsidR="00093A5E" w:rsidRPr="006A64EE" w:rsidRDefault="00093A5E" w:rsidP="004255F8">
      <w:pPr>
        <w:pStyle w:val="a3"/>
        <w:widowControl/>
      </w:pPr>
    </w:p>
    <w:p w14:paraId="1730D124" w14:textId="77777777" w:rsidR="00093A5E" w:rsidRPr="006A64EE" w:rsidRDefault="009C2544" w:rsidP="004255F8">
      <w:pPr>
        <w:pStyle w:val="a3"/>
        <w:widowControl/>
      </w:pPr>
      <w:r w:rsidRPr="006A64EE">
        <w:t>Der Fertigpen sollte nicht bei Kindern unter 12 Jahren angewendet werden.</w:t>
      </w:r>
    </w:p>
    <w:p w14:paraId="46D40F5F" w14:textId="77777777" w:rsidR="00093A5E" w:rsidRPr="006A64EE" w:rsidRDefault="00093A5E" w:rsidP="004255F8">
      <w:pPr>
        <w:pStyle w:val="a3"/>
        <w:widowControl/>
      </w:pPr>
    </w:p>
    <w:p w14:paraId="5360EF0B" w14:textId="04A9A732" w:rsidR="00093A5E" w:rsidRPr="006A64EE" w:rsidRDefault="00994B96" w:rsidP="004255F8">
      <w:pPr>
        <w:pStyle w:val="a3"/>
        <w:widowControl/>
      </w:pPr>
      <w:r>
        <w:t>Avtozma</w:t>
      </w:r>
      <w:r w:rsidR="009C2544" w:rsidRPr="006A64EE">
        <w:t xml:space="preserve"> wird als Injektion unter die Haut gegeben (</w:t>
      </w:r>
      <w:r w:rsidR="009C2544" w:rsidRPr="006A64EE">
        <w:rPr>
          <w:i/>
        </w:rPr>
        <w:t>subkutan</w:t>
      </w:r>
      <w:r w:rsidR="009C2544" w:rsidRPr="006A64EE">
        <w:t xml:space="preserve">). Zu Beginn Ihrer Behandlung kann Ihr Arzt oder das medizinische Fachpersonal </w:t>
      </w:r>
      <w:r>
        <w:t>Avtozma</w:t>
      </w:r>
      <w:r w:rsidR="009C2544" w:rsidRPr="006A64EE">
        <w:t xml:space="preserve"> injizieren. Ihr Arzt kann jedoch entscheiden, dass Sie sich </w:t>
      </w:r>
      <w:r>
        <w:t>Avtozma</w:t>
      </w:r>
      <w:r w:rsidR="009C2544" w:rsidRPr="006A64EE">
        <w:t xml:space="preserve"> selber injizieren können. In diesem Fall erhalten Sie eine Unterweisung darin, wie Sie sich </w:t>
      </w:r>
      <w:r>
        <w:t>Avtozma</w:t>
      </w:r>
      <w:r w:rsidR="009C2544" w:rsidRPr="006A64EE">
        <w:t xml:space="preserve"> selber injizieren. Eltern und Betreuer erhalten eine Unterweisung darin, wie sie </w:t>
      </w:r>
      <w:r>
        <w:t>Avtozma</w:t>
      </w:r>
      <w:r w:rsidR="009C2544" w:rsidRPr="006A64EE">
        <w:t xml:space="preserve"> bei Patienten injizieren, die sich nicht selbst eine Injektion geben können.</w:t>
      </w:r>
    </w:p>
    <w:p w14:paraId="48BF51F0" w14:textId="77777777" w:rsidR="00093A5E" w:rsidRPr="006A64EE" w:rsidRDefault="00093A5E" w:rsidP="004255F8">
      <w:pPr>
        <w:pStyle w:val="a3"/>
        <w:widowControl/>
      </w:pPr>
    </w:p>
    <w:p w14:paraId="04919E37" w14:textId="77777777" w:rsidR="00093A5E" w:rsidRPr="006A64EE" w:rsidRDefault="009C2544" w:rsidP="004255F8">
      <w:pPr>
        <w:pStyle w:val="a3"/>
        <w:widowControl/>
      </w:pPr>
      <w:r w:rsidRPr="006A64EE">
        <w:t>Sprechen Sie mit Ihrem Arzt, wenn Sie Fragen dazu haben, wie Sie sich selbst oder dem minderjährigen Patienten, den Sie betreuen, eine Injektion geben. Am Ende dieser Packungsbeilage finden Sie eine detaillierte „Anleitung zur Anwendung“.</w:t>
      </w:r>
    </w:p>
    <w:p w14:paraId="616F476B" w14:textId="77777777" w:rsidR="00093A5E" w:rsidRPr="006A64EE" w:rsidRDefault="00093A5E" w:rsidP="004255F8">
      <w:pPr>
        <w:pStyle w:val="a3"/>
        <w:widowControl/>
      </w:pPr>
    </w:p>
    <w:p w14:paraId="64401422" w14:textId="7B7FCC61" w:rsidR="00093A5E" w:rsidRPr="008D6825" w:rsidRDefault="009C2544" w:rsidP="008D6825">
      <w:pPr>
        <w:widowControl/>
        <w:rPr>
          <w:b/>
          <w:bCs/>
        </w:rPr>
      </w:pPr>
      <w:r w:rsidRPr="008D6825">
        <w:rPr>
          <w:b/>
          <w:bCs/>
        </w:rPr>
        <w:t xml:space="preserve">Wenn Sie eine größere Menge von </w:t>
      </w:r>
      <w:r w:rsidR="00994B96" w:rsidRPr="008D6825">
        <w:rPr>
          <w:b/>
          <w:bCs/>
        </w:rPr>
        <w:t>Avtozma</w:t>
      </w:r>
      <w:r w:rsidRPr="008D6825">
        <w:rPr>
          <w:b/>
          <w:bCs/>
        </w:rPr>
        <w:t xml:space="preserve"> angewendet haben, als Sie sollten</w:t>
      </w:r>
    </w:p>
    <w:p w14:paraId="0F16BF41" w14:textId="70D08D50" w:rsidR="00093A5E" w:rsidRPr="006A64EE" w:rsidRDefault="009C2544" w:rsidP="00732DEA">
      <w:pPr>
        <w:pStyle w:val="a3"/>
        <w:widowControl/>
      </w:pPr>
      <w:r w:rsidRPr="006A64EE">
        <w:t xml:space="preserve">Da </w:t>
      </w:r>
      <w:r w:rsidR="00994B96">
        <w:t>Avtozma</w:t>
      </w:r>
      <w:r w:rsidRPr="006A64EE">
        <w:t xml:space="preserve"> in einem Fertigpen angewendet wird, ist es unwahrscheinlich, dass Sie zu viel erhalten. Sollten Sie jedoch beunruhigt sein, sprechen Sie mit Ihrem Arzt, Apotheker oder dem medizinischen Fachpersonal.</w:t>
      </w:r>
    </w:p>
    <w:p w14:paraId="76B3EA57" w14:textId="77777777" w:rsidR="00093A5E" w:rsidRPr="006A64EE" w:rsidRDefault="00093A5E" w:rsidP="00732DEA">
      <w:pPr>
        <w:pStyle w:val="a3"/>
        <w:widowControl/>
      </w:pPr>
    </w:p>
    <w:p w14:paraId="6C74E788" w14:textId="0BCA1B72" w:rsidR="00093A5E" w:rsidRPr="008D6825" w:rsidRDefault="009C2544" w:rsidP="008D6825">
      <w:pPr>
        <w:widowControl/>
        <w:rPr>
          <w:b/>
          <w:bCs/>
        </w:rPr>
      </w:pPr>
      <w:r w:rsidRPr="008D6825">
        <w:rPr>
          <w:b/>
          <w:bCs/>
        </w:rPr>
        <w:t xml:space="preserve">Wenn ein Erwachsener mit RA oder RZA oder ein Jugendlicher mit sJIA die Anwendung von </w:t>
      </w:r>
      <w:r w:rsidR="00994B96" w:rsidRPr="008D6825">
        <w:rPr>
          <w:b/>
          <w:bCs/>
        </w:rPr>
        <w:t>Avtozma</w:t>
      </w:r>
      <w:r w:rsidRPr="008D6825">
        <w:rPr>
          <w:b/>
          <w:bCs/>
        </w:rPr>
        <w:t xml:space="preserve"> vergessen oder verpasst hat</w:t>
      </w:r>
    </w:p>
    <w:p w14:paraId="38BCDCE7" w14:textId="638B8EBF" w:rsidR="00093A5E" w:rsidRPr="006A64EE" w:rsidRDefault="009C2544" w:rsidP="004255F8">
      <w:pPr>
        <w:pStyle w:val="a3"/>
        <w:widowControl/>
      </w:pPr>
      <w:r w:rsidRPr="006A64EE">
        <w:t xml:space="preserve">Es ist sehr wichtig, dass Sie </w:t>
      </w:r>
      <w:r w:rsidR="00994B96">
        <w:t>Avtozma</w:t>
      </w:r>
      <w:r w:rsidRPr="006A64EE">
        <w:t xml:space="preserve"> so anwenden, wie es Ihnen Ihr Arzt verschrieben hat. Sie sollten immer wissen, wann Sie Ihre nächste Dosis erhalten sollen.</w:t>
      </w:r>
    </w:p>
    <w:p w14:paraId="26EEEDD4"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Wenn Sie innerhalb von 7 Tagen feststellen, dass Sie Ihre wöchentliche Dosis vergessen haben, wenden Sie die nächste Dosis am vorgesehenen Termin an.</w:t>
      </w:r>
    </w:p>
    <w:p w14:paraId="62F80346" w14:textId="77777777" w:rsidR="00093A5E" w:rsidRPr="006A64EE" w:rsidRDefault="0059713A" w:rsidP="00732DEA">
      <w:pPr>
        <w:pStyle w:val="bullet"/>
      </w:pPr>
      <w:r w:rsidRPr="006A64EE">
        <w:rPr>
          <w:rFonts w:ascii="Symbol" w:hAnsi="Symbol"/>
        </w:rPr>
        <w:t></w:t>
      </w:r>
      <w:r w:rsidRPr="006A64EE">
        <w:rPr>
          <w:rFonts w:ascii="Symbol" w:hAnsi="Symbol"/>
        </w:rPr>
        <w:tab/>
      </w:r>
      <w:r w:rsidRPr="006A64EE">
        <w:t>Wenn Sie innerhalb von 7 Tagen feststellen, dass Sie Ihre zweiwöchentliche Dosis vergessen haben, injizieren Sie Ihre Dosis sobald Sie es bemerken und wenden Sie Ihre nächste Dosis an dem nächsten regulären Termin an.</w:t>
      </w:r>
    </w:p>
    <w:p w14:paraId="7672B2F7" w14:textId="7BF02746" w:rsidR="00093A5E" w:rsidRPr="006A64EE" w:rsidRDefault="0059713A" w:rsidP="00732DEA">
      <w:pPr>
        <w:pStyle w:val="bullet"/>
      </w:pPr>
      <w:r w:rsidRPr="006A64EE">
        <w:rPr>
          <w:rFonts w:ascii="Symbol" w:hAnsi="Symbol"/>
        </w:rPr>
        <w:t></w:t>
      </w:r>
      <w:r w:rsidRPr="006A64EE">
        <w:rPr>
          <w:rFonts w:ascii="Symbol" w:hAnsi="Symbol"/>
        </w:rPr>
        <w:tab/>
      </w:r>
      <w:r w:rsidRPr="006A64EE">
        <w:t xml:space="preserve">Wenn Sie nach mehr als 7 Tagen feststellen, dass Sie Ihre wöchentliche oder Ihre zweiwöchentliche Dosis vergessen haben oder wenn Sie nicht sicher sind, wann Sie </w:t>
      </w:r>
      <w:r w:rsidR="00994B96">
        <w:t>Avtozma</w:t>
      </w:r>
      <w:r w:rsidRPr="006A64EE">
        <w:t xml:space="preserve"> injizieren sollten, sprechen Sie mit Ihrem Arzt oder Apotheker.</w:t>
      </w:r>
    </w:p>
    <w:p w14:paraId="2948B61A" w14:textId="77777777" w:rsidR="00093A5E" w:rsidRPr="006A64EE" w:rsidRDefault="00093A5E" w:rsidP="00121CB7"/>
    <w:p w14:paraId="4C9AA69C" w14:textId="77777777" w:rsidR="00093A5E" w:rsidRPr="008D6825" w:rsidRDefault="009C2544" w:rsidP="008D6825">
      <w:pPr>
        <w:widowControl/>
        <w:rPr>
          <w:b/>
          <w:bCs/>
        </w:rPr>
      </w:pPr>
      <w:r w:rsidRPr="008D6825">
        <w:rPr>
          <w:b/>
          <w:bCs/>
        </w:rPr>
        <w:t>Wenn ein Jugendlicher mit pJIA die Anwendung vergessen oder verpasst hat</w:t>
      </w:r>
    </w:p>
    <w:p w14:paraId="02812B0B" w14:textId="471FAC3A" w:rsidR="00093A5E" w:rsidRPr="006A64EE" w:rsidRDefault="009C2544" w:rsidP="00451480">
      <w:pPr>
        <w:pStyle w:val="a3"/>
        <w:widowControl/>
      </w:pPr>
      <w:r w:rsidRPr="006A64EE">
        <w:t xml:space="preserve">Es ist sehr wichtig, dass </w:t>
      </w:r>
      <w:r w:rsidR="00994B96">
        <w:t>Avtozma</w:t>
      </w:r>
      <w:r w:rsidRPr="006A64EE">
        <w:t xml:space="preserve"> so angewendet wird, wie es der Arzt verschrieben hat. Sie sollten immer wissen, wann die nächste Dosis angewendet werden soll.</w:t>
      </w:r>
    </w:p>
    <w:p w14:paraId="7A3F056C" w14:textId="77777777" w:rsidR="00093A5E" w:rsidRPr="006A64EE" w:rsidRDefault="0059713A" w:rsidP="00451480">
      <w:pPr>
        <w:pStyle w:val="bullet"/>
      </w:pPr>
      <w:r w:rsidRPr="006A64EE">
        <w:rPr>
          <w:rFonts w:ascii="Symbol" w:hAnsi="Symbol"/>
        </w:rPr>
        <w:t></w:t>
      </w:r>
      <w:r w:rsidRPr="006A64EE">
        <w:rPr>
          <w:rFonts w:ascii="Symbol" w:hAnsi="Symbol"/>
        </w:rPr>
        <w:tab/>
      </w:r>
      <w:r w:rsidRPr="006A64EE">
        <w:t>Wenn eine Dosis um bis zu 7 Tage verpasst wurde, injizieren Sie die Dosis sobald Sie es bemerken und wenden Sie die nächste Dosis an dem nächsten vorgesehenen Termin an.</w:t>
      </w:r>
    </w:p>
    <w:p w14:paraId="03991FFF" w14:textId="251F1A65" w:rsidR="00093A5E" w:rsidRPr="006A64EE" w:rsidRDefault="00451480" w:rsidP="00451480">
      <w:pPr>
        <w:pStyle w:val="bullet"/>
      </w:pPr>
      <w:r w:rsidRPr="006A64EE">
        <w:rPr>
          <w:rFonts w:ascii="Symbol" w:hAnsi="Symbol"/>
        </w:rPr>
        <w:t></w:t>
      </w:r>
      <w:r w:rsidRPr="006A64EE">
        <w:rPr>
          <w:rFonts w:ascii="Symbol" w:hAnsi="Symbol"/>
        </w:rPr>
        <w:tab/>
      </w:r>
      <w:r w:rsidR="0059713A" w:rsidRPr="006A64EE">
        <w:t xml:space="preserve">Wenn eine Dosis um mehr als 7 Tage verpasst wurde, oder Sie nicht sicher sind, wann </w:t>
      </w:r>
      <w:r w:rsidR="00994B96">
        <w:t>Avtozma</w:t>
      </w:r>
      <w:r w:rsidR="0059713A" w:rsidRPr="006A64EE">
        <w:t xml:space="preserve"> injiziert werden soll, sprechen Sie mit dem Arzt oder Apotheker.</w:t>
      </w:r>
    </w:p>
    <w:p w14:paraId="246D36A1" w14:textId="77777777" w:rsidR="00093A5E" w:rsidRPr="006A64EE" w:rsidRDefault="00093A5E" w:rsidP="00451480">
      <w:pPr>
        <w:pStyle w:val="a3"/>
        <w:widowControl/>
      </w:pPr>
    </w:p>
    <w:p w14:paraId="786CE9C1" w14:textId="354448B1" w:rsidR="00093A5E" w:rsidRPr="008D6825" w:rsidRDefault="009C2544" w:rsidP="008D6825">
      <w:pPr>
        <w:widowControl/>
        <w:rPr>
          <w:b/>
          <w:bCs/>
        </w:rPr>
      </w:pPr>
      <w:r w:rsidRPr="008D6825">
        <w:rPr>
          <w:b/>
          <w:bCs/>
        </w:rPr>
        <w:lastRenderedPageBreak/>
        <w:t xml:space="preserve">Wenn Sie die Anwendung von </w:t>
      </w:r>
      <w:r w:rsidR="00994B96" w:rsidRPr="008D6825">
        <w:rPr>
          <w:b/>
          <w:bCs/>
        </w:rPr>
        <w:t>Avtozma</w:t>
      </w:r>
      <w:r w:rsidRPr="008D6825">
        <w:rPr>
          <w:b/>
          <w:bCs/>
        </w:rPr>
        <w:t xml:space="preserve"> abbrechen</w:t>
      </w:r>
    </w:p>
    <w:p w14:paraId="7E87A64F" w14:textId="17A58A64" w:rsidR="00093A5E" w:rsidRPr="006A64EE" w:rsidRDefault="009C2544" w:rsidP="004255F8">
      <w:pPr>
        <w:pStyle w:val="a3"/>
        <w:widowControl/>
      </w:pPr>
      <w:r w:rsidRPr="006A64EE">
        <w:t xml:space="preserve">Sie sollten die Anwendung von </w:t>
      </w:r>
      <w:r w:rsidR="00994B96">
        <w:t>Avtozma</w:t>
      </w:r>
      <w:r w:rsidRPr="006A64EE">
        <w:t xml:space="preserve"> nicht abbrechen, ohne vorher mit Ihrem Arzt darüber gesprochen zu haben.</w:t>
      </w:r>
    </w:p>
    <w:p w14:paraId="350415D8" w14:textId="77777777" w:rsidR="00093A5E" w:rsidRPr="006A64EE" w:rsidRDefault="00093A5E" w:rsidP="004255F8">
      <w:pPr>
        <w:pStyle w:val="a3"/>
        <w:widowControl/>
      </w:pPr>
    </w:p>
    <w:p w14:paraId="7B69ACF6" w14:textId="77777777" w:rsidR="00093A5E" w:rsidRPr="006A64EE" w:rsidRDefault="009C2544" w:rsidP="004255F8">
      <w:pPr>
        <w:pStyle w:val="a3"/>
        <w:widowControl/>
      </w:pPr>
      <w:r w:rsidRPr="006A64EE">
        <w:t>Wenn Sie weitere Fragen zur Anwendung dieses Arzneimittels haben, wenden Sie sich an Ihren Arzt, Apotheker oder das medizinische Fachpersonal.</w:t>
      </w:r>
    </w:p>
    <w:p w14:paraId="201D474A" w14:textId="77777777" w:rsidR="00093A5E" w:rsidRPr="006A64EE" w:rsidRDefault="00093A5E" w:rsidP="004255F8">
      <w:pPr>
        <w:widowControl/>
      </w:pPr>
    </w:p>
    <w:p w14:paraId="1E44A758" w14:textId="77777777" w:rsidR="00093A5E" w:rsidRPr="006A64EE" w:rsidRDefault="00093A5E" w:rsidP="004255F8">
      <w:pPr>
        <w:widowControl/>
      </w:pPr>
    </w:p>
    <w:p w14:paraId="599A03DE" w14:textId="77777777" w:rsidR="00093A5E" w:rsidRPr="006A64EE" w:rsidRDefault="0059713A" w:rsidP="00DC400D">
      <w:pPr>
        <w:pStyle w:val="1"/>
      </w:pPr>
      <w:r w:rsidRPr="006A64EE">
        <w:t>4.</w:t>
      </w:r>
      <w:r w:rsidRPr="006A64EE">
        <w:tab/>
      </w:r>
      <w:r w:rsidR="007D680A" w:rsidRPr="006A64EE">
        <w:t>Welche Nebenwirkungen sind möglich?</w:t>
      </w:r>
    </w:p>
    <w:p w14:paraId="04933711" w14:textId="77777777" w:rsidR="00093A5E" w:rsidRPr="006A64EE" w:rsidRDefault="00093A5E" w:rsidP="00DC400D">
      <w:pPr>
        <w:pStyle w:val="a3"/>
        <w:keepNext/>
        <w:widowControl/>
      </w:pPr>
    </w:p>
    <w:p w14:paraId="00F084BA" w14:textId="44BADADF" w:rsidR="00093A5E" w:rsidRPr="006A64EE" w:rsidRDefault="009C2544" w:rsidP="004255F8">
      <w:pPr>
        <w:pStyle w:val="a3"/>
        <w:widowControl/>
      </w:pPr>
      <w:r w:rsidRPr="006A64EE">
        <w:t xml:space="preserve">Wie alle Arzneimittel kann auch dieses Arzneimittel Nebenwirkungen haben, die aber nicht bei jedem auftreten müssen. Nebenwirkungen können noch 3 Monate oder länger nach Ihrer letzten Dosis von </w:t>
      </w:r>
      <w:r w:rsidR="00994B96">
        <w:t>Avtozma</w:t>
      </w:r>
      <w:r w:rsidRPr="006A64EE">
        <w:t xml:space="preserve"> auftreten.</w:t>
      </w:r>
    </w:p>
    <w:p w14:paraId="2620834D" w14:textId="77777777" w:rsidR="00093A5E" w:rsidRPr="006A64EE" w:rsidRDefault="00093A5E" w:rsidP="004255F8">
      <w:pPr>
        <w:pStyle w:val="a3"/>
        <w:widowControl/>
      </w:pPr>
    </w:p>
    <w:p w14:paraId="3D45CE44" w14:textId="77777777" w:rsidR="00093A5E" w:rsidRPr="008D6825" w:rsidRDefault="009C2544" w:rsidP="008D6825">
      <w:pPr>
        <w:widowControl/>
        <w:rPr>
          <w:b/>
          <w:bCs/>
        </w:rPr>
      </w:pPr>
      <w:r w:rsidRPr="008D6825">
        <w:rPr>
          <w:b/>
          <w:bCs/>
        </w:rPr>
        <w:t>Mögliche schwerwiegende Nebenwirkungen: Informieren Sie umgehend Ihren Arzt.</w:t>
      </w:r>
    </w:p>
    <w:p w14:paraId="32884133" w14:textId="77777777" w:rsidR="00093A5E" w:rsidRPr="006A64EE" w:rsidRDefault="009C2544" w:rsidP="00DC400D">
      <w:pPr>
        <w:widowControl/>
        <w:rPr>
          <w:i/>
        </w:rPr>
      </w:pPr>
      <w:r w:rsidRPr="006A64EE">
        <w:rPr>
          <w:i/>
        </w:rPr>
        <w:t>Diese sind häufig: sie können bei bis zu 1 von 10 Behandelten auftreten</w:t>
      </w:r>
    </w:p>
    <w:p w14:paraId="303A05DD" w14:textId="77777777" w:rsidR="00093A5E" w:rsidRPr="006A64EE" w:rsidRDefault="00093A5E" w:rsidP="00DC400D">
      <w:pPr>
        <w:pStyle w:val="a3"/>
        <w:widowControl/>
        <w:rPr>
          <w:i/>
        </w:rPr>
      </w:pPr>
    </w:p>
    <w:p w14:paraId="39D9B90F" w14:textId="77777777" w:rsidR="00093A5E" w:rsidRPr="006A64EE" w:rsidRDefault="009C2544" w:rsidP="00DC400D">
      <w:pPr>
        <w:widowControl/>
      </w:pPr>
      <w:r w:rsidRPr="006A64EE">
        <w:rPr>
          <w:b/>
        </w:rPr>
        <w:t xml:space="preserve">Allergische Reaktionen </w:t>
      </w:r>
      <w:r w:rsidRPr="006A64EE">
        <w:t>während oder nach der Injektion:</w:t>
      </w:r>
    </w:p>
    <w:p w14:paraId="5D360589"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Schwierigkeiten beim Atmen, Engegefühl in der Brust oder Benommenheit</w:t>
      </w:r>
    </w:p>
    <w:p w14:paraId="3B4EA819"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 xml:space="preserve">Hautausschlag, Juckreiz, Quaddeln, Schwellung der Lippen, Zunge oder des Gesichts </w:t>
      </w:r>
    </w:p>
    <w:p w14:paraId="0F812AC7" w14:textId="77777777" w:rsidR="00B67B86" w:rsidRDefault="00B67B86" w:rsidP="00DC400D">
      <w:pPr>
        <w:widowControl/>
        <w:tabs>
          <w:tab w:val="left" w:pos="905"/>
        </w:tabs>
      </w:pPr>
    </w:p>
    <w:p w14:paraId="5F3B6A4E" w14:textId="64042EB8" w:rsidR="00093A5E" w:rsidRPr="006A64EE" w:rsidRDefault="009C2544" w:rsidP="00DC400D">
      <w:pPr>
        <w:widowControl/>
        <w:tabs>
          <w:tab w:val="left" w:pos="905"/>
        </w:tabs>
      </w:pPr>
      <w:r w:rsidRPr="006A64EE">
        <w:t xml:space="preserve">Wenn Sie eine dieser Reaktionen bemerken, informieren Sie </w:t>
      </w:r>
      <w:r w:rsidRPr="006A64EE">
        <w:rPr>
          <w:b/>
        </w:rPr>
        <w:t xml:space="preserve">sofort </w:t>
      </w:r>
      <w:r w:rsidRPr="006A64EE">
        <w:t>Ihren Arzt.</w:t>
      </w:r>
    </w:p>
    <w:p w14:paraId="056A18EB" w14:textId="77777777" w:rsidR="00093A5E" w:rsidRPr="006A64EE" w:rsidRDefault="00093A5E" w:rsidP="00DC400D">
      <w:pPr>
        <w:pStyle w:val="a3"/>
        <w:widowControl/>
      </w:pPr>
    </w:p>
    <w:p w14:paraId="126AA69F" w14:textId="77777777" w:rsidR="00093A5E" w:rsidRPr="008D6825" w:rsidRDefault="009C2544" w:rsidP="008D6825">
      <w:pPr>
        <w:widowControl/>
        <w:rPr>
          <w:b/>
          <w:bCs/>
        </w:rPr>
      </w:pPr>
      <w:r w:rsidRPr="008D6825">
        <w:rPr>
          <w:b/>
          <w:bCs/>
        </w:rPr>
        <w:t>Anzeichen schwerwiegender Infektionen</w:t>
      </w:r>
      <w:r w:rsidRPr="009D7479">
        <w:t>:</w:t>
      </w:r>
    </w:p>
    <w:p w14:paraId="71BD5F2A"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Fieber und Schüttelfrost</w:t>
      </w:r>
    </w:p>
    <w:p w14:paraId="483B62E6"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Blasen im Mund oder auf der Haut</w:t>
      </w:r>
    </w:p>
    <w:p w14:paraId="2C57FE5C"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Magen- bzw. Bauchschmerzen.</w:t>
      </w:r>
    </w:p>
    <w:p w14:paraId="46C5C778" w14:textId="77777777" w:rsidR="00093A5E" w:rsidRPr="006A64EE" w:rsidRDefault="00093A5E" w:rsidP="00121CB7"/>
    <w:p w14:paraId="165F9CCB" w14:textId="77777777" w:rsidR="00093A5E" w:rsidRPr="009D7479" w:rsidRDefault="009C2544" w:rsidP="008D6825">
      <w:pPr>
        <w:widowControl/>
      </w:pPr>
      <w:r w:rsidRPr="008D6825">
        <w:rPr>
          <w:b/>
          <w:bCs/>
        </w:rPr>
        <w:t>Anzeichen und Symptome von Lebertoxizität</w:t>
      </w:r>
      <w:r w:rsidRPr="009D7479">
        <w:t>:</w:t>
      </w:r>
    </w:p>
    <w:p w14:paraId="6D4647FA" w14:textId="1C7971B3" w:rsidR="00093A5E" w:rsidRPr="006A64EE" w:rsidRDefault="009C2544" w:rsidP="00DC400D">
      <w:pPr>
        <w:widowControl/>
        <w:rPr>
          <w:i/>
        </w:rPr>
      </w:pPr>
      <w:r w:rsidRPr="006A64EE">
        <w:rPr>
          <w:i/>
        </w:rPr>
        <w:t>Können bei bis zu 1 von 1</w:t>
      </w:r>
      <w:r w:rsidR="00DF3F57">
        <w:rPr>
          <w:i/>
        </w:rPr>
        <w:t> </w:t>
      </w:r>
      <w:r w:rsidRPr="006A64EE">
        <w:rPr>
          <w:i/>
        </w:rPr>
        <w:t>000</w:t>
      </w:r>
      <w:r w:rsidR="00DF3F57">
        <w:rPr>
          <w:i/>
        </w:rPr>
        <w:t> </w:t>
      </w:r>
      <w:r w:rsidRPr="006A64EE">
        <w:rPr>
          <w:i/>
        </w:rPr>
        <w:t>Behandelten auftreten</w:t>
      </w:r>
    </w:p>
    <w:p w14:paraId="20EDBA35" w14:textId="77777777" w:rsidR="00093A5E" w:rsidRPr="006A64EE" w:rsidRDefault="0059713A" w:rsidP="00DC400D">
      <w:pPr>
        <w:widowControl/>
      </w:pPr>
      <w:r w:rsidRPr="006A64EE">
        <w:rPr>
          <w:rFonts w:ascii="Symbol" w:hAnsi="Symbol"/>
        </w:rPr>
        <w:t></w:t>
      </w:r>
      <w:r w:rsidRPr="006A64EE">
        <w:rPr>
          <w:rFonts w:ascii="Symbol" w:hAnsi="Symbol"/>
        </w:rPr>
        <w:tab/>
      </w:r>
      <w:r w:rsidRPr="006A64EE">
        <w:t>Müdigkeit</w:t>
      </w:r>
    </w:p>
    <w:p w14:paraId="253B92A2" w14:textId="77777777" w:rsidR="00093A5E" w:rsidRPr="006A64EE" w:rsidRDefault="0059713A" w:rsidP="00DC400D">
      <w:pPr>
        <w:widowControl/>
      </w:pPr>
      <w:r w:rsidRPr="006A64EE">
        <w:rPr>
          <w:rFonts w:ascii="Symbol" w:hAnsi="Symbol"/>
        </w:rPr>
        <w:t></w:t>
      </w:r>
      <w:r w:rsidRPr="006A64EE">
        <w:rPr>
          <w:rFonts w:ascii="Symbol" w:hAnsi="Symbol"/>
        </w:rPr>
        <w:tab/>
      </w:r>
      <w:r w:rsidRPr="006A64EE">
        <w:t>Bauchschmerzen</w:t>
      </w:r>
    </w:p>
    <w:p w14:paraId="1C2D99EB" w14:textId="77777777" w:rsidR="00093A5E" w:rsidRPr="006A64EE" w:rsidRDefault="0059713A" w:rsidP="00DC400D">
      <w:pPr>
        <w:widowControl/>
      </w:pPr>
      <w:r w:rsidRPr="006A64EE">
        <w:rPr>
          <w:rFonts w:ascii="Symbol" w:hAnsi="Symbol"/>
        </w:rPr>
        <w:t></w:t>
      </w:r>
      <w:r w:rsidRPr="006A64EE">
        <w:rPr>
          <w:rFonts w:ascii="Symbol" w:hAnsi="Symbol"/>
        </w:rPr>
        <w:tab/>
      </w:r>
      <w:r w:rsidRPr="006A64EE">
        <w:t>Gelbsucht (gelbe Verfärbung der Haut oder der Augen).</w:t>
      </w:r>
    </w:p>
    <w:p w14:paraId="0376BEFC" w14:textId="77777777" w:rsidR="007664C1" w:rsidRDefault="007664C1" w:rsidP="00DC400D">
      <w:pPr>
        <w:widowControl/>
      </w:pPr>
    </w:p>
    <w:p w14:paraId="0C15D6D9" w14:textId="0FEFF42B" w:rsidR="00093A5E" w:rsidRPr="006A64EE" w:rsidRDefault="009C2544" w:rsidP="00DC400D">
      <w:pPr>
        <w:widowControl/>
      </w:pPr>
      <w:r w:rsidRPr="006A64EE">
        <w:t xml:space="preserve">Wenn Sie eine dieser Reaktionen bemerken, informieren Sie </w:t>
      </w:r>
      <w:r w:rsidRPr="006A64EE">
        <w:rPr>
          <w:b/>
        </w:rPr>
        <w:t xml:space="preserve">so schnell wie möglich </w:t>
      </w:r>
      <w:r w:rsidRPr="006A64EE">
        <w:t>Ihren Arzt.</w:t>
      </w:r>
    </w:p>
    <w:p w14:paraId="3CDFFDF3" w14:textId="77777777" w:rsidR="00093A5E" w:rsidRPr="006A64EE" w:rsidRDefault="00093A5E" w:rsidP="00DC400D">
      <w:pPr>
        <w:pStyle w:val="a3"/>
        <w:widowControl/>
      </w:pPr>
    </w:p>
    <w:p w14:paraId="3A8474C0" w14:textId="77777777" w:rsidR="00093A5E" w:rsidRPr="008D6825" w:rsidRDefault="009C2544" w:rsidP="008D6825">
      <w:pPr>
        <w:widowControl/>
        <w:rPr>
          <w:b/>
          <w:bCs/>
        </w:rPr>
      </w:pPr>
      <w:r w:rsidRPr="008D6825">
        <w:rPr>
          <w:b/>
          <w:bCs/>
        </w:rPr>
        <w:t>Sehr häufige Nebenwirkungen</w:t>
      </w:r>
      <w:r w:rsidRPr="009D7479">
        <w:t>:</w:t>
      </w:r>
    </w:p>
    <w:p w14:paraId="6CBEDDB3" w14:textId="77777777" w:rsidR="00093A5E" w:rsidRPr="006A64EE" w:rsidRDefault="009C2544" w:rsidP="004255F8">
      <w:pPr>
        <w:widowControl/>
        <w:rPr>
          <w:i/>
        </w:rPr>
      </w:pPr>
      <w:r w:rsidRPr="006A64EE">
        <w:rPr>
          <w:i/>
        </w:rPr>
        <w:t>Können bei mehr als 1 von 10 Patienten auftreten</w:t>
      </w:r>
    </w:p>
    <w:p w14:paraId="0E6E25FF"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Infektionen der oberen Atemwege mit typischen Beschwerden wie Husten, verstopfte Nase, laufende Nase, Halsschmerzen und Kopfschmerzen</w:t>
      </w:r>
    </w:p>
    <w:p w14:paraId="4CE17027"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hohe Blutfettwerte (Cholesterinwerte)</w:t>
      </w:r>
    </w:p>
    <w:p w14:paraId="16A6995D"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Reaktionen an der Injektionsstelle.</w:t>
      </w:r>
    </w:p>
    <w:p w14:paraId="1056405B" w14:textId="77777777" w:rsidR="00093A5E" w:rsidRPr="006A64EE" w:rsidRDefault="00093A5E" w:rsidP="00121CB7"/>
    <w:p w14:paraId="1FC1DCAC" w14:textId="77777777" w:rsidR="00093A5E" w:rsidRPr="009D7479" w:rsidRDefault="009C2544" w:rsidP="008D6825">
      <w:pPr>
        <w:widowControl/>
      </w:pPr>
      <w:r w:rsidRPr="008D6825">
        <w:rPr>
          <w:b/>
          <w:bCs/>
        </w:rPr>
        <w:t>Häufige Nebenwirkungen</w:t>
      </w:r>
      <w:r w:rsidRPr="009D7479">
        <w:t>:</w:t>
      </w:r>
    </w:p>
    <w:p w14:paraId="65160E3F" w14:textId="77777777" w:rsidR="00093A5E" w:rsidRPr="006A64EE" w:rsidRDefault="009C2544" w:rsidP="004255F8">
      <w:pPr>
        <w:widowControl/>
        <w:rPr>
          <w:i/>
        </w:rPr>
      </w:pPr>
      <w:r w:rsidRPr="006A64EE">
        <w:rPr>
          <w:i/>
        </w:rPr>
        <w:t>Können bei bis zu 1 von 10 Patienten auftreten</w:t>
      </w:r>
    </w:p>
    <w:p w14:paraId="5D87E757"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Lungenentzündung (Pneumonie)</w:t>
      </w:r>
    </w:p>
    <w:p w14:paraId="6A84F0ED"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Gürtelrose (Herpes zoster)</w:t>
      </w:r>
    </w:p>
    <w:p w14:paraId="063FC6E4"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Fieberblasen (oraler Herpes simplex), Blasen</w:t>
      </w:r>
    </w:p>
    <w:p w14:paraId="27595DC0"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Hautinfektionen (Zellulitis), manchmal mit Fieber und Schüttelfrost</w:t>
      </w:r>
    </w:p>
    <w:p w14:paraId="6761C987"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Hautausschlag und Juckreiz, Quaddeln</w:t>
      </w:r>
    </w:p>
    <w:p w14:paraId="35EBE708"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allergische Reaktionen (Überempfindlichkeitsreaktionen)</w:t>
      </w:r>
    </w:p>
    <w:p w14:paraId="59AD5BA6"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Infektionen der Augen (Konjunktivitis)</w:t>
      </w:r>
    </w:p>
    <w:p w14:paraId="5EAAFFB6"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Kopfschmerzen, Schwindel, Bluthochdruck</w:t>
      </w:r>
    </w:p>
    <w:p w14:paraId="43456742"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Geschwüre im Mund, Magen- bzw. Bauchschmerzen</w:t>
      </w:r>
    </w:p>
    <w:p w14:paraId="3B41DD5F"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Flüssigkeitsansammlung (Ödem) der Unterschenkel, Gewichtszunahme</w:t>
      </w:r>
    </w:p>
    <w:p w14:paraId="0411C5FE" w14:textId="77777777" w:rsidR="00093A5E" w:rsidRPr="006A64EE" w:rsidRDefault="0059713A" w:rsidP="00DC400D">
      <w:pPr>
        <w:pStyle w:val="bullet"/>
      </w:pPr>
      <w:r w:rsidRPr="006A64EE">
        <w:rPr>
          <w:rFonts w:ascii="Symbol" w:hAnsi="Symbol"/>
        </w:rPr>
        <w:lastRenderedPageBreak/>
        <w:t></w:t>
      </w:r>
      <w:r w:rsidRPr="006A64EE">
        <w:rPr>
          <w:rFonts w:ascii="Symbol" w:hAnsi="Symbol"/>
        </w:rPr>
        <w:tab/>
      </w:r>
      <w:r w:rsidRPr="006A64EE">
        <w:t>Husten, Kurzatmigkeit</w:t>
      </w:r>
    </w:p>
    <w:p w14:paraId="4E44FA33"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niedrige Anzahl der weißen Blutkörperchen, die bei Blutuntersuchungen festgestellt wird (Neutropenie, Leukopenie)</w:t>
      </w:r>
    </w:p>
    <w:p w14:paraId="662B5317"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abnormale Leberfunktionstests (erhöhte Transaminasenwerte)</w:t>
      </w:r>
    </w:p>
    <w:p w14:paraId="7F563705"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erhöhte Bilirubinwerte bei Blutuntersuchungen</w:t>
      </w:r>
    </w:p>
    <w:p w14:paraId="21549D89"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niedrige Fibrinogenspiegel im Blut (ein Protein, das an der Blutgerinnung beteiligt ist).</w:t>
      </w:r>
    </w:p>
    <w:p w14:paraId="462C4D29" w14:textId="77777777" w:rsidR="00093A5E" w:rsidRPr="006A64EE" w:rsidRDefault="00093A5E" w:rsidP="004255F8">
      <w:pPr>
        <w:widowControl/>
      </w:pPr>
    </w:p>
    <w:p w14:paraId="05B4DE55" w14:textId="77777777" w:rsidR="00093A5E" w:rsidRPr="006A64EE" w:rsidRDefault="007D680A" w:rsidP="00DC400D">
      <w:pPr>
        <w:keepNext/>
        <w:keepLines/>
        <w:widowControl/>
        <w:rPr>
          <w:b/>
          <w:bCs/>
        </w:rPr>
      </w:pPr>
      <w:r w:rsidRPr="006A64EE">
        <w:rPr>
          <w:b/>
          <w:bCs/>
        </w:rPr>
        <w:t>Gelegentliche Nebenwirkungen</w:t>
      </w:r>
      <w:r w:rsidRPr="00C64190">
        <w:t>:</w:t>
      </w:r>
    </w:p>
    <w:p w14:paraId="5E117C0A" w14:textId="77777777" w:rsidR="00093A5E" w:rsidRPr="006A64EE" w:rsidRDefault="009C2544" w:rsidP="00DC400D">
      <w:pPr>
        <w:keepNext/>
        <w:keepLines/>
        <w:widowControl/>
        <w:rPr>
          <w:i/>
        </w:rPr>
      </w:pPr>
      <w:r w:rsidRPr="006A64EE">
        <w:rPr>
          <w:i/>
        </w:rPr>
        <w:t>Können bei bis zu 1 von 100 Patienten auftreten</w:t>
      </w:r>
    </w:p>
    <w:p w14:paraId="5CF934C7" w14:textId="77777777" w:rsidR="00093A5E" w:rsidRPr="006A64EE" w:rsidRDefault="0059713A" w:rsidP="004255F8">
      <w:pPr>
        <w:widowControl/>
      </w:pPr>
      <w:r w:rsidRPr="006A64EE">
        <w:rPr>
          <w:rFonts w:ascii="Symbol" w:hAnsi="Symbol"/>
        </w:rPr>
        <w:t></w:t>
      </w:r>
      <w:r w:rsidRPr="006A64EE">
        <w:rPr>
          <w:rFonts w:ascii="Symbol" w:hAnsi="Symbol"/>
        </w:rPr>
        <w:tab/>
      </w:r>
      <w:r w:rsidRPr="006A64EE">
        <w:t>Divertikulitis (Fieber, Übelkeit, Durchfall, Verstopfung, Magen- bzw. Bauchschmerzen)</w:t>
      </w:r>
    </w:p>
    <w:p w14:paraId="178CA9FD" w14:textId="77777777" w:rsidR="00093A5E" w:rsidRPr="006A64EE" w:rsidRDefault="0059713A" w:rsidP="004255F8">
      <w:pPr>
        <w:widowControl/>
      </w:pPr>
      <w:r w:rsidRPr="006A64EE">
        <w:rPr>
          <w:rFonts w:ascii="Symbol" w:hAnsi="Symbol"/>
        </w:rPr>
        <w:t></w:t>
      </w:r>
      <w:r w:rsidRPr="006A64EE">
        <w:rPr>
          <w:rFonts w:ascii="Symbol" w:hAnsi="Symbol"/>
        </w:rPr>
        <w:tab/>
      </w:r>
      <w:r w:rsidRPr="006A64EE">
        <w:t>rote, geschwollene (entzündete) Flächen im Mund</w:t>
      </w:r>
    </w:p>
    <w:p w14:paraId="70D97568" w14:textId="77777777" w:rsidR="00093A5E" w:rsidRPr="006A64EE" w:rsidRDefault="0059713A" w:rsidP="004255F8">
      <w:pPr>
        <w:widowControl/>
      </w:pPr>
      <w:r w:rsidRPr="006A64EE">
        <w:rPr>
          <w:rFonts w:ascii="Symbol" w:hAnsi="Symbol"/>
        </w:rPr>
        <w:t></w:t>
      </w:r>
      <w:r w:rsidRPr="006A64EE">
        <w:rPr>
          <w:rFonts w:ascii="Symbol" w:hAnsi="Symbol"/>
        </w:rPr>
        <w:tab/>
      </w:r>
      <w:r w:rsidRPr="006A64EE">
        <w:t>hohe Blutfettwerte (Triglyzeride)</w:t>
      </w:r>
    </w:p>
    <w:p w14:paraId="1F80C4F5" w14:textId="77777777" w:rsidR="00093A5E" w:rsidRPr="006A64EE" w:rsidRDefault="0059713A" w:rsidP="004255F8">
      <w:pPr>
        <w:widowControl/>
      </w:pPr>
      <w:r w:rsidRPr="006A64EE">
        <w:rPr>
          <w:rFonts w:ascii="Symbol" w:hAnsi="Symbol"/>
        </w:rPr>
        <w:t></w:t>
      </w:r>
      <w:r w:rsidRPr="006A64EE">
        <w:rPr>
          <w:rFonts w:ascii="Symbol" w:hAnsi="Symbol"/>
        </w:rPr>
        <w:tab/>
      </w:r>
      <w:r w:rsidRPr="006A64EE">
        <w:t>Magengeschwür</w:t>
      </w:r>
    </w:p>
    <w:p w14:paraId="5D06AA8D" w14:textId="77777777" w:rsidR="00093A5E" w:rsidRPr="006A64EE" w:rsidRDefault="0059713A" w:rsidP="004255F8">
      <w:pPr>
        <w:widowControl/>
      </w:pPr>
      <w:r w:rsidRPr="006A64EE">
        <w:rPr>
          <w:rFonts w:ascii="Symbol" w:hAnsi="Symbol"/>
        </w:rPr>
        <w:t></w:t>
      </w:r>
      <w:r w:rsidRPr="006A64EE">
        <w:rPr>
          <w:rFonts w:ascii="Symbol" w:hAnsi="Symbol"/>
        </w:rPr>
        <w:tab/>
      </w:r>
      <w:r w:rsidRPr="006A64EE">
        <w:t>Nierensteine</w:t>
      </w:r>
    </w:p>
    <w:p w14:paraId="4CC8C799" w14:textId="77777777" w:rsidR="00093A5E" w:rsidRPr="006A64EE" w:rsidRDefault="0059713A" w:rsidP="004255F8">
      <w:pPr>
        <w:widowControl/>
      </w:pPr>
      <w:r w:rsidRPr="006A64EE">
        <w:rPr>
          <w:rFonts w:ascii="Symbol" w:hAnsi="Symbol"/>
        </w:rPr>
        <w:t></w:t>
      </w:r>
      <w:r w:rsidRPr="006A64EE">
        <w:rPr>
          <w:rFonts w:ascii="Symbol" w:hAnsi="Symbol"/>
        </w:rPr>
        <w:tab/>
      </w:r>
      <w:r w:rsidRPr="006A64EE">
        <w:t>Schilddrüsenunterfunktion.</w:t>
      </w:r>
    </w:p>
    <w:p w14:paraId="4D9E0E73" w14:textId="77777777" w:rsidR="00093A5E" w:rsidRPr="006A64EE" w:rsidRDefault="00093A5E" w:rsidP="004255F8">
      <w:pPr>
        <w:pStyle w:val="a3"/>
        <w:widowControl/>
      </w:pPr>
    </w:p>
    <w:p w14:paraId="008AD378" w14:textId="77777777" w:rsidR="00093A5E" w:rsidRPr="008D6825" w:rsidRDefault="009C2544" w:rsidP="008D6825">
      <w:pPr>
        <w:widowControl/>
        <w:rPr>
          <w:b/>
          <w:bCs/>
        </w:rPr>
      </w:pPr>
      <w:r w:rsidRPr="008D6825">
        <w:rPr>
          <w:b/>
          <w:bCs/>
        </w:rPr>
        <w:t>Seltene Nebenwirkungen</w:t>
      </w:r>
      <w:r w:rsidRPr="00C64190">
        <w:t>:</w:t>
      </w:r>
    </w:p>
    <w:p w14:paraId="5BFE3650" w14:textId="28D8F107" w:rsidR="00093A5E" w:rsidRPr="006A64EE" w:rsidRDefault="009C2544" w:rsidP="00DC400D">
      <w:pPr>
        <w:widowControl/>
        <w:rPr>
          <w:i/>
        </w:rPr>
      </w:pPr>
      <w:r w:rsidRPr="006A64EE">
        <w:rPr>
          <w:i/>
        </w:rPr>
        <w:t>Können bei bis zu 1 von 1</w:t>
      </w:r>
      <w:r w:rsidR="00DF3F57">
        <w:rPr>
          <w:i/>
        </w:rPr>
        <w:t> </w:t>
      </w:r>
      <w:r w:rsidRPr="006A64EE">
        <w:rPr>
          <w:i/>
        </w:rPr>
        <w:t>000</w:t>
      </w:r>
      <w:r w:rsidR="00DF3F57">
        <w:rPr>
          <w:i/>
        </w:rPr>
        <w:t> </w:t>
      </w:r>
      <w:r w:rsidRPr="006A64EE">
        <w:rPr>
          <w:i/>
        </w:rPr>
        <w:t>Behandelten auftreten</w:t>
      </w:r>
    </w:p>
    <w:p w14:paraId="57C298D1"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Stevens-Johnson-Syndrom (Hautausschlag, welcher zu schwerer Blasenbildung und Abschälung der Haut führen kann)</w:t>
      </w:r>
    </w:p>
    <w:p w14:paraId="06EBD617"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Tödliche allergische Reaktionen (Anaphylaxie [tödlich])</w:t>
      </w:r>
    </w:p>
    <w:p w14:paraId="0991EC7F"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Entzündung der Leber (Hepatitis), Gelbsucht.</w:t>
      </w:r>
    </w:p>
    <w:p w14:paraId="3E2A82C7" w14:textId="77777777" w:rsidR="00093A5E" w:rsidRPr="006A64EE" w:rsidRDefault="00093A5E" w:rsidP="00DC400D">
      <w:pPr>
        <w:pStyle w:val="a3"/>
        <w:widowControl/>
      </w:pPr>
    </w:p>
    <w:p w14:paraId="7D9A01D9" w14:textId="77777777" w:rsidR="00093A5E" w:rsidRPr="006A64EE" w:rsidRDefault="009C2544" w:rsidP="008D6825">
      <w:pPr>
        <w:widowControl/>
      </w:pPr>
      <w:r w:rsidRPr="008D6825">
        <w:rPr>
          <w:b/>
          <w:bCs/>
        </w:rPr>
        <w:t>Sehr seltene Nebenwirkungen</w:t>
      </w:r>
      <w:r w:rsidRPr="00C64190">
        <w:t>:</w:t>
      </w:r>
    </w:p>
    <w:p w14:paraId="4CE33AAB" w14:textId="77777777" w:rsidR="00093A5E" w:rsidRPr="006A64EE" w:rsidRDefault="009C2544" w:rsidP="00DC400D">
      <w:pPr>
        <w:widowControl/>
        <w:rPr>
          <w:i/>
        </w:rPr>
      </w:pPr>
      <w:r w:rsidRPr="006A64EE">
        <w:rPr>
          <w:i/>
        </w:rPr>
        <w:t>Können bei bis zu 1 von 10.000 Behandelten auftreten</w:t>
      </w:r>
    </w:p>
    <w:p w14:paraId="17AC27E4"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Niedrige Werte der weißen Blutkörperchen, der roten Blutkörperchen und der Thrombozyten in Bluttests</w:t>
      </w:r>
    </w:p>
    <w:p w14:paraId="39C09339"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Leberversagen.</w:t>
      </w:r>
    </w:p>
    <w:p w14:paraId="2BDCBA64" w14:textId="77777777" w:rsidR="00093A5E" w:rsidRPr="006A64EE" w:rsidRDefault="00093A5E" w:rsidP="00DC400D">
      <w:pPr>
        <w:pStyle w:val="a3"/>
        <w:widowControl/>
      </w:pPr>
    </w:p>
    <w:p w14:paraId="3CEE00D6" w14:textId="77777777" w:rsidR="00093A5E" w:rsidRPr="008D6825" w:rsidRDefault="009C2544" w:rsidP="008D6825">
      <w:pPr>
        <w:widowControl/>
        <w:rPr>
          <w:b/>
          <w:bCs/>
        </w:rPr>
      </w:pPr>
      <w:r w:rsidRPr="008D6825">
        <w:rPr>
          <w:b/>
          <w:bCs/>
        </w:rPr>
        <w:t>Nebenwirkungen bei Kindern und Jugendlichen mit sJIA oder pJIA</w:t>
      </w:r>
    </w:p>
    <w:p w14:paraId="2F1B287F" w14:textId="77777777" w:rsidR="00093A5E" w:rsidRPr="006A64EE" w:rsidRDefault="009C2544" w:rsidP="00DC400D">
      <w:pPr>
        <w:pStyle w:val="a3"/>
        <w:widowControl/>
      </w:pPr>
      <w:r w:rsidRPr="006A64EE">
        <w:t>Nebenwirkungen bei Kindern und Jugendlichen mit sJIA oder pJIA sind allgemein mit denen Erwachsener vergleichbar. Manche Nebenwirkungen treten bei Kindern und Jugendlichen öfter auf: entzündete Nase und entzündeter Hals, Kopfschmerzen, Übelkeit und niedrigere Anzahl der weißen Blutkörperchen.</w:t>
      </w:r>
    </w:p>
    <w:p w14:paraId="3FED5C0A" w14:textId="77777777" w:rsidR="00093A5E" w:rsidRPr="006A64EE" w:rsidRDefault="00093A5E" w:rsidP="00DC400D">
      <w:pPr>
        <w:pStyle w:val="a3"/>
        <w:widowControl/>
      </w:pPr>
    </w:p>
    <w:p w14:paraId="22D76480" w14:textId="77777777" w:rsidR="00093A5E" w:rsidRPr="008D6825" w:rsidRDefault="009C2544" w:rsidP="008D6825">
      <w:pPr>
        <w:widowControl/>
        <w:rPr>
          <w:b/>
          <w:bCs/>
        </w:rPr>
      </w:pPr>
      <w:r w:rsidRPr="008D6825">
        <w:rPr>
          <w:b/>
          <w:bCs/>
        </w:rPr>
        <w:t>Meldung von Nebenwirkungen</w:t>
      </w:r>
    </w:p>
    <w:p w14:paraId="322EEF2B" w14:textId="3F69C956" w:rsidR="00093A5E" w:rsidRPr="006A64EE" w:rsidRDefault="009C2544" w:rsidP="00DC400D">
      <w:pPr>
        <w:pStyle w:val="a3"/>
        <w:widowControl/>
      </w:pPr>
      <w:r w:rsidRPr="006A64EE">
        <w:t xml:space="preserve">Wenn Sie Nebenwirkungen bemerken, wenden Sie sich an Ihren Arzt, Apotheker oder das medizinische Fachpersonal. Dies gilt auch für Nebenwirkungen, die nicht in dieser Packungsbeilage angegeben sind. Sie können Nebenwirkungen auch direkt über </w:t>
      </w:r>
      <w:r w:rsidRPr="00F0391F">
        <w:rPr>
          <w:shd w:val="pct15" w:color="auto" w:fill="FFFFFF"/>
        </w:rPr>
        <w:t xml:space="preserve">das in </w:t>
      </w:r>
      <w:r w:rsidR="002D5756">
        <w:fldChar w:fldCharType="begin"/>
      </w:r>
      <w:r w:rsidR="002D5756">
        <w:instrText>HYPERLINK "https://www.ema.europa.eu/documents/template-form/appendix-v-adverse-drug-reaction-reporting-details_en.doc"</w:instrText>
      </w:r>
      <w:r w:rsidR="002D5756">
        <w:fldChar w:fldCharType="separate"/>
      </w:r>
      <w:r w:rsidR="002D5756" w:rsidRPr="00F0391F">
        <w:rPr>
          <w:rStyle w:val="a8"/>
          <w:shd w:val="pct15" w:color="auto" w:fill="FFFFFF"/>
        </w:rPr>
        <w:t>Anhang V</w:t>
      </w:r>
      <w:r w:rsidR="002D5756">
        <w:fldChar w:fldCharType="end"/>
      </w:r>
      <w:r w:rsidRPr="00F0391F">
        <w:rPr>
          <w:shd w:val="pct15" w:color="auto" w:fill="FFFFFF"/>
        </w:rPr>
        <w:t xml:space="preserve"> aufgeführte nationale Meldesystem</w:t>
      </w:r>
      <w:r w:rsidRPr="006A64EE">
        <w:t xml:space="preserve"> anzeigen. Indem Sie Nebenwirkungen melden, können Sie dazu beitragen, dass mehr Informationen über die Sicherheit dieses Arzneimittels zur Verfügung gestellt werden.</w:t>
      </w:r>
    </w:p>
    <w:p w14:paraId="4D9A0CDA" w14:textId="77777777" w:rsidR="00093A5E" w:rsidRPr="006A64EE" w:rsidRDefault="00093A5E" w:rsidP="00DC400D">
      <w:pPr>
        <w:pStyle w:val="a3"/>
        <w:widowControl/>
      </w:pPr>
    </w:p>
    <w:p w14:paraId="29EBE4EF" w14:textId="77777777" w:rsidR="00093A5E" w:rsidRPr="006A64EE" w:rsidRDefault="00093A5E" w:rsidP="00DC400D">
      <w:pPr>
        <w:pStyle w:val="a3"/>
        <w:widowControl/>
      </w:pPr>
    </w:p>
    <w:p w14:paraId="5E306441" w14:textId="4F6B6DDC" w:rsidR="00093A5E" w:rsidRPr="006A64EE" w:rsidRDefault="0059713A" w:rsidP="008D6825">
      <w:pPr>
        <w:pStyle w:val="1"/>
      </w:pPr>
      <w:r w:rsidRPr="006A64EE">
        <w:t>5.</w:t>
      </w:r>
      <w:r w:rsidRPr="006A64EE">
        <w:tab/>
        <w:t xml:space="preserve">Wie ist </w:t>
      </w:r>
      <w:r w:rsidR="00994B96">
        <w:t>Avtozma</w:t>
      </w:r>
      <w:r w:rsidRPr="006A64EE">
        <w:t xml:space="preserve"> aufzubewahren?</w:t>
      </w:r>
    </w:p>
    <w:p w14:paraId="0182F353" w14:textId="77777777" w:rsidR="00093A5E" w:rsidRPr="006A64EE" w:rsidRDefault="00093A5E" w:rsidP="004255F8">
      <w:pPr>
        <w:pStyle w:val="a3"/>
        <w:widowControl/>
      </w:pPr>
    </w:p>
    <w:p w14:paraId="57E17D79" w14:textId="77777777" w:rsidR="00093A5E" w:rsidRPr="006A64EE" w:rsidRDefault="009C2544" w:rsidP="004255F8">
      <w:pPr>
        <w:pStyle w:val="a3"/>
        <w:widowControl/>
      </w:pPr>
      <w:r w:rsidRPr="006A64EE">
        <w:t>Bewahren Sie dieses Arzneimittel für Kinder unzugänglich auf.</w:t>
      </w:r>
    </w:p>
    <w:p w14:paraId="009765A9" w14:textId="77777777" w:rsidR="00093A5E" w:rsidRPr="006A64EE" w:rsidRDefault="00093A5E" w:rsidP="004255F8">
      <w:pPr>
        <w:pStyle w:val="a3"/>
        <w:widowControl/>
      </w:pPr>
    </w:p>
    <w:p w14:paraId="367C7EBA" w14:textId="25A36F30" w:rsidR="00093A5E" w:rsidRPr="006A64EE" w:rsidRDefault="009C2544" w:rsidP="004255F8">
      <w:pPr>
        <w:pStyle w:val="a3"/>
        <w:widowControl/>
      </w:pPr>
      <w:r w:rsidRPr="006A64EE">
        <w:t>Sie dürfen dieses Arzneimittel nach dem auf dem Etikett des Fertigpens nach „EXP“ und auf dem Umkarton nach „</w:t>
      </w:r>
      <w:r w:rsidR="007523BB">
        <w:t>v</w:t>
      </w:r>
      <w:r w:rsidRPr="006A64EE">
        <w:t>erwendbar bis“ angegebenen Verfalldatum nicht mehr verwenden. Das Verfalldatum bezieht sich auf den letzten Tag des angegebenen Monats.</w:t>
      </w:r>
    </w:p>
    <w:p w14:paraId="5F9E79FE" w14:textId="77777777" w:rsidR="00FF50AE" w:rsidRDefault="00FF50AE" w:rsidP="004255F8">
      <w:pPr>
        <w:pStyle w:val="a3"/>
        <w:widowControl/>
      </w:pPr>
    </w:p>
    <w:p w14:paraId="34934E4E" w14:textId="7CB8FBBD" w:rsidR="00093A5E" w:rsidRPr="006A64EE" w:rsidRDefault="009C2544" w:rsidP="004255F8">
      <w:pPr>
        <w:pStyle w:val="a3"/>
        <w:widowControl/>
      </w:pPr>
      <w:r w:rsidRPr="006A64EE">
        <w:t xml:space="preserve">Im Kühlschrank lagern (2 °C - 8 °C). Nicht einfrieren. Nach Entnahme aus dem Kühlschrank kann der Fertigpen bis zu </w:t>
      </w:r>
      <w:r w:rsidR="00994B96">
        <w:t>3 </w:t>
      </w:r>
      <w:r w:rsidRPr="006A64EE">
        <w:t>Wochen bei maximal 30 °C aufbewahrt werden.</w:t>
      </w:r>
    </w:p>
    <w:p w14:paraId="692FFD9D" w14:textId="77777777" w:rsidR="00FF50AE" w:rsidRDefault="00FF50AE" w:rsidP="004255F8">
      <w:pPr>
        <w:pStyle w:val="a3"/>
        <w:widowControl/>
      </w:pPr>
    </w:p>
    <w:p w14:paraId="4EBB526B" w14:textId="5DBAFAAF" w:rsidR="00093A5E" w:rsidRPr="006A64EE" w:rsidRDefault="009C2544" w:rsidP="004255F8">
      <w:pPr>
        <w:pStyle w:val="a3"/>
        <w:widowControl/>
      </w:pPr>
      <w:r w:rsidRPr="006A64EE">
        <w:t>Den Fertigpen im Umkarton aufbewahren, um den Inhalt vor Licht und Feuchtigkeit zu schützen.</w:t>
      </w:r>
    </w:p>
    <w:p w14:paraId="0355C24B" w14:textId="77777777" w:rsidR="00093A5E" w:rsidRPr="006A64EE" w:rsidRDefault="00093A5E" w:rsidP="004255F8">
      <w:pPr>
        <w:pStyle w:val="a3"/>
        <w:widowControl/>
      </w:pPr>
    </w:p>
    <w:p w14:paraId="2D9CA649" w14:textId="7A094586" w:rsidR="00093A5E" w:rsidRPr="006A64EE" w:rsidRDefault="009C2544" w:rsidP="004255F8">
      <w:pPr>
        <w:pStyle w:val="a3"/>
        <w:widowControl/>
      </w:pPr>
      <w:r w:rsidRPr="006A64EE">
        <w:t>Sie dürfen dieses Arzneimittel nicht verwenden, wenn das Arzneimittel trüb ist oder Partikel enthält oder eine andere Farbe als farblos oder gelb hat oder wenn ein Teil des Fertigpens beschädigt aussieht.</w:t>
      </w:r>
    </w:p>
    <w:p w14:paraId="6DA4058D" w14:textId="79B4C4E2" w:rsidR="00093A5E" w:rsidRPr="006A64EE" w:rsidRDefault="00093A5E" w:rsidP="004255F8">
      <w:pPr>
        <w:widowControl/>
      </w:pPr>
    </w:p>
    <w:p w14:paraId="6B41C6A0" w14:textId="77777777" w:rsidR="00093A5E" w:rsidRPr="006A64EE" w:rsidRDefault="007D680A" w:rsidP="004255F8">
      <w:pPr>
        <w:widowControl/>
      </w:pPr>
      <w:r w:rsidRPr="006A64EE">
        <w:t>Der Fertigpen darf nicht geschüttelt werden. Nachdem die Schutzkappe entfernt wurde, muss die Injektion innerhalb von 3 Minuten begonnen werden, um zu verhindern, dass das Arzneimittel austrocknet und die Nadel verstopft. Wenn der Fertigpen nicht innerhalb von 3 Minuten nach Entfernen der Kappe verwendet wird, müssen Sie ihn in einem durchstichsicheren Behälter entsorgen und einen neuen Fertigpen verwenden.</w:t>
      </w:r>
    </w:p>
    <w:p w14:paraId="556DD25F" w14:textId="77777777" w:rsidR="00093A5E" w:rsidRPr="006A64EE" w:rsidRDefault="00093A5E" w:rsidP="004255F8">
      <w:pPr>
        <w:pStyle w:val="a3"/>
        <w:widowControl/>
      </w:pPr>
    </w:p>
    <w:p w14:paraId="51C0889A" w14:textId="701054F0" w:rsidR="00093A5E" w:rsidRDefault="009C2544">
      <w:r w:rsidRPr="006A64EE">
        <w:t xml:space="preserve">Wenn sich nach dem Drücken des </w:t>
      </w:r>
      <w:r w:rsidR="00994B96">
        <w:t>Nadelschutzes</w:t>
      </w:r>
      <w:r w:rsidR="00994B96" w:rsidRPr="006A64EE">
        <w:t xml:space="preserve"> </w:t>
      </w:r>
      <w:r w:rsidRPr="006A64EE">
        <w:t xml:space="preserve">der </w:t>
      </w:r>
      <w:r w:rsidR="00994B96">
        <w:t>orange</w:t>
      </w:r>
      <w:r w:rsidRPr="006A64EE">
        <w:t xml:space="preserve">farbene Indikator nicht bewegt, müssen Sie den Fertigpen in einem durchstichsicheren Behälter entsorgen. </w:t>
      </w:r>
      <w:r w:rsidRPr="00B320E1">
        <w:rPr>
          <w:bCs/>
        </w:rPr>
        <w:t>Versuchen Sie nicht</w:t>
      </w:r>
      <w:r w:rsidRPr="006A64EE">
        <w:t xml:space="preserve">, den Fertigpen erneut zu verwenden. </w:t>
      </w:r>
      <w:r w:rsidR="00994B96" w:rsidRPr="00890245">
        <w:t>Der Fertigpen ist verriegelt, und beim Versuch einer erneuten Verwendung ist die Nadel durch de</w:t>
      </w:r>
      <w:r w:rsidR="00207C77">
        <w:t>n</w:t>
      </w:r>
      <w:r w:rsidR="00994B96" w:rsidRPr="00890245">
        <w:t xml:space="preserve"> innere</w:t>
      </w:r>
      <w:r w:rsidR="00207C77">
        <w:t>n</w:t>
      </w:r>
      <w:r w:rsidR="00994B96" w:rsidRPr="00890245">
        <w:t xml:space="preserve"> Nadelschutz abgedeckt.</w:t>
      </w:r>
      <w:r w:rsidR="00994B96">
        <w:t xml:space="preserve"> </w:t>
      </w:r>
      <w:r w:rsidRPr="006A64EE">
        <w:t>Wiederholen Sie die Injektion nicht mit einem anderen Fertigpen. Fragen Sie das medizinische Fachpersonal um Rat.</w:t>
      </w:r>
    </w:p>
    <w:p w14:paraId="34C61F1D" w14:textId="77777777" w:rsidR="00CF4698" w:rsidRPr="006A64EE" w:rsidRDefault="00CF4698" w:rsidP="00B320E1"/>
    <w:p w14:paraId="62456DC2" w14:textId="77777777" w:rsidR="00093A5E" w:rsidRPr="006A64EE" w:rsidRDefault="00093A5E" w:rsidP="004255F8">
      <w:pPr>
        <w:pStyle w:val="a3"/>
        <w:widowControl/>
      </w:pPr>
    </w:p>
    <w:p w14:paraId="7495A9B3" w14:textId="77777777" w:rsidR="00093A5E" w:rsidRPr="006A64EE" w:rsidRDefault="0059713A" w:rsidP="008D6825">
      <w:pPr>
        <w:pStyle w:val="1"/>
      </w:pPr>
      <w:r w:rsidRPr="006A64EE">
        <w:t>6.</w:t>
      </w:r>
      <w:r w:rsidRPr="006A64EE">
        <w:tab/>
        <w:t xml:space="preserve">Inhalt der Packung und weitere Informationen </w:t>
      </w:r>
    </w:p>
    <w:p w14:paraId="2C9C316A" w14:textId="77777777" w:rsidR="00093A5E" w:rsidRPr="006A64EE" w:rsidRDefault="00093A5E" w:rsidP="00121CB7"/>
    <w:p w14:paraId="19FD9E26" w14:textId="036D90E0" w:rsidR="00093A5E" w:rsidRPr="008D6825" w:rsidRDefault="009C2544" w:rsidP="008D6825">
      <w:pPr>
        <w:widowControl/>
        <w:rPr>
          <w:b/>
          <w:bCs/>
        </w:rPr>
      </w:pPr>
      <w:r w:rsidRPr="008D6825">
        <w:rPr>
          <w:b/>
          <w:bCs/>
        </w:rPr>
        <w:t xml:space="preserve">Was </w:t>
      </w:r>
      <w:r w:rsidR="00994B96" w:rsidRPr="008D6825">
        <w:rPr>
          <w:b/>
          <w:bCs/>
        </w:rPr>
        <w:t>Avtozma</w:t>
      </w:r>
      <w:r w:rsidRPr="008D6825">
        <w:rPr>
          <w:b/>
          <w:bCs/>
        </w:rPr>
        <w:t xml:space="preserve"> enthält</w:t>
      </w:r>
    </w:p>
    <w:p w14:paraId="38372508" w14:textId="77777777" w:rsidR="00093A5E" w:rsidRPr="006A64EE" w:rsidRDefault="0059713A" w:rsidP="00DC400D">
      <w:pPr>
        <w:pStyle w:val="bullet"/>
      </w:pPr>
      <w:r w:rsidRPr="006A64EE">
        <w:rPr>
          <w:rFonts w:ascii="Symbol" w:hAnsi="Symbol"/>
        </w:rPr>
        <w:t></w:t>
      </w:r>
      <w:r w:rsidRPr="006A64EE">
        <w:rPr>
          <w:rFonts w:ascii="Symbol" w:hAnsi="Symbol"/>
        </w:rPr>
        <w:tab/>
      </w:r>
      <w:r w:rsidRPr="006A64EE">
        <w:t>Der Wirkstoff ist: Tocilizumab</w:t>
      </w:r>
    </w:p>
    <w:p w14:paraId="75A3C85B" w14:textId="77777777" w:rsidR="00093A5E" w:rsidRPr="006A64EE" w:rsidRDefault="009C2544" w:rsidP="003B5BBF">
      <w:pPr>
        <w:pStyle w:val="a3"/>
        <w:keepNext/>
        <w:widowControl/>
        <w:ind w:left="567"/>
      </w:pPr>
      <w:r w:rsidRPr="006A64EE">
        <w:t>Jeder Fertigpen enthält 162 mg Tocilizumab in 0,9 ml.</w:t>
      </w:r>
    </w:p>
    <w:p w14:paraId="274A35FC" w14:textId="77777777" w:rsidR="00093A5E" w:rsidRPr="006A64EE" w:rsidRDefault="00093A5E" w:rsidP="00DC400D">
      <w:pPr>
        <w:pStyle w:val="a3"/>
        <w:widowControl/>
      </w:pPr>
    </w:p>
    <w:p w14:paraId="289C8267" w14:textId="36A71BF9" w:rsidR="00093A5E" w:rsidRPr="006A64EE" w:rsidRDefault="0059713A" w:rsidP="00DC400D">
      <w:pPr>
        <w:pStyle w:val="bullet"/>
      </w:pPr>
      <w:r w:rsidRPr="006A64EE">
        <w:rPr>
          <w:rFonts w:ascii="Symbol" w:hAnsi="Symbol"/>
        </w:rPr>
        <w:t></w:t>
      </w:r>
      <w:r w:rsidRPr="006A64EE">
        <w:rPr>
          <w:rFonts w:ascii="Symbol" w:hAnsi="Symbol"/>
        </w:rPr>
        <w:tab/>
      </w:r>
      <w:r w:rsidRPr="006A64EE">
        <w:t xml:space="preserve">Die sonstigen Bestandteile sind: L-Histidin, </w:t>
      </w:r>
      <w:r w:rsidR="003670BB">
        <w:rPr>
          <w:rFonts w:eastAsia="맑은 고딕" w:hint="eastAsia"/>
          <w:lang w:eastAsia="ko-KR"/>
        </w:rPr>
        <w:t>L-</w:t>
      </w:r>
      <w:r w:rsidR="003670BB" w:rsidRPr="003670BB">
        <w:rPr>
          <w:rFonts w:eastAsia="맑은 고딕" w:hint="eastAsia"/>
          <w:lang w:eastAsia="ko-KR"/>
        </w:rPr>
        <w:t>Histidinmonohydrochlorid-Monohydrat</w:t>
      </w:r>
      <w:r w:rsidR="00C242B8">
        <w:rPr>
          <w:rFonts w:eastAsia="맑은 고딕" w:hint="eastAsia"/>
          <w:lang w:eastAsia="ko-KR"/>
        </w:rPr>
        <w:t xml:space="preserve">, </w:t>
      </w:r>
      <w:r w:rsidR="00994B96">
        <w:t>L-Threonin,</w:t>
      </w:r>
      <w:r w:rsidR="00FB5863">
        <w:rPr>
          <w:rFonts w:eastAsia="맑은 고딕" w:hint="eastAsia"/>
          <w:lang w:eastAsia="ko-KR"/>
        </w:rPr>
        <w:t xml:space="preserve"> L-Methionin,</w:t>
      </w:r>
      <w:r w:rsidR="00994B96">
        <w:t xml:space="preserve"> </w:t>
      </w:r>
      <w:r w:rsidRPr="006A64EE">
        <w:t>Polysorbat 80 und Wasser für Injektionszwecke.</w:t>
      </w:r>
    </w:p>
    <w:p w14:paraId="17437C37" w14:textId="77777777" w:rsidR="00093A5E" w:rsidRPr="006A64EE" w:rsidRDefault="00093A5E" w:rsidP="00DC400D">
      <w:pPr>
        <w:pStyle w:val="a3"/>
        <w:widowControl/>
      </w:pPr>
    </w:p>
    <w:p w14:paraId="2C2173F9" w14:textId="5C73177C" w:rsidR="00093A5E" w:rsidRPr="008D6825" w:rsidRDefault="009C2544" w:rsidP="008D6825">
      <w:pPr>
        <w:widowControl/>
        <w:rPr>
          <w:b/>
          <w:bCs/>
        </w:rPr>
      </w:pPr>
      <w:r w:rsidRPr="008D6825">
        <w:rPr>
          <w:b/>
          <w:bCs/>
        </w:rPr>
        <w:t xml:space="preserve">Wie </w:t>
      </w:r>
      <w:r w:rsidR="00994B96" w:rsidRPr="008D6825">
        <w:rPr>
          <w:b/>
          <w:bCs/>
        </w:rPr>
        <w:t>Avtozma</w:t>
      </w:r>
      <w:r w:rsidRPr="008D6825">
        <w:rPr>
          <w:b/>
          <w:bCs/>
        </w:rPr>
        <w:t xml:space="preserve"> aussieht und Inhalt der Packung</w:t>
      </w:r>
    </w:p>
    <w:p w14:paraId="1272F0E6" w14:textId="0A197B8C" w:rsidR="00093A5E" w:rsidRPr="006A64EE" w:rsidRDefault="00994B96" w:rsidP="00DC400D">
      <w:pPr>
        <w:pStyle w:val="a3"/>
        <w:widowControl/>
      </w:pPr>
      <w:r>
        <w:t>Avtozma</w:t>
      </w:r>
      <w:r w:rsidR="009C2544" w:rsidRPr="006A64EE">
        <w:t xml:space="preserve"> ist eine Injektionslösung. Die Lösung ist farblos bis gelb.</w:t>
      </w:r>
    </w:p>
    <w:p w14:paraId="5E905FE6" w14:textId="77777777" w:rsidR="00093A5E" w:rsidRPr="006A64EE" w:rsidRDefault="00093A5E" w:rsidP="00DC400D">
      <w:pPr>
        <w:pStyle w:val="a3"/>
        <w:widowControl/>
      </w:pPr>
    </w:p>
    <w:p w14:paraId="3B39D10C" w14:textId="59A01014" w:rsidR="00093A5E" w:rsidRPr="00994B96" w:rsidRDefault="00994B96" w:rsidP="00DC400D">
      <w:pPr>
        <w:pStyle w:val="a3"/>
        <w:widowControl/>
      </w:pPr>
      <w:r>
        <w:t>Avtozma</w:t>
      </w:r>
      <w:r w:rsidR="009C2544" w:rsidRPr="006A64EE">
        <w:t xml:space="preserve"> wird in 0,9 ml Fertigpens </w:t>
      </w:r>
      <w:r w:rsidR="009C2544" w:rsidRPr="00B320E1">
        <w:t>mit 162 mg Tocilizumab Injektionslösung zur Verfügung gestellt.</w:t>
      </w:r>
    </w:p>
    <w:p w14:paraId="34159FF0" w14:textId="77777777" w:rsidR="00093A5E" w:rsidRPr="006A64EE" w:rsidRDefault="00093A5E" w:rsidP="00DC400D">
      <w:pPr>
        <w:pStyle w:val="a3"/>
        <w:widowControl/>
      </w:pPr>
    </w:p>
    <w:p w14:paraId="41611B99" w14:textId="329C31A2" w:rsidR="00994B96" w:rsidRPr="00890245" w:rsidRDefault="00994B96" w:rsidP="00994B96">
      <w:pPr>
        <w:keepNext/>
      </w:pPr>
      <w:r w:rsidRPr="00890245">
        <w:t>Der Avtozma</w:t>
      </w:r>
      <w:r w:rsidR="009F4CAB">
        <w:t>-</w:t>
      </w:r>
      <w:r w:rsidRPr="00890245">
        <w:t>Fertigpen für die Verwendung durch den Patienten ist erhältlich in Packungen mit:</w:t>
      </w:r>
    </w:p>
    <w:p w14:paraId="456C98BE" w14:textId="77777777" w:rsidR="00994B96" w:rsidRPr="00890245" w:rsidRDefault="00994B96" w:rsidP="00994B96">
      <w:pPr>
        <w:pStyle w:val="a4"/>
        <w:widowControl/>
        <w:numPr>
          <w:ilvl w:val="1"/>
          <w:numId w:val="28"/>
        </w:numPr>
        <w:autoSpaceDE/>
        <w:autoSpaceDN/>
        <w:ind w:left="567" w:hanging="567"/>
        <w:contextualSpacing/>
      </w:pPr>
      <w:r w:rsidRPr="00890245">
        <w:t>1 Fertigpen</w:t>
      </w:r>
    </w:p>
    <w:p w14:paraId="7255BEE6" w14:textId="62ECDCF0" w:rsidR="00387ABD" w:rsidRPr="00890245" w:rsidRDefault="00387ABD" w:rsidP="00387ABD">
      <w:pPr>
        <w:pStyle w:val="a4"/>
        <w:widowControl/>
        <w:numPr>
          <w:ilvl w:val="1"/>
          <w:numId w:val="28"/>
        </w:numPr>
        <w:autoSpaceDE/>
        <w:autoSpaceDN/>
        <w:ind w:left="567" w:hanging="567"/>
        <w:contextualSpacing/>
        <w:rPr>
          <w:ins w:id="48" w:author="만든 이"/>
        </w:rPr>
      </w:pPr>
      <w:ins w:id="49" w:author="만든 이">
        <w:r>
          <w:rPr>
            <w:rFonts w:eastAsia="맑은 고딕" w:hint="eastAsia"/>
            <w:lang w:eastAsia="ko-KR"/>
          </w:rPr>
          <w:t>2</w:t>
        </w:r>
        <w:r w:rsidRPr="00890245">
          <w:t> Fertigpens</w:t>
        </w:r>
      </w:ins>
    </w:p>
    <w:p w14:paraId="722C9AE5" w14:textId="77777777" w:rsidR="00994B96" w:rsidRPr="00890245" w:rsidRDefault="00994B96" w:rsidP="00994B96">
      <w:pPr>
        <w:pStyle w:val="a4"/>
        <w:widowControl/>
        <w:numPr>
          <w:ilvl w:val="1"/>
          <w:numId w:val="28"/>
        </w:numPr>
        <w:autoSpaceDE/>
        <w:autoSpaceDN/>
        <w:ind w:left="567" w:hanging="567"/>
        <w:contextualSpacing/>
      </w:pPr>
      <w:r w:rsidRPr="00890245">
        <w:t>4 Fertigpens</w:t>
      </w:r>
    </w:p>
    <w:p w14:paraId="343F3648" w14:textId="77777777" w:rsidR="00994B96" w:rsidRPr="00890245" w:rsidRDefault="00994B96" w:rsidP="00994B96">
      <w:pPr>
        <w:pStyle w:val="a4"/>
        <w:widowControl/>
        <w:numPr>
          <w:ilvl w:val="1"/>
          <w:numId w:val="28"/>
        </w:numPr>
        <w:autoSpaceDE/>
        <w:autoSpaceDN/>
        <w:ind w:left="567" w:hanging="567"/>
        <w:contextualSpacing/>
      </w:pPr>
      <w:r w:rsidRPr="00890245">
        <w:t>12 (3 Packungen mit 4) Fertigpens (Bündelpackungen)</w:t>
      </w:r>
    </w:p>
    <w:p w14:paraId="781241FE" w14:textId="77777777" w:rsidR="00994B96" w:rsidRPr="00890245" w:rsidRDefault="00994B96" w:rsidP="00994B96"/>
    <w:p w14:paraId="35411855" w14:textId="6C95BF22" w:rsidR="00093A5E" w:rsidRPr="006A64EE" w:rsidRDefault="009C2544" w:rsidP="00DC400D">
      <w:pPr>
        <w:pStyle w:val="a3"/>
        <w:widowControl/>
      </w:pPr>
      <w:r w:rsidRPr="00B320E1">
        <w:rPr>
          <w:b/>
          <w:bCs/>
        </w:rPr>
        <w:t>Es werden möglicherweise nicht alle Packungsgrößen in den Verkehr gebracht.</w:t>
      </w:r>
    </w:p>
    <w:p w14:paraId="1D4F3612" w14:textId="77777777" w:rsidR="00093A5E" w:rsidRPr="006A64EE" w:rsidRDefault="00093A5E" w:rsidP="00DC400D">
      <w:pPr>
        <w:pStyle w:val="a3"/>
        <w:widowControl/>
      </w:pPr>
    </w:p>
    <w:p w14:paraId="01011D52" w14:textId="77777777" w:rsidR="00093A5E" w:rsidRPr="008D6825" w:rsidRDefault="009C2544" w:rsidP="008D6825">
      <w:pPr>
        <w:widowControl/>
        <w:rPr>
          <w:b/>
          <w:bCs/>
        </w:rPr>
      </w:pPr>
      <w:r w:rsidRPr="008D6825">
        <w:rPr>
          <w:b/>
          <w:bCs/>
        </w:rPr>
        <w:t>Pharmazeutischer Unternehmer</w:t>
      </w:r>
    </w:p>
    <w:p w14:paraId="7C6E75F2" w14:textId="77777777" w:rsidR="007C6668" w:rsidRPr="008370F3" w:rsidRDefault="007C6668" w:rsidP="007C6668">
      <w:pPr>
        <w:keepNext/>
      </w:pPr>
      <w:r w:rsidRPr="008370F3">
        <w:t>Celltrion Healthcare Hungary Kft.</w:t>
      </w:r>
    </w:p>
    <w:p w14:paraId="34AFB6F5" w14:textId="77777777" w:rsidR="007C6668" w:rsidRPr="00B320E1" w:rsidRDefault="007C6668" w:rsidP="007C6668">
      <w:pPr>
        <w:keepNext/>
        <w:rPr>
          <w:lang w:val="en-US"/>
        </w:rPr>
      </w:pPr>
      <w:r w:rsidRPr="00B320E1">
        <w:rPr>
          <w:lang w:val="en-US"/>
        </w:rPr>
        <w:t>1062 Budapest</w:t>
      </w:r>
    </w:p>
    <w:p w14:paraId="540A9A29" w14:textId="77777777" w:rsidR="007C6668" w:rsidRPr="00B320E1" w:rsidRDefault="007C6668" w:rsidP="007C6668">
      <w:pPr>
        <w:keepNext/>
        <w:rPr>
          <w:lang w:val="en-US"/>
        </w:rPr>
      </w:pPr>
      <w:r w:rsidRPr="00B320E1">
        <w:rPr>
          <w:lang w:val="en-US"/>
        </w:rPr>
        <w:t xml:space="preserve">Váci </w:t>
      </w:r>
      <w:proofErr w:type="spellStart"/>
      <w:r w:rsidRPr="00B320E1">
        <w:rPr>
          <w:lang w:val="en-US"/>
        </w:rPr>
        <w:t>út</w:t>
      </w:r>
      <w:proofErr w:type="spellEnd"/>
      <w:r w:rsidRPr="00B320E1">
        <w:rPr>
          <w:lang w:val="en-US"/>
        </w:rPr>
        <w:t xml:space="preserve"> 1-3. </w:t>
      </w:r>
      <w:proofErr w:type="spellStart"/>
      <w:r w:rsidRPr="00B320E1">
        <w:rPr>
          <w:lang w:val="en-US"/>
        </w:rPr>
        <w:t>WestEnd</w:t>
      </w:r>
      <w:proofErr w:type="spellEnd"/>
      <w:r w:rsidRPr="00B320E1">
        <w:rPr>
          <w:lang w:val="en-US"/>
        </w:rPr>
        <w:t xml:space="preserve"> Office Building B </w:t>
      </w:r>
      <w:proofErr w:type="spellStart"/>
      <w:r w:rsidRPr="00B320E1">
        <w:rPr>
          <w:lang w:val="en-US"/>
        </w:rPr>
        <w:t>torony</w:t>
      </w:r>
      <w:proofErr w:type="spellEnd"/>
    </w:p>
    <w:p w14:paraId="35C909D6" w14:textId="7EA48E9E" w:rsidR="007C6668" w:rsidRPr="00B320E1" w:rsidRDefault="007C6668" w:rsidP="007C6668">
      <w:pPr>
        <w:rPr>
          <w:lang w:val="fr-FR"/>
        </w:rPr>
      </w:pPr>
      <w:r w:rsidRPr="00B320E1">
        <w:rPr>
          <w:lang w:val="fr-FR"/>
        </w:rPr>
        <w:t>Ungarn</w:t>
      </w:r>
    </w:p>
    <w:p w14:paraId="6E258788" w14:textId="77777777" w:rsidR="00093A5E" w:rsidRPr="00B320E1" w:rsidRDefault="00093A5E" w:rsidP="00DC400D">
      <w:pPr>
        <w:pStyle w:val="a3"/>
        <w:widowControl/>
        <w:rPr>
          <w:lang w:val="fr-FR"/>
        </w:rPr>
      </w:pPr>
    </w:p>
    <w:p w14:paraId="4FCA3CAA" w14:textId="77777777" w:rsidR="00093A5E" w:rsidRPr="008D6825" w:rsidRDefault="009C2544" w:rsidP="008D6825">
      <w:pPr>
        <w:widowControl/>
        <w:rPr>
          <w:b/>
          <w:bCs/>
        </w:rPr>
      </w:pPr>
      <w:r w:rsidRPr="008D6825">
        <w:rPr>
          <w:b/>
          <w:bCs/>
        </w:rPr>
        <w:t>Hersteller</w:t>
      </w:r>
    </w:p>
    <w:p w14:paraId="2CCDAD3E" w14:textId="77777777" w:rsidR="007C6668" w:rsidRPr="00B320E1" w:rsidRDefault="007C6668" w:rsidP="007C6668">
      <w:pPr>
        <w:keepNext/>
        <w:rPr>
          <w:lang w:val="fr-FR"/>
        </w:rPr>
      </w:pPr>
      <w:r w:rsidRPr="00B320E1">
        <w:rPr>
          <w:lang w:val="fr-FR"/>
        </w:rPr>
        <w:t>Nuvisan France SARL</w:t>
      </w:r>
    </w:p>
    <w:p w14:paraId="697BEF80" w14:textId="5218803C" w:rsidR="007C6668" w:rsidRPr="00B320E1" w:rsidRDefault="007C6668" w:rsidP="007C6668">
      <w:pPr>
        <w:keepNext/>
        <w:rPr>
          <w:lang w:val="fr-FR"/>
        </w:rPr>
      </w:pPr>
      <w:r w:rsidRPr="00B320E1">
        <w:rPr>
          <w:lang w:val="fr-FR"/>
        </w:rPr>
        <w:t>2400</w:t>
      </w:r>
      <w:del w:id="50" w:author="만든 이">
        <w:r w:rsidRPr="00B320E1" w:rsidDel="00352D0A">
          <w:rPr>
            <w:lang w:val="fr-FR"/>
          </w:rPr>
          <w:delText>,</w:delText>
        </w:r>
      </w:del>
      <w:r w:rsidRPr="00B320E1">
        <w:rPr>
          <w:lang w:val="fr-FR"/>
        </w:rPr>
        <w:t xml:space="preserve"> Route des Colles, </w:t>
      </w:r>
    </w:p>
    <w:p w14:paraId="529FE262" w14:textId="77777777" w:rsidR="007C6668" w:rsidRPr="00DE67E9" w:rsidRDefault="007C6668" w:rsidP="007C6668">
      <w:pPr>
        <w:keepNext/>
      </w:pPr>
      <w:r w:rsidRPr="00DE67E9">
        <w:t>06410</w:t>
      </w:r>
      <w:del w:id="51" w:author="만든 이">
        <w:r w:rsidRPr="00DE67E9" w:rsidDel="00352D0A">
          <w:delText>,</w:delText>
        </w:r>
      </w:del>
      <w:r w:rsidRPr="00DE67E9">
        <w:t xml:space="preserve"> Biot, </w:t>
      </w:r>
    </w:p>
    <w:p w14:paraId="5ABC9E1F" w14:textId="684BD64F" w:rsidR="007C6668" w:rsidRPr="00DE67E9" w:rsidRDefault="007C6668" w:rsidP="007C6668">
      <w:r w:rsidRPr="00DE67E9">
        <w:t>Fran</w:t>
      </w:r>
      <w:r>
        <w:t>kreich</w:t>
      </w:r>
    </w:p>
    <w:p w14:paraId="110AE0E8" w14:textId="77777777" w:rsidR="007C6668" w:rsidRPr="00DE67E9" w:rsidRDefault="007C6668" w:rsidP="007C6668"/>
    <w:p w14:paraId="6962EF5B" w14:textId="77777777" w:rsidR="007C6668" w:rsidRPr="00DE67E9" w:rsidRDefault="007C6668" w:rsidP="007C6668">
      <w:pPr>
        <w:keepNext/>
      </w:pPr>
      <w:r w:rsidRPr="00DE67E9">
        <w:t>Midas Pharma GmbH</w:t>
      </w:r>
    </w:p>
    <w:p w14:paraId="1385766A" w14:textId="77777777" w:rsidR="007C6668" w:rsidRPr="00DE67E9" w:rsidRDefault="007C6668" w:rsidP="007C6668">
      <w:pPr>
        <w:keepNext/>
      </w:pPr>
      <w:r w:rsidRPr="00DE67E9">
        <w:t xml:space="preserve">Rheinstr. 49, </w:t>
      </w:r>
    </w:p>
    <w:p w14:paraId="021C79C2" w14:textId="77777777" w:rsidR="007C6668" w:rsidRPr="00DE67E9" w:rsidRDefault="007C6668" w:rsidP="007C6668">
      <w:pPr>
        <w:keepNext/>
      </w:pPr>
      <w:r w:rsidRPr="00DE67E9">
        <w:t>55218 Ingelheim,</w:t>
      </w:r>
    </w:p>
    <w:p w14:paraId="1977B243" w14:textId="3693616A" w:rsidR="007C6668" w:rsidRPr="00DE67E9" w:rsidRDefault="007C6668" w:rsidP="007C6668">
      <w:r>
        <w:t>Deutschland</w:t>
      </w:r>
    </w:p>
    <w:p w14:paraId="1FFE8352" w14:textId="77777777" w:rsidR="007C6668" w:rsidRPr="00DE67E9" w:rsidRDefault="007C6668" w:rsidP="007C6668"/>
    <w:p w14:paraId="02009624" w14:textId="77777777" w:rsidR="007C6668" w:rsidRPr="00DE67E9" w:rsidRDefault="007C6668" w:rsidP="007C6668">
      <w:pPr>
        <w:keepNext/>
      </w:pPr>
      <w:r w:rsidRPr="00DE67E9">
        <w:lastRenderedPageBreak/>
        <w:t xml:space="preserve">KYMOS S.L. </w:t>
      </w:r>
    </w:p>
    <w:p w14:paraId="6B8CA324" w14:textId="77777777" w:rsidR="007C6668" w:rsidRPr="00B320E1" w:rsidRDefault="007C6668" w:rsidP="007C6668">
      <w:pPr>
        <w:keepNext/>
        <w:rPr>
          <w:lang w:val="es-ES"/>
        </w:rPr>
      </w:pPr>
      <w:r w:rsidRPr="00B320E1">
        <w:rPr>
          <w:lang w:val="es-ES"/>
        </w:rPr>
        <w:t xml:space="preserve">Ronda Can Fatjó, 7B. </w:t>
      </w:r>
    </w:p>
    <w:p w14:paraId="0D5B8189" w14:textId="77777777" w:rsidR="007C6668" w:rsidRPr="00B320E1" w:rsidRDefault="007C6668" w:rsidP="007C6668">
      <w:pPr>
        <w:keepNext/>
        <w:rPr>
          <w:lang w:val="es-ES"/>
        </w:rPr>
      </w:pPr>
      <w:r w:rsidRPr="00B320E1">
        <w:rPr>
          <w:lang w:val="es-ES"/>
        </w:rPr>
        <w:t xml:space="preserve">08290 Cerdanyola del Vallès, </w:t>
      </w:r>
    </w:p>
    <w:p w14:paraId="0A852D14" w14:textId="77777777" w:rsidR="007C6668" w:rsidRPr="00B320E1" w:rsidRDefault="007C6668" w:rsidP="007C6668">
      <w:pPr>
        <w:keepNext/>
        <w:rPr>
          <w:lang w:val="es-ES"/>
        </w:rPr>
      </w:pPr>
      <w:r w:rsidRPr="00B320E1">
        <w:rPr>
          <w:lang w:val="es-ES"/>
        </w:rPr>
        <w:t xml:space="preserve">Barcelona, </w:t>
      </w:r>
    </w:p>
    <w:p w14:paraId="321F169B" w14:textId="435A9C37" w:rsidR="007C6668" w:rsidRPr="00DE67E9" w:rsidRDefault="007C6668" w:rsidP="007C6668">
      <w:r w:rsidRPr="00DE67E9">
        <w:t>Span</w:t>
      </w:r>
      <w:r>
        <w:t>ien</w:t>
      </w:r>
    </w:p>
    <w:p w14:paraId="06C47D49" w14:textId="77777777" w:rsidR="00093A5E" w:rsidRPr="006A64EE" w:rsidRDefault="00093A5E" w:rsidP="004255F8">
      <w:pPr>
        <w:pStyle w:val="a3"/>
        <w:widowControl/>
      </w:pPr>
    </w:p>
    <w:p w14:paraId="191CFDB7" w14:textId="77777777" w:rsidR="00093A5E" w:rsidRDefault="009C2544" w:rsidP="004255F8">
      <w:pPr>
        <w:pStyle w:val="a3"/>
        <w:widowControl/>
      </w:pPr>
      <w:r w:rsidRPr="006A64EE">
        <w:t>Falls Sie weitere Informationen über das Arzneimittel wünschen, setzen Sie sich bitte mit dem örtlichen Vertreter des pharmazeutischen Unternehmers in Verbindung.</w:t>
      </w:r>
    </w:p>
    <w:p w14:paraId="76BF2AB7" w14:textId="77777777" w:rsidR="007C6668" w:rsidRPr="006A64EE" w:rsidRDefault="007C6668" w:rsidP="004255F8">
      <w:pPr>
        <w:pStyle w:val="a3"/>
        <w:widowControl/>
      </w:pPr>
    </w:p>
    <w:tbl>
      <w:tblPr>
        <w:tblW w:w="5000" w:type="pct"/>
        <w:tblLayout w:type="fixed"/>
        <w:tblCellMar>
          <w:top w:w="28" w:type="dxa"/>
          <w:bottom w:w="28" w:type="dxa"/>
        </w:tblCellMar>
        <w:tblLook w:val="04A0" w:firstRow="1" w:lastRow="0" w:firstColumn="1" w:lastColumn="0" w:noHBand="0" w:noVBand="1"/>
      </w:tblPr>
      <w:tblGrid>
        <w:gridCol w:w="4535"/>
        <w:gridCol w:w="4536"/>
      </w:tblGrid>
      <w:tr w:rsidR="007C6668" w:rsidRPr="00CF4698" w14:paraId="22190612" w14:textId="77777777" w:rsidTr="00F0391F">
        <w:trPr>
          <w:cantSplit/>
        </w:trPr>
        <w:tc>
          <w:tcPr>
            <w:tcW w:w="2500" w:type="pct"/>
            <w:hideMark/>
          </w:tcPr>
          <w:p w14:paraId="3C16B5C2" w14:textId="77777777" w:rsidR="007C6668" w:rsidRPr="00E303AE" w:rsidRDefault="007C6668" w:rsidP="00F0391F">
            <w:pPr>
              <w:suppressAutoHyphens/>
              <w:autoSpaceDE/>
              <w:autoSpaceDN/>
              <w:rPr>
                <w:b/>
                <w:noProof/>
                <w:lang w:val="en-US" w:eastAsia="fr-FR"/>
              </w:rPr>
            </w:pPr>
            <w:r w:rsidRPr="00E303AE">
              <w:rPr>
                <w:rFonts w:eastAsia="맑은 고딕"/>
                <w:b/>
                <w:noProof/>
                <w:lang w:val="en-US" w:eastAsia="fr-FR"/>
              </w:rPr>
              <w:t>België/Belgique/Belgien</w:t>
            </w:r>
          </w:p>
          <w:p w14:paraId="4E47A9B8" w14:textId="77777777" w:rsidR="007C6668" w:rsidRPr="00E303AE" w:rsidRDefault="007C6668" w:rsidP="00F0391F">
            <w:pPr>
              <w:suppressAutoHyphens/>
              <w:autoSpaceDE/>
              <w:autoSpaceDN/>
              <w:rPr>
                <w:rFonts w:eastAsia="맑은 고딕"/>
                <w:noProof/>
                <w:lang w:val="en-US" w:eastAsia="fr-FR"/>
              </w:rPr>
            </w:pPr>
            <w:r w:rsidRPr="00E303AE">
              <w:rPr>
                <w:rFonts w:eastAsia="맑은 고딕"/>
                <w:noProof/>
                <w:lang w:val="en-US" w:eastAsia="fr-FR"/>
              </w:rPr>
              <w:t>Celltrion Healthcare Belgium BVBA</w:t>
            </w:r>
          </w:p>
          <w:p w14:paraId="2E46D44F"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 xml:space="preserve">Tél/Tel: </w:t>
            </w:r>
            <w:r w:rsidRPr="00B320E1">
              <w:rPr>
                <w:rFonts w:eastAsia="맑은 고딕"/>
                <w:noProof/>
                <w:lang w:val="de-CH" w:eastAsia="fr-FR"/>
              </w:rPr>
              <w:t>+32 2 643 71 81</w:t>
            </w:r>
          </w:p>
          <w:p w14:paraId="6E4B93B8" w14:textId="77777777" w:rsidR="007C6668" w:rsidRPr="00CF4698" w:rsidRDefault="007C6668" w:rsidP="00F0391F">
            <w:pPr>
              <w:suppressAutoHyphens/>
              <w:autoSpaceDE/>
              <w:autoSpaceDN/>
              <w:rPr>
                <w:rFonts w:eastAsia="맑은 고딕"/>
                <w:noProof/>
                <w:lang w:eastAsia="fr-FR"/>
              </w:rPr>
            </w:pPr>
            <w:hyperlink r:id="rId29" w:history="1">
              <w:r w:rsidRPr="00B320E1">
                <w:rPr>
                  <w:rStyle w:val="a8"/>
                  <w:rFonts w:eastAsia="맑은 고딕"/>
                  <w:noProof/>
                  <w:lang w:eastAsia="fr-FR"/>
                </w:rPr>
                <w:t>BEinfo@celltrionhc.com</w:t>
              </w:r>
            </w:hyperlink>
          </w:p>
          <w:p w14:paraId="646EDC73" w14:textId="77777777" w:rsidR="007C6668" w:rsidRPr="00CF4698" w:rsidRDefault="007C6668" w:rsidP="00F0391F">
            <w:pPr>
              <w:suppressAutoHyphens/>
              <w:autoSpaceDE/>
              <w:autoSpaceDN/>
              <w:rPr>
                <w:rFonts w:eastAsia="맑은 고딕"/>
                <w:noProof/>
                <w:lang w:eastAsia="ko-KR"/>
              </w:rPr>
            </w:pPr>
          </w:p>
        </w:tc>
        <w:tc>
          <w:tcPr>
            <w:tcW w:w="2500" w:type="pct"/>
          </w:tcPr>
          <w:p w14:paraId="0C0C031E" w14:textId="77777777" w:rsidR="007C6668" w:rsidRPr="00CF4698" w:rsidRDefault="007C6668" w:rsidP="00F0391F">
            <w:pPr>
              <w:tabs>
                <w:tab w:val="left" w:pos="-720"/>
              </w:tabs>
              <w:suppressAutoHyphens/>
              <w:autoSpaceDE/>
              <w:autoSpaceDN/>
              <w:rPr>
                <w:b/>
                <w:noProof/>
                <w:lang w:val="en-US" w:eastAsia="fr-FR"/>
              </w:rPr>
            </w:pPr>
            <w:r w:rsidRPr="00B320E1">
              <w:rPr>
                <w:b/>
                <w:noProof/>
                <w:lang w:val="en-US" w:eastAsia="fr-FR"/>
              </w:rPr>
              <w:t>Lietuva</w:t>
            </w:r>
          </w:p>
          <w:p w14:paraId="43E0597C"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10D5BDBF" w14:textId="77777777" w:rsidR="007C6668" w:rsidRPr="00CF4698" w:rsidRDefault="007C6668" w:rsidP="00F0391F">
            <w:pPr>
              <w:suppressAutoHyphens/>
              <w:adjustRightInd w:val="0"/>
              <w:rPr>
                <w:noProof/>
                <w:lang w:eastAsia="fr-FR"/>
              </w:rPr>
            </w:pPr>
            <w:r w:rsidRPr="00B320E1">
              <w:rPr>
                <w:rFonts w:eastAsia="맑은 고딕"/>
                <w:noProof/>
                <w:lang w:eastAsia="fr-FR"/>
              </w:rPr>
              <w:t>Tel.: +36 1 231 0493</w:t>
            </w:r>
          </w:p>
          <w:p w14:paraId="72DCF7BD" w14:textId="77777777" w:rsidR="007C6668" w:rsidRPr="00CF4698" w:rsidRDefault="007C6668" w:rsidP="00F0391F">
            <w:pPr>
              <w:suppressAutoHyphens/>
              <w:adjustRightInd w:val="0"/>
              <w:rPr>
                <w:noProof/>
                <w:lang w:eastAsia="fr-FR"/>
              </w:rPr>
            </w:pPr>
          </w:p>
        </w:tc>
      </w:tr>
      <w:tr w:rsidR="007C6668" w:rsidRPr="00CF4698" w14:paraId="51C56861" w14:textId="77777777" w:rsidTr="00F0391F">
        <w:trPr>
          <w:cantSplit/>
        </w:trPr>
        <w:tc>
          <w:tcPr>
            <w:tcW w:w="2500" w:type="pct"/>
          </w:tcPr>
          <w:p w14:paraId="350AB67C" w14:textId="77777777" w:rsidR="007C6668" w:rsidRPr="00CF4698" w:rsidRDefault="007C6668" w:rsidP="00F0391F">
            <w:pPr>
              <w:suppressAutoHyphens/>
              <w:autoSpaceDE/>
              <w:autoSpaceDN/>
              <w:rPr>
                <w:rFonts w:eastAsia="맑은 고딕"/>
                <w:b/>
                <w:noProof/>
                <w:lang w:val="en-US" w:eastAsia="fr-FR"/>
              </w:rPr>
            </w:pPr>
            <w:r w:rsidRPr="00B320E1">
              <w:rPr>
                <w:b/>
                <w:bCs/>
              </w:rPr>
              <w:t>България</w:t>
            </w:r>
          </w:p>
          <w:p w14:paraId="770773A2"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73EBFDB7"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Teл.: +36 1 231 0493</w:t>
            </w:r>
          </w:p>
          <w:p w14:paraId="3F715D07" w14:textId="77777777" w:rsidR="007C6668" w:rsidRPr="00CF4698" w:rsidRDefault="007C6668" w:rsidP="00F0391F">
            <w:pPr>
              <w:suppressAutoHyphens/>
              <w:autoSpaceDE/>
              <w:autoSpaceDN/>
              <w:rPr>
                <w:noProof/>
                <w:lang w:eastAsia="fr-FR"/>
              </w:rPr>
            </w:pPr>
          </w:p>
        </w:tc>
        <w:tc>
          <w:tcPr>
            <w:tcW w:w="2500" w:type="pct"/>
            <w:hideMark/>
          </w:tcPr>
          <w:p w14:paraId="7B0A9FA5" w14:textId="77777777" w:rsidR="007C6668" w:rsidRPr="00CF4698" w:rsidRDefault="007C6668" w:rsidP="00F0391F">
            <w:pPr>
              <w:tabs>
                <w:tab w:val="left" w:pos="-720"/>
              </w:tabs>
              <w:suppressAutoHyphens/>
              <w:autoSpaceDE/>
              <w:autoSpaceDN/>
              <w:rPr>
                <w:noProof/>
                <w:lang w:val="de-CH" w:eastAsia="fr-FR"/>
              </w:rPr>
            </w:pPr>
            <w:r w:rsidRPr="00B320E1">
              <w:rPr>
                <w:rFonts w:eastAsia="맑은 고딕"/>
                <w:b/>
                <w:noProof/>
                <w:lang w:val="de-CH" w:eastAsia="fr-FR"/>
              </w:rPr>
              <w:t>Luxembourg/Luxemburg</w:t>
            </w:r>
          </w:p>
          <w:p w14:paraId="619B6F6E" w14:textId="77777777" w:rsidR="007C6668" w:rsidRPr="00CF4698" w:rsidRDefault="007C6668" w:rsidP="00F0391F">
            <w:pPr>
              <w:suppressAutoHyphens/>
              <w:autoSpaceDE/>
              <w:autoSpaceDN/>
              <w:rPr>
                <w:rFonts w:eastAsia="맑은 고딕"/>
                <w:noProof/>
                <w:lang w:val="de-CH" w:eastAsia="fr-FR"/>
              </w:rPr>
            </w:pPr>
            <w:r w:rsidRPr="00B320E1">
              <w:rPr>
                <w:rFonts w:eastAsia="맑은 고딕"/>
                <w:noProof/>
                <w:lang w:val="de-CH" w:eastAsia="fr-FR"/>
              </w:rPr>
              <w:t>Celltrion Healthcare Belgium BVBA</w:t>
            </w:r>
          </w:p>
          <w:p w14:paraId="230EBDC8" w14:textId="77777777" w:rsidR="007C6668" w:rsidRPr="00CF4698" w:rsidRDefault="007C6668" w:rsidP="00F0391F">
            <w:pPr>
              <w:tabs>
                <w:tab w:val="left" w:pos="-720"/>
              </w:tabs>
              <w:suppressAutoHyphens/>
              <w:autoSpaceDE/>
              <w:autoSpaceDN/>
              <w:rPr>
                <w:rFonts w:eastAsia="맑은 고딕"/>
                <w:lang w:val="pt-PT" w:eastAsia="ko-KR"/>
              </w:rPr>
            </w:pPr>
            <w:r w:rsidRPr="00B320E1">
              <w:rPr>
                <w:rFonts w:eastAsia="맑은 고딕"/>
                <w:noProof/>
                <w:lang w:val="fr-FR" w:eastAsia="fr-FR"/>
              </w:rPr>
              <w:t xml:space="preserve">Tél/Tel: </w:t>
            </w:r>
            <w:r w:rsidRPr="00B320E1">
              <w:rPr>
                <w:rFonts w:eastAsia="맑은 고딕"/>
                <w:noProof/>
                <w:lang w:val="de-CH" w:eastAsia="fr-FR"/>
              </w:rPr>
              <w:t>+32 2 643 71 81</w:t>
            </w:r>
          </w:p>
          <w:p w14:paraId="07936DF0" w14:textId="77777777" w:rsidR="007C6668" w:rsidRPr="00CF4698" w:rsidRDefault="007C6668" w:rsidP="00F0391F">
            <w:pPr>
              <w:suppressAutoHyphens/>
              <w:autoSpaceDE/>
              <w:autoSpaceDN/>
              <w:rPr>
                <w:rFonts w:eastAsia="맑은 고딕"/>
                <w:noProof/>
                <w:lang w:val="pt-PT" w:eastAsia="fr-FR"/>
              </w:rPr>
            </w:pPr>
            <w:hyperlink r:id="rId30" w:history="1">
              <w:r w:rsidRPr="00B320E1">
                <w:rPr>
                  <w:rStyle w:val="a8"/>
                  <w:rFonts w:eastAsia="맑은 고딕"/>
                  <w:noProof/>
                  <w:lang w:val="pt-PT" w:eastAsia="fr-FR"/>
                </w:rPr>
                <w:t>BEinfo@celltrionhc.com</w:t>
              </w:r>
            </w:hyperlink>
          </w:p>
          <w:p w14:paraId="3DED4038" w14:textId="77777777" w:rsidR="007C6668" w:rsidRPr="00CF4698" w:rsidRDefault="007C6668" w:rsidP="00F0391F">
            <w:pPr>
              <w:tabs>
                <w:tab w:val="left" w:pos="-720"/>
              </w:tabs>
              <w:suppressAutoHyphens/>
              <w:autoSpaceDE/>
              <w:autoSpaceDN/>
              <w:rPr>
                <w:rFonts w:eastAsia="맑은 고딕"/>
                <w:lang w:val="pt-PT" w:eastAsia="ko-KR"/>
              </w:rPr>
            </w:pPr>
          </w:p>
        </w:tc>
      </w:tr>
      <w:tr w:rsidR="007C6668" w:rsidRPr="00CF4698" w14:paraId="239C377F" w14:textId="77777777" w:rsidTr="00F0391F">
        <w:trPr>
          <w:cantSplit/>
        </w:trPr>
        <w:tc>
          <w:tcPr>
            <w:tcW w:w="2500" w:type="pct"/>
            <w:hideMark/>
          </w:tcPr>
          <w:p w14:paraId="1D422862" w14:textId="77777777" w:rsidR="007C6668" w:rsidRPr="00CF4698" w:rsidRDefault="007C6668" w:rsidP="00F0391F">
            <w:pPr>
              <w:tabs>
                <w:tab w:val="left" w:pos="-720"/>
              </w:tabs>
              <w:suppressAutoHyphens/>
              <w:autoSpaceDE/>
              <w:autoSpaceDN/>
              <w:rPr>
                <w:rFonts w:eastAsia="맑은 고딕"/>
                <w:b/>
                <w:noProof/>
                <w:lang w:val="en-US" w:eastAsia="fr-FR"/>
              </w:rPr>
            </w:pPr>
            <w:r w:rsidRPr="00B320E1">
              <w:rPr>
                <w:rFonts w:eastAsia="맑은 고딕"/>
                <w:b/>
                <w:noProof/>
                <w:lang w:val="en-US" w:eastAsia="fr-FR"/>
              </w:rPr>
              <w:t>Česká republika</w:t>
            </w:r>
          </w:p>
          <w:p w14:paraId="0E13F499"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2E9B3F84" w14:textId="77777777" w:rsidR="007C6668" w:rsidRPr="00CF4698" w:rsidRDefault="007C6668" w:rsidP="00F0391F">
            <w:pPr>
              <w:tabs>
                <w:tab w:val="left" w:pos="-720"/>
              </w:tabs>
              <w:suppressAutoHyphens/>
              <w:autoSpaceDE/>
              <w:autoSpaceDN/>
              <w:rPr>
                <w:rFonts w:eastAsia="맑은 고딕"/>
                <w:noProof/>
                <w:lang w:eastAsia="fr-FR"/>
              </w:rPr>
            </w:pPr>
            <w:r w:rsidRPr="00B320E1">
              <w:rPr>
                <w:rFonts w:eastAsia="맑은 고딕"/>
                <w:noProof/>
                <w:lang w:eastAsia="fr-FR"/>
              </w:rPr>
              <w:t>Tel: +36 1 231 0493</w:t>
            </w:r>
          </w:p>
          <w:p w14:paraId="14E06BB2" w14:textId="77777777" w:rsidR="007C6668" w:rsidRPr="00CF4698" w:rsidRDefault="007C6668" w:rsidP="00F0391F">
            <w:pPr>
              <w:tabs>
                <w:tab w:val="left" w:pos="-720"/>
              </w:tabs>
              <w:suppressAutoHyphens/>
              <w:autoSpaceDE/>
              <w:autoSpaceDN/>
              <w:rPr>
                <w:noProof/>
                <w:lang w:eastAsia="fr-FR"/>
              </w:rPr>
            </w:pPr>
          </w:p>
        </w:tc>
        <w:tc>
          <w:tcPr>
            <w:tcW w:w="2500" w:type="pct"/>
          </w:tcPr>
          <w:p w14:paraId="00903CBF" w14:textId="77777777" w:rsidR="007C6668" w:rsidRPr="00CF4698" w:rsidRDefault="007C6668" w:rsidP="00F0391F">
            <w:pPr>
              <w:suppressAutoHyphens/>
              <w:autoSpaceDE/>
              <w:autoSpaceDN/>
              <w:rPr>
                <w:rFonts w:eastAsia="맑은 고딕"/>
                <w:b/>
                <w:noProof/>
                <w:lang w:val="en-US" w:eastAsia="fr-FR"/>
              </w:rPr>
            </w:pPr>
            <w:r w:rsidRPr="00B320E1">
              <w:rPr>
                <w:b/>
                <w:noProof/>
                <w:lang w:val="en-US"/>
              </w:rPr>
              <w:t>Magyarország</w:t>
            </w:r>
          </w:p>
          <w:p w14:paraId="38771DE4"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4CC277A4"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Tel:. +36 1 231 0493</w:t>
            </w:r>
          </w:p>
          <w:p w14:paraId="5B749C47" w14:textId="77777777" w:rsidR="007C6668" w:rsidRPr="00CF4698" w:rsidRDefault="007C6668" w:rsidP="00F0391F">
            <w:pPr>
              <w:suppressAutoHyphens/>
              <w:autoSpaceDE/>
              <w:autoSpaceDN/>
              <w:rPr>
                <w:rFonts w:eastAsia="맑은 고딕"/>
                <w:noProof/>
                <w:lang w:eastAsia="ko-KR"/>
              </w:rPr>
            </w:pPr>
          </w:p>
        </w:tc>
      </w:tr>
      <w:tr w:rsidR="007C6668" w:rsidRPr="00D34C2F" w14:paraId="3F84542F" w14:textId="77777777" w:rsidTr="00F0391F">
        <w:trPr>
          <w:cantSplit/>
        </w:trPr>
        <w:tc>
          <w:tcPr>
            <w:tcW w:w="2500" w:type="pct"/>
            <w:hideMark/>
          </w:tcPr>
          <w:p w14:paraId="3B09C599" w14:textId="588BCE7E" w:rsidR="007C6668" w:rsidRPr="00CF4698" w:rsidRDefault="007C6668" w:rsidP="00F0391F">
            <w:pPr>
              <w:tabs>
                <w:tab w:val="left" w:pos="-720"/>
              </w:tabs>
              <w:suppressAutoHyphens/>
              <w:autoSpaceDE/>
              <w:autoSpaceDN/>
              <w:rPr>
                <w:b/>
                <w:bCs/>
                <w:i/>
                <w:iCs/>
                <w:noProof/>
                <w:lang w:val="en-US" w:eastAsia="fr-FR"/>
              </w:rPr>
            </w:pPr>
            <w:r w:rsidRPr="00B320E1">
              <w:rPr>
                <w:b/>
                <w:noProof/>
                <w:lang w:val="en-US"/>
              </w:rPr>
              <w:t>D</w:t>
            </w:r>
            <w:r w:rsidR="009864DC">
              <w:rPr>
                <w:rFonts w:eastAsia="맑은 고딕"/>
                <w:b/>
                <w:noProof/>
                <w:lang w:val="en-US" w:eastAsia="ko-KR"/>
              </w:rPr>
              <w:t>a</w:t>
            </w:r>
            <w:r w:rsidRPr="00B320E1">
              <w:rPr>
                <w:b/>
                <w:noProof/>
                <w:lang w:val="en-US"/>
              </w:rPr>
              <w:t>nmark</w:t>
            </w:r>
          </w:p>
          <w:p w14:paraId="63C338D9" w14:textId="1AA9C150" w:rsidR="00516DC3" w:rsidRPr="00B436C7" w:rsidRDefault="007C6668" w:rsidP="00516DC3">
            <w:pPr>
              <w:tabs>
                <w:tab w:val="left" w:pos="-720"/>
              </w:tabs>
              <w:suppressAutoHyphens/>
              <w:rPr>
                <w:rFonts w:eastAsia="맑은 고딕"/>
                <w:noProof/>
                <w:lang w:val="en-US" w:eastAsia="fr-FR"/>
              </w:rPr>
            </w:pPr>
            <w:r w:rsidRPr="00B320E1">
              <w:rPr>
                <w:rFonts w:eastAsia="맑은 고딕"/>
                <w:noProof/>
                <w:lang w:val="en-US" w:eastAsia="fr-FR"/>
              </w:rPr>
              <w:t xml:space="preserve">Celltrion Healthcare </w:t>
            </w:r>
            <w:r w:rsidR="00456610" w:rsidRPr="00B436C7">
              <w:rPr>
                <w:rFonts w:eastAsia="맑은 고딕"/>
                <w:noProof/>
                <w:lang w:val="en-US" w:eastAsia="ko-KR"/>
              </w:rPr>
              <w:t xml:space="preserve">Denmark </w:t>
            </w:r>
            <w:r w:rsidR="00516DC3" w:rsidRPr="00B436C7">
              <w:rPr>
                <w:rFonts w:eastAsia="맑은 고딕"/>
                <w:noProof/>
                <w:lang w:val="en-US" w:eastAsia="fr-FR"/>
              </w:rPr>
              <w:t>ApS</w:t>
            </w:r>
          </w:p>
          <w:p w14:paraId="5368B984" w14:textId="77777777" w:rsidR="00516DC3" w:rsidRPr="00B436C7" w:rsidRDefault="00516DC3" w:rsidP="00516DC3">
            <w:pPr>
              <w:tabs>
                <w:tab w:val="left" w:pos="-720"/>
              </w:tabs>
              <w:suppressAutoHyphens/>
              <w:rPr>
                <w:rFonts w:eastAsia="맑은 고딕"/>
                <w:noProof/>
                <w:lang w:val="en-US" w:eastAsia="fr-FR"/>
              </w:rPr>
            </w:pPr>
            <w:r w:rsidRPr="00B436C7">
              <w:rPr>
                <w:rFonts w:eastAsia="맑은 고딕"/>
                <w:noProof/>
                <w:lang w:val="en-US" w:eastAsia="fr-FR"/>
              </w:rPr>
              <w:t>Tel: + 45 3535 2989</w:t>
            </w:r>
          </w:p>
          <w:p w14:paraId="73A1F13D" w14:textId="77777777" w:rsidR="00516DC3" w:rsidRDefault="00516DC3" w:rsidP="00516DC3">
            <w:pPr>
              <w:tabs>
                <w:tab w:val="left" w:pos="-720"/>
              </w:tabs>
              <w:suppressAutoHyphens/>
              <w:rPr>
                <w:rFonts w:eastAsia="맑은 고딕"/>
                <w:noProof/>
                <w:lang w:eastAsia="fr-FR"/>
              </w:rPr>
            </w:pPr>
            <w:r w:rsidRPr="00204A91">
              <w:rPr>
                <w:rFonts w:eastAsia="맑은 고딕"/>
                <w:noProof/>
                <w:lang w:eastAsia="fr-FR"/>
              </w:rPr>
              <w:t>Contact_dk@celltrionhc.com</w:t>
            </w:r>
          </w:p>
          <w:p w14:paraId="070E1D3A" w14:textId="77777777" w:rsidR="007C6668" w:rsidRPr="00516DC3" w:rsidRDefault="007C6668" w:rsidP="00F0391F">
            <w:pPr>
              <w:tabs>
                <w:tab w:val="left" w:pos="-720"/>
              </w:tabs>
              <w:suppressAutoHyphens/>
              <w:autoSpaceDE/>
              <w:autoSpaceDN/>
              <w:rPr>
                <w:rFonts w:eastAsia="맑은 고딕"/>
                <w:noProof/>
                <w:lang w:eastAsia="fr-FR"/>
              </w:rPr>
            </w:pPr>
          </w:p>
        </w:tc>
        <w:tc>
          <w:tcPr>
            <w:tcW w:w="2500" w:type="pct"/>
          </w:tcPr>
          <w:p w14:paraId="4383DD23" w14:textId="77777777" w:rsidR="007C6668" w:rsidRPr="00CF4698" w:rsidRDefault="007C6668" w:rsidP="00F0391F">
            <w:pPr>
              <w:suppressAutoHyphens/>
              <w:autoSpaceDE/>
              <w:autoSpaceDN/>
              <w:rPr>
                <w:noProof/>
                <w:lang w:val="en-US" w:eastAsia="fr-FR"/>
              </w:rPr>
            </w:pPr>
            <w:r w:rsidRPr="00B320E1">
              <w:rPr>
                <w:rFonts w:eastAsia="맑은 고딕"/>
                <w:b/>
                <w:noProof/>
                <w:lang w:val="en-US" w:eastAsia="fr-FR"/>
              </w:rPr>
              <w:t>Malta</w:t>
            </w:r>
          </w:p>
          <w:p w14:paraId="34C761DB"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Mint Health Ltd.</w:t>
            </w:r>
          </w:p>
          <w:p w14:paraId="6001D5BD" w14:textId="77777777" w:rsidR="007C6668" w:rsidRPr="00CF4698" w:rsidRDefault="007C6668" w:rsidP="00F0391F">
            <w:pPr>
              <w:suppressAutoHyphens/>
              <w:autoSpaceDE/>
              <w:autoSpaceDN/>
              <w:rPr>
                <w:rFonts w:eastAsia="맑은 고딕"/>
                <w:noProof/>
                <w:lang w:val="en-US" w:eastAsia="ko-KR"/>
              </w:rPr>
            </w:pPr>
            <w:r w:rsidRPr="00B320E1">
              <w:rPr>
                <w:rFonts w:eastAsia="맑은 고딕"/>
                <w:noProof/>
                <w:lang w:val="en-US" w:eastAsia="fr-FR"/>
              </w:rPr>
              <w:t>Tel: +356 2093 9800</w:t>
            </w:r>
          </w:p>
          <w:p w14:paraId="4171A2EE" w14:textId="77777777" w:rsidR="007C6668" w:rsidRPr="00CF4698" w:rsidRDefault="007C6668" w:rsidP="00F0391F">
            <w:pPr>
              <w:suppressAutoHyphens/>
              <w:autoSpaceDE/>
              <w:autoSpaceDN/>
              <w:rPr>
                <w:rFonts w:eastAsia="맑은 고딕"/>
                <w:noProof/>
                <w:lang w:val="en-US" w:eastAsia="ko-KR"/>
              </w:rPr>
            </w:pPr>
          </w:p>
        </w:tc>
      </w:tr>
      <w:tr w:rsidR="007C6668" w:rsidRPr="00CF4698" w14:paraId="0169B9A7" w14:textId="77777777" w:rsidTr="00F0391F">
        <w:trPr>
          <w:cantSplit/>
        </w:trPr>
        <w:tc>
          <w:tcPr>
            <w:tcW w:w="2500" w:type="pct"/>
            <w:hideMark/>
          </w:tcPr>
          <w:p w14:paraId="529E731A" w14:textId="77777777" w:rsidR="007C6668" w:rsidRPr="00CF4698" w:rsidRDefault="007C6668" w:rsidP="00F0391F">
            <w:pPr>
              <w:suppressAutoHyphens/>
              <w:autoSpaceDE/>
              <w:autoSpaceDN/>
              <w:rPr>
                <w:b/>
              </w:rPr>
            </w:pPr>
            <w:r w:rsidRPr="00B320E1">
              <w:rPr>
                <w:b/>
              </w:rPr>
              <w:t>Deutschland</w:t>
            </w:r>
          </w:p>
          <w:p w14:paraId="23B29918" w14:textId="77777777" w:rsidR="007C6668" w:rsidRPr="00CF4698" w:rsidRDefault="007C6668" w:rsidP="00F0391F">
            <w:pPr>
              <w:tabs>
                <w:tab w:val="left" w:pos="-720"/>
              </w:tabs>
              <w:suppressAutoHyphens/>
              <w:autoSpaceDE/>
              <w:autoSpaceDN/>
            </w:pPr>
            <w:r w:rsidRPr="00B320E1">
              <w:t xml:space="preserve">Celltrion Healthcare Deutschland </w:t>
            </w:r>
            <w:r w:rsidRPr="00B320E1">
              <w:rPr>
                <w:rFonts w:eastAsia="맑은 고딕"/>
                <w:noProof/>
                <w:lang w:eastAsia="fr-FR"/>
              </w:rPr>
              <w:t>GmbH</w:t>
            </w:r>
          </w:p>
          <w:p w14:paraId="15A7EFBC" w14:textId="77777777" w:rsidR="007C6668" w:rsidRPr="00CF4698" w:rsidRDefault="007C6668" w:rsidP="00F0391F">
            <w:pPr>
              <w:tabs>
                <w:tab w:val="left" w:pos="-720"/>
              </w:tabs>
              <w:suppressAutoHyphens/>
              <w:autoSpaceDE/>
              <w:autoSpaceDN/>
              <w:rPr>
                <w:rFonts w:eastAsia="맑은 고딕"/>
                <w:noProof/>
                <w:lang w:eastAsia="fr-FR"/>
              </w:rPr>
            </w:pPr>
            <w:r w:rsidRPr="00B320E1">
              <w:t xml:space="preserve">Tel: </w:t>
            </w:r>
            <w:r w:rsidRPr="00B320E1">
              <w:rPr>
                <w:rFonts w:eastAsia="맑은 고딕"/>
                <w:noProof/>
                <w:lang w:eastAsia="fr-FR"/>
              </w:rPr>
              <w:t>+49 (0)30 346494150</w:t>
            </w:r>
          </w:p>
          <w:p w14:paraId="66A4B3BF" w14:textId="77777777" w:rsidR="007C6668" w:rsidRPr="00CF4698" w:rsidRDefault="007C6668" w:rsidP="00F0391F">
            <w:pPr>
              <w:tabs>
                <w:tab w:val="left" w:pos="-720"/>
              </w:tabs>
              <w:suppressAutoHyphens/>
              <w:autoSpaceDE/>
              <w:autoSpaceDN/>
              <w:rPr>
                <w:rFonts w:eastAsia="맑은 고딕"/>
                <w:noProof/>
                <w:lang w:eastAsia="fr-FR"/>
              </w:rPr>
            </w:pPr>
            <w:hyperlink r:id="rId31" w:history="1">
              <w:r w:rsidRPr="00B320E1">
                <w:rPr>
                  <w:rStyle w:val="a8"/>
                  <w:rFonts w:eastAsia="맑은 고딕"/>
                  <w:noProof/>
                  <w:lang w:eastAsia="fr-FR"/>
                </w:rPr>
                <w:t>infoDE@celltrionhc.com</w:t>
              </w:r>
            </w:hyperlink>
          </w:p>
          <w:p w14:paraId="579085EB" w14:textId="77777777" w:rsidR="007C6668" w:rsidRPr="00CF4698" w:rsidRDefault="007C6668" w:rsidP="00F0391F">
            <w:pPr>
              <w:tabs>
                <w:tab w:val="left" w:pos="-720"/>
              </w:tabs>
              <w:suppressAutoHyphens/>
              <w:autoSpaceDE/>
              <w:autoSpaceDN/>
              <w:rPr>
                <w:rFonts w:eastAsia="맑은 고딕"/>
                <w:noProof/>
                <w:lang w:eastAsia="fr-FR"/>
              </w:rPr>
            </w:pPr>
          </w:p>
        </w:tc>
        <w:tc>
          <w:tcPr>
            <w:tcW w:w="2500" w:type="pct"/>
          </w:tcPr>
          <w:p w14:paraId="5E6E78E9" w14:textId="77777777" w:rsidR="007C6668" w:rsidRPr="00CF4698" w:rsidRDefault="007C6668" w:rsidP="00F0391F">
            <w:pPr>
              <w:suppressAutoHyphens/>
              <w:autoSpaceDE/>
              <w:autoSpaceDN/>
              <w:rPr>
                <w:noProof/>
                <w:lang w:val="en-US" w:eastAsia="fr-FR"/>
              </w:rPr>
            </w:pPr>
            <w:r w:rsidRPr="00B320E1">
              <w:rPr>
                <w:rFonts w:eastAsia="맑은 고딕"/>
                <w:b/>
                <w:noProof/>
                <w:lang w:val="en-US" w:eastAsia="fr-FR"/>
              </w:rPr>
              <w:t>Nederland</w:t>
            </w:r>
          </w:p>
          <w:p w14:paraId="4F217C1A" w14:textId="77777777" w:rsidR="007C6668" w:rsidRPr="00CF4698" w:rsidRDefault="007C6668" w:rsidP="00F0391F">
            <w:pPr>
              <w:suppressAutoHyphens/>
              <w:autoSpaceDE/>
              <w:autoSpaceDN/>
              <w:rPr>
                <w:rFonts w:eastAsia="맑은 고딕"/>
                <w:noProof/>
                <w:lang w:val="en-US" w:eastAsia="fr-FR"/>
              </w:rPr>
            </w:pPr>
            <w:r w:rsidRPr="00B320E1">
              <w:rPr>
                <w:rFonts w:eastAsia="맑은 고딕"/>
                <w:noProof/>
                <w:lang w:val="en-US" w:eastAsia="fr-FR"/>
              </w:rPr>
              <w:t>Celltrion Healthcare Netherlands B.V.</w:t>
            </w:r>
          </w:p>
          <w:p w14:paraId="52A2DC24"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Tel: + 31 20 888 7300</w:t>
            </w:r>
          </w:p>
          <w:p w14:paraId="4CE44418" w14:textId="77777777" w:rsidR="007C6668" w:rsidRPr="00CF4698" w:rsidRDefault="007C6668" w:rsidP="00F0391F">
            <w:pPr>
              <w:suppressAutoHyphens/>
              <w:autoSpaceDE/>
              <w:autoSpaceDN/>
              <w:rPr>
                <w:rFonts w:eastAsia="맑은 고딕"/>
                <w:noProof/>
                <w:lang w:eastAsia="fr-FR"/>
              </w:rPr>
            </w:pPr>
            <w:hyperlink r:id="rId32" w:history="1">
              <w:r w:rsidRPr="00B320E1">
                <w:rPr>
                  <w:rStyle w:val="a8"/>
                  <w:rFonts w:eastAsia="맑은 고딕"/>
                  <w:noProof/>
                  <w:lang w:eastAsia="fr-FR"/>
                </w:rPr>
                <w:t>NLinfo@celltrionh</w:t>
              </w:r>
              <w:r w:rsidRPr="00B320E1">
                <w:rPr>
                  <w:rStyle w:val="a8"/>
                </w:rPr>
                <w:t>c</w:t>
              </w:r>
              <w:r w:rsidRPr="00B320E1">
                <w:rPr>
                  <w:rStyle w:val="a8"/>
                  <w:rFonts w:eastAsia="맑은 고딕"/>
                  <w:noProof/>
                  <w:lang w:eastAsia="fr-FR"/>
                </w:rPr>
                <w:t>.com</w:t>
              </w:r>
            </w:hyperlink>
          </w:p>
          <w:p w14:paraId="6C151F96" w14:textId="77777777" w:rsidR="007C6668" w:rsidRPr="00CF4698" w:rsidRDefault="007C6668" w:rsidP="00F0391F">
            <w:pPr>
              <w:suppressAutoHyphens/>
              <w:autoSpaceDE/>
              <w:autoSpaceDN/>
              <w:rPr>
                <w:rFonts w:eastAsia="맑은 고딕"/>
                <w:noProof/>
                <w:lang w:eastAsia="fr-FR"/>
              </w:rPr>
            </w:pPr>
          </w:p>
        </w:tc>
      </w:tr>
      <w:tr w:rsidR="007C6668" w:rsidRPr="00D34C2F" w14:paraId="4CEE4059" w14:textId="77777777" w:rsidTr="00F0391F">
        <w:trPr>
          <w:cantSplit/>
        </w:trPr>
        <w:tc>
          <w:tcPr>
            <w:tcW w:w="2500" w:type="pct"/>
            <w:hideMark/>
          </w:tcPr>
          <w:p w14:paraId="5003EE65" w14:textId="77777777" w:rsidR="007C6668" w:rsidRPr="00CF4698" w:rsidRDefault="007C6668" w:rsidP="00F0391F">
            <w:pPr>
              <w:tabs>
                <w:tab w:val="left" w:pos="-720"/>
                <w:tab w:val="left" w:pos="4536"/>
              </w:tabs>
              <w:suppressAutoHyphens/>
              <w:autoSpaceDE/>
              <w:autoSpaceDN/>
              <w:rPr>
                <w:b/>
                <w:noProof/>
                <w:lang w:val="en-US" w:eastAsia="fr-FR"/>
              </w:rPr>
            </w:pPr>
            <w:r w:rsidRPr="00B320E1">
              <w:rPr>
                <w:rFonts w:eastAsia="맑은 고딕"/>
                <w:b/>
                <w:noProof/>
                <w:lang w:val="en-US" w:eastAsia="fr-FR"/>
              </w:rPr>
              <w:t>Eesti</w:t>
            </w:r>
          </w:p>
          <w:p w14:paraId="41DD7168"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67548A7B" w14:textId="77777777" w:rsidR="007C6668" w:rsidRPr="00CF4698" w:rsidRDefault="007C6668" w:rsidP="00F0391F">
            <w:pPr>
              <w:tabs>
                <w:tab w:val="left" w:pos="-720"/>
              </w:tabs>
              <w:suppressAutoHyphens/>
              <w:autoSpaceDE/>
              <w:autoSpaceDN/>
              <w:rPr>
                <w:rFonts w:eastAsia="맑은 고딕"/>
                <w:noProof/>
                <w:lang w:eastAsia="fr-FR"/>
              </w:rPr>
            </w:pPr>
            <w:r w:rsidRPr="00B320E1">
              <w:rPr>
                <w:rFonts w:eastAsia="맑은 고딕"/>
                <w:noProof/>
                <w:lang w:eastAsia="fr-FR"/>
              </w:rPr>
              <w:t>Tel: +36 1 231 0493</w:t>
            </w:r>
          </w:p>
          <w:p w14:paraId="31517982" w14:textId="77777777" w:rsidR="007C6668" w:rsidRPr="00CF4698" w:rsidRDefault="007C6668" w:rsidP="00F0391F">
            <w:pPr>
              <w:tabs>
                <w:tab w:val="left" w:pos="-720"/>
              </w:tabs>
              <w:suppressAutoHyphens/>
              <w:autoSpaceDE/>
              <w:autoSpaceDN/>
              <w:rPr>
                <w:rFonts w:eastAsia="맑은 고딕"/>
                <w:noProof/>
                <w:lang w:val="fi-FI" w:eastAsia="ko-KR"/>
              </w:rPr>
            </w:pPr>
          </w:p>
        </w:tc>
        <w:tc>
          <w:tcPr>
            <w:tcW w:w="2500" w:type="pct"/>
          </w:tcPr>
          <w:p w14:paraId="1DAF4E7D" w14:textId="77777777" w:rsidR="007C6668" w:rsidRPr="00CF4698" w:rsidRDefault="007C6668" w:rsidP="00F0391F">
            <w:pPr>
              <w:tabs>
                <w:tab w:val="left" w:pos="-720"/>
              </w:tabs>
              <w:suppressAutoHyphens/>
              <w:autoSpaceDE/>
              <w:autoSpaceDN/>
              <w:rPr>
                <w:noProof/>
                <w:lang w:val="en-US" w:eastAsia="fr-FR"/>
              </w:rPr>
            </w:pPr>
            <w:r w:rsidRPr="00B320E1">
              <w:rPr>
                <w:rFonts w:eastAsia="맑은 고딕"/>
                <w:b/>
                <w:noProof/>
                <w:lang w:val="en-US" w:eastAsia="fr-FR"/>
              </w:rPr>
              <w:t>Norge</w:t>
            </w:r>
          </w:p>
          <w:p w14:paraId="6D5B201B" w14:textId="77777777" w:rsidR="00516DC3" w:rsidRPr="00B436C7" w:rsidRDefault="007C6668" w:rsidP="00516DC3">
            <w:pPr>
              <w:tabs>
                <w:tab w:val="left" w:pos="-720"/>
              </w:tabs>
              <w:suppressAutoHyphens/>
              <w:rPr>
                <w:rFonts w:eastAsia="맑은 고딕"/>
                <w:noProof/>
                <w:lang w:val="en-US" w:eastAsia="ko-KR"/>
              </w:rPr>
            </w:pPr>
            <w:r w:rsidRPr="00B320E1">
              <w:rPr>
                <w:rFonts w:eastAsia="맑은 고딕"/>
                <w:noProof/>
                <w:lang w:val="en-US" w:eastAsia="fr-FR"/>
              </w:rPr>
              <w:t xml:space="preserve">Celltrion Healthcare </w:t>
            </w:r>
            <w:r w:rsidR="00516DC3" w:rsidRPr="00B436C7">
              <w:rPr>
                <w:rFonts w:eastAsia="맑은 고딕"/>
                <w:noProof/>
                <w:lang w:val="en-US" w:eastAsia="ko-KR"/>
              </w:rPr>
              <w:t>Norway AS</w:t>
            </w:r>
          </w:p>
          <w:p w14:paraId="04A21CD7" w14:textId="145A2A14" w:rsidR="007C6668" w:rsidRPr="00B436C7" w:rsidRDefault="00516DC3" w:rsidP="00F0391F">
            <w:pPr>
              <w:tabs>
                <w:tab w:val="left" w:pos="-720"/>
              </w:tabs>
              <w:suppressAutoHyphens/>
              <w:autoSpaceDE/>
              <w:autoSpaceDN/>
              <w:rPr>
                <w:rFonts w:eastAsia="맑은 고딕"/>
                <w:noProof/>
                <w:lang w:val="en-US" w:eastAsia="ko-KR"/>
              </w:rPr>
            </w:pPr>
            <w:r w:rsidRPr="00B436C7">
              <w:rPr>
                <w:rFonts w:eastAsia="맑은 고딕"/>
                <w:noProof/>
                <w:lang w:val="en-US" w:eastAsia="fr-FR"/>
              </w:rPr>
              <w:t>Contact_no@celltrionhc.com</w:t>
            </w:r>
            <w:r w:rsidRPr="00B436C7" w:rsidDel="006F04E0">
              <w:rPr>
                <w:rFonts w:eastAsia="맑은 고딕"/>
                <w:noProof/>
                <w:lang w:val="en-US" w:eastAsia="fr-FR"/>
              </w:rPr>
              <w:t xml:space="preserve"> </w:t>
            </w:r>
          </w:p>
          <w:p w14:paraId="771071E4" w14:textId="77777777" w:rsidR="00516DC3" w:rsidRPr="00B436C7" w:rsidRDefault="00516DC3" w:rsidP="00F0391F">
            <w:pPr>
              <w:tabs>
                <w:tab w:val="left" w:pos="-720"/>
              </w:tabs>
              <w:suppressAutoHyphens/>
              <w:autoSpaceDE/>
              <w:autoSpaceDN/>
              <w:rPr>
                <w:rFonts w:eastAsia="맑은 고딕"/>
                <w:noProof/>
                <w:lang w:val="en-US" w:eastAsia="ko-KR"/>
              </w:rPr>
            </w:pPr>
          </w:p>
        </w:tc>
      </w:tr>
      <w:tr w:rsidR="007C6668" w:rsidRPr="00CF4698" w14:paraId="0AD01F5B" w14:textId="77777777" w:rsidTr="00F0391F">
        <w:trPr>
          <w:cantSplit/>
        </w:trPr>
        <w:tc>
          <w:tcPr>
            <w:tcW w:w="2500" w:type="pct"/>
            <w:hideMark/>
          </w:tcPr>
          <w:p w14:paraId="6B276E5F" w14:textId="77777777" w:rsidR="007C6668" w:rsidRPr="00CF4698" w:rsidRDefault="007C6668" w:rsidP="00F0391F">
            <w:pPr>
              <w:suppressAutoHyphens/>
              <w:autoSpaceDE/>
              <w:autoSpaceDN/>
              <w:rPr>
                <w:noProof/>
                <w:lang w:val="es-ES_tradnl" w:eastAsia="fr-FR"/>
              </w:rPr>
            </w:pPr>
            <w:r w:rsidRPr="00B320E1">
              <w:rPr>
                <w:b/>
                <w:noProof/>
                <w:lang w:val="es-ES_tradnl"/>
              </w:rPr>
              <w:t>España</w:t>
            </w:r>
          </w:p>
          <w:p w14:paraId="62C21CC2" w14:textId="77777777" w:rsidR="007C6668" w:rsidRPr="00CF4698" w:rsidRDefault="007C6668" w:rsidP="00F0391F">
            <w:pPr>
              <w:suppressAutoHyphens/>
              <w:autoSpaceDE/>
              <w:autoSpaceDN/>
              <w:rPr>
                <w:rFonts w:eastAsia="맑은 고딕"/>
                <w:noProof/>
                <w:lang w:val="es-ES_tradnl" w:eastAsia="fr-FR"/>
              </w:rPr>
            </w:pPr>
            <w:r w:rsidRPr="00B320E1">
              <w:rPr>
                <w:rFonts w:eastAsia="맑은 고딕"/>
                <w:noProof/>
                <w:lang w:val="es-ES_tradnl" w:eastAsia="fr-FR"/>
              </w:rPr>
              <w:t>CELLTRION FARMACEUTICA (ESPAÑA) S.L..</w:t>
            </w:r>
          </w:p>
          <w:p w14:paraId="214D8F63" w14:textId="074AD44C" w:rsidR="008A14FC" w:rsidRPr="002944CE" w:rsidRDefault="007C6668" w:rsidP="008A14FC">
            <w:pPr>
              <w:suppressAutoHyphens/>
              <w:rPr>
                <w:rFonts w:eastAsia="맑은 고딕"/>
                <w:noProof/>
                <w:lang w:val="en-US" w:eastAsia="ko-KR"/>
              </w:rPr>
            </w:pPr>
            <w:r w:rsidRPr="00B320E1">
              <w:rPr>
                <w:rFonts w:eastAsia="맑은 고딕"/>
                <w:noProof/>
                <w:lang w:eastAsia="fr-FR"/>
              </w:rPr>
              <w:t xml:space="preserve">Tel: +34 </w:t>
            </w:r>
            <w:r w:rsidR="008A14FC">
              <w:rPr>
                <w:rFonts w:eastAsia="맑은 고딕"/>
                <w:noProof/>
                <w:lang w:val="en-US" w:eastAsia="fr-FR"/>
              </w:rPr>
              <w:t>910 498 478</w:t>
            </w:r>
          </w:p>
          <w:p w14:paraId="4BD62E32" w14:textId="37828BBA" w:rsidR="007C6668" w:rsidRPr="00CF4698" w:rsidRDefault="007C6668" w:rsidP="00F0391F">
            <w:pPr>
              <w:suppressAutoHyphens/>
              <w:autoSpaceDE/>
              <w:autoSpaceDN/>
              <w:rPr>
                <w:rFonts w:eastAsia="맑은 고딕"/>
                <w:noProof/>
                <w:lang w:eastAsia="fr-FR"/>
              </w:rPr>
            </w:pPr>
          </w:p>
          <w:p w14:paraId="72B70755" w14:textId="77777777" w:rsidR="007C6668" w:rsidRPr="00CF4698" w:rsidRDefault="007C6668" w:rsidP="00F0391F">
            <w:pPr>
              <w:suppressAutoHyphens/>
              <w:autoSpaceDE/>
              <w:autoSpaceDN/>
              <w:rPr>
                <w:b/>
                <w:noProof/>
                <w:lang w:eastAsia="fr-FR"/>
              </w:rPr>
            </w:pPr>
          </w:p>
        </w:tc>
        <w:tc>
          <w:tcPr>
            <w:tcW w:w="2500" w:type="pct"/>
          </w:tcPr>
          <w:p w14:paraId="72A1398B" w14:textId="77777777" w:rsidR="007C6668" w:rsidRPr="00CF4698" w:rsidRDefault="007C6668" w:rsidP="00F0391F">
            <w:pPr>
              <w:suppressAutoHyphens/>
              <w:autoSpaceDE/>
              <w:autoSpaceDN/>
              <w:rPr>
                <w:noProof/>
                <w:lang w:eastAsia="fr-FR"/>
              </w:rPr>
            </w:pPr>
            <w:r w:rsidRPr="00B320E1">
              <w:rPr>
                <w:b/>
                <w:noProof/>
              </w:rPr>
              <w:t>Österreich</w:t>
            </w:r>
          </w:p>
          <w:p w14:paraId="2E297877" w14:textId="77777777" w:rsidR="007C6668" w:rsidRPr="00CF4698" w:rsidRDefault="007C6668" w:rsidP="00F0391F">
            <w:pPr>
              <w:suppressAutoHyphens/>
              <w:autoSpaceDE/>
              <w:autoSpaceDN/>
              <w:rPr>
                <w:rFonts w:eastAsia="맑은 고딕"/>
                <w:noProof/>
                <w:lang w:eastAsia="ko-KR"/>
              </w:rPr>
            </w:pPr>
            <w:r w:rsidRPr="00B320E1">
              <w:rPr>
                <w:rFonts w:eastAsia="맑은 고딕"/>
                <w:noProof/>
                <w:lang w:eastAsia="fr-FR"/>
              </w:rPr>
              <w:t>Astro-Pharma GmbH</w:t>
            </w:r>
          </w:p>
          <w:p w14:paraId="07FF4786" w14:textId="77777777" w:rsidR="007C6668" w:rsidRPr="00CF4698" w:rsidRDefault="007C6668" w:rsidP="00F0391F">
            <w:pPr>
              <w:tabs>
                <w:tab w:val="left" w:pos="-720"/>
              </w:tabs>
              <w:suppressAutoHyphens/>
              <w:autoSpaceDE/>
              <w:autoSpaceDN/>
              <w:rPr>
                <w:rFonts w:eastAsia="맑은 고딕"/>
                <w:noProof/>
                <w:lang w:eastAsia="fr-FR"/>
              </w:rPr>
            </w:pPr>
            <w:r w:rsidRPr="00B320E1">
              <w:rPr>
                <w:rFonts w:eastAsia="맑은 고딕"/>
                <w:noProof/>
                <w:lang w:eastAsia="fr-FR"/>
              </w:rPr>
              <w:t>Tel: +43 1 97 99 860</w:t>
            </w:r>
          </w:p>
          <w:p w14:paraId="67678E6F" w14:textId="77777777" w:rsidR="007C6668" w:rsidRPr="00CF4698" w:rsidRDefault="007C6668" w:rsidP="00F0391F">
            <w:pPr>
              <w:tabs>
                <w:tab w:val="left" w:pos="-720"/>
              </w:tabs>
              <w:suppressAutoHyphens/>
              <w:autoSpaceDE/>
              <w:autoSpaceDN/>
              <w:rPr>
                <w:noProof/>
                <w:lang w:eastAsia="fr-FR"/>
              </w:rPr>
            </w:pPr>
          </w:p>
        </w:tc>
      </w:tr>
      <w:tr w:rsidR="007C6668" w:rsidRPr="00CF4698" w14:paraId="63FF7702" w14:textId="77777777" w:rsidTr="00F0391F">
        <w:trPr>
          <w:cantSplit/>
        </w:trPr>
        <w:tc>
          <w:tcPr>
            <w:tcW w:w="2500" w:type="pct"/>
          </w:tcPr>
          <w:p w14:paraId="6D4F902A" w14:textId="77777777" w:rsidR="007C6668" w:rsidRPr="00CF4698" w:rsidRDefault="007C6668" w:rsidP="00F0391F">
            <w:pPr>
              <w:suppressAutoHyphens/>
              <w:autoSpaceDE/>
              <w:autoSpaceDN/>
              <w:rPr>
                <w:b/>
                <w:noProof/>
                <w:lang w:val="el-GR" w:eastAsia="fr-FR"/>
              </w:rPr>
            </w:pPr>
            <w:r w:rsidRPr="00B320E1">
              <w:rPr>
                <w:b/>
                <w:noProof/>
                <w:lang w:val="el-GR" w:eastAsia="fr-FR"/>
              </w:rPr>
              <w:t>Ελλάδα</w:t>
            </w:r>
          </w:p>
          <w:p w14:paraId="205A9E9C" w14:textId="77777777" w:rsidR="007C6668" w:rsidRPr="00CF4698" w:rsidRDefault="007C6668" w:rsidP="00F0391F">
            <w:pPr>
              <w:suppressAutoHyphens/>
              <w:autoSpaceDE/>
              <w:autoSpaceDN/>
              <w:rPr>
                <w:noProof/>
                <w:lang w:val="el-GR" w:eastAsia="fr-FR"/>
              </w:rPr>
            </w:pPr>
            <w:r w:rsidRPr="00B320E1">
              <w:rPr>
                <w:noProof/>
                <w:lang w:val="el-GR" w:eastAsia="fr-FR"/>
              </w:rPr>
              <w:t>ΒΙΑΝΕΞ Α.Ε.</w:t>
            </w:r>
          </w:p>
          <w:p w14:paraId="4F838A2F" w14:textId="77777777" w:rsidR="007C6668" w:rsidRPr="00CF4698" w:rsidRDefault="007C6668" w:rsidP="00F0391F">
            <w:pPr>
              <w:suppressAutoHyphens/>
              <w:autoSpaceDE/>
              <w:autoSpaceDN/>
              <w:rPr>
                <w:noProof/>
                <w:lang w:val="el-GR" w:eastAsia="fr-FR"/>
              </w:rPr>
            </w:pPr>
            <w:r w:rsidRPr="00B320E1">
              <w:rPr>
                <w:noProof/>
                <w:lang w:val="el-GR" w:eastAsia="fr-FR"/>
              </w:rPr>
              <w:t xml:space="preserve">Τηλ: +30 210 8009111 </w:t>
            </w:r>
          </w:p>
          <w:p w14:paraId="0458F9CE" w14:textId="77777777" w:rsidR="007C6668" w:rsidRPr="00CF4698" w:rsidRDefault="007C6668" w:rsidP="00F0391F">
            <w:pPr>
              <w:suppressAutoHyphens/>
              <w:autoSpaceDE/>
              <w:autoSpaceDN/>
              <w:rPr>
                <w:rFonts w:eastAsia="맑은 고딕"/>
                <w:noProof/>
                <w:lang w:val="el-GR" w:eastAsia="fr-FR"/>
              </w:rPr>
            </w:pPr>
          </w:p>
        </w:tc>
        <w:tc>
          <w:tcPr>
            <w:tcW w:w="2500" w:type="pct"/>
          </w:tcPr>
          <w:p w14:paraId="6474074F" w14:textId="77777777" w:rsidR="007C6668" w:rsidRPr="00CF4698" w:rsidRDefault="007C6668" w:rsidP="00F0391F">
            <w:pPr>
              <w:suppressAutoHyphens/>
              <w:autoSpaceDE/>
              <w:autoSpaceDN/>
              <w:rPr>
                <w:rFonts w:eastAsia="맑은 고딕"/>
                <w:b/>
                <w:noProof/>
                <w:lang w:val="pl-PL" w:eastAsia="fr-FR"/>
              </w:rPr>
            </w:pPr>
            <w:r w:rsidRPr="00B320E1">
              <w:rPr>
                <w:rFonts w:eastAsia="맑은 고딕"/>
                <w:b/>
                <w:noProof/>
                <w:lang w:val="pl-PL" w:eastAsia="fr-FR"/>
              </w:rPr>
              <w:t>Polska</w:t>
            </w:r>
          </w:p>
          <w:p w14:paraId="524959BC"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63045AAF"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Tel.: +36 1 231 0493</w:t>
            </w:r>
          </w:p>
          <w:p w14:paraId="3917E02A" w14:textId="77777777" w:rsidR="007C6668" w:rsidRPr="00CF4698" w:rsidRDefault="007C6668" w:rsidP="00F0391F">
            <w:pPr>
              <w:suppressAutoHyphens/>
              <w:autoSpaceDE/>
              <w:autoSpaceDN/>
              <w:rPr>
                <w:b/>
                <w:noProof/>
              </w:rPr>
            </w:pPr>
          </w:p>
        </w:tc>
      </w:tr>
      <w:tr w:rsidR="007C6668" w:rsidRPr="00CF4698" w14:paraId="7F520081" w14:textId="77777777" w:rsidTr="00F0391F">
        <w:trPr>
          <w:cantSplit/>
        </w:trPr>
        <w:tc>
          <w:tcPr>
            <w:tcW w:w="2500" w:type="pct"/>
          </w:tcPr>
          <w:p w14:paraId="5A857A11" w14:textId="77777777" w:rsidR="007C6668" w:rsidRPr="00E303AE" w:rsidRDefault="007C6668" w:rsidP="00F0391F">
            <w:pPr>
              <w:suppressAutoHyphens/>
              <w:autoSpaceDE/>
              <w:autoSpaceDN/>
              <w:rPr>
                <w:b/>
                <w:noProof/>
                <w:lang w:val="en-US" w:eastAsia="ko-KR"/>
              </w:rPr>
            </w:pPr>
            <w:r w:rsidRPr="00E303AE">
              <w:rPr>
                <w:b/>
                <w:noProof/>
                <w:lang w:val="en-US" w:eastAsia="ko-KR"/>
              </w:rPr>
              <w:t>France</w:t>
            </w:r>
          </w:p>
          <w:p w14:paraId="4DA8BF0F" w14:textId="77777777" w:rsidR="007C6668" w:rsidRPr="00E303AE" w:rsidRDefault="007C6668" w:rsidP="00F0391F">
            <w:pPr>
              <w:suppressAutoHyphens/>
              <w:autoSpaceDE/>
              <w:autoSpaceDN/>
              <w:rPr>
                <w:noProof/>
                <w:lang w:val="en-US" w:eastAsia="ko-KR"/>
              </w:rPr>
            </w:pPr>
            <w:r w:rsidRPr="00E303AE">
              <w:rPr>
                <w:noProof/>
                <w:lang w:val="en-US" w:eastAsia="ko-KR"/>
              </w:rPr>
              <w:t>Celltrion Healthcare France SAS</w:t>
            </w:r>
          </w:p>
          <w:p w14:paraId="5DB676F8" w14:textId="77777777" w:rsidR="007C6668" w:rsidRPr="00E303AE" w:rsidRDefault="007C6668" w:rsidP="00F0391F">
            <w:pPr>
              <w:suppressAutoHyphens/>
              <w:autoSpaceDE/>
              <w:autoSpaceDN/>
              <w:rPr>
                <w:rFonts w:eastAsia="맑은 고딕"/>
                <w:noProof/>
                <w:lang w:val="en-US" w:eastAsia="ko-KR"/>
              </w:rPr>
            </w:pPr>
            <w:r w:rsidRPr="00E303AE">
              <w:rPr>
                <w:noProof/>
                <w:lang w:val="en-US" w:eastAsia="ko-KR"/>
              </w:rPr>
              <w:t>T</w:t>
            </w:r>
            <w:proofErr w:type="spellStart"/>
            <w:r w:rsidRPr="00E303AE">
              <w:rPr>
                <w:lang w:val="en-US"/>
              </w:rPr>
              <w:t>é</w:t>
            </w:r>
            <w:r w:rsidRPr="00E303AE">
              <w:rPr>
                <w:noProof/>
                <w:lang w:val="en-US" w:eastAsia="ko-KR"/>
              </w:rPr>
              <w:t>l</w:t>
            </w:r>
            <w:proofErr w:type="spellEnd"/>
            <w:r w:rsidRPr="00E303AE">
              <w:rPr>
                <w:noProof/>
                <w:lang w:val="en-US" w:eastAsia="ko-KR"/>
              </w:rPr>
              <w:t>.: +33 (0)1 71 25 27 00</w:t>
            </w:r>
          </w:p>
          <w:p w14:paraId="3BFEDDBD" w14:textId="77777777" w:rsidR="007C6668" w:rsidRPr="00E303AE" w:rsidRDefault="007C6668" w:rsidP="00F0391F">
            <w:pPr>
              <w:suppressAutoHyphens/>
              <w:autoSpaceDE/>
              <w:autoSpaceDN/>
              <w:rPr>
                <w:rFonts w:eastAsia="맑은 고딕"/>
                <w:noProof/>
                <w:lang w:val="en-US" w:eastAsia="fr-FR"/>
              </w:rPr>
            </w:pPr>
          </w:p>
        </w:tc>
        <w:tc>
          <w:tcPr>
            <w:tcW w:w="2500" w:type="pct"/>
          </w:tcPr>
          <w:p w14:paraId="3B8D66BD" w14:textId="77777777" w:rsidR="007C6668" w:rsidRPr="00CF4698" w:rsidRDefault="007C6668" w:rsidP="00F0391F">
            <w:pPr>
              <w:suppressAutoHyphens/>
              <w:adjustRightInd w:val="0"/>
              <w:rPr>
                <w:noProof/>
                <w:lang w:val="pt-PT" w:eastAsia="fr-FR"/>
              </w:rPr>
            </w:pPr>
            <w:r w:rsidRPr="00B320E1">
              <w:rPr>
                <w:rFonts w:eastAsia="맑은 고딕"/>
                <w:b/>
                <w:noProof/>
                <w:lang w:val="pt-PT" w:eastAsia="fr-FR"/>
              </w:rPr>
              <w:t>Portugal</w:t>
            </w:r>
          </w:p>
          <w:p w14:paraId="3AAB3AA6" w14:textId="77777777" w:rsidR="007C6668" w:rsidRPr="00CF4698" w:rsidRDefault="007C6668" w:rsidP="00F0391F">
            <w:pPr>
              <w:suppressAutoHyphens/>
              <w:adjustRightInd w:val="0"/>
              <w:rPr>
                <w:rFonts w:eastAsia="맑은 고딕"/>
                <w:noProof/>
                <w:lang w:val="pt-PT" w:eastAsia="ko-KR"/>
              </w:rPr>
            </w:pPr>
            <w:r w:rsidRPr="00B320E1">
              <w:rPr>
                <w:rFonts w:eastAsia="맑은 고딕"/>
                <w:noProof/>
                <w:lang w:val="pt-PT" w:eastAsia="fr-FR"/>
              </w:rPr>
              <w:t>CELLTRION PORTUGAL, UNIPESSOAL LDA.</w:t>
            </w:r>
          </w:p>
          <w:p w14:paraId="55F5D1EA" w14:textId="77777777" w:rsidR="007C6668" w:rsidRPr="00CF4698" w:rsidRDefault="007C6668" w:rsidP="00F0391F">
            <w:pPr>
              <w:suppressAutoHyphens/>
              <w:autoSpaceDE/>
              <w:autoSpaceDN/>
              <w:rPr>
                <w:b/>
              </w:rPr>
            </w:pPr>
            <w:r w:rsidRPr="00B320E1">
              <w:t xml:space="preserve">Tel: </w:t>
            </w:r>
            <w:r w:rsidRPr="00B320E1">
              <w:rPr>
                <w:rFonts w:eastAsia="맑은 고딕"/>
                <w:noProof/>
                <w:lang w:val="pt-BR" w:eastAsia="fr-FR"/>
              </w:rPr>
              <w:t>+351 21 936 8542</w:t>
            </w:r>
          </w:p>
          <w:p w14:paraId="5282CF28" w14:textId="77777777" w:rsidR="007C6668" w:rsidRPr="00CF4698" w:rsidRDefault="007C6668" w:rsidP="00F0391F">
            <w:pPr>
              <w:suppressAutoHyphens/>
              <w:autoSpaceDE/>
              <w:autoSpaceDN/>
              <w:rPr>
                <w:b/>
              </w:rPr>
            </w:pPr>
          </w:p>
        </w:tc>
      </w:tr>
      <w:tr w:rsidR="007C6668" w:rsidRPr="00CF4698" w14:paraId="36D4260D" w14:textId="77777777" w:rsidTr="00F0391F">
        <w:trPr>
          <w:cantSplit/>
        </w:trPr>
        <w:tc>
          <w:tcPr>
            <w:tcW w:w="2500" w:type="pct"/>
          </w:tcPr>
          <w:p w14:paraId="07EA3FF1" w14:textId="77777777" w:rsidR="007C6668" w:rsidRPr="00CF4698" w:rsidRDefault="007C6668" w:rsidP="00F0391F">
            <w:pPr>
              <w:suppressAutoHyphens/>
              <w:autoSpaceDE/>
              <w:autoSpaceDN/>
              <w:rPr>
                <w:b/>
                <w:noProof/>
                <w:lang w:eastAsia="ko-KR"/>
              </w:rPr>
            </w:pPr>
            <w:r w:rsidRPr="00B320E1">
              <w:rPr>
                <w:b/>
                <w:noProof/>
                <w:lang w:eastAsia="ko-KR"/>
              </w:rPr>
              <w:t>Hrvatska</w:t>
            </w:r>
          </w:p>
          <w:p w14:paraId="40A3A365" w14:textId="77777777" w:rsidR="007C6668" w:rsidRPr="00CF4698" w:rsidRDefault="007C6668" w:rsidP="00F0391F">
            <w:pPr>
              <w:suppressAutoHyphens/>
              <w:autoSpaceDE/>
              <w:autoSpaceDN/>
              <w:rPr>
                <w:noProof/>
                <w:lang w:eastAsia="ko-KR"/>
              </w:rPr>
            </w:pPr>
            <w:r w:rsidRPr="00B320E1">
              <w:rPr>
                <w:noProof/>
                <w:lang w:eastAsia="ko-KR"/>
              </w:rPr>
              <w:t>Oktal Pharma d.o.o.</w:t>
            </w:r>
          </w:p>
          <w:p w14:paraId="60C01EEC" w14:textId="77777777" w:rsidR="007C6668" w:rsidRPr="00CF4698" w:rsidRDefault="007C6668" w:rsidP="00F0391F">
            <w:pPr>
              <w:suppressAutoHyphens/>
              <w:autoSpaceDE/>
              <w:autoSpaceDN/>
              <w:rPr>
                <w:noProof/>
                <w:lang w:eastAsia="ko-KR"/>
              </w:rPr>
            </w:pPr>
            <w:r w:rsidRPr="00B320E1">
              <w:rPr>
                <w:noProof/>
                <w:lang w:eastAsia="ko-KR"/>
              </w:rPr>
              <w:t>Tel: +385 1 6595 777</w:t>
            </w:r>
          </w:p>
          <w:p w14:paraId="456F3DA5" w14:textId="77777777" w:rsidR="007C6668" w:rsidRPr="00CF4698" w:rsidRDefault="007C6668" w:rsidP="00F0391F">
            <w:pPr>
              <w:suppressAutoHyphens/>
              <w:autoSpaceDE/>
              <w:autoSpaceDN/>
              <w:rPr>
                <w:rFonts w:eastAsia="맑은 고딕"/>
                <w:noProof/>
                <w:lang w:eastAsia="fr-FR"/>
              </w:rPr>
            </w:pPr>
          </w:p>
        </w:tc>
        <w:tc>
          <w:tcPr>
            <w:tcW w:w="2500" w:type="pct"/>
          </w:tcPr>
          <w:p w14:paraId="579CAAB9" w14:textId="77777777" w:rsidR="007C6668" w:rsidRPr="00CF4698" w:rsidRDefault="007C6668" w:rsidP="00F0391F">
            <w:pPr>
              <w:tabs>
                <w:tab w:val="left" w:pos="-720"/>
              </w:tabs>
              <w:suppressAutoHyphens/>
              <w:autoSpaceDE/>
              <w:autoSpaceDN/>
              <w:rPr>
                <w:rFonts w:eastAsia="맑은 고딕"/>
                <w:b/>
                <w:noProof/>
                <w:lang w:val="en-US" w:eastAsia="fr-FR"/>
              </w:rPr>
            </w:pPr>
            <w:r w:rsidRPr="00B320E1">
              <w:rPr>
                <w:b/>
                <w:noProof/>
                <w:lang w:val="en-US"/>
              </w:rPr>
              <w:t>România</w:t>
            </w:r>
          </w:p>
          <w:p w14:paraId="304E557F"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4832BE41"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Tel: +36 1 231 0493</w:t>
            </w:r>
          </w:p>
          <w:p w14:paraId="5DB9AAA3" w14:textId="77777777" w:rsidR="007C6668" w:rsidRPr="00CF4698" w:rsidRDefault="007C6668" w:rsidP="00F0391F">
            <w:pPr>
              <w:suppressAutoHyphens/>
              <w:autoSpaceDE/>
              <w:autoSpaceDN/>
              <w:rPr>
                <w:b/>
                <w:noProof/>
              </w:rPr>
            </w:pPr>
          </w:p>
        </w:tc>
      </w:tr>
      <w:tr w:rsidR="007C6668" w:rsidRPr="00CF4698" w14:paraId="5A672C7F" w14:textId="77777777" w:rsidTr="00F0391F">
        <w:trPr>
          <w:cantSplit/>
        </w:trPr>
        <w:tc>
          <w:tcPr>
            <w:tcW w:w="2500" w:type="pct"/>
          </w:tcPr>
          <w:p w14:paraId="03C49DB6" w14:textId="77777777" w:rsidR="007C6668" w:rsidRPr="00CF4698" w:rsidRDefault="007C6668" w:rsidP="00F0391F">
            <w:pPr>
              <w:tabs>
                <w:tab w:val="left" w:pos="-720"/>
              </w:tabs>
              <w:suppressAutoHyphens/>
              <w:autoSpaceDE/>
              <w:autoSpaceDN/>
              <w:rPr>
                <w:noProof/>
                <w:lang w:val="en-US" w:eastAsia="fr-FR"/>
              </w:rPr>
            </w:pPr>
            <w:r w:rsidRPr="00B320E1">
              <w:rPr>
                <w:rFonts w:eastAsia="맑은 고딕"/>
                <w:b/>
                <w:noProof/>
                <w:lang w:val="en-US" w:eastAsia="fr-FR"/>
              </w:rPr>
              <w:t>Ireland</w:t>
            </w:r>
          </w:p>
          <w:p w14:paraId="28E3128E" w14:textId="77777777" w:rsidR="007C6668" w:rsidRPr="00CF4698" w:rsidRDefault="007C6668" w:rsidP="00F0391F">
            <w:pPr>
              <w:suppressAutoHyphens/>
              <w:autoSpaceDE/>
              <w:autoSpaceDN/>
              <w:rPr>
                <w:rFonts w:eastAsia="맑은 고딕"/>
                <w:noProof/>
                <w:lang w:val="en-US" w:eastAsia="fr-FR"/>
              </w:rPr>
            </w:pPr>
            <w:r w:rsidRPr="00B320E1">
              <w:rPr>
                <w:rFonts w:eastAsia="맑은 고딕"/>
                <w:noProof/>
                <w:lang w:val="en-US" w:eastAsia="fr-FR"/>
              </w:rPr>
              <w:t>Celltrion Healthcare Ireland Limited</w:t>
            </w:r>
          </w:p>
          <w:p w14:paraId="2A4B9759" w14:textId="77777777" w:rsidR="007C6668" w:rsidRPr="00CF4698" w:rsidRDefault="007C6668" w:rsidP="00F0391F">
            <w:pPr>
              <w:suppressAutoHyphens/>
              <w:autoSpaceDE/>
              <w:autoSpaceDN/>
              <w:rPr>
                <w:rFonts w:eastAsia="맑은 고딕"/>
                <w:noProof/>
                <w:lang w:val="en-US" w:eastAsia="fr-FR"/>
              </w:rPr>
            </w:pPr>
            <w:r w:rsidRPr="00B320E1">
              <w:rPr>
                <w:rFonts w:eastAsia="맑은 고딕"/>
                <w:noProof/>
                <w:lang w:val="en-US" w:eastAsia="fr-FR"/>
              </w:rPr>
              <w:t>Tel: +353 1 223 4026</w:t>
            </w:r>
          </w:p>
          <w:p w14:paraId="30F9E8EE" w14:textId="77777777" w:rsidR="007C6668" w:rsidRPr="00CF4698" w:rsidRDefault="007C6668" w:rsidP="00F0391F">
            <w:pPr>
              <w:suppressAutoHyphens/>
              <w:autoSpaceDE/>
              <w:autoSpaceDN/>
              <w:rPr>
                <w:rFonts w:eastAsia="맑은 고딕"/>
                <w:noProof/>
                <w:lang w:val="en-US" w:eastAsia="fr-FR"/>
              </w:rPr>
            </w:pPr>
          </w:p>
        </w:tc>
        <w:tc>
          <w:tcPr>
            <w:tcW w:w="2500" w:type="pct"/>
          </w:tcPr>
          <w:p w14:paraId="7E69C3C1" w14:textId="77777777" w:rsidR="007C6668" w:rsidRPr="00CF4698" w:rsidRDefault="007C6668" w:rsidP="00F0391F">
            <w:pPr>
              <w:suppressAutoHyphens/>
              <w:autoSpaceDE/>
              <w:autoSpaceDN/>
              <w:rPr>
                <w:rFonts w:eastAsia="맑은 고딕"/>
                <w:b/>
                <w:noProof/>
                <w:lang w:val="en-GB" w:eastAsia="fr-FR"/>
              </w:rPr>
            </w:pPr>
            <w:r w:rsidRPr="00B320E1">
              <w:rPr>
                <w:rFonts w:eastAsia="맑은 고딕"/>
                <w:b/>
                <w:noProof/>
                <w:lang w:val="en-GB" w:eastAsia="fr-FR"/>
              </w:rPr>
              <w:t>Slovenija</w:t>
            </w:r>
          </w:p>
          <w:p w14:paraId="3A87C663" w14:textId="77777777" w:rsidR="007C6668" w:rsidRPr="00CF4698" w:rsidRDefault="007C6668" w:rsidP="00F0391F">
            <w:pPr>
              <w:suppressAutoHyphens/>
              <w:autoSpaceDE/>
              <w:autoSpaceDN/>
              <w:rPr>
                <w:rFonts w:eastAsia="맑은 고딕"/>
                <w:noProof/>
                <w:lang w:val="en-GB" w:eastAsia="fr-FR"/>
              </w:rPr>
            </w:pPr>
            <w:r w:rsidRPr="00B320E1">
              <w:rPr>
                <w:rFonts w:eastAsia="맑은 고딕"/>
                <w:noProof/>
                <w:lang w:val="en-GB" w:eastAsia="fr-FR"/>
              </w:rPr>
              <w:t>OPH Oktal Pharma d.o.o.</w:t>
            </w:r>
          </w:p>
          <w:p w14:paraId="05D2A6CD"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Tel.: +386 1 519 29 22</w:t>
            </w:r>
          </w:p>
          <w:p w14:paraId="7D55A9FC" w14:textId="77777777" w:rsidR="007C6668" w:rsidRPr="00CF4698" w:rsidRDefault="007C6668" w:rsidP="00F0391F">
            <w:pPr>
              <w:suppressAutoHyphens/>
              <w:autoSpaceDE/>
              <w:autoSpaceDN/>
              <w:rPr>
                <w:b/>
                <w:noProof/>
              </w:rPr>
            </w:pPr>
          </w:p>
        </w:tc>
      </w:tr>
      <w:tr w:rsidR="007C6668" w:rsidRPr="00CF4698" w14:paraId="3C3A0FFF" w14:textId="77777777" w:rsidTr="00F0391F">
        <w:trPr>
          <w:cantSplit/>
        </w:trPr>
        <w:tc>
          <w:tcPr>
            <w:tcW w:w="2500" w:type="pct"/>
          </w:tcPr>
          <w:p w14:paraId="4322D908" w14:textId="77777777" w:rsidR="007C6668" w:rsidRPr="00CF4698" w:rsidRDefault="007C6668" w:rsidP="00F0391F">
            <w:pPr>
              <w:suppressAutoHyphens/>
              <w:autoSpaceDE/>
              <w:autoSpaceDN/>
              <w:rPr>
                <w:rFonts w:eastAsia="맑은 고딕"/>
                <w:noProof/>
                <w:lang w:val="en-US" w:eastAsia="fr-FR"/>
              </w:rPr>
            </w:pPr>
            <w:r w:rsidRPr="00B320E1">
              <w:rPr>
                <w:rFonts w:eastAsia="맑은 고딕"/>
                <w:b/>
                <w:noProof/>
                <w:lang w:val="en-US" w:eastAsia="fr-FR"/>
              </w:rPr>
              <w:t>Ísland</w:t>
            </w:r>
          </w:p>
          <w:p w14:paraId="2AECDA07"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5B751B61"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Sími: +36 1 231 0493</w:t>
            </w:r>
          </w:p>
          <w:p w14:paraId="36A8341A" w14:textId="77777777" w:rsidR="007C6668" w:rsidRPr="00CF4698" w:rsidRDefault="007C6668" w:rsidP="00F0391F">
            <w:pPr>
              <w:suppressAutoHyphens/>
              <w:autoSpaceDE/>
              <w:autoSpaceDN/>
              <w:rPr>
                <w:rFonts w:eastAsia="맑은 고딕"/>
                <w:noProof/>
                <w:lang w:eastAsia="fr-FR"/>
              </w:rPr>
            </w:pPr>
          </w:p>
        </w:tc>
        <w:tc>
          <w:tcPr>
            <w:tcW w:w="2500" w:type="pct"/>
          </w:tcPr>
          <w:p w14:paraId="6DE39771" w14:textId="77777777" w:rsidR="007C6668" w:rsidRPr="00CF4698" w:rsidRDefault="007C6668" w:rsidP="00F0391F">
            <w:pPr>
              <w:suppressAutoHyphens/>
              <w:autoSpaceDE/>
              <w:autoSpaceDN/>
              <w:rPr>
                <w:rFonts w:eastAsia="맑은 고딕"/>
                <w:b/>
                <w:noProof/>
                <w:lang w:val="en-US" w:eastAsia="fr-FR"/>
              </w:rPr>
            </w:pPr>
            <w:r w:rsidRPr="00B320E1">
              <w:rPr>
                <w:b/>
                <w:noProof/>
                <w:lang w:val="en-US"/>
              </w:rPr>
              <w:t>Slovenská republika</w:t>
            </w:r>
          </w:p>
          <w:p w14:paraId="4F35CDA0"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5E1E4B77"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Tel: +36 1 231 0493</w:t>
            </w:r>
          </w:p>
          <w:p w14:paraId="4B41F3FD" w14:textId="77777777" w:rsidR="007C6668" w:rsidRPr="00CF4698" w:rsidRDefault="007C6668" w:rsidP="00F0391F">
            <w:pPr>
              <w:suppressAutoHyphens/>
              <w:autoSpaceDE/>
              <w:autoSpaceDN/>
              <w:rPr>
                <w:rFonts w:eastAsia="맑은 고딕"/>
                <w:b/>
                <w:noProof/>
                <w:lang w:eastAsia="fr-FR"/>
              </w:rPr>
            </w:pPr>
          </w:p>
        </w:tc>
      </w:tr>
      <w:tr w:rsidR="007C6668" w:rsidRPr="000D3068" w14:paraId="21373D73" w14:textId="77777777" w:rsidTr="00F0391F">
        <w:trPr>
          <w:cantSplit/>
        </w:trPr>
        <w:tc>
          <w:tcPr>
            <w:tcW w:w="2500" w:type="pct"/>
          </w:tcPr>
          <w:p w14:paraId="1A84705F" w14:textId="77777777" w:rsidR="007C6668" w:rsidRPr="00E303AE" w:rsidRDefault="007C6668" w:rsidP="00F0391F">
            <w:pPr>
              <w:suppressAutoHyphens/>
              <w:autoSpaceDE/>
              <w:autoSpaceDN/>
              <w:rPr>
                <w:noProof/>
                <w:lang w:val="en-US" w:eastAsia="fr-FR"/>
              </w:rPr>
            </w:pPr>
            <w:r w:rsidRPr="00E303AE">
              <w:rPr>
                <w:rFonts w:eastAsia="맑은 고딕"/>
                <w:b/>
                <w:noProof/>
                <w:lang w:val="en-US" w:eastAsia="fr-FR"/>
              </w:rPr>
              <w:t>Italia</w:t>
            </w:r>
          </w:p>
          <w:p w14:paraId="65D7B1F8" w14:textId="77777777" w:rsidR="007C6668" w:rsidRPr="00E303AE" w:rsidRDefault="007C6668" w:rsidP="00F0391F">
            <w:pPr>
              <w:suppressAutoHyphens/>
              <w:autoSpaceDE/>
              <w:autoSpaceDN/>
              <w:rPr>
                <w:rFonts w:eastAsia="맑은 고딕"/>
                <w:noProof/>
                <w:lang w:val="en-US" w:eastAsia="fr-FR"/>
              </w:rPr>
            </w:pPr>
            <w:r w:rsidRPr="00E303AE">
              <w:rPr>
                <w:rFonts w:eastAsia="맑은 고딕"/>
                <w:noProof/>
                <w:lang w:val="en-US" w:eastAsia="fr-FR"/>
              </w:rPr>
              <w:t>Celltrion Healthcare Italy S.r.l.</w:t>
            </w:r>
          </w:p>
          <w:p w14:paraId="1ED35F8C" w14:textId="77777777" w:rsidR="007C6668" w:rsidRPr="00CF4698" w:rsidRDefault="007C6668" w:rsidP="00F0391F">
            <w:pPr>
              <w:suppressAutoHyphens/>
              <w:autoSpaceDE/>
              <w:autoSpaceDN/>
              <w:rPr>
                <w:rFonts w:eastAsia="맑은 고딕"/>
                <w:noProof/>
                <w:lang w:eastAsia="fr-FR"/>
              </w:rPr>
            </w:pPr>
            <w:r w:rsidRPr="00B320E1">
              <w:rPr>
                <w:rFonts w:eastAsia="맑은 고딕"/>
                <w:noProof/>
                <w:lang w:eastAsia="fr-FR"/>
              </w:rPr>
              <w:t>Tel: +39 02 47927040</w:t>
            </w:r>
          </w:p>
          <w:p w14:paraId="2E053947" w14:textId="77777777" w:rsidR="007C6668" w:rsidRPr="00CF4698" w:rsidRDefault="007C6668" w:rsidP="00F0391F">
            <w:pPr>
              <w:suppressAutoHyphens/>
              <w:autoSpaceDE/>
              <w:autoSpaceDN/>
              <w:rPr>
                <w:rFonts w:eastAsia="맑은 고딕"/>
                <w:noProof/>
                <w:lang w:eastAsia="fr-FR"/>
              </w:rPr>
            </w:pPr>
          </w:p>
        </w:tc>
        <w:tc>
          <w:tcPr>
            <w:tcW w:w="2500" w:type="pct"/>
          </w:tcPr>
          <w:p w14:paraId="19733435" w14:textId="77777777" w:rsidR="007C6668" w:rsidRPr="00E303AE" w:rsidRDefault="007C6668" w:rsidP="00F0391F">
            <w:pPr>
              <w:suppressAutoHyphens/>
              <w:autoSpaceDE/>
              <w:autoSpaceDN/>
              <w:rPr>
                <w:noProof/>
                <w:lang w:val="en-US" w:eastAsia="fr-FR"/>
              </w:rPr>
            </w:pPr>
            <w:r w:rsidRPr="00E303AE">
              <w:rPr>
                <w:rFonts w:eastAsia="맑은 고딕"/>
                <w:b/>
                <w:noProof/>
                <w:lang w:val="en-US" w:eastAsia="fr-FR"/>
              </w:rPr>
              <w:t>Suomi/Finland</w:t>
            </w:r>
          </w:p>
          <w:p w14:paraId="73A69FCE" w14:textId="620D0406" w:rsidR="007C6668" w:rsidRPr="00E303AE" w:rsidRDefault="007C6668" w:rsidP="00F0391F">
            <w:pPr>
              <w:tabs>
                <w:tab w:val="left" w:pos="-720"/>
              </w:tabs>
              <w:suppressAutoHyphens/>
              <w:autoSpaceDE/>
              <w:autoSpaceDN/>
              <w:rPr>
                <w:rFonts w:eastAsia="맑은 고딕"/>
                <w:noProof/>
                <w:lang w:val="en-US" w:eastAsia="fr-FR"/>
              </w:rPr>
            </w:pPr>
            <w:r w:rsidRPr="00E303AE">
              <w:rPr>
                <w:rFonts w:eastAsia="맑은 고딕"/>
                <w:noProof/>
                <w:lang w:val="en-US" w:eastAsia="fr-FR"/>
              </w:rPr>
              <w:t>Celltrion Healthcare Finland Oy.</w:t>
            </w:r>
          </w:p>
          <w:p w14:paraId="5A4D97C6" w14:textId="28605451" w:rsidR="007C6668" w:rsidRPr="00B436C7" w:rsidRDefault="007C6668" w:rsidP="00F0391F">
            <w:pPr>
              <w:suppressAutoHyphens/>
              <w:adjustRightInd w:val="0"/>
              <w:rPr>
                <w:rFonts w:eastAsia="맑은 고딕"/>
                <w:noProof/>
                <w:lang w:val="en-US" w:eastAsia="fr-FR"/>
              </w:rPr>
            </w:pPr>
            <w:r w:rsidRPr="00B436C7">
              <w:rPr>
                <w:rFonts w:eastAsia="맑은 고딕"/>
                <w:noProof/>
                <w:lang w:val="en-US" w:eastAsia="fr-FR"/>
              </w:rPr>
              <w:t>Tel: +358 29 170 7755</w:t>
            </w:r>
          </w:p>
          <w:p w14:paraId="60D1848A" w14:textId="05B4131C" w:rsidR="00516DC3" w:rsidRDefault="00516DC3" w:rsidP="00516DC3">
            <w:pPr>
              <w:adjustRightInd w:val="0"/>
              <w:rPr>
                <w:rFonts w:eastAsia="맑은 고딕"/>
                <w:noProof/>
                <w:lang w:val="en-GB" w:eastAsia="ko-KR"/>
              </w:rPr>
            </w:pPr>
            <w:r w:rsidRPr="00204A91">
              <w:rPr>
                <w:rFonts w:eastAsia="맑은 고딕"/>
                <w:noProof/>
                <w:lang w:val="en-GB" w:eastAsia="ko-KR"/>
              </w:rPr>
              <w:t>contact_fi@celltrionhc.com</w:t>
            </w:r>
          </w:p>
          <w:p w14:paraId="6DC45D2B" w14:textId="77777777" w:rsidR="007C6668" w:rsidRPr="00B436C7" w:rsidRDefault="007C6668" w:rsidP="00F0391F">
            <w:pPr>
              <w:suppressAutoHyphens/>
              <w:adjustRightInd w:val="0"/>
              <w:rPr>
                <w:rFonts w:eastAsia="맑은 고딕"/>
                <w:noProof/>
                <w:lang w:val="en-GB" w:eastAsia="ko-KR"/>
              </w:rPr>
            </w:pPr>
          </w:p>
        </w:tc>
      </w:tr>
      <w:tr w:rsidR="007C6668" w:rsidRPr="00CF4698" w14:paraId="6C676623" w14:textId="77777777" w:rsidTr="00F0391F">
        <w:trPr>
          <w:cantSplit/>
        </w:trPr>
        <w:tc>
          <w:tcPr>
            <w:tcW w:w="2500" w:type="pct"/>
          </w:tcPr>
          <w:p w14:paraId="5F3D1DF2" w14:textId="77777777" w:rsidR="007C6668" w:rsidRPr="00CF4698" w:rsidRDefault="007C6668" w:rsidP="00F0391F">
            <w:pPr>
              <w:tabs>
                <w:tab w:val="left" w:pos="-720"/>
              </w:tabs>
              <w:suppressAutoHyphens/>
              <w:autoSpaceDE/>
              <w:autoSpaceDN/>
              <w:rPr>
                <w:b/>
                <w:bCs/>
                <w:noProof/>
                <w:lang w:eastAsia="fr-FR"/>
              </w:rPr>
            </w:pPr>
            <w:r w:rsidRPr="00B320E1">
              <w:rPr>
                <w:b/>
                <w:noProof/>
              </w:rPr>
              <w:t>Κύπρος</w:t>
            </w:r>
          </w:p>
          <w:p w14:paraId="46B2BD75" w14:textId="77777777" w:rsidR="007C6668" w:rsidRPr="00CF4698" w:rsidRDefault="007C6668" w:rsidP="00F0391F">
            <w:pPr>
              <w:tabs>
                <w:tab w:val="left" w:pos="-720"/>
              </w:tabs>
              <w:suppressAutoHyphens/>
              <w:autoSpaceDE/>
              <w:autoSpaceDN/>
              <w:rPr>
                <w:rFonts w:eastAsia="맑은 고딕"/>
                <w:noProof/>
                <w:lang w:eastAsia="ko-KR"/>
              </w:rPr>
            </w:pPr>
            <w:r w:rsidRPr="00B320E1">
              <w:rPr>
                <w:rFonts w:eastAsia="맑은 고딕"/>
                <w:noProof/>
                <w:lang w:eastAsia="fr-FR"/>
              </w:rPr>
              <w:t>C.A. Papaellinas Ltd</w:t>
            </w:r>
          </w:p>
          <w:p w14:paraId="521B0499" w14:textId="77777777" w:rsidR="007C6668" w:rsidRPr="00CF4698" w:rsidRDefault="007C6668" w:rsidP="00F0391F">
            <w:pPr>
              <w:suppressAutoHyphens/>
              <w:adjustRightInd w:val="0"/>
              <w:rPr>
                <w:rFonts w:eastAsia="맑은 고딕"/>
                <w:b/>
                <w:bCs/>
                <w:lang w:eastAsia="fr-FR"/>
              </w:rPr>
            </w:pPr>
            <w:r w:rsidRPr="00B320E1">
              <w:rPr>
                <w:noProof/>
              </w:rPr>
              <w:t xml:space="preserve">Τηλ: </w:t>
            </w:r>
            <w:r w:rsidRPr="00B320E1">
              <w:rPr>
                <w:rFonts w:eastAsia="맑은 고딕"/>
                <w:noProof/>
                <w:lang w:eastAsia="fr-FR"/>
              </w:rPr>
              <w:t>+357 22741741</w:t>
            </w:r>
          </w:p>
          <w:p w14:paraId="718C4C47" w14:textId="77777777" w:rsidR="007C6668" w:rsidRPr="00CF4698" w:rsidRDefault="007C6668" w:rsidP="00F0391F">
            <w:pPr>
              <w:suppressAutoHyphens/>
              <w:adjustRightInd w:val="0"/>
              <w:rPr>
                <w:rFonts w:eastAsia="맑은 고딕"/>
                <w:b/>
                <w:noProof/>
                <w:lang w:eastAsia="fr-FR"/>
              </w:rPr>
            </w:pPr>
          </w:p>
        </w:tc>
        <w:tc>
          <w:tcPr>
            <w:tcW w:w="2500" w:type="pct"/>
          </w:tcPr>
          <w:p w14:paraId="2E5732CF" w14:textId="77777777" w:rsidR="007C6668" w:rsidRPr="00B436C7" w:rsidRDefault="007C6668" w:rsidP="00F0391F">
            <w:pPr>
              <w:tabs>
                <w:tab w:val="left" w:pos="-720"/>
              </w:tabs>
              <w:suppressAutoHyphens/>
              <w:autoSpaceDE/>
              <w:autoSpaceDN/>
              <w:rPr>
                <w:b/>
                <w:noProof/>
                <w:lang w:eastAsia="fr-FR"/>
              </w:rPr>
            </w:pPr>
            <w:r w:rsidRPr="00B436C7">
              <w:rPr>
                <w:b/>
                <w:noProof/>
              </w:rPr>
              <w:t>Sverige</w:t>
            </w:r>
          </w:p>
          <w:p w14:paraId="08E5BC6F" w14:textId="77777777" w:rsidR="007565C8" w:rsidRPr="00B436C7" w:rsidRDefault="007565C8" w:rsidP="007565C8">
            <w:pPr>
              <w:keepNext/>
            </w:pPr>
            <w:r w:rsidRPr="00B436C7">
              <w:t>Celltrion Sweden AB</w:t>
            </w:r>
          </w:p>
          <w:p w14:paraId="10CB8F40" w14:textId="280A7117" w:rsidR="00516DC3" w:rsidRDefault="00516DC3" w:rsidP="00B436C7">
            <w:pPr>
              <w:tabs>
                <w:tab w:val="left" w:pos="-720"/>
              </w:tabs>
              <w:suppressAutoHyphens/>
              <w:rPr>
                <w:rFonts w:eastAsia="맑은 고딕"/>
                <w:noProof/>
                <w:lang w:eastAsia="ko-KR"/>
              </w:rPr>
            </w:pPr>
            <w:r w:rsidRPr="006F04E0">
              <w:rPr>
                <w:rFonts w:eastAsia="맑은 고딕"/>
                <w:noProof/>
                <w:lang w:eastAsia="fr-FR"/>
              </w:rPr>
              <w:t>Tel: +46 8 80 11 77</w:t>
            </w:r>
          </w:p>
          <w:p w14:paraId="707AB3C8" w14:textId="128F5DC0" w:rsidR="007565C8" w:rsidRPr="00B436C7" w:rsidRDefault="00516DC3" w:rsidP="007565C8">
            <w:pPr>
              <w:keepNext/>
            </w:pPr>
            <w:r>
              <w:rPr>
                <w:rFonts w:eastAsia="맑은 고딕" w:hint="eastAsia"/>
                <w:lang w:eastAsia="ko-KR"/>
              </w:rPr>
              <w:t>C</w:t>
            </w:r>
            <w:r w:rsidR="007565C8" w:rsidRPr="00B436C7">
              <w:t>ontact_se@celltrionhc.com</w:t>
            </w:r>
          </w:p>
          <w:p w14:paraId="44DCF9C9" w14:textId="77777777" w:rsidR="007C6668" w:rsidRPr="007565C8" w:rsidRDefault="007C6668" w:rsidP="00F0391F">
            <w:pPr>
              <w:tabs>
                <w:tab w:val="left" w:pos="-720"/>
              </w:tabs>
              <w:suppressAutoHyphens/>
              <w:autoSpaceDE/>
              <w:autoSpaceDN/>
              <w:rPr>
                <w:rFonts w:eastAsia="맑은 고딕"/>
                <w:b/>
                <w:noProof/>
                <w:lang w:eastAsia="fr-FR"/>
              </w:rPr>
            </w:pPr>
          </w:p>
        </w:tc>
      </w:tr>
      <w:tr w:rsidR="007C6668" w:rsidRPr="00CF4698" w14:paraId="2FC30A31" w14:textId="77777777" w:rsidTr="00F0391F">
        <w:trPr>
          <w:cantSplit/>
        </w:trPr>
        <w:tc>
          <w:tcPr>
            <w:tcW w:w="2500" w:type="pct"/>
          </w:tcPr>
          <w:p w14:paraId="55C64FEA" w14:textId="77777777" w:rsidR="007C6668" w:rsidRPr="00CF4698" w:rsidRDefault="007C6668" w:rsidP="00F0391F">
            <w:pPr>
              <w:suppressAutoHyphens/>
              <w:autoSpaceDE/>
              <w:autoSpaceDN/>
              <w:rPr>
                <w:rFonts w:eastAsia="맑은 고딕"/>
                <w:b/>
                <w:noProof/>
                <w:lang w:val="en-US" w:eastAsia="fr-FR"/>
              </w:rPr>
            </w:pPr>
            <w:r w:rsidRPr="00B320E1">
              <w:rPr>
                <w:rFonts w:eastAsia="맑은 고딕"/>
                <w:b/>
                <w:noProof/>
                <w:lang w:val="en-US" w:eastAsia="fr-FR"/>
              </w:rPr>
              <w:t>Latvija</w:t>
            </w:r>
          </w:p>
          <w:p w14:paraId="33F49FF2" w14:textId="77777777" w:rsidR="007C6668" w:rsidRPr="00CF4698" w:rsidRDefault="007C6668" w:rsidP="00F0391F">
            <w:pPr>
              <w:tabs>
                <w:tab w:val="left" w:pos="-720"/>
              </w:tabs>
              <w:suppressAutoHyphens/>
              <w:autoSpaceDE/>
              <w:autoSpaceDN/>
              <w:rPr>
                <w:rFonts w:eastAsia="맑은 고딕"/>
                <w:noProof/>
                <w:lang w:val="en-US" w:eastAsia="fr-FR"/>
              </w:rPr>
            </w:pPr>
            <w:r w:rsidRPr="00B320E1">
              <w:rPr>
                <w:rFonts w:eastAsia="맑은 고딕"/>
                <w:noProof/>
                <w:lang w:val="en-US" w:eastAsia="fr-FR"/>
              </w:rPr>
              <w:t>Celltrion Healthcare Hungary Kft.</w:t>
            </w:r>
          </w:p>
          <w:p w14:paraId="4AA8DBE2" w14:textId="77777777" w:rsidR="007C6668" w:rsidRPr="00CF4698" w:rsidRDefault="007C6668" w:rsidP="00F0391F">
            <w:pPr>
              <w:suppressAutoHyphens/>
              <w:adjustRightInd w:val="0"/>
              <w:rPr>
                <w:rFonts w:eastAsia="맑은 고딕"/>
                <w:noProof/>
                <w:lang w:eastAsia="fr-FR"/>
              </w:rPr>
            </w:pPr>
            <w:r w:rsidRPr="00B320E1">
              <w:rPr>
                <w:rFonts w:eastAsia="맑은 고딕"/>
                <w:noProof/>
                <w:lang w:eastAsia="fr-FR"/>
              </w:rPr>
              <w:t>Tālr.: +36 1 231 0493</w:t>
            </w:r>
          </w:p>
          <w:p w14:paraId="4B084631" w14:textId="77777777" w:rsidR="007C6668" w:rsidRPr="00CF4698" w:rsidRDefault="007C6668" w:rsidP="00F0391F">
            <w:pPr>
              <w:suppressAutoHyphens/>
              <w:adjustRightInd w:val="0"/>
              <w:rPr>
                <w:rFonts w:eastAsia="맑은 고딕"/>
                <w:b/>
                <w:bCs/>
                <w:lang w:eastAsia="fr-FR"/>
              </w:rPr>
            </w:pPr>
          </w:p>
        </w:tc>
        <w:tc>
          <w:tcPr>
            <w:tcW w:w="2500" w:type="pct"/>
          </w:tcPr>
          <w:p w14:paraId="17799E85" w14:textId="77777777" w:rsidR="007C6668" w:rsidRPr="00CF4698" w:rsidRDefault="007C6668" w:rsidP="00F0391F">
            <w:pPr>
              <w:tabs>
                <w:tab w:val="left" w:pos="-720"/>
              </w:tabs>
              <w:suppressAutoHyphens/>
              <w:autoSpaceDE/>
              <w:autoSpaceDN/>
              <w:rPr>
                <w:rFonts w:eastAsia="맑은 고딕"/>
                <w:b/>
                <w:noProof/>
                <w:lang w:eastAsia="fr-FR"/>
              </w:rPr>
            </w:pPr>
          </w:p>
        </w:tc>
      </w:tr>
    </w:tbl>
    <w:p w14:paraId="69065EED" w14:textId="77777777" w:rsidR="00093A5E" w:rsidRPr="006A64EE" w:rsidRDefault="00093A5E" w:rsidP="004255F8">
      <w:pPr>
        <w:pStyle w:val="a3"/>
        <w:widowControl/>
      </w:pPr>
    </w:p>
    <w:p w14:paraId="75E50096" w14:textId="77777777" w:rsidR="00093A5E" w:rsidRPr="006A64EE" w:rsidRDefault="007D680A" w:rsidP="004255F8">
      <w:pPr>
        <w:widowControl/>
        <w:rPr>
          <w:b/>
          <w:bCs/>
        </w:rPr>
      </w:pPr>
      <w:r w:rsidRPr="006A64EE">
        <w:rPr>
          <w:b/>
          <w:bCs/>
        </w:rPr>
        <w:t xml:space="preserve">Diese Packungsbeilage wurde zuletzt überarbeitet im </w:t>
      </w:r>
    </w:p>
    <w:p w14:paraId="6D547572" w14:textId="77777777" w:rsidR="00093A5E" w:rsidRPr="006A64EE" w:rsidRDefault="00093A5E" w:rsidP="004255F8">
      <w:pPr>
        <w:widowControl/>
        <w:rPr>
          <w:b/>
          <w:bCs/>
        </w:rPr>
      </w:pPr>
    </w:p>
    <w:p w14:paraId="694E383B" w14:textId="77777777" w:rsidR="00093A5E" w:rsidRPr="006A64EE" w:rsidRDefault="007D680A" w:rsidP="004255F8">
      <w:pPr>
        <w:widowControl/>
        <w:rPr>
          <w:b/>
          <w:bCs/>
        </w:rPr>
      </w:pPr>
      <w:r w:rsidRPr="006A64EE">
        <w:rPr>
          <w:b/>
          <w:bCs/>
        </w:rPr>
        <w:t>Weitere Informationsquellen</w:t>
      </w:r>
    </w:p>
    <w:p w14:paraId="78D00CA4" w14:textId="77777777" w:rsidR="00093A5E" w:rsidRPr="006A64EE" w:rsidRDefault="00093A5E" w:rsidP="004255F8">
      <w:pPr>
        <w:pStyle w:val="a3"/>
        <w:widowControl/>
      </w:pPr>
    </w:p>
    <w:p w14:paraId="739F1FFD" w14:textId="7F978018" w:rsidR="00093A5E" w:rsidRPr="006A64EE" w:rsidRDefault="009C2544" w:rsidP="004255F8">
      <w:pPr>
        <w:pStyle w:val="a3"/>
        <w:widowControl/>
      </w:pPr>
      <w:r w:rsidRPr="006A64EE">
        <w:t xml:space="preserve">Ausführliche Informationen zu diesem Arzneimittel sind auf den Internetseiten der Europäischen Arzneimittel-Agentur </w:t>
      </w:r>
      <w:hyperlink r:id="rId33" w:history="1">
        <w:r w:rsidR="005A173B" w:rsidRPr="005A173B">
          <w:rPr>
            <w:rStyle w:val="a8"/>
          </w:rPr>
          <w:t>http</w:t>
        </w:r>
        <w:r w:rsidR="005A173B" w:rsidRPr="005A173B">
          <w:rPr>
            <w:rStyle w:val="a8"/>
            <w:rFonts w:eastAsia="맑은 고딕" w:hint="eastAsia"/>
            <w:lang w:eastAsia="ko-KR"/>
          </w:rPr>
          <w:t>s</w:t>
        </w:r>
        <w:r w:rsidR="005A173B" w:rsidRPr="005A173B">
          <w:rPr>
            <w:rStyle w:val="a8"/>
          </w:rPr>
          <w:t>://www.ema.europa.eu/</w:t>
        </w:r>
      </w:hyperlink>
      <w:r w:rsidRPr="006A64EE">
        <w:t xml:space="preserve"> verfügbar.</w:t>
      </w:r>
    </w:p>
    <w:p w14:paraId="37523DD6" w14:textId="77777777" w:rsidR="007C6668" w:rsidRPr="00890245" w:rsidRDefault="007D680A" w:rsidP="007C6668">
      <w:pPr>
        <w:keepNext/>
        <w:rPr>
          <w:b/>
          <w:bCs/>
        </w:rPr>
      </w:pPr>
      <w:r w:rsidRPr="006A64EE">
        <w:br w:type="page"/>
      </w:r>
      <w:r w:rsidR="007C6668" w:rsidRPr="00890245">
        <w:rPr>
          <w:b/>
        </w:rPr>
        <w:t>7.</w:t>
      </w:r>
      <w:r w:rsidR="007C6668" w:rsidRPr="00890245">
        <w:rPr>
          <w:b/>
        </w:rPr>
        <w:tab/>
        <w:t>Gebrauchsanweisung</w:t>
      </w:r>
    </w:p>
    <w:p w14:paraId="691AFCC0" w14:textId="77777777" w:rsidR="007C6668" w:rsidRPr="00890245" w:rsidRDefault="007C6668" w:rsidP="007C6668">
      <w:pPr>
        <w:keepNext/>
      </w:pPr>
    </w:p>
    <w:p w14:paraId="4B5F52ED" w14:textId="59FC1A3D" w:rsidR="007C6668" w:rsidRPr="00890245" w:rsidRDefault="007C6668" w:rsidP="007C6668">
      <w:r w:rsidRPr="00890245">
        <w:t>Lesen und befolgen Sie die Gebrauchsanweisung, die Ihrem Avtozma</w:t>
      </w:r>
      <w:r>
        <w:t>-</w:t>
      </w:r>
      <w:r w:rsidRPr="00890245">
        <w:t>Fertigpen beiliegt, bevor Sie mit der Anwendung beginnen und jedes Mal, wenn Sie einen neuen Vorrat des Arzneimittels erhalten. Es könnte neue Informationen geben. Wenden Sie Avtozma erst an, wenn Ihnen Ihre medizinische Fachkraft gezeigt hat, wie Sie Avtozma richtig anwenden.</w:t>
      </w:r>
    </w:p>
    <w:p w14:paraId="22FD2DA2" w14:textId="77777777" w:rsidR="007C6668" w:rsidRPr="00890245" w:rsidRDefault="007C6668" w:rsidP="007C6668"/>
    <w:p w14:paraId="65CC6A07" w14:textId="77777777" w:rsidR="007C6668" w:rsidRPr="00890245" w:rsidRDefault="007C6668" w:rsidP="007C6668">
      <w:pPr>
        <w:keepNext/>
        <w:rPr>
          <w:b/>
          <w:bCs/>
        </w:rPr>
      </w:pPr>
      <w:r w:rsidRPr="00890245">
        <w:rPr>
          <w:b/>
        </w:rPr>
        <w:t>Wichtige Informationen</w:t>
      </w:r>
    </w:p>
    <w:p w14:paraId="6E0C8800" w14:textId="77777777" w:rsidR="007C6668" w:rsidRPr="00890245" w:rsidRDefault="007C6668" w:rsidP="007C6668">
      <w:pPr>
        <w:keepNext/>
        <w:rPr>
          <w:b/>
          <w:bCs/>
        </w:rPr>
      </w:pPr>
    </w:p>
    <w:p w14:paraId="71CA52B2" w14:textId="77777777" w:rsidR="007C6668" w:rsidRPr="00890245" w:rsidRDefault="007C6668" w:rsidP="007C6668">
      <w:pPr>
        <w:pStyle w:val="a4"/>
        <w:widowControl/>
        <w:numPr>
          <w:ilvl w:val="0"/>
          <w:numId w:val="29"/>
        </w:numPr>
        <w:autoSpaceDE/>
        <w:autoSpaceDN/>
        <w:ind w:left="567" w:hanging="567"/>
        <w:contextualSpacing/>
      </w:pPr>
      <w:r w:rsidRPr="00890245">
        <w:t xml:space="preserve">Nehmen Sie die Schutzkappe </w:t>
      </w:r>
      <w:r w:rsidRPr="00890245">
        <w:rPr>
          <w:b/>
        </w:rPr>
        <w:t>erst</w:t>
      </w:r>
      <w:r w:rsidRPr="00890245">
        <w:t xml:space="preserve"> vom Fertigpen ab, wenn Sie für die Avtozma-Injektion bereit sind.</w:t>
      </w:r>
    </w:p>
    <w:p w14:paraId="79D369AD" w14:textId="77777777" w:rsidR="007C6668" w:rsidRPr="00890245" w:rsidRDefault="007C6668" w:rsidP="007C6668">
      <w:pPr>
        <w:pStyle w:val="a4"/>
        <w:widowControl/>
        <w:numPr>
          <w:ilvl w:val="0"/>
          <w:numId w:val="29"/>
        </w:numPr>
        <w:autoSpaceDE/>
        <w:autoSpaceDN/>
        <w:ind w:left="567" w:hanging="567"/>
        <w:contextualSpacing/>
      </w:pPr>
      <w:r w:rsidRPr="00890245">
        <w:t xml:space="preserve">Versuchen Sie zu </w:t>
      </w:r>
      <w:r w:rsidRPr="00890245">
        <w:rPr>
          <w:b/>
          <w:bCs/>
        </w:rPr>
        <w:t>keinem</w:t>
      </w:r>
      <w:r w:rsidRPr="00890245">
        <w:t xml:space="preserve"> Zeitpunkt, den Fertigpen auseinander zu nehmen.</w:t>
      </w:r>
    </w:p>
    <w:p w14:paraId="3E8A0B28" w14:textId="77777777" w:rsidR="007C6668" w:rsidRPr="00890245" w:rsidRDefault="007C6668" w:rsidP="007C6668">
      <w:pPr>
        <w:pStyle w:val="a4"/>
        <w:widowControl/>
        <w:numPr>
          <w:ilvl w:val="0"/>
          <w:numId w:val="29"/>
        </w:numPr>
        <w:autoSpaceDE/>
        <w:autoSpaceDN/>
        <w:ind w:left="567" w:hanging="567"/>
        <w:contextualSpacing/>
      </w:pPr>
      <w:r w:rsidRPr="00890245">
        <w:t>Verwenden Sie denselben Fertigpen</w:t>
      </w:r>
      <w:r w:rsidRPr="00890245">
        <w:rPr>
          <w:b/>
        </w:rPr>
        <w:t xml:space="preserve"> nicht</w:t>
      </w:r>
      <w:r w:rsidRPr="00890245">
        <w:t xml:space="preserve"> erneut.</w:t>
      </w:r>
    </w:p>
    <w:p w14:paraId="50DADA5E" w14:textId="77777777" w:rsidR="007C6668" w:rsidRPr="00890245" w:rsidRDefault="007C6668" w:rsidP="007C6668">
      <w:pPr>
        <w:pStyle w:val="a4"/>
        <w:widowControl/>
        <w:numPr>
          <w:ilvl w:val="0"/>
          <w:numId w:val="29"/>
        </w:numPr>
        <w:autoSpaceDE/>
        <w:autoSpaceDN/>
        <w:ind w:left="567" w:hanging="567"/>
        <w:contextualSpacing/>
      </w:pPr>
      <w:r w:rsidRPr="00890245">
        <w:t xml:space="preserve">Schütteln Sie den Fertigpen </w:t>
      </w:r>
      <w:r w:rsidRPr="00890245">
        <w:rPr>
          <w:b/>
        </w:rPr>
        <w:t>nicht</w:t>
      </w:r>
      <w:r w:rsidRPr="00890245">
        <w:t>.</w:t>
      </w:r>
    </w:p>
    <w:p w14:paraId="76F82402" w14:textId="77777777" w:rsidR="007C6668" w:rsidRPr="00890245" w:rsidRDefault="007C6668" w:rsidP="007C6668">
      <w:pPr>
        <w:pStyle w:val="a4"/>
        <w:widowControl/>
        <w:numPr>
          <w:ilvl w:val="0"/>
          <w:numId w:val="29"/>
        </w:numPr>
        <w:autoSpaceDE/>
        <w:autoSpaceDN/>
        <w:ind w:left="567" w:hanging="567"/>
        <w:contextualSpacing/>
      </w:pPr>
      <w:r w:rsidRPr="00890245">
        <w:t xml:space="preserve">Wenden Sie den Fertigpen </w:t>
      </w:r>
      <w:r w:rsidRPr="00890245">
        <w:rPr>
          <w:b/>
        </w:rPr>
        <w:t>nicht</w:t>
      </w:r>
      <w:r w:rsidRPr="00890245">
        <w:t xml:space="preserve"> an, wenn er heruntergefallen oder beschädigt ist.</w:t>
      </w:r>
    </w:p>
    <w:p w14:paraId="288A5518" w14:textId="11C01B24" w:rsidR="007C6668" w:rsidRPr="00890245" w:rsidRDefault="007C6668" w:rsidP="007C6668">
      <w:pPr>
        <w:pStyle w:val="a4"/>
        <w:widowControl/>
        <w:numPr>
          <w:ilvl w:val="0"/>
          <w:numId w:val="29"/>
        </w:numPr>
        <w:autoSpaceDE/>
        <w:autoSpaceDN/>
        <w:ind w:left="567" w:hanging="567"/>
        <w:contextualSpacing/>
      </w:pPr>
      <w:r w:rsidRPr="00890245">
        <w:rPr>
          <w:b/>
        </w:rPr>
        <w:t>Hinweis für Patienten in Bezug auf Überempfindlichkeitsreaktionen (oder Anaphylaxie):</w:t>
      </w:r>
      <w:r w:rsidRPr="00890245">
        <w:t xml:space="preserve"> Wenn bei Ihnen zu irgendeinem Zeitpunkt, an dem Sie während oder nach einer Injektion nicht im Krankenhaus sind, unter anderem Symptome auftreten wie Hautausschlag, Juckreiz, Schüttelfrost, Schwellung von Gesicht, Lippen, Zunge oder Hals, Schmerzen in der Brust, Atemgeräusche, Atem- oder Schluckbeschwerden, Schwindelgefühl oder Ohnmacht, suchen Sie sofort die nächste Notaufnahme auf.</w:t>
      </w:r>
    </w:p>
    <w:p w14:paraId="5DEF30A4" w14:textId="77777777" w:rsidR="007C6668" w:rsidRPr="00890245" w:rsidRDefault="007C6668" w:rsidP="007C6668"/>
    <w:p w14:paraId="3C29E2E3" w14:textId="77777777" w:rsidR="007C6668" w:rsidRPr="00890245" w:rsidRDefault="007C6668" w:rsidP="007C6668">
      <w:pPr>
        <w:keepNext/>
        <w:rPr>
          <w:b/>
          <w:bCs/>
        </w:rPr>
      </w:pPr>
      <w:r w:rsidRPr="00890245">
        <w:rPr>
          <w:b/>
        </w:rPr>
        <w:t>Aufbewahrung von Avtozma</w:t>
      </w:r>
    </w:p>
    <w:p w14:paraId="2DF1FA1B" w14:textId="77777777" w:rsidR="007C6668" w:rsidRPr="00890245" w:rsidRDefault="007C6668" w:rsidP="007C6668">
      <w:pPr>
        <w:pStyle w:val="a4"/>
        <w:widowControl/>
        <w:numPr>
          <w:ilvl w:val="0"/>
          <w:numId w:val="30"/>
        </w:numPr>
        <w:autoSpaceDE/>
        <w:autoSpaceDN/>
        <w:ind w:left="567" w:hanging="567"/>
        <w:contextualSpacing/>
      </w:pPr>
      <w:r w:rsidRPr="00890245">
        <w:t xml:space="preserve">Bewahren Sie den nicht verwendeten Fertigpen in der Originalverpackung im Kühlschrank bei 2 °C bis 8 °C auf. </w:t>
      </w:r>
      <w:r w:rsidRPr="00890245">
        <w:rPr>
          <w:b/>
        </w:rPr>
        <w:t>Nicht</w:t>
      </w:r>
      <w:r w:rsidRPr="00890245">
        <w:t xml:space="preserve"> einfrieren.</w:t>
      </w:r>
    </w:p>
    <w:p w14:paraId="371496E8" w14:textId="42E82E12" w:rsidR="007C6668" w:rsidRPr="00890245" w:rsidRDefault="007C6668" w:rsidP="007C6668">
      <w:pPr>
        <w:pStyle w:val="a4"/>
        <w:widowControl/>
        <w:numPr>
          <w:ilvl w:val="0"/>
          <w:numId w:val="30"/>
        </w:numPr>
        <w:autoSpaceDE/>
        <w:autoSpaceDN/>
        <w:ind w:left="567" w:hanging="567"/>
        <w:contextualSpacing/>
      </w:pPr>
      <w:r w:rsidRPr="00890245">
        <w:t xml:space="preserve">Avtozma kann nach der Entnahme aus dem Kühlschrank bis zu 3 Wochen bei höchstens 30 °C aufbewahrt werden. Wird Avtozma nicht innerhalb von 3 Wochen verwendet, sollte das Arzneimittel </w:t>
      </w:r>
      <w:r w:rsidR="007F4E69">
        <w:t>entsorgt</w:t>
      </w:r>
      <w:r w:rsidRPr="00890245">
        <w:t xml:space="preserve"> werden.</w:t>
      </w:r>
    </w:p>
    <w:p w14:paraId="2BEE057E" w14:textId="77777777" w:rsidR="007C6668" w:rsidRPr="00890245" w:rsidRDefault="007C6668" w:rsidP="007C6668">
      <w:pPr>
        <w:pStyle w:val="a4"/>
        <w:widowControl/>
        <w:numPr>
          <w:ilvl w:val="0"/>
          <w:numId w:val="30"/>
        </w:numPr>
        <w:autoSpaceDE/>
        <w:autoSpaceDN/>
        <w:ind w:left="567" w:hanging="567"/>
        <w:contextualSpacing/>
      </w:pPr>
      <w:r w:rsidRPr="00890245">
        <w:t>Bewahren Sie den Fertigpen vor direktem Sonnenlicht geschützt auf.</w:t>
      </w:r>
    </w:p>
    <w:p w14:paraId="655589FD" w14:textId="77777777" w:rsidR="007C6668" w:rsidRPr="00890245" w:rsidRDefault="007C6668" w:rsidP="007C6668">
      <w:pPr>
        <w:pStyle w:val="a4"/>
        <w:widowControl/>
        <w:numPr>
          <w:ilvl w:val="0"/>
          <w:numId w:val="30"/>
        </w:numPr>
        <w:autoSpaceDE/>
        <w:autoSpaceDN/>
        <w:ind w:left="567" w:hanging="567"/>
        <w:contextualSpacing/>
      </w:pPr>
      <w:r w:rsidRPr="00890245">
        <w:t xml:space="preserve">Entnehmen Sie den Fertigpen während der Lagerung </w:t>
      </w:r>
      <w:r w:rsidRPr="00890245">
        <w:rPr>
          <w:b/>
        </w:rPr>
        <w:t>nicht</w:t>
      </w:r>
      <w:r w:rsidRPr="00890245">
        <w:t xml:space="preserve"> aus der Originalverpackung.</w:t>
      </w:r>
    </w:p>
    <w:p w14:paraId="1D9B993C" w14:textId="77777777" w:rsidR="007C6668" w:rsidRPr="00890245" w:rsidRDefault="007C6668" w:rsidP="007C6668">
      <w:pPr>
        <w:pStyle w:val="a4"/>
        <w:widowControl/>
        <w:numPr>
          <w:ilvl w:val="0"/>
          <w:numId w:val="30"/>
        </w:numPr>
        <w:autoSpaceDE/>
        <w:autoSpaceDN/>
        <w:ind w:left="567" w:hanging="567"/>
        <w:contextualSpacing/>
      </w:pPr>
      <w:r w:rsidRPr="00890245">
        <w:t xml:space="preserve">Lassen Sie den Fertigpen </w:t>
      </w:r>
      <w:r w:rsidRPr="00890245">
        <w:rPr>
          <w:b/>
        </w:rPr>
        <w:t>nicht</w:t>
      </w:r>
      <w:r w:rsidRPr="00890245">
        <w:t xml:space="preserve"> unbeaufsichtigt liegen.</w:t>
      </w:r>
    </w:p>
    <w:p w14:paraId="755262F8" w14:textId="77777777" w:rsidR="007C6668" w:rsidRPr="00890245" w:rsidRDefault="007C6668" w:rsidP="007C6668">
      <w:pPr>
        <w:pStyle w:val="a4"/>
        <w:widowControl/>
        <w:numPr>
          <w:ilvl w:val="0"/>
          <w:numId w:val="30"/>
        </w:numPr>
        <w:autoSpaceDE/>
        <w:autoSpaceDN/>
        <w:ind w:left="567" w:hanging="567"/>
        <w:contextualSpacing/>
      </w:pPr>
      <w:r w:rsidRPr="00890245">
        <w:t>Bewahren Sie den Fertigpen für Kinder unzugänglich auf. Enthält kleine Teile.</w:t>
      </w:r>
    </w:p>
    <w:p w14:paraId="7391BDB9" w14:textId="484CA9DF" w:rsidR="007C6668" w:rsidRPr="007C6668" w:rsidRDefault="007C6668" w:rsidP="00B320E1">
      <w:pPr>
        <w:rPr>
          <w:b/>
          <w:bCs/>
        </w:rPr>
      </w:pPr>
      <w:r w:rsidRPr="007C6668">
        <w:br w:type="page"/>
      </w:r>
      <w:r w:rsidRPr="00890245">
        <w:rPr>
          <w:b/>
        </w:rPr>
        <w:t>Teile Ihres Avtozma</w:t>
      </w:r>
      <w:r>
        <w:rPr>
          <w:b/>
        </w:rPr>
        <w:t>-</w:t>
      </w:r>
      <w:r w:rsidRPr="00890245">
        <w:rPr>
          <w:b/>
        </w:rPr>
        <w:t>Fertigpens (siehe Abbildung A)</w:t>
      </w:r>
    </w:p>
    <w:p w14:paraId="39285D04" w14:textId="6985A431" w:rsidR="007C6668" w:rsidRPr="007C6668" w:rsidRDefault="00A16FF2" w:rsidP="007C6668">
      <w:pPr>
        <w:keepNext/>
      </w:pPr>
      <w:r>
        <w:rPr>
          <w:noProof/>
          <w:lang w:val="en-US" w:eastAsia="ko-KR"/>
        </w:rPr>
        <mc:AlternateContent>
          <mc:Choice Requires="wps">
            <w:drawing>
              <wp:anchor distT="45720" distB="45720" distL="114300" distR="114300" simplePos="0" relativeHeight="251658270" behindDoc="0" locked="1" layoutInCell="1" allowOverlap="1" wp14:anchorId="7E93A6FE" wp14:editId="55EFBF2A">
                <wp:simplePos x="0" y="0"/>
                <wp:positionH relativeFrom="column">
                  <wp:posOffset>434975</wp:posOffset>
                </wp:positionH>
                <wp:positionV relativeFrom="paragraph">
                  <wp:posOffset>288925</wp:posOffset>
                </wp:positionV>
                <wp:extent cx="2294255" cy="422275"/>
                <wp:effectExtent l="0" t="0" r="0" b="0"/>
                <wp:wrapNone/>
                <wp:docPr id="1500619127"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422275"/>
                        </a:xfrm>
                        <a:prstGeom prst="rect">
                          <a:avLst/>
                        </a:prstGeom>
                        <a:noFill/>
                        <a:ln w="9525">
                          <a:noFill/>
                          <a:miter lim="800000"/>
                          <a:headEnd/>
                          <a:tailEnd/>
                        </a:ln>
                      </wps:spPr>
                      <wps:txbx>
                        <w:txbxContent>
                          <w:p w14:paraId="18BE21C8" w14:textId="4B9C560F" w:rsidR="00456610" w:rsidRPr="00EF1826" w:rsidRDefault="00456610" w:rsidP="007C6668">
                            <w:pPr>
                              <w:jc w:val="center"/>
                              <w:rPr>
                                <w:rFonts w:ascii="Arial" w:hAnsi="Arial" w:cs="Arial"/>
                                <w:b/>
                                <w:bCs/>
                                <w:sz w:val="36"/>
                                <w:szCs w:val="36"/>
                                <w:lang w:val="es-ES"/>
                              </w:rPr>
                            </w:pPr>
                            <w:r w:rsidRPr="004C0355">
                              <w:rPr>
                                <w:rFonts w:ascii="Arial" w:hAnsi="Arial" w:cs="Arial"/>
                                <w:b/>
                                <w:bCs/>
                                <w:sz w:val="36"/>
                                <w:szCs w:val="36"/>
                                <w:lang w:val="es-ES"/>
                              </w:rPr>
                              <w:t>Vor der Anwendung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3A6FE" id="Text Box 61" o:spid="_x0000_s1057" type="#_x0000_t202" style="position:absolute;margin-left:34.25pt;margin-top:22.75pt;width:180.65pt;height:33.2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" filled="f" stroked="f">
                <v:textbox inset="0,0,0,0">
                  <w:txbxContent>
                    <w:p w14:paraId="18BE21C8" w14:textId="4B9C560F" w:rsidR="00456610" w:rsidRPr="00EF1826" w:rsidRDefault="00456610" w:rsidP="007C6668">
                      <w:pPr>
                        <w:jc w:val="center"/>
                        <w:rPr>
                          <w:rFonts w:ascii="Arial" w:hAnsi="Arial" w:cs="Arial"/>
                          <w:b/>
                          <w:bCs/>
                          <w:sz w:val="36"/>
                          <w:szCs w:val="36"/>
                          <w:lang w:val="es-ES"/>
                        </w:rPr>
                      </w:pPr>
                      <w:r w:rsidRPr="004C0355">
                        <w:rPr>
                          <w:rFonts w:ascii="Arial" w:hAnsi="Arial" w:cs="Arial"/>
                          <w:b/>
                          <w:bCs/>
                          <w:sz w:val="36"/>
                          <w:szCs w:val="36"/>
                          <w:lang w:val="es-ES"/>
                        </w:rPr>
                        <w:t>Vor der Anwendung</w:t>
                      </w:r>
                    </w:p>
                  </w:txbxContent>
                </v:textbox>
                <w10:anchorlock/>
              </v:shape>
            </w:pict>
          </mc:Fallback>
        </mc:AlternateContent>
      </w:r>
      <w:r>
        <w:rPr>
          <w:noProof/>
          <w:lang w:val="en-US" w:eastAsia="ko-KR"/>
        </w:rPr>
        <mc:AlternateContent>
          <mc:Choice Requires="wps">
            <w:drawing>
              <wp:anchor distT="45720" distB="45720" distL="114300" distR="114300" simplePos="0" relativeHeight="251658271" behindDoc="0" locked="1" layoutInCell="1" allowOverlap="1" wp14:anchorId="456C8FA7" wp14:editId="2E14ECE3">
                <wp:simplePos x="0" y="0"/>
                <wp:positionH relativeFrom="margin">
                  <wp:posOffset>3847465</wp:posOffset>
                </wp:positionH>
                <wp:positionV relativeFrom="paragraph">
                  <wp:posOffset>100965</wp:posOffset>
                </wp:positionV>
                <wp:extent cx="2254250" cy="622935"/>
                <wp:effectExtent l="0" t="0" r="0" b="0"/>
                <wp:wrapNone/>
                <wp:docPr id="195745893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4250" cy="622935"/>
                        </a:xfrm>
                        <a:prstGeom prst="rect">
                          <a:avLst/>
                        </a:prstGeom>
                        <a:noFill/>
                        <a:ln w="9525">
                          <a:noFill/>
                          <a:miter lim="800000"/>
                          <a:headEnd/>
                          <a:tailEnd/>
                        </a:ln>
                      </wps:spPr>
                      <wps:txbx>
                        <w:txbxContent>
                          <w:p w14:paraId="74D817BC" w14:textId="4F9E4531" w:rsidR="00456610" w:rsidRPr="00EF1826" w:rsidRDefault="00456610" w:rsidP="007C6668">
                            <w:pPr>
                              <w:jc w:val="center"/>
                              <w:rPr>
                                <w:rFonts w:ascii="Arial" w:hAnsi="Arial" w:cs="Arial"/>
                                <w:b/>
                                <w:bCs/>
                                <w:sz w:val="36"/>
                                <w:szCs w:val="36"/>
                                <w:lang w:val="es-ES"/>
                              </w:rPr>
                            </w:pPr>
                            <w:r w:rsidRPr="004C0355">
                              <w:rPr>
                                <w:rFonts w:ascii="Arial" w:hAnsi="Arial" w:cs="Arial"/>
                                <w:b/>
                                <w:bCs/>
                                <w:sz w:val="36"/>
                                <w:szCs w:val="36"/>
                                <w:lang w:val="es-ES"/>
                              </w:rPr>
                              <w:t>Nach der Anwendung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C8FA7" id="Text Box 59" o:spid="_x0000_s1058" type="#_x0000_t202" style="position:absolute;margin-left:302.95pt;margin-top:7.95pt;width:177.5pt;height:49.05pt;z-index:2516582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" filled="f" stroked="f">
                <v:textbox inset="0,0,0,0">
                  <w:txbxContent>
                    <w:p w14:paraId="74D817BC" w14:textId="4F9E4531" w:rsidR="00456610" w:rsidRPr="00EF1826" w:rsidRDefault="00456610" w:rsidP="007C6668">
                      <w:pPr>
                        <w:jc w:val="center"/>
                        <w:rPr>
                          <w:rFonts w:ascii="Arial" w:hAnsi="Arial" w:cs="Arial"/>
                          <w:b/>
                          <w:bCs/>
                          <w:sz w:val="36"/>
                          <w:szCs w:val="36"/>
                          <w:lang w:val="es-ES"/>
                        </w:rPr>
                      </w:pPr>
                      <w:r w:rsidRPr="004C0355">
                        <w:rPr>
                          <w:rFonts w:ascii="Arial" w:hAnsi="Arial" w:cs="Arial"/>
                          <w:b/>
                          <w:bCs/>
                          <w:sz w:val="36"/>
                          <w:szCs w:val="36"/>
                          <w:lang w:val="es-ES"/>
                        </w:rPr>
                        <w:t>Nach der Anwendung</w:t>
                      </w:r>
                    </w:p>
                  </w:txbxContent>
                </v:textbox>
                <w10:wrap anchorx="margin"/>
                <w10:anchorlock/>
              </v:shape>
            </w:pict>
          </mc:Fallback>
        </mc:AlternateContent>
      </w:r>
      <w:r>
        <w:rPr>
          <w:noProof/>
          <w:lang w:val="en-US" w:eastAsia="ko-KR"/>
        </w:rPr>
        <mc:AlternateContent>
          <mc:Choice Requires="wps">
            <w:drawing>
              <wp:anchor distT="45720" distB="45720" distL="114300" distR="114300" simplePos="0" relativeHeight="251658272" behindDoc="0" locked="1" layoutInCell="1" allowOverlap="1" wp14:anchorId="1DD0E935" wp14:editId="2C199E8A">
                <wp:simplePos x="0" y="0"/>
                <wp:positionH relativeFrom="column">
                  <wp:posOffset>915670</wp:posOffset>
                </wp:positionH>
                <wp:positionV relativeFrom="paragraph">
                  <wp:posOffset>1812290</wp:posOffset>
                </wp:positionV>
                <wp:extent cx="1461770" cy="422275"/>
                <wp:effectExtent l="0" t="0" r="0" b="0"/>
                <wp:wrapNone/>
                <wp:docPr id="174316740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1770" cy="422275"/>
                        </a:xfrm>
                        <a:prstGeom prst="rect">
                          <a:avLst/>
                        </a:prstGeom>
                        <a:noFill/>
                        <a:ln>
                          <a:noFill/>
                        </a:ln>
                      </wps:spPr>
                      <wps:txbx>
                        <w:txbxContent>
                          <w:p w14:paraId="466EF4D7" w14:textId="60803DBC" w:rsidR="00456610" w:rsidRPr="00B320E1" w:rsidRDefault="00456610" w:rsidP="007C6668">
                            <w:pPr>
                              <w:jc w:val="center"/>
                              <w:rPr>
                                <w:rFonts w:ascii="Arial" w:hAnsi="Arial" w:cs="Arial"/>
                                <w:sz w:val="24"/>
                                <w:szCs w:val="24"/>
                                <w:lang w:val="es-ES"/>
                              </w:rPr>
                            </w:pPr>
                            <w:r w:rsidRPr="00B320E1">
                              <w:rPr>
                                <w:rFonts w:ascii="Arial" w:hAnsi="Arial" w:cs="Arial"/>
                                <w:sz w:val="24"/>
                                <w:szCs w:val="24"/>
                                <w:lang w:val="es-ES"/>
                              </w:rPr>
                              <w:t>Spritzenkörper</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0E935" id="Text Box 57" o:spid="_x0000_s1059" type="#_x0000_t202" style="position:absolute;margin-left:72.1pt;margin-top:142.7pt;width:115.1pt;height:33.2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" filled="f" stroked="f">
                <v:textbox inset="0,0,0,0">
                  <w:txbxContent>
                    <w:p w14:paraId="466EF4D7" w14:textId="60803DBC" w:rsidR="00456610" w:rsidRPr="00B320E1" w:rsidRDefault="00456610" w:rsidP="007C6668">
                      <w:pPr>
                        <w:jc w:val="center"/>
                        <w:rPr>
                          <w:rFonts w:ascii="Arial" w:hAnsi="Arial" w:cs="Arial"/>
                          <w:sz w:val="24"/>
                          <w:szCs w:val="24"/>
                          <w:lang w:val="es-ES"/>
                        </w:rPr>
                      </w:pPr>
                      <w:r w:rsidRPr="00B320E1">
                        <w:rPr>
                          <w:rFonts w:ascii="Arial" w:hAnsi="Arial" w:cs="Arial"/>
                          <w:sz w:val="24"/>
                          <w:szCs w:val="24"/>
                          <w:lang w:val="es-ES"/>
                        </w:rPr>
                        <w:t>Spritzenkörper</w:t>
                      </w:r>
                    </w:p>
                  </w:txbxContent>
                </v:textbox>
                <w10:anchorlock/>
              </v:shape>
            </w:pict>
          </mc:Fallback>
        </mc:AlternateContent>
      </w:r>
      <w:r>
        <w:rPr>
          <w:noProof/>
          <w:lang w:val="en-US" w:eastAsia="ko-KR"/>
        </w:rPr>
        <mc:AlternateContent>
          <mc:Choice Requires="wps">
            <w:drawing>
              <wp:anchor distT="45720" distB="45720" distL="114300" distR="114300" simplePos="0" relativeHeight="251658273" behindDoc="0" locked="1" layoutInCell="1" allowOverlap="1" wp14:anchorId="7C822CE6" wp14:editId="0CDCAA9E">
                <wp:simplePos x="0" y="0"/>
                <wp:positionH relativeFrom="column">
                  <wp:posOffset>788670</wp:posOffset>
                </wp:positionH>
                <wp:positionV relativeFrom="paragraph">
                  <wp:posOffset>2892425</wp:posOffset>
                </wp:positionV>
                <wp:extent cx="1339850" cy="551815"/>
                <wp:effectExtent l="0" t="0" r="0" b="0"/>
                <wp:wrapNone/>
                <wp:docPr id="136084864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551815"/>
                        </a:xfrm>
                        <a:prstGeom prst="rect">
                          <a:avLst/>
                        </a:prstGeom>
                        <a:noFill/>
                        <a:ln w="9525">
                          <a:noFill/>
                          <a:miter lim="800000"/>
                          <a:headEnd/>
                          <a:tailEnd/>
                        </a:ln>
                      </wps:spPr>
                      <wps:txbx>
                        <w:txbxContent>
                          <w:p w14:paraId="05671CD5" w14:textId="2BBC62F9" w:rsidR="00456610" w:rsidRPr="00B320E1" w:rsidRDefault="00456610" w:rsidP="007C6668">
                            <w:pPr>
                              <w:spacing w:line="264" w:lineRule="auto"/>
                              <w:jc w:val="center"/>
                              <w:rPr>
                                <w:rFonts w:ascii="Arial" w:hAnsi="Arial" w:cs="Arial"/>
                                <w:sz w:val="24"/>
                                <w:szCs w:val="24"/>
                                <w:lang w:val="es-ES"/>
                              </w:rPr>
                            </w:pPr>
                            <w:r w:rsidRPr="00B320E1">
                              <w:rPr>
                                <w:rFonts w:ascii="Arial" w:hAnsi="Arial" w:cs="Arial"/>
                                <w:sz w:val="24"/>
                                <w:szCs w:val="24"/>
                                <w:lang w:val="es-ES"/>
                              </w:rPr>
                              <w:t>Fensterbereich</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22CE6" id="Text Box 55" o:spid="_x0000_s1060" type="#_x0000_t202" style="position:absolute;margin-left:62.1pt;margin-top:227.75pt;width:105.5pt;height:43.45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" filled="f" stroked="f">
                <v:textbox inset="0,0,0,0">
                  <w:txbxContent>
                    <w:p w14:paraId="05671CD5" w14:textId="2BBC62F9" w:rsidR="00456610" w:rsidRPr="00B320E1" w:rsidRDefault="00456610" w:rsidP="007C6668">
                      <w:pPr>
                        <w:spacing w:line="264" w:lineRule="auto"/>
                        <w:jc w:val="center"/>
                        <w:rPr>
                          <w:rFonts w:ascii="Arial" w:hAnsi="Arial" w:cs="Arial"/>
                          <w:sz w:val="24"/>
                          <w:szCs w:val="24"/>
                          <w:lang w:val="es-ES"/>
                        </w:rPr>
                      </w:pPr>
                      <w:r w:rsidRPr="00B320E1">
                        <w:rPr>
                          <w:rFonts w:ascii="Arial" w:hAnsi="Arial" w:cs="Arial"/>
                          <w:sz w:val="24"/>
                          <w:szCs w:val="24"/>
                          <w:lang w:val="es-ES"/>
                        </w:rPr>
                        <w:t>Fensterbereich</w:t>
                      </w:r>
                    </w:p>
                  </w:txbxContent>
                </v:textbox>
                <w10:anchorlock/>
              </v:shape>
            </w:pict>
          </mc:Fallback>
        </mc:AlternateContent>
      </w:r>
      <w:r>
        <w:rPr>
          <w:noProof/>
          <w:lang w:val="en-US" w:eastAsia="ko-KR"/>
        </w:rPr>
        <mc:AlternateContent>
          <mc:Choice Requires="wps">
            <w:drawing>
              <wp:anchor distT="45720" distB="45720" distL="114300" distR="114300" simplePos="0" relativeHeight="251658274" behindDoc="0" locked="1" layoutInCell="1" allowOverlap="1" wp14:anchorId="1E63A2A2" wp14:editId="0EC554EF">
                <wp:simplePos x="0" y="0"/>
                <wp:positionH relativeFrom="column">
                  <wp:posOffset>1011555</wp:posOffset>
                </wp:positionH>
                <wp:positionV relativeFrom="paragraph">
                  <wp:posOffset>3883660</wp:posOffset>
                </wp:positionV>
                <wp:extent cx="1301115" cy="1233170"/>
                <wp:effectExtent l="0" t="0" r="0" b="0"/>
                <wp:wrapNone/>
                <wp:docPr id="13075422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115" cy="1233170"/>
                        </a:xfrm>
                        <a:prstGeom prst="rect">
                          <a:avLst/>
                        </a:prstGeom>
                        <a:noFill/>
                        <a:ln w="9525">
                          <a:noFill/>
                          <a:miter lim="800000"/>
                          <a:headEnd/>
                          <a:tailEnd/>
                        </a:ln>
                      </wps:spPr>
                      <wps:txbx>
                        <w:txbxContent>
                          <w:p w14:paraId="78BD32A4" w14:textId="2F9B6916" w:rsidR="00456610" w:rsidRPr="00B320E1" w:rsidRDefault="00456610" w:rsidP="007C6668">
                            <w:pPr>
                              <w:spacing w:line="252" w:lineRule="auto"/>
                              <w:jc w:val="center"/>
                              <w:rPr>
                                <w:rFonts w:ascii="Arial" w:hAnsi="Arial" w:cs="Arial"/>
                                <w:sz w:val="24"/>
                                <w:szCs w:val="24"/>
                                <w:lang w:val="en-US"/>
                              </w:rPr>
                            </w:pPr>
                            <w:r w:rsidRPr="00B320E1">
                              <w:rPr>
                                <w:rFonts w:ascii="Arial" w:hAnsi="Arial" w:cs="Arial"/>
                                <w:sz w:val="24"/>
                                <w:szCs w:val="24"/>
                                <w:lang w:val="en-US"/>
                              </w:rPr>
                              <w:t>Blaue</w:t>
                            </w:r>
                            <w:r>
                              <w:rPr>
                                <w:rFonts w:ascii="Arial" w:hAnsi="Arial" w:cs="Arial"/>
                                <w:sz w:val="24"/>
                                <w:szCs w:val="24"/>
                                <w:lang w:val="en-US"/>
                              </w:rPr>
                              <w:t>r</w:t>
                            </w:r>
                            <w:r w:rsidRPr="00B320E1">
                              <w:rPr>
                                <w:rFonts w:ascii="Arial" w:hAnsi="Arial" w:cs="Arial"/>
                                <w:sz w:val="24"/>
                                <w:szCs w:val="24"/>
                                <w:lang w:val="en-US"/>
                              </w:rPr>
                              <w:t xml:space="preserve"> Nadelschutz (Nadel innen)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3A2A2" id="Text Box 53" o:spid="_x0000_s1061" type="#_x0000_t202" style="position:absolute;margin-left:79.65pt;margin-top:305.8pt;width:102.45pt;height:97.1pt;z-index:25165827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" filled="f" stroked="f">
                <v:textbox inset="0,0,0,0">
                  <w:txbxContent>
                    <w:p w14:paraId="78BD32A4" w14:textId="2F9B6916" w:rsidR="00456610" w:rsidRPr="00B320E1" w:rsidRDefault="00456610" w:rsidP="007C6668">
                      <w:pPr>
                        <w:spacing w:line="252" w:lineRule="auto"/>
                        <w:jc w:val="center"/>
                        <w:rPr>
                          <w:rFonts w:ascii="Arial" w:hAnsi="Arial" w:cs="Arial"/>
                          <w:sz w:val="24"/>
                          <w:szCs w:val="24"/>
                          <w:lang w:val="en-US"/>
                        </w:rPr>
                      </w:pPr>
                      <w:r w:rsidRPr="00B320E1">
                        <w:rPr>
                          <w:rFonts w:ascii="Arial" w:hAnsi="Arial" w:cs="Arial"/>
                          <w:sz w:val="24"/>
                          <w:szCs w:val="24"/>
                          <w:lang w:val="en-US"/>
                        </w:rPr>
                        <w:t>Blaue</w:t>
                      </w:r>
                      <w:r>
                        <w:rPr>
                          <w:rFonts w:ascii="Arial" w:hAnsi="Arial" w:cs="Arial"/>
                          <w:sz w:val="24"/>
                          <w:szCs w:val="24"/>
                          <w:lang w:val="en-US"/>
                        </w:rPr>
                        <w:t>r</w:t>
                      </w:r>
                      <w:r w:rsidRPr="00B320E1">
                        <w:rPr>
                          <w:rFonts w:ascii="Arial" w:hAnsi="Arial" w:cs="Arial"/>
                          <w:sz w:val="24"/>
                          <w:szCs w:val="24"/>
                          <w:lang w:val="en-US"/>
                        </w:rPr>
                        <w:t xml:space="preserve"> Nadelschutz (Nadel innen)</w:t>
                      </w:r>
                    </w:p>
                  </w:txbxContent>
                </v:textbox>
                <w10:anchorlock/>
              </v:shape>
            </w:pict>
          </mc:Fallback>
        </mc:AlternateContent>
      </w:r>
      <w:r>
        <w:rPr>
          <w:noProof/>
          <w:lang w:val="en-US" w:eastAsia="ko-KR"/>
        </w:rPr>
        <mc:AlternateContent>
          <mc:Choice Requires="wps">
            <w:drawing>
              <wp:anchor distT="45720" distB="45720" distL="114300" distR="114300" simplePos="0" relativeHeight="251658275" behindDoc="0" locked="1" layoutInCell="1" allowOverlap="1" wp14:anchorId="7F7C85CC" wp14:editId="763D0BCF">
                <wp:simplePos x="0" y="0"/>
                <wp:positionH relativeFrom="column">
                  <wp:posOffset>988695</wp:posOffset>
                </wp:positionH>
                <wp:positionV relativeFrom="paragraph">
                  <wp:posOffset>5042535</wp:posOffset>
                </wp:positionV>
                <wp:extent cx="1358900" cy="492760"/>
                <wp:effectExtent l="0" t="0" r="0" b="0"/>
                <wp:wrapNone/>
                <wp:docPr id="60418189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492760"/>
                        </a:xfrm>
                        <a:prstGeom prst="rect">
                          <a:avLst/>
                        </a:prstGeom>
                        <a:noFill/>
                        <a:ln>
                          <a:noFill/>
                        </a:ln>
                      </wps:spPr>
                      <wps:txbx>
                        <w:txbxContent>
                          <w:p w14:paraId="2CAEFDEB" w14:textId="7DD642E4" w:rsidR="00456610" w:rsidRPr="00B320E1" w:rsidRDefault="00456610" w:rsidP="007C6668">
                            <w:pPr>
                              <w:spacing w:line="252" w:lineRule="auto"/>
                              <w:jc w:val="center"/>
                              <w:rPr>
                                <w:rFonts w:ascii="Arial" w:hAnsi="Arial" w:cs="Arial"/>
                                <w:sz w:val="24"/>
                                <w:szCs w:val="24"/>
                                <w:lang w:val="es-ES"/>
                              </w:rPr>
                            </w:pPr>
                            <w:r w:rsidRPr="00B320E1">
                              <w:rPr>
                                <w:rFonts w:ascii="Arial" w:hAnsi="Arial" w:cs="Arial"/>
                                <w:sz w:val="24"/>
                                <w:szCs w:val="24"/>
                                <w:lang w:val="es-ES"/>
                              </w:rPr>
                              <w:t>Orangefarbene Kappe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7C85CC" id="Text Box 51" o:spid="_x0000_s1062" type="#_x0000_t202" style="position:absolute;margin-left:77.85pt;margin-top:397.05pt;width:107pt;height:38.8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" filled="f" stroked="f">
                <v:textbox inset="0,0,0,0">
                  <w:txbxContent>
                    <w:p w14:paraId="2CAEFDEB" w14:textId="7DD642E4" w:rsidR="00456610" w:rsidRPr="00B320E1" w:rsidRDefault="00456610" w:rsidP="007C6668">
                      <w:pPr>
                        <w:spacing w:line="252" w:lineRule="auto"/>
                        <w:jc w:val="center"/>
                        <w:rPr>
                          <w:rFonts w:ascii="Arial" w:hAnsi="Arial" w:cs="Arial"/>
                          <w:sz w:val="24"/>
                          <w:szCs w:val="24"/>
                          <w:lang w:val="es-ES"/>
                        </w:rPr>
                      </w:pPr>
                      <w:r w:rsidRPr="00B320E1">
                        <w:rPr>
                          <w:rFonts w:ascii="Arial" w:hAnsi="Arial" w:cs="Arial"/>
                          <w:sz w:val="24"/>
                          <w:szCs w:val="24"/>
                          <w:lang w:val="es-ES"/>
                        </w:rPr>
                        <w:t>Orangefarbene Kappe</w:t>
                      </w:r>
                    </w:p>
                  </w:txbxContent>
                </v:textbox>
                <w10:anchorlock/>
              </v:shape>
            </w:pict>
          </mc:Fallback>
        </mc:AlternateContent>
      </w:r>
      <w:r>
        <w:rPr>
          <w:noProof/>
          <w:lang w:val="en-US" w:eastAsia="ko-KR"/>
        </w:rPr>
        <mc:AlternateContent>
          <mc:Choice Requires="wps">
            <w:drawing>
              <wp:anchor distT="45720" distB="45720" distL="114300" distR="114300" simplePos="0" relativeHeight="251658276" behindDoc="0" locked="1" layoutInCell="1" allowOverlap="1" wp14:anchorId="38D21642" wp14:editId="687F11DC">
                <wp:simplePos x="0" y="0"/>
                <wp:positionH relativeFrom="column">
                  <wp:posOffset>2876550</wp:posOffset>
                </wp:positionH>
                <wp:positionV relativeFrom="paragraph">
                  <wp:posOffset>1586230</wp:posOffset>
                </wp:positionV>
                <wp:extent cx="1280795" cy="551815"/>
                <wp:effectExtent l="0" t="0" r="0" b="0"/>
                <wp:wrapNone/>
                <wp:docPr id="97506555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551815"/>
                        </a:xfrm>
                        <a:prstGeom prst="rect">
                          <a:avLst/>
                        </a:prstGeom>
                        <a:noFill/>
                        <a:ln w="9525">
                          <a:noFill/>
                          <a:miter lim="800000"/>
                          <a:headEnd/>
                          <a:tailEnd/>
                        </a:ln>
                      </wps:spPr>
                      <wps:txbx>
                        <w:txbxContent>
                          <w:p w14:paraId="272D6D4C" w14:textId="2CF4050F" w:rsidR="00456610" w:rsidRPr="00B320E1" w:rsidRDefault="00456610" w:rsidP="007C6668">
                            <w:pPr>
                              <w:spacing w:line="264" w:lineRule="auto"/>
                              <w:jc w:val="center"/>
                              <w:rPr>
                                <w:rFonts w:ascii="Arial" w:hAnsi="Arial" w:cs="Arial"/>
                                <w:sz w:val="24"/>
                                <w:szCs w:val="24"/>
                                <w:lang w:val="es-ES"/>
                              </w:rPr>
                            </w:pPr>
                            <w:r w:rsidRPr="00B320E1">
                              <w:rPr>
                                <w:rFonts w:ascii="Arial" w:hAnsi="Arial" w:cs="Arial"/>
                                <w:sz w:val="24"/>
                                <w:szCs w:val="24"/>
                                <w:lang w:val="es-ES"/>
                              </w:rPr>
                              <w:t>Verfalldatum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21642" id="Text Box 49" o:spid="_x0000_s1063" type="#_x0000_t202" style="position:absolute;margin-left:226.5pt;margin-top:124.9pt;width:100.85pt;height:43.45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" filled="f" stroked="f">
                <v:textbox inset="0,0,0,0">
                  <w:txbxContent>
                    <w:p w14:paraId="272D6D4C" w14:textId="2CF4050F" w:rsidR="00456610" w:rsidRPr="00B320E1" w:rsidRDefault="00456610" w:rsidP="007C6668">
                      <w:pPr>
                        <w:spacing w:line="264" w:lineRule="auto"/>
                        <w:jc w:val="center"/>
                        <w:rPr>
                          <w:rFonts w:ascii="Arial" w:hAnsi="Arial" w:cs="Arial"/>
                          <w:sz w:val="24"/>
                          <w:szCs w:val="24"/>
                          <w:lang w:val="es-ES"/>
                        </w:rPr>
                      </w:pPr>
                      <w:r w:rsidRPr="00B320E1">
                        <w:rPr>
                          <w:rFonts w:ascii="Arial" w:hAnsi="Arial" w:cs="Arial"/>
                          <w:sz w:val="24"/>
                          <w:szCs w:val="24"/>
                          <w:lang w:val="es-ES"/>
                        </w:rPr>
                        <w:t>Verfalldatum</w:t>
                      </w:r>
                    </w:p>
                  </w:txbxContent>
                </v:textbox>
                <w10:anchorlock/>
              </v:shape>
            </w:pict>
          </mc:Fallback>
        </mc:AlternateContent>
      </w:r>
      <w:r>
        <w:rPr>
          <w:noProof/>
          <w:lang w:val="en-US" w:eastAsia="ko-KR"/>
        </w:rPr>
        <mc:AlternateContent>
          <mc:Choice Requires="wps">
            <w:drawing>
              <wp:anchor distT="45720" distB="45720" distL="114300" distR="114300" simplePos="0" relativeHeight="251658277" behindDoc="0" locked="1" layoutInCell="1" allowOverlap="1" wp14:anchorId="488D6314" wp14:editId="772F603F">
                <wp:simplePos x="0" y="0"/>
                <wp:positionH relativeFrom="column">
                  <wp:posOffset>3057525</wp:posOffset>
                </wp:positionH>
                <wp:positionV relativeFrom="paragraph">
                  <wp:posOffset>2703195</wp:posOffset>
                </wp:positionV>
                <wp:extent cx="1664970" cy="819150"/>
                <wp:effectExtent l="0" t="0" r="0" b="0"/>
                <wp:wrapNone/>
                <wp:docPr id="195560161"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819150"/>
                        </a:xfrm>
                        <a:prstGeom prst="rect">
                          <a:avLst/>
                        </a:prstGeom>
                        <a:noFill/>
                        <a:ln w="9525">
                          <a:noFill/>
                          <a:miter lim="800000"/>
                          <a:headEnd/>
                          <a:tailEnd/>
                        </a:ln>
                      </wps:spPr>
                      <wps:txbx>
                        <w:txbxContent>
                          <w:p w14:paraId="6AC80D43" w14:textId="2E6F1B1C" w:rsidR="00456610" w:rsidRPr="00B320E1" w:rsidRDefault="00456610" w:rsidP="007C6668">
                            <w:pPr>
                              <w:spacing w:line="252" w:lineRule="auto"/>
                              <w:jc w:val="center"/>
                              <w:rPr>
                                <w:rFonts w:ascii="Arial" w:hAnsi="Arial" w:cs="Arial"/>
                                <w:b/>
                                <w:bCs/>
                                <w:sz w:val="24"/>
                                <w:szCs w:val="24"/>
                                <w:lang w:val="es-ES"/>
                              </w:rPr>
                            </w:pPr>
                            <w:r w:rsidRPr="00B320E1">
                              <w:rPr>
                                <w:rFonts w:ascii="Arial" w:hAnsi="Arial" w:cs="Arial"/>
                                <w:sz w:val="24"/>
                                <w:szCs w:val="24"/>
                                <w:lang w:val="es-ES"/>
                              </w:rPr>
                              <w:t xml:space="preserve">Orangefarbener Indikator </w:t>
                            </w:r>
                            <w:r w:rsidRPr="00B320E1">
                              <w:rPr>
                                <w:rFonts w:ascii="Arial" w:hAnsi="Arial" w:cs="Arial"/>
                                <w:b/>
                                <w:bCs/>
                                <w:sz w:val="24"/>
                                <w:szCs w:val="24"/>
                                <w:lang w:val="es-ES"/>
                              </w:rPr>
                              <w:t>„Injektion abgeschlossen“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D6314" id="Text Box 47" o:spid="_x0000_s1064" type="#_x0000_t202" style="position:absolute;margin-left:240.75pt;margin-top:212.85pt;width:131.1pt;height:64.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" filled="f" stroked="f">
                <v:textbox inset="0,0,0,0">
                  <w:txbxContent>
                    <w:p w14:paraId="6AC80D43" w14:textId="2E6F1B1C" w:rsidR="00456610" w:rsidRPr="00B320E1" w:rsidRDefault="00456610" w:rsidP="007C6668">
                      <w:pPr>
                        <w:spacing w:line="252" w:lineRule="auto"/>
                        <w:jc w:val="center"/>
                        <w:rPr>
                          <w:rFonts w:ascii="Arial" w:hAnsi="Arial" w:cs="Arial"/>
                          <w:b/>
                          <w:bCs/>
                          <w:sz w:val="24"/>
                          <w:szCs w:val="24"/>
                          <w:lang w:val="es-ES"/>
                        </w:rPr>
                      </w:pPr>
                      <w:r w:rsidRPr="00B320E1">
                        <w:rPr>
                          <w:rFonts w:ascii="Arial" w:hAnsi="Arial" w:cs="Arial"/>
                          <w:sz w:val="24"/>
                          <w:szCs w:val="24"/>
                          <w:lang w:val="es-ES"/>
                        </w:rPr>
                        <w:t xml:space="preserve">Orangefarbener Indikator </w:t>
                      </w:r>
                      <w:r w:rsidRPr="00B320E1">
                        <w:rPr>
                          <w:rFonts w:ascii="Arial" w:hAnsi="Arial" w:cs="Arial"/>
                          <w:b/>
                          <w:bCs/>
                          <w:sz w:val="24"/>
                          <w:szCs w:val="24"/>
                          <w:lang w:val="es-ES"/>
                        </w:rPr>
                        <w:t>„Injektion abgeschlossen“</w:t>
                      </w:r>
                    </w:p>
                  </w:txbxContent>
                </v:textbox>
                <w10:anchorlock/>
              </v:shape>
            </w:pict>
          </mc:Fallback>
        </mc:AlternateContent>
      </w:r>
      <w:r>
        <w:rPr>
          <w:noProof/>
          <w:lang w:val="en-US" w:eastAsia="ko-KR"/>
        </w:rPr>
        <mc:AlternateContent>
          <mc:Choice Requires="wps">
            <w:drawing>
              <wp:anchor distT="45720" distB="45720" distL="114300" distR="114300" simplePos="0" relativeHeight="251658278" behindDoc="0" locked="1" layoutInCell="1" allowOverlap="1" wp14:anchorId="620B519D" wp14:editId="3E71E16C">
                <wp:simplePos x="0" y="0"/>
                <wp:positionH relativeFrom="column">
                  <wp:posOffset>3442970</wp:posOffset>
                </wp:positionH>
                <wp:positionV relativeFrom="paragraph">
                  <wp:posOffset>3879215</wp:posOffset>
                </wp:positionV>
                <wp:extent cx="1411605" cy="1233170"/>
                <wp:effectExtent l="0" t="0" r="0" b="0"/>
                <wp:wrapNone/>
                <wp:docPr id="109155021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1233170"/>
                        </a:xfrm>
                        <a:prstGeom prst="rect">
                          <a:avLst/>
                        </a:prstGeom>
                        <a:noFill/>
                        <a:ln w="9525">
                          <a:noFill/>
                          <a:miter lim="800000"/>
                          <a:headEnd/>
                          <a:tailEnd/>
                        </a:ln>
                      </wps:spPr>
                      <wps:txbx>
                        <w:txbxContent>
                          <w:p w14:paraId="4BDFEC5F" w14:textId="781B4DC0" w:rsidR="00456610" w:rsidRPr="003452D3" w:rsidRDefault="00456610" w:rsidP="007C6668">
                            <w:pPr>
                              <w:spacing w:line="252" w:lineRule="auto"/>
                              <w:jc w:val="center"/>
                              <w:rPr>
                                <w:rFonts w:ascii="Arial" w:hAnsi="Arial" w:cs="Arial"/>
                                <w:sz w:val="24"/>
                                <w:szCs w:val="24"/>
                              </w:rPr>
                            </w:pPr>
                            <w:r w:rsidRPr="003452D3">
                              <w:rPr>
                                <w:rFonts w:ascii="Arial" w:hAnsi="Arial" w:cs="Arial"/>
                                <w:sz w:val="24"/>
                                <w:szCs w:val="24"/>
                              </w:rPr>
                              <w:t>Blaue</w:t>
                            </w:r>
                            <w:r>
                              <w:rPr>
                                <w:rFonts w:ascii="Arial" w:hAnsi="Arial" w:cs="Arial"/>
                                <w:sz w:val="24"/>
                                <w:szCs w:val="24"/>
                              </w:rPr>
                              <w:t>r</w:t>
                            </w:r>
                            <w:r w:rsidRPr="003452D3">
                              <w:rPr>
                                <w:rFonts w:ascii="Arial" w:hAnsi="Arial" w:cs="Arial"/>
                                <w:sz w:val="24"/>
                                <w:szCs w:val="24"/>
                              </w:rPr>
                              <w:t xml:space="preserve"> Nadelschutz (verriegelt und Nadel innen)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B519D" id="Text Box 45" o:spid="_x0000_s1065" type="#_x0000_t202" style="position:absolute;margin-left:271.1pt;margin-top:305.45pt;width:111.15pt;height:97.1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" filled="f" stroked="f">
                <v:textbox inset="0,0,0,0">
                  <w:txbxContent>
                    <w:p w14:paraId="4BDFEC5F" w14:textId="781B4DC0" w:rsidR="00456610" w:rsidRPr="003452D3" w:rsidRDefault="00456610" w:rsidP="007C6668">
                      <w:pPr>
                        <w:spacing w:line="252" w:lineRule="auto"/>
                        <w:jc w:val="center"/>
                        <w:rPr>
                          <w:rFonts w:ascii="Arial" w:hAnsi="Arial" w:cs="Arial"/>
                          <w:sz w:val="24"/>
                          <w:szCs w:val="24"/>
                        </w:rPr>
                      </w:pPr>
                      <w:r w:rsidRPr="003452D3">
                        <w:rPr>
                          <w:rFonts w:ascii="Arial" w:hAnsi="Arial" w:cs="Arial"/>
                          <w:sz w:val="24"/>
                          <w:szCs w:val="24"/>
                        </w:rPr>
                        <w:t>Blaue</w:t>
                      </w:r>
                      <w:r>
                        <w:rPr>
                          <w:rFonts w:ascii="Arial" w:hAnsi="Arial" w:cs="Arial"/>
                          <w:sz w:val="24"/>
                          <w:szCs w:val="24"/>
                        </w:rPr>
                        <w:t>r</w:t>
                      </w:r>
                      <w:r w:rsidRPr="003452D3">
                        <w:rPr>
                          <w:rFonts w:ascii="Arial" w:hAnsi="Arial" w:cs="Arial"/>
                          <w:sz w:val="24"/>
                          <w:szCs w:val="24"/>
                        </w:rPr>
                        <w:t xml:space="preserve"> Nadelschutz (verriegelt und Nadel innen)</w:t>
                      </w:r>
                    </w:p>
                  </w:txbxContent>
                </v:textbox>
                <w10:anchorlock/>
              </v:shape>
            </w:pict>
          </mc:Fallback>
        </mc:AlternateContent>
      </w:r>
    </w:p>
    <w:p w14:paraId="5C853134" w14:textId="1F651A5D" w:rsidR="007C6668" w:rsidRPr="00DE67E9" w:rsidRDefault="00A16FF2" w:rsidP="00B436C7">
      <w:pPr>
        <w:spacing w:line="200" w:lineRule="atLeast"/>
        <w:ind w:left="316"/>
        <w:jc w:val="right"/>
      </w:pPr>
      <w:r>
        <w:rPr>
          <w:noProof/>
          <w:sz w:val="20"/>
          <w:szCs w:val="20"/>
          <w:lang w:val="en-US" w:eastAsia="ko-KR"/>
        </w:rPr>
        <w:drawing>
          <wp:inline distT="0" distB="0" distL="0" distR="0" wp14:anchorId="4CFB3000" wp14:editId="44A2862F">
            <wp:extent cx="5454650" cy="5465445"/>
            <wp:effectExtent l="0" t="0" r="0" b="0"/>
            <wp:docPr id="22" name="그림 996297903" descr="텍스트, 스크린샷,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96297903" descr="텍스트, 스크린샷, 도표, 디자인이(가) 표시된 사진&#10;&#10;자동 생성된 설명"/>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54650" cy="5465445"/>
                    </a:xfrm>
                    <a:prstGeom prst="rect">
                      <a:avLst/>
                    </a:prstGeom>
                    <a:noFill/>
                    <a:ln>
                      <a:noFill/>
                    </a:ln>
                  </pic:spPr>
                </pic:pic>
              </a:graphicData>
            </a:graphic>
          </wp:inline>
        </w:drawing>
      </w:r>
      <w:r w:rsidR="009076A4" w:rsidRPr="00B436C7">
        <w:rPr>
          <w:b/>
          <w:bCs/>
        </w:rPr>
        <w:t>Abbildung A</w:t>
      </w:r>
    </w:p>
    <w:p w14:paraId="5E9F3310" w14:textId="333425F6" w:rsidR="007C6668" w:rsidRPr="00DE67E9" w:rsidRDefault="007C6668" w:rsidP="007C6668">
      <w:pPr>
        <w:keepNext/>
        <w:rPr>
          <w:b/>
          <w:bCs/>
        </w:rPr>
      </w:pPr>
      <w:r>
        <w:br w:type="page"/>
      </w:r>
      <w:r w:rsidRPr="00890245">
        <w:rPr>
          <w:b/>
        </w:rPr>
        <w:t xml:space="preserve">Vorbereitung der Injektion </w:t>
      </w:r>
    </w:p>
    <w:p w14:paraId="1C76CC80" w14:textId="77777777" w:rsidR="007C6668" w:rsidRDefault="007C6668" w:rsidP="007C6668">
      <w:pPr>
        <w:keepNex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73"/>
        <w:gridCol w:w="113"/>
        <w:gridCol w:w="5404"/>
        <w:gridCol w:w="124"/>
      </w:tblGrid>
      <w:tr w:rsidR="007C6668" w:rsidRPr="00BD6707" w14:paraId="2CB6DEB9" w14:textId="77777777" w:rsidTr="00F0391F">
        <w:trPr>
          <w:gridAfter w:val="1"/>
          <w:wAfter w:w="124" w:type="dxa"/>
          <w:cantSplit/>
        </w:trPr>
        <w:tc>
          <w:tcPr>
            <w:tcW w:w="3539" w:type="dxa"/>
          </w:tcPr>
          <w:p w14:paraId="6C86AFA2" w14:textId="64B969AB" w:rsidR="00F8002E" w:rsidRPr="00F8002E" w:rsidRDefault="00F8002E" w:rsidP="00F8002E">
            <w:pPr>
              <w:suppressAutoHyphens/>
              <w:autoSpaceDE/>
              <w:autoSpaceDN/>
              <w:jc w:val="right"/>
              <w:rPr>
                <w:b/>
                <w:noProof/>
                <w:sz w:val="24"/>
                <w:szCs w:val="24"/>
                <w:lang w:val="en-US" w:eastAsia="ko-KR"/>
              </w:rPr>
            </w:pPr>
            <w:r w:rsidRPr="00F8002E">
              <w:rPr>
                <w:b/>
                <w:noProof/>
                <w:sz w:val="24"/>
                <w:szCs w:val="24"/>
                <w:lang w:val="en-US" w:eastAsia="ko-KR"/>
              </w:rPr>
              <w:drawing>
                <wp:inline distT="0" distB="0" distL="0" distR="0" wp14:anchorId="148C7C3B" wp14:editId="50BED948">
                  <wp:extent cx="2131695" cy="2857500"/>
                  <wp:effectExtent l="0" t="0" r="1905" b="0"/>
                  <wp:docPr id="817657245" name="그림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31695" cy="2857500"/>
                          </a:xfrm>
                          <a:prstGeom prst="rect">
                            <a:avLst/>
                          </a:prstGeom>
                          <a:noFill/>
                          <a:ln>
                            <a:noFill/>
                          </a:ln>
                        </pic:spPr>
                      </pic:pic>
                    </a:graphicData>
                  </a:graphic>
                </wp:inline>
              </w:drawing>
            </w:r>
          </w:p>
          <w:p w14:paraId="148FFC41" w14:textId="508D09F6" w:rsidR="007C6668" w:rsidRPr="00F0391F" w:rsidRDefault="007C6668" w:rsidP="00F0391F">
            <w:pPr>
              <w:suppressAutoHyphens/>
              <w:autoSpaceDE/>
              <w:autoSpaceDN/>
              <w:jc w:val="right"/>
              <w:rPr>
                <w:noProof/>
                <w:sz w:val="24"/>
                <w:szCs w:val="24"/>
              </w:rPr>
            </w:pPr>
          </w:p>
          <w:p w14:paraId="72CD1477" w14:textId="6AABFE06" w:rsidR="007C6668" w:rsidRPr="00F0391F" w:rsidRDefault="00A16FF2" w:rsidP="00F0391F">
            <w:pPr>
              <w:suppressAutoHyphens/>
              <w:autoSpaceDE/>
              <w:autoSpaceDN/>
              <w:jc w:val="right"/>
              <w:rPr>
                <w:b/>
                <w:bCs/>
                <w:noProof/>
                <w:sz w:val="24"/>
                <w:szCs w:val="24"/>
              </w:rPr>
            </w:pPr>
            <w:r>
              <w:rPr>
                <w:noProof/>
                <w:sz w:val="20"/>
                <w:szCs w:val="20"/>
                <w:lang w:val="en-US" w:eastAsia="ko-KR"/>
              </w:rPr>
              <mc:AlternateContent>
                <mc:Choice Requires="wps">
                  <w:drawing>
                    <wp:anchor distT="45720" distB="45720" distL="114300" distR="114300" simplePos="0" relativeHeight="251658279" behindDoc="0" locked="1" layoutInCell="1" allowOverlap="1" wp14:anchorId="248D2E28" wp14:editId="4F9B07C7">
                      <wp:simplePos x="0" y="0"/>
                      <wp:positionH relativeFrom="column">
                        <wp:posOffset>1033145</wp:posOffset>
                      </wp:positionH>
                      <wp:positionV relativeFrom="page">
                        <wp:posOffset>794385</wp:posOffset>
                      </wp:positionV>
                      <wp:extent cx="1011555" cy="564515"/>
                      <wp:effectExtent l="0" t="0" r="0" b="0"/>
                      <wp:wrapNone/>
                      <wp:docPr id="176635844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564515"/>
                              </a:xfrm>
                              <a:prstGeom prst="rect">
                                <a:avLst/>
                              </a:prstGeom>
                              <a:noFill/>
                              <a:ln>
                                <a:noFill/>
                              </a:ln>
                            </wps:spPr>
                            <wps:txbx>
                              <w:txbxContent>
                                <w:p w14:paraId="709C0965" w14:textId="14A475EB" w:rsidR="00456610" w:rsidRPr="00B320E1" w:rsidRDefault="00456610" w:rsidP="007C6668">
                                  <w:pPr>
                                    <w:spacing w:line="260" w:lineRule="exact"/>
                                    <w:jc w:val="center"/>
                                    <w:rPr>
                                      <w:rFonts w:ascii="Arial" w:hAnsi="Arial"/>
                                      <w:color w:val="595959"/>
                                      <w:sz w:val="20"/>
                                      <w:szCs w:val="20"/>
                                      <w:lang w:val="en-US"/>
                                    </w:rPr>
                                  </w:pPr>
                                  <w:r w:rsidRPr="004C0355">
                                    <w:rPr>
                                      <w:rFonts w:ascii="Arial" w:hAnsi="Arial"/>
                                      <w:color w:val="595959"/>
                                      <w:sz w:val="20"/>
                                      <w:szCs w:val="20"/>
                                      <w:lang w:val="en-US"/>
                                    </w:rPr>
                                    <w:t>Baumwolltupfer/</w:t>
                                  </w:r>
                                  <w:r>
                                    <w:rPr>
                                      <w:rFonts w:ascii="Arial" w:hAnsi="Arial"/>
                                      <w:color w:val="595959"/>
                                      <w:sz w:val="20"/>
                                      <w:szCs w:val="20"/>
                                      <w:lang w:val="en-US"/>
                                    </w:rPr>
                                    <w:br/>
                                  </w:r>
                                  <w:r w:rsidRPr="004C0355">
                                    <w:rPr>
                                      <w:rFonts w:ascii="Arial" w:hAnsi="Arial"/>
                                      <w:color w:val="595959"/>
                                      <w:sz w:val="20"/>
                                      <w:szCs w:val="20"/>
                                      <w:lang w:val="en-US"/>
                                    </w:rPr>
                                    <w:t>Verbandmull und Alkoholtupfer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48D2E28" id="Text Box 43" o:spid="_x0000_s1066" type="#_x0000_t202" style="position:absolute;left:0;text-align:left;margin-left:81.35pt;margin-top:62.55pt;width:79.65pt;height:44.45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" filled="f" stroked="f">
                      <v:textbox inset="0,0,0,0">
                        <w:txbxContent>
                          <w:p w14:paraId="709C0965" w14:textId="14A475EB" w:rsidR="00456610" w:rsidRPr="00B320E1" w:rsidRDefault="00456610" w:rsidP="007C6668">
                            <w:pPr>
                              <w:spacing w:line="260" w:lineRule="exact"/>
                              <w:jc w:val="center"/>
                              <w:rPr>
                                <w:rFonts w:ascii="Arial" w:hAnsi="Arial"/>
                                <w:color w:val="595959"/>
                                <w:sz w:val="20"/>
                                <w:szCs w:val="20"/>
                                <w:lang w:val="en-US"/>
                              </w:rPr>
                            </w:pPr>
                            <w:r w:rsidRPr="004C0355">
                              <w:rPr>
                                <w:rFonts w:ascii="Arial" w:hAnsi="Arial"/>
                                <w:color w:val="595959"/>
                                <w:sz w:val="20"/>
                                <w:szCs w:val="20"/>
                                <w:lang w:val="en-US"/>
                              </w:rPr>
                              <w:t>Baumwolltupfer/</w:t>
                            </w:r>
                            <w:r>
                              <w:rPr>
                                <w:rFonts w:ascii="Arial" w:hAnsi="Arial"/>
                                <w:color w:val="595959"/>
                                <w:sz w:val="20"/>
                                <w:szCs w:val="20"/>
                                <w:lang w:val="en-US"/>
                              </w:rPr>
                              <w:br/>
                            </w:r>
                            <w:r w:rsidRPr="004C0355">
                              <w:rPr>
                                <w:rFonts w:ascii="Arial" w:hAnsi="Arial"/>
                                <w:color w:val="595959"/>
                                <w:sz w:val="20"/>
                                <w:szCs w:val="20"/>
                                <w:lang w:val="en-US"/>
                              </w:rPr>
                              <w:t>Verbandmull und Alkoholtupfer</w:t>
                            </w:r>
                          </w:p>
                        </w:txbxContent>
                      </v:textbox>
                      <w10:wrap anchory="page"/>
                      <w10:anchorlock/>
                    </v:shape>
                  </w:pict>
                </mc:Fallback>
              </mc:AlternateContent>
            </w:r>
            <w:r>
              <w:rPr>
                <w:noProof/>
                <w:sz w:val="20"/>
                <w:szCs w:val="20"/>
                <w:lang w:val="en-US" w:eastAsia="ko-KR"/>
              </w:rPr>
              <mc:AlternateContent>
                <mc:Choice Requires="wps">
                  <w:drawing>
                    <wp:anchor distT="45720" distB="45720" distL="114300" distR="114300" simplePos="0" relativeHeight="251658280" behindDoc="0" locked="1" layoutInCell="1" allowOverlap="1" wp14:anchorId="43A01A9B" wp14:editId="2A734BB5">
                      <wp:simplePos x="0" y="0"/>
                      <wp:positionH relativeFrom="column">
                        <wp:posOffset>871855</wp:posOffset>
                      </wp:positionH>
                      <wp:positionV relativeFrom="page">
                        <wp:posOffset>2250440</wp:posOffset>
                      </wp:positionV>
                      <wp:extent cx="1221740" cy="564515"/>
                      <wp:effectExtent l="0" t="0" r="0" b="0"/>
                      <wp:wrapNone/>
                      <wp:docPr id="3802853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564515"/>
                              </a:xfrm>
                              <a:prstGeom prst="rect">
                                <a:avLst/>
                              </a:prstGeom>
                              <a:noFill/>
                              <a:ln>
                                <a:noFill/>
                              </a:ln>
                            </wps:spPr>
                            <wps:txbx>
                              <w:txbxContent>
                                <w:p w14:paraId="72B5EF4D" w14:textId="079EDC5D" w:rsidR="00456610" w:rsidRPr="00F0391F" w:rsidRDefault="00456610" w:rsidP="007C6668">
                                  <w:pPr>
                                    <w:spacing w:line="260" w:lineRule="exact"/>
                                    <w:jc w:val="center"/>
                                    <w:rPr>
                                      <w:rFonts w:ascii="Arial" w:hAnsi="Arial"/>
                                      <w:color w:val="595959"/>
                                      <w:sz w:val="20"/>
                                      <w:szCs w:val="20"/>
                                    </w:rPr>
                                  </w:pPr>
                                  <w:r w:rsidRPr="004C0355">
                                    <w:rPr>
                                      <w:rFonts w:ascii="Arial" w:hAnsi="Arial"/>
                                      <w:color w:val="595959"/>
                                      <w:sz w:val="20"/>
                                      <w:szCs w:val="20"/>
                                    </w:rPr>
                                    <w:t>Nadelabwurfbehälter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A01A9B" id="Text Box 41" o:spid="_x0000_s1067" type="#_x0000_t202" style="position:absolute;left:0;text-align:left;margin-left:68.65pt;margin-top:177.2pt;width:96.2pt;height:44.45pt;z-index:2516582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" filled="f" stroked="f">
                      <v:textbox inset="0,0,0,0">
                        <w:txbxContent>
                          <w:p w14:paraId="72B5EF4D" w14:textId="079EDC5D" w:rsidR="00456610" w:rsidRPr="00F0391F" w:rsidRDefault="00456610" w:rsidP="007C6668">
                            <w:pPr>
                              <w:spacing w:line="260" w:lineRule="exact"/>
                              <w:jc w:val="center"/>
                              <w:rPr>
                                <w:rFonts w:ascii="Arial" w:hAnsi="Arial"/>
                                <w:color w:val="595959"/>
                                <w:sz w:val="20"/>
                                <w:szCs w:val="20"/>
                              </w:rPr>
                            </w:pPr>
                            <w:r w:rsidRPr="004C0355">
                              <w:rPr>
                                <w:rFonts w:ascii="Arial" w:hAnsi="Arial"/>
                                <w:color w:val="595959"/>
                                <w:sz w:val="20"/>
                                <w:szCs w:val="20"/>
                              </w:rPr>
                              <w:t>Nadelabwurfbehälter</w:t>
                            </w:r>
                          </w:p>
                        </w:txbxContent>
                      </v:textbox>
                      <w10:wrap anchory="page"/>
                      <w10:anchorlock/>
                    </v:shape>
                  </w:pict>
                </mc:Fallback>
              </mc:AlternateContent>
            </w:r>
            <w:r>
              <w:rPr>
                <w:noProof/>
                <w:sz w:val="20"/>
                <w:szCs w:val="20"/>
                <w:lang w:val="en-US" w:eastAsia="ko-KR"/>
              </w:rPr>
              <mc:AlternateContent>
                <mc:Choice Requires="wps">
                  <w:drawing>
                    <wp:anchor distT="45720" distB="45720" distL="114300" distR="114300" simplePos="0" relativeHeight="251658281" behindDoc="0" locked="1" layoutInCell="1" allowOverlap="1" wp14:anchorId="68E29357" wp14:editId="65CC5F33">
                      <wp:simplePos x="0" y="0"/>
                      <wp:positionH relativeFrom="column">
                        <wp:posOffset>80645</wp:posOffset>
                      </wp:positionH>
                      <wp:positionV relativeFrom="page">
                        <wp:posOffset>803910</wp:posOffset>
                      </wp:positionV>
                      <wp:extent cx="939800" cy="564515"/>
                      <wp:effectExtent l="0" t="0" r="0" b="0"/>
                      <wp:wrapNone/>
                      <wp:docPr id="122511907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564515"/>
                              </a:xfrm>
                              <a:prstGeom prst="rect">
                                <a:avLst/>
                              </a:prstGeom>
                              <a:noFill/>
                              <a:ln>
                                <a:noFill/>
                              </a:ln>
                            </wps:spPr>
                            <wps:txbx>
                              <w:txbxContent>
                                <w:p w14:paraId="25BA86A9" w14:textId="2BFFAB84" w:rsidR="00456610" w:rsidRPr="00B320E1" w:rsidRDefault="00456610" w:rsidP="007C6668">
                                  <w:pPr>
                                    <w:spacing w:line="260" w:lineRule="exact"/>
                                    <w:jc w:val="center"/>
                                    <w:rPr>
                                      <w:rFonts w:ascii="Arial" w:hAnsi="Arial"/>
                                      <w:color w:val="595959"/>
                                      <w:sz w:val="20"/>
                                      <w:szCs w:val="20"/>
                                      <w:lang w:val="en-US"/>
                                    </w:rPr>
                                  </w:pPr>
                                  <w:r w:rsidRPr="004C0355">
                                    <w:rPr>
                                      <w:rFonts w:ascii="Arial" w:hAnsi="Arial"/>
                                      <w:color w:val="595959"/>
                                      <w:sz w:val="20"/>
                                      <w:szCs w:val="20"/>
                                      <w:lang w:val="en-US"/>
                                    </w:rPr>
                                    <w:t>Umkarton mit Avtozma-Fertigpen</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29357" id="Text Box 39" o:spid="_x0000_s1068" type="#_x0000_t202" style="position:absolute;left:0;text-align:left;margin-left:6.35pt;margin-top:63.3pt;width:74pt;height:44.45pt;z-index:25165828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" filled="f" stroked="f">
                      <v:textbox inset="0,0,0,0">
                        <w:txbxContent>
                          <w:p w14:paraId="25BA86A9" w14:textId="2BFFAB84" w:rsidR="00456610" w:rsidRPr="00B320E1" w:rsidRDefault="00456610" w:rsidP="007C6668">
                            <w:pPr>
                              <w:spacing w:line="260" w:lineRule="exact"/>
                              <w:jc w:val="center"/>
                              <w:rPr>
                                <w:rFonts w:ascii="Arial" w:hAnsi="Arial"/>
                                <w:color w:val="595959"/>
                                <w:sz w:val="20"/>
                                <w:szCs w:val="20"/>
                                <w:lang w:val="en-US"/>
                              </w:rPr>
                            </w:pPr>
                            <w:r w:rsidRPr="004C0355">
                              <w:rPr>
                                <w:rFonts w:ascii="Arial" w:hAnsi="Arial"/>
                                <w:color w:val="595959"/>
                                <w:sz w:val="20"/>
                                <w:szCs w:val="20"/>
                                <w:lang w:val="en-US"/>
                              </w:rPr>
                              <w:t>Umkarton mit Avtozma-Fertigpen</w:t>
                            </w:r>
                          </w:p>
                        </w:txbxContent>
                      </v:textbox>
                      <w10:wrap anchory="page"/>
                      <w10:anchorlock/>
                    </v:shape>
                  </w:pict>
                </mc:Fallback>
              </mc:AlternateContent>
            </w:r>
            <w:r>
              <w:rPr>
                <w:noProof/>
                <w:sz w:val="20"/>
                <w:szCs w:val="20"/>
                <w:lang w:val="en-US" w:eastAsia="ko-KR"/>
              </w:rPr>
              <mc:AlternateContent>
                <mc:Choice Requires="wps">
                  <w:drawing>
                    <wp:anchor distT="45720" distB="45720" distL="114300" distR="114300" simplePos="0" relativeHeight="251658282" behindDoc="0" locked="1" layoutInCell="1" allowOverlap="1" wp14:anchorId="4B199BD8" wp14:editId="2D6C5CF8">
                      <wp:simplePos x="0" y="0"/>
                      <wp:positionH relativeFrom="column">
                        <wp:posOffset>73660</wp:posOffset>
                      </wp:positionH>
                      <wp:positionV relativeFrom="page">
                        <wp:posOffset>2261870</wp:posOffset>
                      </wp:positionV>
                      <wp:extent cx="862965" cy="564515"/>
                      <wp:effectExtent l="0" t="0" r="0" b="0"/>
                      <wp:wrapNone/>
                      <wp:docPr id="14457937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564515"/>
                              </a:xfrm>
                              <a:prstGeom prst="rect">
                                <a:avLst/>
                              </a:prstGeom>
                              <a:noFill/>
                              <a:ln>
                                <a:noFill/>
                              </a:ln>
                            </wps:spPr>
                            <wps:txbx>
                              <w:txbxContent>
                                <w:p w14:paraId="6BF5D8AA" w14:textId="4C768CD7" w:rsidR="00456610" w:rsidRPr="00F0391F" w:rsidRDefault="00456610" w:rsidP="007C6668">
                                  <w:pPr>
                                    <w:spacing w:line="260" w:lineRule="exact"/>
                                    <w:jc w:val="center"/>
                                    <w:rPr>
                                      <w:rFonts w:ascii="Arial" w:hAnsi="Arial"/>
                                      <w:color w:val="595959"/>
                                      <w:sz w:val="20"/>
                                      <w:szCs w:val="20"/>
                                    </w:rPr>
                                  </w:pPr>
                                  <w:r w:rsidRPr="004C0355">
                                    <w:rPr>
                                      <w:rFonts w:ascii="Arial" w:hAnsi="Arial"/>
                                      <w:color w:val="595959"/>
                                      <w:sz w:val="20"/>
                                      <w:szCs w:val="20"/>
                                    </w:rPr>
                                    <w:t>Pflaster</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B199BD8" id="Text Box 37" o:spid="_x0000_s1069" type="#_x0000_t202" style="position:absolute;left:0;text-align:left;margin-left:5.8pt;margin-top:178.1pt;width:67.95pt;height:44.45pt;z-index:25165828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" filled="f" stroked="f">
                      <v:textbox inset="0,0,0,0">
                        <w:txbxContent>
                          <w:p w14:paraId="6BF5D8AA" w14:textId="4C768CD7" w:rsidR="00456610" w:rsidRPr="00F0391F" w:rsidRDefault="00456610" w:rsidP="007C6668">
                            <w:pPr>
                              <w:spacing w:line="260" w:lineRule="exact"/>
                              <w:jc w:val="center"/>
                              <w:rPr>
                                <w:rFonts w:ascii="Arial" w:hAnsi="Arial"/>
                                <w:color w:val="595959"/>
                                <w:sz w:val="20"/>
                                <w:szCs w:val="20"/>
                              </w:rPr>
                            </w:pPr>
                            <w:r w:rsidRPr="004C0355">
                              <w:rPr>
                                <w:rFonts w:ascii="Arial" w:hAnsi="Arial"/>
                                <w:color w:val="595959"/>
                                <w:sz w:val="20"/>
                                <w:szCs w:val="20"/>
                              </w:rPr>
                              <w:t>Pflaster</w:t>
                            </w:r>
                          </w:p>
                        </w:txbxContent>
                      </v:textbox>
                      <w10:wrap anchory="page"/>
                      <w10:anchorlock/>
                    </v:shape>
                  </w:pict>
                </mc:Fallback>
              </mc:AlternateContent>
            </w:r>
            <w:r w:rsidR="007C6668" w:rsidRPr="00B320E1">
              <w:rPr>
                <w:b/>
                <w:bCs/>
                <w:noProof/>
              </w:rPr>
              <w:t>Abbildung B</w:t>
            </w:r>
          </w:p>
        </w:tc>
        <w:tc>
          <w:tcPr>
            <w:tcW w:w="5517" w:type="dxa"/>
            <w:gridSpan w:val="2"/>
          </w:tcPr>
          <w:p w14:paraId="2D631FB5" w14:textId="77777777" w:rsidR="007C6668" w:rsidRPr="00B320E1" w:rsidRDefault="007C6668" w:rsidP="00F0391F">
            <w:pPr>
              <w:pStyle w:val="a3"/>
              <w:numPr>
                <w:ilvl w:val="0"/>
                <w:numId w:val="31"/>
              </w:numPr>
              <w:autoSpaceDE/>
              <w:autoSpaceDN/>
              <w:ind w:left="567" w:hanging="567"/>
              <w:rPr>
                <w:b/>
              </w:rPr>
            </w:pPr>
            <w:r w:rsidRPr="00B320E1">
              <w:rPr>
                <w:b/>
              </w:rPr>
              <w:t>Legen Sie die für die Injektion benötigten Materialien bereit.</w:t>
            </w:r>
          </w:p>
          <w:p w14:paraId="4EC41C00" w14:textId="77777777" w:rsidR="007C6668" w:rsidRPr="00B320E1" w:rsidRDefault="007C6668" w:rsidP="00F0391F">
            <w:pPr>
              <w:pStyle w:val="a3"/>
              <w:autoSpaceDE/>
              <w:autoSpaceDN/>
              <w:ind w:left="567" w:hanging="567"/>
              <w:rPr>
                <w:b/>
              </w:rPr>
            </w:pPr>
          </w:p>
          <w:p w14:paraId="5472FD25" w14:textId="77777777" w:rsidR="007C6668" w:rsidRPr="00B320E1" w:rsidRDefault="007C6668" w:rsidP="00F0391F">
            <w:pPr>
              <w:pStyle w:val="a3"/>
              <w:numPr>
                <w:ilvl w:val="0"/>
                <w:numId w:val="32"/>
              </w:numPr>
              <w:autoSpaceDE/>
              <w:autoSpaceDN/>
              <w:ind w:left="567" w:hanging="567"/>
              <w:rPr>
                <w:bCs/>
              </w:rPr>
            </w:pPr>
            <w:r w:rsidRPr="00B320E1">
              <w:t>Bereiten Sie eine saubere, ebene Oberfläche, z. B. einen Tisch oder eine Arbeitsplatte, in einem gut beleuchteten Arbeitsbereich vor.</w:t>
            </w:r>
          </w:p>
          <w:p w14:paraId="5A6669C7" w14:textId="77777777" w:rsidR="007C6668" w:rsidRPr="00B320E1" w:rsidRDefault="007C6668" w:rsidP="00F0391F">
            <w:pPr>
              <w:pStyle w:val="a3"/>
              <w:numPr>
                <w:ilvl w:val="0"/>
                <w:numId w:val="32"/>
              </w:numPr>
              <w:autoSpaceDE/>
              <w:autoSpaceDN/>
              <w:ind w:left="567" w:hanging="567"/>
              <w:rPr>
                <w:bCs/>
              </w:rPr>
            </w:pPr>
            <w:r w:rsidRPr="00B320E1">
              <w:t>Nehmen Sie den Umkarton mit dem Fertigpen aus dem Kühlschrank.</w:t>
            </w:r>
          </w:p>
          <w:p w14:paraId="25F4E25E" w14:textId="77777777" w:rsidR="007C6668" w:rsidRPr="00B320E1" w:rsidRDefault="007C6668" w:rsidP="00F0391F">
            <w:pPr>
              <w:pStyle w:val="a3"/>
              <w:numPr>
                <w:ilvl w:val="0"/>
                <w:numId w:val="32"/>
              </w:numPr>
              <w:autoSpaceDE/>
              <w:autoSpaceDN/>
              <w:ind w:left="567" w:hanging="567"/>
              <w:rPr>
                <w:bCs/>
              </w:rPr>
            </w:pPr>
            <w:r w:rsidRPr="00B320E1">
              <w:t xml:space="preserve">Stellen Sie sicher, dass Sie die folgenden Materialien zur Hand haben (siehe </w:t>
            </w:r>
            <w:r w:rsidRPr="00B320E1">
              <w:rPr>
                <w:b/>
              </w:rPr>
              <w:t>Abbildung B</w:t>
            </w:r>
            <w:r w:rsidRPr="00B320E1">
              <w:t>):</w:t>
            </w:r>
          </w:p>
          <w:p w14:paraId="3E9CF947" w14:textId="13A46067" w:rsidR="007C6668" w:rsidRPr="00B320E1" w:rsidRDefault="007C6668" w:rsidP="00F0391F">
            <w:pPr>
              <w:pStyle w:val="a3"/>
              <w:autoSpaceDE/>
              <w:autoSpaceDN/>
              <w:ind w:left="567" w:hanging="567"/>
            </w:pPr>
            <w:r w:rsidRPr="00B320E1">
              <w:t>- Umkarton mit dem Avtozma</w:t>
            </w:r>
            <w:r w:rsidR="009F4CAB" w:rsidRPr="00B320E1">
              <w:t>-</w:t>
            </w:r>
            <w:r w:rsidRPr="00B320E1">
              <w:t>Fertigpen</w:t>
            </w:r>
          </w:p>
          <w:p w14:paraId="2713FD6C" w14:textId="77777777" w:rsidR="007C6668" w:rsidRPr="00B320E1" w:rsidRDefault="007C6668" w:rsidP="00F0391F">
            <w:pPr>
              <w:pStyle w:val="a3"/>
              <w:autoSpaceDE/>
              <w:autoSpaceDN/>
              <w:ind w:left="567" w:hanging="567"/>
              <w:rPr>
                <w:lang w:eastAsia="ko-KR"/>
              </w:rPr>
            </w:pPr>
          </w:p>
          <w:p w14:paraId="44EDEFE7" w14:textId="77777777" w:rsidR="007C6668" w:rsidRPr="00B320E1" w:rsidRDefault="007C6668" w:rsidP="00F0391F">
            <w:pPr>
              <w:pStyle w:val="a3"/>
              <w:autoSpaceDE/>
              <w:autoSpaceDN/>
              <w:ind w:left="567" w:hanging="567"/>
              <w:rPr>
                <w:b/>
              </w:rPr>
            </w:pPr>
            <w:r w:rsidRPr="00B320E1">
              <w:rPr>
                <w:b/>
              </w:rPr>
              <w:t>Nicht im Umkarton enthalten:</w:t>
            </w:r>
          </w:p>
          <w:p w14:paraId="77193852" w14:textId="77777777" w:rsidR="007C6668" w:rsidRPr="00B320E1" w:rsidRDefault="007C6668" w:rsidP="00F0391F">
            <w:pPr>
              <w:pStyle w:val="a3"/>
              <w:autoSpaceDE/>
              <w:autoSpaceDN/>
              <w:ind w:left="567" w:hanging="567"/>
            </w:pPr>
            <w:r w:rsidRPr="00B320E1">
              <w:t>- Baumwolltupfer oder Verbandmull</w:t>
            </w:r>
          </w:p>
          <w:p w14:paraId="1D92A5F7" w14:textId="77777777" w:rsidR="007C6668" w:rsidRPr="00B320E1" w:rsidRDefault="007C6668" w:rsidP="00F0391F">
            <w:pPr>
              <w:pStyle w:val="a3"/>
              <w:autoSpaceDE/>
              <w:autoSpaceDN/>
              <w:ind w:left="567" w:hanging="567"/>
            </w:pPr>
            <w:r w:rsidRPr="00B320E1">
              <w:t>- Pflaster</w:t>
            </w:r>
          </w:p>
          <w:p w14:paraId="1DF5B818" w14:textId="2FCD564F" w:rsidR="007C6668" w:rsidRPr="00B320E1" w:rsidRDefault="007C6668" w:rsidP="00F0391F">
            <w:pPr>
              <w:pStyle w:val="a3"/>
              <w:autoSpaceDE/>
              <w:autoSpaceDN/>
              <w:ind w:left="567" w:hanging="567"/>
            </w:pPr>
            <w:r w:rsidRPr="00B320E1">
              <w:t xml:space="preserve">- </w:t>
            </w:r>
            <w:r w:rsidR="008370F3" w:rsidRPr="00B320E1">
              <w:t>Nadelabwurfb</w:t>
            </w:r>
            <w:r w:rsidRPr="00B320E1">
              <w:t>ehälter</w:t>
            </w:r>
          </w:p>
          <w:p w14:paraId="76A42F81" w14:textId="77777777" w:rsidR="007C6668" w:rsidRPr="00B320E1" w:rsidRDefault="007C6668" w:rsidP="00F0391F">
            <w:pPr>
              <w:pStyle w:val="a3"/>
              <w:autoSpaceDE/>
              <w:autoSpaceDN/>
              <w:ind w:left="567" w:hanging="567"/>
            </w:pPr>
            <w:r w:rsidRPr="00B320E1">
              <w:t>- Alkoholtupfer</w:t>
            </w:r>
          </w:p>
          <w:p w14:paraId="25403ED3" w14:textId="77777777" w:rsidR="007C6668" w:rsidRPr="00F0391F" w:rsidRDefault="007C6668" w:rsidP="00F0391F">
            <w:pPr>
              <w:autoSpaceDE/>
              <w:autoSpaceDN/>
              <w:rPr>
                <w:sz w:val="24"/>
                <w:szCs w:val="24"/>
              </w:rPr>
            </w:pPr>
          </w:p>
        </w:tc>
      </w:tr>
      <w:tr w:rsidR="007C6668" w:rsidRPr="007C6668" w14:paraId="6C9B66A6" w14:textId="77777777" w:rsidTr="00F0391F">
        <w:trPr>
          <w:gridAfter w:val="1"/>
          <w:wAfter w:w="124" w:type="dxa"/>
          <w:cantSplit/>
        </w:trPr>
        <w:tc>
          <w:tcPr>
            <w:tcW w:w="3539" w:type="dxa"/>
          </w:tcPr>
          <w:p w14:paraId="7E8B3047" w14:textId="1CF9D3E5" w:rsidR="007C6668" w:rsidRPr="00F0391F" w:rsidRDefault="00A16FF2" w:rsidP="00F0391F">
            <w:pPr>
              <w:suppressAutoHyphens/>
              <w:autoSpaceDE/>
              <w:autoSpaceDN/>
              <w:jc w:val="right"/>
              <w:rPr>
                <w:b/>
                <w:noProof/>
                <w:sz w:val="24"/>
                <w:szCs w:val="24"/>
                <w:lang w:eastAsia="ko-KR"/>
              </w:rPr>
            </w:pPr>
            <w:r>
              <w:rPr>
                <w:b/>
                <w:noProof/>
                <w:sz w:val="24"/>
                <w:szCs w:val="24"/>
                <w:lang w:val="en-US" w:eastAsia="ko-KR"/>
              </w:rPr>
              <w:drawing>
                <wp:inline distT="0" distB="0" distL="0" distR="0" wp14:anchorId="4DA62FE1" wp14:editId="3EF375C5">
                  <wp:extent cx="2073275" cy="2573020"/>
                  <wp:effectExtent l="19050" t="19050" r="3175" b="0"/>
                  <wp:docPr id="24" name="그림 2033694681" descr="텍스트, 스케치, 도표, 원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33694681" descr="텍스트, 스케치, 도표, 원이(가) 표시된 사진&#10;&#10;자동 생성된 설명"/>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3275" cy="2573020"/>
                          </a:xfrm>
                          <a:prstGeom prst="rect">
                            <a:avLst/>
                          </a:prstGeom>
                          <a:noFill/>
                          <a:ln w="9525" cmpd="sng">
                            <a:solidFill>
                              <a:srgbClr val="000000"/>
                            </a:solidFill>
                            <a:miter lim="800000"/>
                            <a:headEnd/>
                            <a:tailEnd/>
                          </a:ln>
                          <a:effectLst/>
                        </pic:spPr>
                      </pic:pic>
                    </a:graphicData>
                  </a:graphic>
                </wp:inline>
              </w:drawing>
            </w:r>
          </w:p>
          <w:p w14:paraId="3CC8022A" w14:textId="37E566A8" w:rsidR="007C6668" w:rsidRPr="00F0391F" w:rsidRDefault="00A16FF2" w:rsidP="00F0391F">
            <w:pPr>
              <w:suppressAutoHyphens/>
              <w:autoSpaceDE/>
              <w:autoSpaceDN/>
              <w:jc w:val="right"/>
              <w:rPr>
                <w:b/>
                <w:noProof/>
                <w:sz w:val="24"/>
                <w:szCs w:val="24"/>
                <w:lang w:eastAsia="ko-KR"/>
              </w:rPr>
            </w:pPr>
            <w:r>
              <w:rPr>
                <w:noProof/>
                <w:sz w:val="20"/>
                <w:szCs w:val="20"/>
                <w:lang w:val="en-US" w:eastAsia="ko-KR"/>
              </w:rPr>
              <mc:AlternateContent>
                <mc:Choice Requires="wps">
                  <w:drawing>
                    <wp:anchor distT="45720" distB="45720" distL="114300" distR="114300" simplePos="0" relativeHeight="251658283" behindDoc="0" locked="1" layoutInCell="1" allowOverlap="1" wp14:anchorId="0B680FA4" wp14:editId="0711E574">
                      <wp:simplePos x="0" y="0"/>
                      <wp:positionH relativeFrom="column">
                        <wp:posOffset>1011555</wp:posOffset>
                      </wp:positionH>
                      <wp:positionV relativeFrom="paragraph">
                        <wp:posOffset>-1648460</wp:posOffset>
                      </wp:positionV>
                      <wp:extent cx="843280" cy="116840"/>
                      <wp:effectExtent l="19050" t="38100" r="13970" b="54610"/>
                      <wp:wrapNone/>
                      <wp:docPr id="192856648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89538">
                                <a:off x="0" y="0"/>
                                <a:ext cx="843280" cy="116840"/>
                              </a:xfrm>
                              <a:prstGeom prst="rect">
                                <a:avLst/>
                              </a:prstGeom>
                              <a:noFill/>
                              <a:ln>
                                <a:noFill/>
                              </a:ln>
                            </wps:spPr>
                            <wps:txbx>
                              <w:txbxContent>
                                <w:p w14:paraId="6190BA81" w14:textId="1426B0ED" w:rsidR="00456610" w:rsidRPr="00F32F95" w:rsidRDefault="00456610" w:rsidP="007C6668">
                                  <w:pPr>
                                    <w:jc w:val="center"/>
                                    <w:rPr>
                                      <w:rFonts w:ascii="Arial Narrow" w:hAnsi="Arial Narrow"/>
                                      <w:b/>
                                      <w:bCs/>
                                      <w:sz w:val="16"/>
                                      <w:szCs w:val="16"/>
                                    </w:rPr>
                                  </w:pPr>
                                  <w:r>
                                    <w:rPr>
                                      <w:rFonts w:ascii="Arial Narrow" w:hAnsi="Arial Narrow"/>
                                      <w:b/>
                                      <w:bCs/>
                                      <w:sz w:val="16"/>
                                      <w:szCs w:val="16"/>
                                    </w:rPr>
                                    <w:t>v</w:t>
                                  </w:r>
                                  <w:r w:rsidRPr="004C0355">
                                    <w:rPr>
                                      <w:rFonts w:ascii="Arial Narrow" w:hAnsi="Arial Narrow"/>
                                      <w:b/>
                                      <w:bCs/>
                                      <w:sz w:val="16"/>
                                      <w:szCs w:val="16"/>
                                    </w:rPr>
                                    <w:t>erw.bis: MM JJJJ</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B680FA4" id="Text Box 35" o:spid="_x0000_s1070" type="#_x0000_t202" style="position:absolute;left:0;text-align:left;margin-left:79.65pt;margin-top:-129.8pt;width:66.4pt;height:9.2pt;rotation:-448334fd;z-index:25165828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" filled="f" stroked="f">
                      <v:textbox style="mso-fit-shape-to-text:t" inset="0,0,0,0">
                        <w:txbxContent>
                          <w:p w14:paraId="6190BA81" w14:textId="1426B0ED" w:rsidR="00456610" w:rsidRPr="00F32F95" w:rsidRDefault="00456610" w:rsidP="007C6668">
                            <w:pPr>
                              <w:jc w:val="center"/>
                              <w:rPr>
                                <w:rFonts w:ascii="Arial Narrow" w:hAnsi="Arial Narrow"/>
                                <w:b/>
                                <w:bCs/>
                                <w:sz w:val="16"/>
                                <w:szCs w:val="16"/>
                              </w:rPr>
                            </w:pPr>
                            <w:r>
                              <w:rPr>
                                <w:rFonts w:ascii="Arial Narrow" w:hAnsi="Arial Narrow"/>
                                <w:b/>
                                <w:bCs/>
                                <w:sz w:val="16"/>
                                <w:szCs w:val="16"/>
                              </w:rPr>
                              <w:t>v</w:t>
                            </w:r>
                            <w:r w:rsidRPr="004C0355">
                              <w:rPr>
                                <w:rFonts w:ascii="Arial Narrow" w:hAnsi="Arial Narrow"/>
                                <w:b/>
                                <w:bCs/>
                                <w:sz w:val="16"/>
                                <w:szCs w:val="16"/>
                              </w:rPr>
                              <w:t>erw.bis: MM JJJJ</w:t>
                            </w:r>
                          </w:p>
                        </w:txbxContent>
                      </v:textbox>
                      <w10:anchorlock/>
                    </v:shape>
                  </w:pict>
                </mc:Fallback>
              </mc:AlternateContent>
            </w:r>
            <w:r>
              <w:rPr>
                <w:noProof/>
                <w:sz w:val="20"/>
                <w:szCs w:val="20"/>
                <w:lang w:val="en-US" w:eastAsia="ko-KR"/>
              </w:rPr>
              <mc:AlternateContent>
                <mc:Choice Requires="wps">
                  <w:drawing>
                    <wp:anchor distT="45720" distB="45720" distL="114300" distR="114300" simplePos="0" relativeHeight="251658284" behindDoc="0" locked="1" layoutInCell="1" allowOverlap="1" wp14:anchorId="4231296B" wp14:editId="73E73EA0">
                      <wp:simplePos x="0" y="0"/>
                      <wp:positionH relativeFrom="column">
                        <wp:posOffset>1313815</wp:posOffset>
                      </wp:positionH>
                      <wp:positionV relativeFrom="paragraph">
                        <wp:posOffset>-640715</wp:posOffset>
                      </wp:positionV>
                      <wp:extent cx="673100" cy="87630"/>
                      <wp:effectExtent l="19050" t="38100" r="0" b="26670"/>
                      <wp:wrapNone/>
                      <wp:docPr id="85123850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110077">
                                <a:off x="0" y="0"/>
                                <a:ext cx="673100" cy="87630"/>
                              </a:xfrm>
                              <a:prstGeom prst="rect">
                                <a:avLst/>
                              </a:prstGeom>
                              <a:noFill/>
                              <a:ln>
                                <a:noFill/>
                              </a:ln>
                            </wps:spPr>
                            <wps:txbx>
                              <w:txbxContent>
                                <w:p w14:paraId="5C788D4C" w14:textId="579F52DF" w:rsidR="00456610" w:rsidRPr="00F32F95" w:rsidRDefault="00456610" w:rsidP="007C6668">
                                  <w:pPr>
                                    <w:rPr>
                                      <w:rFonts w:ascii="Arial Narrow" w:hAnsi="Arial Narrow"/>
                                      <w:b/>
                                      <w:bCs/>
                                      <w:sz w:val="12"/>
                                      <w:szCs w:val="12"/>
                                    </w:rPr>
                                  </w:pPr>
                                  <w:r>
                                    <w:rPr>
                                      <w:rFonts w:ascii="Arial Narrow" w:hAnsi="Arial Narrow"/>
                                      <w:b/>
                                      <w:bCs/>
                                      <w:sz w:val="12"/>
                                      <w:szCs w:val="12"/>
                                    </w:rPr>
                                    <w:t>v</w:t>
                                  </w:r>
                                  <w:r w:rsidRPr="004C0355">
                                    <w:rPr>
                                      <w:rFonts w:ascii="Arial Narrow" w:hAnsi="Arial Narrow"/>
                                      <w:b/>
                                      <w:bCs/>
                                      <w:sz w:val="12"/>
                                      <w:szCs w:val="12"/>
                                    </w:rPr>
                                    <w:t>erw.bis: MM JJJJ</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231296B" id="Text Box 33" o:spid="_x0000_s1071" type="#_x0000_t202" style="position:absolute;left:0;text-align:left;margin-left:103.45pt;margin-top:-50.45pt;width:53pt;height:6.9pt;rotation:-535127fd;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" filled="f" stroked="f">
                      <v:textbox style="mso-fit-shape-to-text:t" inset="0,0,0,0">
                        <w:txbxContent>
                          <w:p w14:paraId="5C788D4C" w14:textId="579F52DF" w:rsidR="00456610" w:rsidRPr="00F32F95" w:rsidRDefault="00456610" w:rsidP="007C6668">
                            <w:pPr>
                              <w:rPr>
                                <w:rFonts w:ascii="Arial Narrow" w:hAnsi="Arial Narrow"/>
                                <w:b/>
                                <w:bCs/>
                                <w:sz w:val="12"/>
                                <w:szCs w:val="12"/>
                              </w:rPr>
                            </w:pPr>
                            <w:r>
                              <w:rPr>
                                <w:rFonts w:ascii="Arial Narrow" w:hAnsi="Arial Narrow"/>
                                <w:b/>
                                <w:bCs/>
                                <w:sz w:val="12"/>
                                <w:szCs w:val="12"/>
                              </w:rPr>
                              <w:t>v</w:t>
                            </w:r>
                            <w:r w:rsidRPr="004C0355">
                              <w:rPr>
                                <w:rFonts w:ascii="Arial Narrow" w:hAnsi="Arial Narrow"/>
                                <w:b/>
                                <w:bCs/>
                                <w:sz w:val="12"/>
                                <w:szCs w:val="12"/>
                              </w:rPr>
                              <w:t>erw.bis: MM JJJJ</w:t>
                            </w:r>
                          </w:p>
                        </w:txbxContent>
                      </v:textbox>
                      <w10:anchorlock/>
                    </v:shape>
                  </w:pict>
                </mc:Fallback>
              </mc:AlternateContent>
            </w:r>
            <w:r w:rsidR="007C6668" w:rsidRPr="00B320E1">
              <w:rPr>
                <w:b/>
                <w:noProof/>
                <w:lang w:eastAsia="ko-KR"/>
              </w:rPr>
              <w:t>Abbildung C</w:t>
            </w:r>
          </w:p>
        </w:tc>
        <w:tc>
          <w:tcPr>
            <w:tcW w:w="5517" w:type="dxa"/>
            <w:gridSpan w:val="2"/>
          </w:tcPr>
          <w:p w14:paraId="0CDDA953" w14:textId="77777777" w:rsidR="007C6668" w:rsidRPr="00B320E1" w:rsidRDefault="007C6668" w:rsidP="00F0391F">
            <w:pPr>
              <w:pStyle w:val="a3"/>
              <w:numPr>
                <w:ilvl w:val="0"/>
                <w:numId w:val="31"/>
              </w:numPr>
              <w:autoSpaceDE/>
              <w:autoSpaceDN/>
              <w:ind w:left="567" w:hanging="567"/>
              <w:rPr>
                <w:b/>
              </w:rPr>
            </w:pPr>
            <w:r w:rsidRPr="00B320E1">
              <w:rPr>
                <w:b/>
              </w:rPr>
              <w:t>Überprüfen Sie die Verpackung.</w:t>
            </w:r>
          </w:p>
          <w:p w14:paraId="2EB58209" w14:textId="77777777" w:rsidR="007C6668" w:rsidRPr="00B320E1" w:rsidRDefault="007C6668" w:rsidP="00F0391F">
            <w:pPr>
              <w:pStyle w:val="a3"/>
              <w:autoSpaceDE/>
              <w:autoSpaceDN/>
              <w:ind w:left="567" w:hanging="567"/>
              <w:rPr>
                <w:b/>
              </w:rPr>
            </w:pPr>
          </w:p>
          <w:p w14:paraId="044A658B" w14:textId="77777777" w:rsidR="007C6668" w:rsidRPr="00B320E1" w:rsidRDefault="007C6668" w:rsidP="00F0391F">
            <w:pPr>
              <w:pStyle w:val="a3"/>
              <w:numPr>
                <w:ilvl w:val="0"/>
                <w:numId w:val="33"/>
              </w:numPr>
              <w:autoSpaceDE/>
              <w:autoSpaceDN/>
              <w:ind w:left="567" w:hanging="567"/>
              <w:rPr>
                <w:bCs/>
              </w:rPr>
            </w:pPr>
            <w:r w:rsidRPr="00B320E1">
              <w:t>Überprüfen Sie den Umkarton und stellen Sie sicher, dass Sie das richtige Arzneimittel (Avtozma) und die richtige Dosisstärke haben.</w:t>
            </w:r>
          </w:p>
          <w:p w14:paraId="352649E8" w14:textId="77777777" w:rsidR="007C6668" w:rsidRPr="00B320E1" w:rsidRDefault="007C6668" w:rsidP="00F0391F">
            <w:pPr>
              <w:pStyle w:val="a3"/>
              <w:numPr>
                <w:ilvl w:val="0"/>
                <w:numId w:val="33"/>
              </w:numPr>
              <w:autoSpaceDE/>
              <w:autoSpaceDN/>
              <w:ind w:left="567" w:hanging="567"/>
              <w:rPr>
                <w:bCs/>
              </w:rPr>
            </w:pPr>
            <w:r w:rsidRPr="00B320E1">
              <w:t>Prüfen Sie das Verfalldatum auf dem Umkarton, um sicherzugehen, dass es nicht abgelaufen ist.</w:t>
            </w:r>
          </w:p>
          <w:p w14:paraId="18EE1CE7" w14:textId="77777777" w:rsidR="007C6668" w:rsidRPr="00B320E1" w:rsidRDefault="007C6668" w:rsidP="00F0391F">
            <w:pPr>
              <w:pStyle w:val="a3"/>
              <w:autoSpaceDE/>
              <w:autoSpaceDN/>
              <w:ind w:left="567" w:hanging="567"/>
              <w:rPr>
                <w:lang w:eastAsia="ko-KR"/>
              </w:rPr>
            </w:pPr>
          </w:p>
          <w:p w14:paraId="01D798AC" w14:textId="77777777" w:rsidR="007C6668" w:rsidRPr="00B320E1" w:rsidRDefault="007C6668" w:rsidP="00F0391F">
            <w:pPr>
              <w:pStyle w:val="a3"/>
              <w:autoSpaceDE/>
              <w:autoSpaceDN/>
              <w:ind w:left="567" w:hanging="567"/>
              <w:rPr>
                <w:b/>
                <w:lang w:eastAsia="ko-KR"/>
              </w:rPr>
            </w:pPr>
          </w:p>
          <w:p w14:paraId="4708AE4A" w14:textId="77777777" w:rsidR="007C6668" w:rsidRPr="00B320E1" w:rsidRDefault="007C6668" w:rsidP="00F0391F">
            <w:pPr>
              <w:pStyle w:val="a3"/>
              <w:numPr>
                <w:ilvl w:val="0"/>
                <w:numId w:val="13"/>
              </w:numPr>
              <w:autoSpaceDE/>
              <w:autoSpaceDN/>
              <w:ind w:left="1134" w:hanging="567"/>
            </w:pPr>
            <w:r w:rsidRPr="00B320E1">
              <w:t xml:space="preserve">Verwenden Sie den Fertigpen </w:t>
            </w:r>
            <w:r w:rsidRPr="00B320E1">
              <w:rPr>
                <w:b/>
              </w:rPr>
              <w:t>nicht</w:t>
            </w:r>
            <w:r w:rsidRPr="00B320E1">
              <w:t>, wenn das Verfalldatum abgelaufen ist.</w:t>
            </w:r>
          </w:p>
          <w:p w14:paraId="33132261" w14:textId="77777777" w:rsidR="007C6668" w:rsidRPr="00B320E1" w:rsidRDefault="007C6668" w:rsidP="00F0391F">
            <w:pPr>
              <w:pStyle w:val="a3"/>
              <w:numPr>
                <w:ilvl w:val="0"/>
                <w:numId w:val="13"/>
              </w:numPr>
              <w:autoSpaceDE/>
              <w:autoSpaceDN/>
              <w:ind w:left="1134" w:hanging="567"/>
            </w:pPr>
            <w:r w:rsidRPr="00B320E1">
              <w:t xml:space="preserve">Überprüfen Sie beim erstmaligen Öffnen des Umkartons, ob dieser ordnungsgemäß versiegelt ist. </w:t>
            </w:r>
          </w:p>
          <w:p w14:paraId="001AB763" w14:textId="77777777" w:rsidR="007C6668" w:rsidRPr="00B320E1" w:rsidRDefault="007C6668" w:rsidP="00F0391F">
            <w:pPr>
              <w:pStyle w:val="a3"/>
              <w:numPr>
                <w:ilvl w:val="0"/>
                <w:numId w:val="13"/>
              </w:numPr>
              <w:autoSpaceDE/>
              <w:autoSpaceDN/>
              <w:ind w:left="1134" w:hanging="567"/>
            </w:pPr>
            <w:r w:rsidRPr="00B320E1">
              <w:t xml:space="preserve">Verwenden Sie den Fertigpen </w:t>
            </w:r>
            <w:r w:rsidRPr="00B320E1">
              <w:rPr>
                <w:b/>
                <w:bCs/>
              </w:rPr>
              <w:t>nicht</w:t>
            </w:r>
            <w:r w:rsidRPr="00B320E1">
              <w:t>, wenn die Verpackung aussieht, als wäre sie geöffnet oder beschädigt worden.</w:t>
            </w:r>
          </w:p>
          <w:p w14:paraId="4A77AFAD" w14:textId="77777777" w:rsidR="007C6668" w:rsidRPr="00F0391F" w:rsidRDefault="007C6668" w:rsidP="00F0391F">
            <w:pPr>
              <w:autoSpaceDE/>
              <w:autoSpaceDN/>
              <w:rPr>
                <w:sz w:val="24"/>
                <w:szCs w:val="24"/>
              </w:rPr>
            </w:pPr>
          </w:p>
        </w:tc>
      </w:tr>
      <w:tr w:rsidR="007C6668" w:rsidRPr="007C6668" w14:paraId="6CCA617F" w14:textId="77777777" w:rsidTr="00F0391F">
        <w:tblPrEx>
          <w:tblBorders>
            <w:insideV w:val="single" w:sz="4" w:space="0" w:color="auto"/>
          </w:tblBorders>
          <w:tblCellMar>
            <w:top w:w="0" w:type="dxa"/>
            <w:bottom w:w="0" w:type="dxa"/>
          </w:tblCellMar>
        </w:tblPrEx>
        <w:trPr>
          <w:gridAfter w:val="1"/>
          <w:wAfter w:w="124" w:type="dxa"/>
        </w:trPr>
        <w:tc>
          <w:tcPr>
            <w:tcW w:w="3539" w:type="dxa"/>
          </w:tcPr>
          <w:p w14:paraId="6FEEDED0" w14:textId="60124A4C" w:rsidR="007C6668" w:rsidRPr="00F0391F" w:rsidRDefault="00A16FF2" w:rsidP="00F0391F">
            <w:pPr>
              <w:suppressAutoHyphens/>
              <w:autoSpaceDE/>
              <w:autoSpaceDN/>
              <w:jc w:val="right"/>
              <w:rPr>
                <w:b/>
                <w:noProof/>
                <w:sz w:val="24"/>
                <w:szCs w:val="24"/>
              </w:rPr>
            </w:pPr>
            <w:r>
              <w:rPr>
                <w:noProof/>
                <w:sz w:val="24"/>
                <w:szCs w:val="24"/>
                <w:lang w:val="en-US" w:eastAsia="ko-KR"/>
              </w:rPr>
              <w:drawing>
                <wp:inline distT="0" distB="0" distL="0" distR="0" wp14:anchorId="4A0A1C1F" wp14:editId="58BCDA5F">
                  <wp:extent cx="2084070" cy="2562225"/>
                  <wp:effectExtent l="19050" t="19050" r="0" b="9525"/>
                  <wp:docPr id="25" name="그림 1837928270" descr="휴대 전화, 스케치, 드라이브,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37928270" descr="휴대 전화, 스케치, 드라이브, 디자인이(가) 표시된 사진&#10;&#10;자동 생성된 설명"/>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39E6C63A" w14:textId="19979726" w:rsidR="007C6668" w:rsidRPr="00F0391F" w:rsidRDefault="00A16FF2" w:rsidP="00F0391F">
            <w:pPr>
              <w:suppressAutoHyphens/>
              <w:autoSpaceDE/>
              <w:autoSpaceDN/>
              <w:jc w:val="right"/>
              <w:rPr>
                <w:b/>
                <w:noProof/>
                <w:sz w:val="24"/>
                <w:szCs w:val="24"/>
              </w:rPr>
            </w:pPr>
            <w:r>
              <w:rPr>
                <w:noProof/>
                <w:sz w:val="20"/>
                <w:szCs w:val="20"/>
                <w:lang w:val="en-US" w:eastAsia="ko-KR"/>
              </w:rPr>
              <mc:AlternateContent>
                <mc:Choice Requires="wps">
                  <w:drawing>
                    <wp:anchor distT="45720" distB="45720" distL="114300" distR="114300" simplePos="0" relativeHeight="251658285" behindDoc="0" locked="1" layoutInCell="1" allowOverlap="1" wp14:anchorId="5BBDB5F5" wp14:editId="79697C55">
                      <wp:simplePos x="0" y="0"/>
                      <wp:positionH relativeFrom="column">
                        <wp:posOffset>902335</wp:posOffset>
                      </wp:positionH>
                      <wp:positionV relativeFrom="paragraph">
                        <wp:posOffset>-2084070</wp:posOffset>
                      </wp:positionV>
                      <wp:extent cx="1141730" cy="564515"/>
                      <wp:effectExtent l="0" t="0" r="0" b="0"/>
                      <wp:wrapNone/>
                      <wp:docPr id="124342028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564515"/>
                              </a:xfrm>
                              <a:prstGeom prst="rect">
                                <a:avLst/>
                              </a:prstGeom>
                              <a:noFill/>
                              <a:ln>
                                <a:noFill/>
                              </a:ln>
                            </wps:spPr>
                            <wps:txbx>
                              <w:txbxContent>
                                <w:p w14:paraId="39A1FAA1" w14:textId="76BD8470" w:rsidR="00456610" w:rsidRPr="00CE4B1A" w:rsidRDefault="00456610" w:rsidP="007C6668">
                                  <w:pPr>
                                    <w:spacing w:line="260" w:lineRule="exact"/>
                                    <w:jc w:val="center"/>
                                    <w:rPr>
                                      <w:rFonts w:cs="Calibri"/>
                                      <w:b/>
                                      <w:bCs/>
                                      <w:sz w:val="18"/>
                                      <w:szCs w:val="18"/>
                                    </w:rPr>
                                  </w:pPr>
                                  <w:r>
                                    <w:rPr>
                                      <w:rFonts w:cs="Calibri"/>
                                      <w:b/>
                                      <w:bCs/>
                                      <w:sz w:val="18"/>
                                      <w:szCs w:val="18"/>
                                    </w:rPr>
                                    <w:t>v</w:t>
                                  </w:r>
                                  <w:r w:rsidRPr="00CE4B1A">
                                    <w:rPr>
                                      <w:rFonts w:cs="Calibri"/>
                                      <w:b/>
                                      <w:bCs/>
                                      <w:sz w:val="18"/>
                                      <w:szCs w:val="18"/>
                                    </w:rPr>
                                    <w:t>erw.bis: MM JJJJ</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DB5F5" id="Text Box 31" o:spid="_x0000_s1072" type="#_x0000_t202" style="position:absolute;left:0;text-align:left;margin-left:71.05pt;margin-top:-164.1pt;width:89.9pt;height:44.45pt;z-index:2516582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" filled="f" stroked="f">
                      <v:textbox inset="0,0,0,0">
                        <w:txbxContent>
                          <w:p w14:paraId="39A1FAA1" w14:textId="76BD8470" w:rsidR="00456610" w:rsidRPr="00CE4B1A" w:rsidRDefault="00456610" w:rsidP="007C6668">
                            <w:pPr>
                              <w:spacing w:line="260" w:lineRule="exact"/>
                              <w:jc w:val="center"/>
                              <w:rPr>
                                <w:rFonts w:cs="Calibri"/>
                                <w:b/>
                                <w:bCs/>
                                <w:sz w:val="18"/>
                                <w:szCs w:val="18"/>
                              </w:rPr>
                            </w:pPr>
                            <w:r>
                              <w:rPr>
                                <w:rFonts w:cs="Calibri"/>
                                <w:b/>
                                <w:bCs/>
                                <w:sz w:val="18"/>
                                <w:szCs w:val="18"/>
                              </w:rPr>
                              <w:t>v</w:t>
                            </w:r>
                            <w:r w:rsidRPr="00CE4B1A">
                              <w:rPr>
                                <w:rFonts w:cs="Calibri"/>
                                <w:b/>
                                <w:bCs/>
                                <w:sz w:val="18"/>
                                <w:szCs w:val="18"/>
                              </w:rPr>
                              <w:t>erw.bis: MM JJJJ</w:t>
                            </w:r>
                          </w:p>
                        </w:txbxContent>
                      </v:textbox>
                      <w10:anchorlock/>
                    </v:shape>
                  </w:pict>
                </mc:Fallback>
              </mc:AlternateContent>
            </w:r>
            <w:r w:rsidR="007C6668" w:rsidRPr="00B320E1">
              <w:rPr>
                <w:b/>
                <w:noProof/>
              </w:rPr>
              <w:t>Abbildung D</w:t>
            </w:r>
          </w:p>
        </w:tc>
        <w:tc>
          <w:tcPr>
            <w:tcW w:w="5517" w:type="dxa"/>
            <w:gridSpan w:val="2"/>
          </w:tcPr>
          <w:p w14:paraId="1A93DC85" w14:textId="77777777" w:rsidR="007C6668" w:rsidRPr="00B320E1" w:rsidRDefault="007C6668" w:rsidP="00F0391F">
            <w:pPr>
              <w:pStyle w:val="a3"/>
              <w:numPr>
                <w:ilvl w:val="0"/>
                <w:numId w:val="31"/>
              </w:numPr>
              <w:autoSpaceDE/>
              <w:autoSpaceDN/>
              <w:ind w:left="567" w:hanging="567"/>
              <w:rPr>
                <w:b/>
              </w:rPr>
            </w:pPr>
            <w:r w:rsidRPr="00B320E1">
              <w:rPr>
                <w:b/>
              </w:rPr>
              <w:t>Überprüfen Sie den Fertigpen.</w:t>
            </w:r>
          </w:p>
          <w:p w14:paraId="357FAA7E" w14:textId="77777777" w:rsidR="007C6668" w:rsidRPr="00B320E1" w:rsidRDefault="007C6668" w:rsidP="00F0391F">
            <w:pPr>
              <w:autoSpaceDE/>
              <w:autoSpaceDN/>
              <w:ind w:left="567" w:hanging="567"/>
              <w:rPr>
                <w:bCs/>
              </w:rPr>
            </w:pPr>
          </w:p>
          <w:p w14:paraId="7DBC64E2" w14:textId="4D9BF3BB" w:rsidR="007C6668" w:rsidRPr="00B320E1" w:rsidRDefault="007C6668" w:rsidP="00F0391F">
            <w:pPr>
              <w:pStyle w:val="a3"/>
              <w:numPr>
                <w:ilvl w:val="0"/>
                <w:numId w:val="34"/>
              </w:numPr>
              <w:autoSpaceDE/>
              <w:autoSpaceDN/>
              <w:ind w:left="567" w:hanging="567"/>
            </w:pPr>
            <w:r w:rsidRPr="00B320E1">
              <w:t>Öffnen Sie den Umkarton und entnehmen Sie einen Einzeldosis</w:t>
            </w:r>
            <w:r w:rsidRPr="00B320E1">
              <w:noBreakHyphen/>
              <w:t>Fertigpen aus dem Umkarton. Legen Sie alle restlichen Avtozma-Fertigpens in der Packung wieder zurück in den Kühlschrank.</w:t>
            </w:r>
          </w:p>
          <w:p w14:paraId="3F772C63" w14:textId="0E4725E4" w:rsidR="007C6668" w:rsidRPr="00B320E1" w:rsidRDefault="007C6668" w:rsidP="00F0391F">
            <w:pPr>
              <w:pStyle w:val="a3"/>
              <w:numPr>
                <w:ilvl w:val="0"/>
                <w:numId w:val="34"/>
              </w:numPr>
              <w:autoSpaceDE/>
              <w:autoSpaceDN/>
              <w:ind w:left="567" w:hanging="567"/>
              <w:rPr>
                <w:bCs/>
              </w:rPr>
            </w:pPr>
            <w:r w:rsidRPr="00B320E1">
              <w:t xml:space="preserve">Prüfen Sie das Verfalldatum auf dem Avtozma-Fertigpen (siehe </w:t>
            </w:r>
            <w:r w:rsidRPr="00B320E1">
              <w:rPr>
                <w:b/>
                <w:bCs/>
              </w:rPr>
              <w:t>Abbildung D</w:t>
            </w:r>
            <w:r w:rsidRPr="00B320E1">
              <w:t>).</w:t>
            </w:r>
          </w:p>
          <w:p w14:paraId="59EE9639" w14:textId="77777777" w:rsidR="007C6668" w:rsidRPr="00B320E1" w:rsidRDefault="007C6668" w:rsidP="00F0391F">
            <w:pPr>
              <w:pStyle w:val="a3"/>
              <w:numPr>
                <w:ilvl w:val="0"/>
                <w:numId w:val="13"/>
              </w:numPr>
              <w:autoSpaceDE/>
              <w:autoSpaceDN/>
              <w:ind w:left="1134" w:hanging="567"/>
            </w:pPr>
            <w:r w:rsidRPr="00B320E1">
              <w:t xml:space="preserve">Verwenden Sie den Fertigpen </w:t>
            </w:r>
            <w:r w:rsidRPr="00B320E1">
              <w:rPr>
                <w:b/>
              </w:rPr>
              <w:t>nicht</w:t>
            </w:r>
            <w:r w:rsidRPr="00B320E1">
              <w:t>, wenn das Verfalldatum abgelaufen ist. Wenn das Verfalldatum abgelaufen ist, entsorgen Sie den Fertigpen in einem Nadelabwurfbehälter und verwenden Sie einen neuen.</w:t>
            </w:r>
          </w:p>
          <w:p w14:paraId="3105F4C1" w14:textId="4A26347D" w:rsidR="007C6668" w:rsidRPr="00B320E1" w:rsidRDefault="007C6668" w:rsidP="00F0391F">
            <w:pPr>
              <w:pStyle w:val="a3"/>
              <w:numPr>
                <w:ilvl w:val="0"/>
                <w:numId w:val="34"/>
              </w:numPr>
              <w:autoSpaceDE/>
              <w:autoSpaceDN/>
              <w:ind w:left="567" w:hanging="567"/>
              <w:rPr>
                <w:bCs/>
              </w:rPr>
            </w:pPr>
            <w:r w:rsidRPr="00B320E1">
              <w:t xml:space="preserve">Überprüfen Sie den Fertigpen und stellen Sie sicher, dass er nicht beschädigt ist und keine Anzeichen einer </w:t>
            </w:r>
            <w:r w:rsidR="005433AA" w:rsidRPr="005433AA">
              <w:t>Undichtigkeit</w:t>
            </w:r>
            <w:r w:rsidR="005433AA" w:rsidRPr="005433AA" w:rsidDel="005433AA">
              <w:t xml:space="preserve"> </w:t>
            </w:r>
            <w:r w:rsidRPr="00B320E1">
              <w:t>aufweist.</w:t>
            </w:r>
          </w:p>
          <w:p w14:paraId="4C8B671B" w14:textId="77777777" w:rsidR="007C6668" w:rsidRPr="00B320E1" w:rsidRDefault="007C6668" w:rsidP="00F0391F">
            <w:pPr>
              <w:pStyle w:val="a3"/>
              <w:numPr>
                <w:ilvl w:val="0"/>
                <w:numId w:val="13"/>
              </w:numPr>
              <w:autoSpaceDE/>
              <w:autoSpaceDN/>
              <w:ind w:left="1134" w:hanging="567"/>
            </w:pPr>
            <w:r w:rsidRPr="00B320E1">
              <w:t xml:space="preserve">Verwenden Sie den Fertigpen </w:t>
            </w:r>
            <w:r w:rsidRPr="00B320E1">
              <w:rPr>
                <w:b/>
              </w:rPr>
              <w:t>nicht</w:t>
            </w:r>
            <w:r w:rsidRPr="00B320E1">
              <w:t>, wenn er heruntergefallen, beschädigt oder ausgelaufen ist.</w:t>
            </w:r>
          </w:p>
          <w:p w14:paraId="1AFF4C3B" w14:textId="77777777" w:rsidR="007C6668" w:rsidRPr="00B320E1" w:rsidRDefault="007C6668" w:rsidP="00F0391F">
            <w:pPr>
              <w:pStyle w:val="a3"/>
              <w:autoSpaceDE/>
              <w:autoSpaceDN/>
              <w:ind w:left="567"/>
              <w:rPr>
                <w:bCs/>
                <w:noProof/>
              </w:rPr>
            </w:pPr>
            <w:r w:rsidRPr="00B320E1">
              <w:rPr>
                <w:i/>
              </w:rPr>
              <w:t>Hinweis</w:t>
            </w:r>
            <w:r w:rsidRPr="00B320E1">
              <w:t>: Eine kleine Lücke zwischen der orangefarbenen Schutzkappe und dem Körper des Pens ist normal.</w:t>
            </w:r>
          </w:p>
          <w:p w14:paraId="00EF061E" w14:textId="77777777" w:rsidR="007C6668" w:rsidRPr="00F0391F" w:rsidRDefault="007C6668" w:rsidP="00F0391F">
            <w:pPr>
              <w:autoSpaceDE/>
              <w:autoSpaceDN/>
              <w:rPr>
                <w:sz w:val="24"/>
                <w:szCs w:val="24"/>
              </w:rPr>
            </w:pPr>
          </w:p>
        </w:tc>
      </w:tr>
      <w:tr w:rsidR="007C6668" w:rsidRPr="007C6668" w14:paraId="01AC32AD" w14:textId="77777777" w:rsidTr="00F0391F">
        <w:tblPrEx>
          <w:tblBorders>
            <w:insideV w:val="single" w:sz="4" w:space="0" w:color="auto"/>
          </w:tblBorders>
          <w:tblCellMar>
            <w:top w:w="0" w:type="dxa"/>
            <w:bottom w:w="0" w:type="dxa"/>
          </w:tblCellMar>
        </w:tblPrEx>
        <w:trPr>
          <w:gridAfter w:val="1"/>
          <w:wAfter w:w="124" w:type="dxa"/>
        </w:trPr>
        <w:tc>
          <w:tcPr>
            <w:tcW w:w="3539" w:type="dxa"/>
          </w:tcPr>
          <w:p w14:paraId="2B0B329C" w14:textId="1D2305E2" w:rsidR="007C6668"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0029E61E" wp14:editId="592FE2F7">
                  <wp:extent cx="2073275" cy="2594610"/>
                  <wp:effectExtent l="19050" t="19050" r="3175" b="0"/>
                  <wp:docPr id="26" name="그림 1806273390" descr="텍스트, 스크린샷, 원,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06273390" descr="텍스트, 스크린샷, 원, 디자인이(가) 표시된 사진&#10;&#10;자동 생성된 설명"/>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73275" cy="2594610"/>
                          </a:xfrm>
                          <a:prstGeom prst="rect">
                            <a:avLst/>
                          </a:prstGeom>
                          <a:noFill/>
                          <a:ln w="9525" cmpd="sng">
                            <a:solidFill>
                              <a:srgbClr val="000000"/>
                            </a:solidFill>
                            <a:miter lim="800000"/>
                            <a:headEnd/>
                            <a:tailEnd/>
                          </a:ln>
                          <a:effectLst/>
                        </pic:spPr>
                      </pic:pic>
                    </a:graphicData>
                  </a:graphic>
                </wp:inline>
              </w:drawing>
            </w:r>
          </w:p>
          <w:p w14:paraId="67A15838" w14:textId="3057988D" w:rsidR="007C6668" w:rsidRPr="00F0391F" w:rsidRDefault="00A16FF2" w:rsidP="00F0391F">
            <w:pPr>
              <w:suppressAutoHyphens/>
              <w:autoSpaceDE/>
              <w:autoSpaceDN/>
              <w:jc w:val="right"/>
              <w:rPr>
                <w:b/>
                <w:bCs/>
                <w:noProof/>
                <w:sz w:val="24"/>
                <w:szCs w:val="24"/>
              </w:rPr>
            </w:pPr>
            <w:r>
              <w:rPr>
                <w:noProof/>
                <w:sz w:val="20"/>
                <w:szCs w:val="20"/>
                <w:lang w:val="en-US" w:eastAsia="ko-KR"/>
              </w:rPr>
              <mc:AlternateContent>
                <mc:Choice Requires="wps">
                  <w:drawing>
                    <wp:anchor distT="45720" distB="45720" distL="114300" distR="114300" simplePos="0" relativeHeight="251658286" behindDoc="0" locked="1" layoutInCell="1" allowOverlap="1" wp14:anchorId="36190F18" wp14:editId="6F2D1A51">
                      <wp:simplePos x="0" y="0"/>
                      <wp:positionH relativeFrom="column">
                        <wp:posOffset>369570</wp:posOffset>
                      </wp:positionH>
                      <wp:positionV relativeFrom="paragraph">
                        <wp:posOffset>-2183130</wp:posOffset>
                      </wp:positionV>
                      <wp:extent cx="767080" cy="489585"/>
                      <wp:effectExtent l="0" t="0" r="0" b="0"/>
                      <wp:wrapNone/>
                      <wp:docPr id="140109186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489585"/>
                              </a:xfrm>
                              <a:prstGeom prst="rect">
                                <a:avLst/>
                              </a:prstGeom>
                              <a:noFill/>
                              <a:ln>
                                <a:noFill/>
                              </a:ln>
                            </wps:spPr>
                            <wps:txbx>
                              <w:txbxContent>
                                <w:p w14:paraId="5BD8745F" w14:textId="79B09749" w:rsidR="00456610" w:rsidRPr="00B320E1" w:rsidRDefault="00456610" w:rsidP="007C6668">
                                  <w:pPr>
                                    <w:spacing w:line="216" w:lineRule="auto"/>
                                    <w:jc w:val="center"/>
                                    <w:rPr>
                                      <w:rFonts w:ascii="Arial" w:hAnsi="Arial" w:cs="Arial"/>
                                      <w:b/>
                                      <w:bCs/>
                                      <w:sz w:val="10"/>
                                      <w:szCs w:val="10"/>
                                    </w:rPr>
                                  </w:pPr>
                                  <w:r w:rsidRPr="004C0355">
                                    <w:rPr>
                                      <w:rFonts w:ascii="Arial" w:hAnsi="Arial" w:cs="Arial"/>
                                      <w:b/>
                                      <w:bCs/>
                                      <w:sz w:val="36"/>
                                      <w:szCs w:val="36"/>
                                    </w:rPr>
                                    <w:t xml:space="preserve">45 </w:t>
                                  </w:r>
                                  <w:r w:rsidRPr="00B320E1">
                                    <w:rPr>
                                      <w:rFonts w:ascii="Arial" w:hAnsi="Arial" w:cs="Arial"/>
                                      <w:b/>
                                      <w:bCs/>
                                      <w:sz w:val="24"/>
                                      <w:szCs w:val="24"/>
                                    </w:rPr>
                                    <w:t>Minuten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190F18" id="Text Box 29" o:spid="_x0000_s1073" type="#_x0000_t202" style="position:absolute;left:0;text-align:left;margin-left:29.1pt;margin-top:-171.9pt;width:60.4pt;height:38.55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" filled="f" stroked="f">
                      <v:textbox inset="0,0,0,0">
                        <w:txbxContent>
                          <w:p w14:paraId="5BD8745F" w14:textId="79B09749" w:rsidR="00456610" w:rsidRPr="00B320E1" w:rsidRDefault="00456610" w:rsidP="007C6668">
                            <w:pPr>
                              <w:spacing w:line="216" w:lineRule="auto"/>
                              <w:jc w:val="center"/>
                              <w:rPr>
                                <w:rFonts w:ascii="Arial" w:hAnsi="Arial" w:cs="Arial"/>
                                <w:b/>
                                <w:bCs/>
                                <w:sz w:val="10"/>
                                <w:szCs w:val="10"/>
                              </w:rPr>
                            </w:pPr>
                            <w:r w:rsidRPr="004C0355">
                              <w:rPr>
                                <w:rFonts w:ascii="Arial" w:hAnsi="Arial" w:cs="Arial"/>
                                <w:b/>
                                <w:bCs/>
                                <w:sz w:val="36"/>
                                <w:szCs w:val="36"/>
                              </w:rPr>
                              <w:t xml:space="preserve">45 </w:t>
                            </w:r>
                            <w:r w:rsidRPr="00B320E1">
                              <w:rPr>
                                <w:rFonts w:ascii="Arial" w:hAnsi="Arial" w:cs="Arial"/>
                                <w:b/>
                                <w:bCs/>
                                <w:sz w:val="24"/>
                                <w:szCs w:val="24"/>
                              </w:rPr>
                              <w:t>Minuten</w:t>
                            </w:r>
                          </w:p>
                        </w:txbxContent>
                      </v:textbox>
                      <w10:anchorlock/>
                    </v:shape>
                  </w:pict>
                </mc:Fallback>
              </mc:AlternateContent>
            </w:r>
            <w:r w:rsidR="007C6668" w:rsidRPr="00B320E1">
              <w:rPr>
                <w:b/>
                <w:bCs/>
                <w:noProof/>
              </w:rPr>
              <w:t>Abbildung E</w:t>
            </w:r>
          </w:p>
        </w:tc>
        <w:tc>
          <w:tcPr>
            <w:tcW w:w="5517" w:type="dxa"/>
            <w:gridSpan w:val="2"/>
          </w:tcPr>
          <w:p w14:paraId="6901757B" w14:textId="77777777" w:rsidR="007C6668" w:rsidRPr="00B320E1" w:rsidRDefault="007C6668" w:rsidP="00F0391F">
            <w:pPr>
              <w:pStyle w:val="a3"/>
              <w:numPr>
                <w:ilvl w:val="0"/>
                <w:numId w:val="31"/>
              </w:numPr>
              <w:autoSpaceDE/>
              <w:autoSpaceDN/>
              <w:ind w:left="567" w:hanging="567"/>
              <w:rPr>
                <w:b/>
              </w:rPr>
            </w:pPr>
            <w:r w:rsidRPr="00B320E1">
              <w:rPr>
                <w:b/>
              </w:rPr>
              <w:t>Warten Sie 45 Minuten.</w:t>
            </w:r>
          </w:p>
          <w:p w14:paraId="7804D489" w14:textId="77777777" w:rsidR="007C6668" w:rsidRPr="00B320E1" w:rsidRDefault="007C6668" w:rsidP="00F0391F">
            <w:pPr>
              <w:pStyle w:val="Default"/>
              <w:autoSpaceDE/>
              <w:autoSpaceDN/>
              <w:ind w:left="567" w:hanging="567"/>
              <w:rPr>
                <w:rFonts w:eastAsia="새굴림"/>
                <w:sz w:val="20"/>
                <w:szCs w:val="20"/>
              </w:rPr>
            </w:pPr>
          </w:p>
          <w:p w14:paraId="6C5A7857" w14:textId="321E00B7" w:rsidR="007C6668" w:rsidRPr="00B320E1" w:rsidRDefault="007C6668" w:rsidP="00F0391F">
            <w:pPr>
              <w:pStyle w:val="a3"/>
              <w:numPr>
                <w:ilvl w:val="0"/>
                <w:numId w:val="35"/>
              </w:numPr>
              <w:autoSpaceDE/>
              <w:autoSpaceDN/>
              <w:ind w:left="567" w:hanging="567"/>
            </w:pPr>
            <w:r w:rsidRPr="00B320E1">
              <w:t>Lassen Sie den Fertigpen außerhalb des Umkartons 45 Minuten Raumtemperatur (</w:t>
            </w:r>
            <w:r w:rsidR="00575C67">
              <w:rPr>
                <w:rFonts w:eastAsia="맑은 고딕" w:hint="eastAsia"/>
                <w:lang w:eastAsia="ko-KR"/>
              </w:rPr>
              <w:t>18</w:t>
            </w:r>
            <w:r w:rsidR="00575C67" w:rsidRPr="00B320E1">
              <w:t> </w:t>
            </w:r>
            <w:r w:rsidRPr="00B320E1">
              <w:t xml:space="preserve">°C bis </w:t>
            </w:r>
            <w:r w:rsidR="00575C67" w:rsidRPr="00B320E1">
              <w:t>2</w:t>
            </w:r>
            <w:r w:rsidR="00575C67">
              <w:rPr>
                <w:rFonts w:eastAsia="맑은 고딕" w:hint="eastAsia"/>
                <w:lang w:eastAsia="ko-KR"/>
              </w:rPr>
              <w:t>8</w:t>
            </w:r>
            <w:r w:rsidR="00575C67" w:rsidRPr="00B320E1">
              <w:t> </w:t>
            </w:r>
            <w:r w:rsidRPr="00B320E1">
              <w:t xml:space="preserve">°C) annehmen (siehe </w:t>
            </w:r>
            <w:r w:rsidRPr="00B320E1">
              <w:rPr>
                <w:b/>
                <w:bCs/>
              </w:rPr>
              <w:t>Abbildung E</w:t>
            </w:r>
            <w:r w:rsidRPr="00B320E1">
              <w:t>).</w:t>
            </w:r>
          </w:p>
          <w:p w14:paraId="65C78316" w14:textId="77777777" w:rsidR="007C6668" w:rsidRPr="00B320E1" w:rsidRDefault="007C6668" w:rsidP="00F0391F">
            <w:pPr>
              <w:pStyle w:val="a3"/>
              <w:numPr>
                <w:ilvl w:val="0"/>
                <w:numId w:val="13"/>
              </w:numPr>
              <w:autoSpaceDE/>
              <w:autoSpaceDN/>
              <w:ind w:left="1134" w:hanging="567"/>
            </w:pPr>
            <w:r w:rsidRPr="00B320E1">
              <w:t xml:space="preserve">Erwärmen Sie den Fertigpen </w:t>
            </w:r>
            <w:r w:rsidRPr="00B320E1">
              <w:rPr>
                <w:b/>
              </w:rPr>
              <w:t>nicht</w:t>
            </w:r>
            <w:r w:rsidRPr="00B320E1">
              <w:t xml:space="preserve"> mit einer Wärmequelle wie heißem Wasser oder in der Mikrowelle.</w:t>
            </w:r>
          </w:p>
          <w:p w14:paraId="31FCC8F9" w14:textId="77777777" w:rsidR="007C6668" w:rsidRPr="00B320E1" w:rsidRDefault="007C6668" w:rsidP="00F0391F">
            <w:pPr>
              <w:pStyle w:val="a3"/>
              <w:numPr>
                <w:ilvl w:val="0"/>
                <w:numId w:val="13"/>
              </w:numPr>
              <w:autoSpaceDE/>
              <w:autoSpaceDN/>
              <w:ind w:left="1134" w:hanging="567"/>
            </w:pPr>
            <w:r w:rsidRPr="00B320E1">
              <w:t xml:space="preserve">Lassen Sie den Fertigpen </w:t>
            </w:r>
            <w:r w:rsidRPr="00B320E1">
              <w:rPr>
                <w:b/>
              </w:rPr>
              <w:t>nicht</w:t>
            </w:r>
            <w:r w:rsidRPr="00B320E1">
              <w:t xml:space="preserve"> in direktem Sonnenlicht liegen.</w:t>
            </w:r>
          </w:p>
          <w:p w14:paraId="49B6B41A" w14:textId="77777777" w:rsidR="007C6668" w:rsidRPr="00B320E1" w:rsidRDefault="007C6668" w:rsidP="00F0391F">
            <w:pPr>
              <w:pStyle w:val="a3"/>
              <w:numPr>
                <w:ilvl w:val="0"/>
                <w:numId w:val="13"/>
              </w:numPr>
              <w:autoSpaceDE/>
              <w:autoSpaceDN/>
              <w:ind w:left="1134" w:hanging="567"/>
            </w:pPr>
            <w:r w:rsidRPr="00B320E1">
              <w:t xml:space="preserve">Nehmen Sie die Schutzkappe </w:t>
            </w:r>
            <w:r w:rsidRPr="00B320E1">
              <w:rPr>
                <w:b/>
              </w:rPr>
              <w:t>nicht</w:t>
            </w:r>
            <w:r w:rsidRPr="00B320E1">
              <w:t xml:space="preserve"> vom Fertigpen ab, während dieser Raumtemperatur annimmt.</w:t>
            </w:r>
          </w:p>
          <w:p w14:paraId="01281367" w14:textId="77777777" w:rsidR="007C6668" w:rsidRPr="00B320E1" w:rsidRDefault="007C6668" w:rsidP="00F0391F">
            <w:pPr>
              <w:pStyle w:val="a3"/>
              <w:numPr>
                <w:ilvl w:val="0"/>
                <w:numId w:val="13"/>
              </w:numPr>
              <w:autoSpaceDE/>
              <w:autoSpaceDN/>
              <w:ind w:left="1134" w:hanging="567"/>
            </w:pPr>
            <w:r w:rsidRPr="00B320E1">
              <w:t>Wenn der Fertigpen keine Raumtemperatur annimmt, könnte dies zu Beschwerden führen.</w:t>
            </w:r>
          </w:p>
          <w:p w14:paraId="7A614BF7" w14:textId="77777777" w:rsidR="007C6668" w:rsidRPr="00F0391F" w:rsidRDefault="007C6668" w:rsidP="00F0391F">
            <w:pPr>
              <w:autoSpaceDE/>
              <w:autoSpaceDN/>
              <w:rPr>
                <w:sz w:val="24"/>
                <w:szCs w:val="24"/>
              </w:rPr>
            </w:pPr>
          </w:p>
        </w:tc>
      </w:tr>
      <w:tr w:rsidR="007C6668" w:rsidRPr="00BD6707" w14:paraId="44FAD09D" w14:textId="77777777" w:rsidTr="00F0391F">
        <w:tblPrEx>
          <w:tblBorders>
            <w:insideV w:val="single" w:sz="4" w:space="0" w:color="auto"/>
          </w:tblBorders>
          <w:tblCellMar>
            <w:top w:w="0" w:type="dxa"/>
            <w:bottom w:w="0" w:type="dxa"/>
          </w:tblCellMar>
        </w:tblPrEx>
        <w:trPr>
          <w:gridAfter w:val="1"/>
          <w:wAfter w:w="124" w:type="dxa"/>
        </w:trPr>
        <w:tc>
          <w:tcPr>
            <w:tcW w:w="3539" w:type="dxa"/>
          </w:tcPr>
          <w:p w14:paraId="4620D8B6" w14:textId="397B54A4" w:rsidR="007C6668"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05D11CF0" wp14:editId="4B9BF7B9">
                  <wp:extent cx="2073275" cy="2573020"/>
                  <wp:effectExtent l="19050" t="19050" r="3175" b="0"/>
                  <wp:docPr id="27" name="그림 1467001912" descr="스케치, 그림,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67001912" descr="스케치, 그림, 일러스트레이션, 디자인이(가) 표시된 사진&#10;&#10;자동 생성된 설명"/>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73275" cy="2573020"/>
                          </a:xfrm>
                          <a:prstGeom prst="rect">
                            <a:avLst/>
                          </a:prstGeom>
                          <a:noFill/>
                          <a:ln w="9525" cmpd="sng">
                            <a:solidFill>
                              <a:srgbClr val="000000"/>
                            </a:solidFill>
                            <a:miter lim="800000"/>
                            <a:headEnd/>
                            <a:tailEnd/>
                          </a:ln>
                          <a:effectLst/>
                        </pic:spPr>
                      </pic:pic>
                    </a:graphicData>
                  </a:graphic>
                </wp:inline>
              </w:drawing>
            </w:r>
          </w:p>
          <w:p w14:paraId="75268AFE" w14:textId="2FBD322D" w:rsidR="007C6668" w:rsidRPr="00F0391F" w:rsidRDefault="007C6668" w:rsidP="00F0391F">
            <w:pPr>
              <w:suppressAutoHyphens/>
              <w:autoSpaceDE/>
              <w:autoSpaceDN/>
              <w:jc w:val="right"/>
              <w:rPr>
                <w:b/>
                <w:bCs/>
                <w:noProof/>
                <w:sz w:val="24"/>
                <w:szCs w:val="24"/>
              </w:rPr>
            </w:pPr>
            <w:r w:rsidRPr="00B320E1">
              <w:rPr>
                <w:b/>
                <w:bCs/>
                <w:noProof/>
              </w:rPr>
              <w:t>Abbildung F</w:t>
            </w:r>
          </w:p>
        </w:tc>
        <w:tc>
          <w:tcPr>
            <w:tcW w:w="5517" w:type="dxa"/>
            <w:gridSpan w:val="2"/>
          </w:tcPr>
          <w:p w14:paraId="07DBFDA5" w14:textId="77777777" w:rsidR="007C6668" w:rsidRPr="00B320E1" w:rsidRDefault="007C6668" w:rsidP="00F0391F">
            <w:pPr>
              <w:pStyle w:val="a3"/>
              <w:numPr>
                <w:ilvl w:val="0"/>
                <w:numId w:val="31"/>
              </w:numPr>
              <w:autoSpaceDE/>
              <w:autoSpaceDN/>
              <w:ind w:left="567" w:hanging="567"/>
              <w:rPr>
                <w:b/>
              </w:rPr>
            </w:pPr>
            <w:r w:rsidRPr="00B320E1">
              <w:rPr>
                <w:b/>
              </w:rPr>
              <w:t>Überprüfen Sie das Arzneimittel.</w:t>
            </w:r>
          </w:p>
          <w:p w14:paraId="1D9E663B" w14:textId="77777777" w:rsidR="007C6668" w:rsidRPr="00B320E1" w:rsidRDefault="007C6668" w:rsidP="00F0391F">
            <w:pPr>
              <w:pStyle w:val="Default"/>
              <w:autoSpaceDE/>
              <w:autoSpaceDN/>
              <w:ind w:left="567" w:hanging="567"/>
              <w:rPr>
                <w:rFonts w:eastAsia="새굴림"/>
                <w:sz w:val="20"/>
                <w:szCs w:val="20"/>
              </w:rPr>
            </w:pPr>
          </w:p>
          <w:p w14:paraId="60C49D41" w14:textId="359FEF28" w:rsidR="007C6668" w:rsidRPr="00B320E1" w:rsidRDefault="007C6668" w:rsidP="00F0391F">
            <w:pPr>
              <w:pStyle w:val="a3"/>
              <w:numPr>
                <w:ilvl w:val="0"/>
                <w:numId w:val="36"/>
              </w:numPr>
              <w:autoSpaceDE/>
              <w:autoSpaceDN/>
              <w:ind w:left="567" w:hanging="567"/>
              <w:rPr>
                <w:bCs/>
              </w:rPr>
            </w:pPr>
            <w:r w:rsidRPr="00B320E1">
              <w:t>Halten Sie den Avtozma-Fertigpen mit der Schutzkappe nach unten gerichtet vor sich.</w:t>
            </w:r>
          </w:p>
          <w:p w14:paraId="71D1ACD0" w14:textId="77777777" w:rsidR="007C6668" w:rsidRPr="00B320E1" w:rsidRDefault="007C6668" w:rsidP="00F0391F">
            <w:pPr>
              <w:pStyle w:val="a3"/>
              <w:numPr>
                <w:ilvl w:val="0"/>
                <w:numId w:val="36"/>
              </w:numPr>
              <w:autoSpaceDE/>
              <w:autoSpaceDN/>
              <w:ind w:left="567" w:hanging="567"/>
              <w:rPr>
                <w:bCs/>
              </w:rPr>
            </w:pPr>
            <w:r w:rsidRPr="00B320E1">
              <w:t xml:space="preserve">Überprüfen Sie das Arzneimittel und stellen Sie sicher, dass die Flüssigkeit klar bis leicht opaleszierend und farblos bis gelb ist und keine Partikel oder Schwebstoffe enthält (siehe </w:t>
            </w:r>
            <w:r w:rsidRPr="00B320E1">
              <w:rPr>
                <w:b/>
                <w:bCs/>
              </w:rPr>
              <w:t>Abbildung F</w:t>
            </w:r>
            <w:r w:rsidRPr="00B320E1">
              <w:t>).</w:t>
            </w:r>
          </w:p>
          <w:p w14:paraId="13DF9E7A" w14:textId="77777777" w:rsidR="007C6668" w:rsidRPr="00B320E1" w:rsidRDefault="007C6668" w:rsidP="00F0391F">
            <w:pPr>
              <w:pStyle w:val="a3"/>
              <w:numPr>
                <w:ilvl w:val="0"/>
                <w:numId w:val="13"/>
              </w:numPr>
              <w:autoSpaceDE/>
              <w:autoSpaceDN/>
              <w:ind w:left="1134" w:hanging="567"/>
            </w:pPr>
            <w:r w:rsidRPr="00B320E1">
              <w:t xml:space="preserve">Verwenden Sie den Fertigpen </w:t>
            </w:r>
            <w:r w:rsidRPr="00B320E1">
              <w:rPr>
                <w:b/>
                <w:bCs/>
              </w:rPr>
              <w:t>nicht</w:t>
            </w:r>
            <w:r w:rsidRPr="00B320E1">
              <w:t xml:space="preserve">, wenn die </w:t>
            </w:r>
            <w:r w:rsidRPr="00B320E1">
              <w:rPr>
                <w:color w:val="231F20"/>
              </w:rPr>
              <w:t xml:space="preserve">Flüssigkeit verfärbt oder trübe ist oder Partikel oder Schwebstoffe enthält. </w:t>
            </w:r>
            <w:r w:rsidRPr="00B320E1">
              <w:t>Entsorgen Sie den Fertigpen sicher in einem Nadelabwurfbehälter und verwenden Sie einen neuen.</w:t>
            </w:r>
          </w:p>
          <w:p w14:paraId="04CF6BFE" w14:textId="77777777" w:rsidR="007C6668" w:rsidRPr="00B320E1" w:rsidRDefault="007C6668" w:rsidP="00F0391F">
            <w:pPr>
              <w:pStyle w:val="a3"/>
              <w:numPr>
                <w:ilvl w:val="0"/>
                <w:numId w:val="13"/>
              </w:numPr>
              <w:autoSpaceDE/>
              <w:autoSpaceDN/>
              <w:ind w:left="1134" w:hanging="567"/>
              <w:rPr>
                <w:bCs/>
              </w:rPr>
            </w:pPr>
            <w:r w:rsidRPr="00B320E1">
              <w:t>Luftbläschen sind normal.</w:t>
            </w:r>
          </w:p>
          <w:p w14:paraId="7D6273A1" w14:textId="77777777" w:rsidR="007C6668" w:rsidRPr="00F0391F" w:rsidRDefault="007C6668" w:rsidP="00F0391F">
            <w:pPr>
              <w:autoSpaceDE/>
              <w:autoSpaceDN/>
              <w:rPr>
                <w:sz w:val="24"/>
                <w:szCs w:val="24"/>
              </w:rPr>
            </w:pPr>
          </w:p>
        </w:tc>
      </w:tr>
      <w:tr w:rsidR="007C6668" w:rsidRPr="007C6668" w14:paraId="092C148C" w14:textId="77777777" w:rsidTr="00F0391F">
        <w:tblPrEx>
          <w:tblBorders>
            <w:insideV w:val="single" w:sz="4" w:space="0" w:color="auto"/>
          </w:tblBorders>
          <w:tblCellMar>
            <w:top w:w="0" w:type="dxa"/>
            <w:bottom w:w="0" w:type="dxa"/>
          </w:tblCellMar>
        </w:tblPrEx>
        <w:trPr>
          <w:gridAfter w:val="1"/>
          <w:wAfter w:w="124" w:type="dxa"/>
        </w:trPr>
        <w:tc>
          <w:tcPr>
            <w:tcW w:w="3539" w:type="dxa"/>
          </w:tcPr>
          <w:p w14:paraId="367D0468" w14:textId="40DFE265" w:rsidR="007C6668"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6AA0C1F4" wp14:editId="4E12C36C">
                  <wp:extent cx="2084070" cy="2573020"/>
                  <wp:effectExtent l="19050" t="19050" r="0" b="0"/>
                  <wp:docPr id="28" name="그림 2074310175" descr="스케치, 그림, 라인 아트,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074310175" descr="스케치, 그림, 라인 아트, 아동 미술이(가) 표시된 사진&#10;&#10;자동 생성된 설명"/>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4070" cy="2573020"/>
                          </a:xfrm>
                          <a:prstGeom prst="rect">
                            <a:avLst/>
                          </a:prstGeom>
                          <a:noFill/>
                          <a:ln w="9525" cmpd="sng">
                            <a:solidFill>
                              <a:srgbClr val="000000"/>
                            </a:solidFill>
                            <a:miter lim="800000"/>
                            <a:headEnd/>
                            <a:tailEnd/>
                          </a:ln>
                          <a:effectLst/>
                        </pic:spPr>
                      </pic:pic>
                    </a:graphicData>
                  </a:graphic>
                </wp:inline>
              </w:drawing>
            </w:r>
          </w:p>
          <w:p w14:paraId="751EC93E" w14:textId="1993F883" w:rsidR="007C6668" w:rsidRPr="00F0391F" w:rsidRDefault="007C6668" w:rsidP="00F0391F">
            <w:pPr>
              <w:suppressAutoHyphens/>
              <w:autoSpaceDE/>
              <w:autoSpaceDN/>
              <w:jc w:val="right"/>
              <w:rPr>
                <w:b/>
                <w:bCs/>
                <w:noProof/>
                <w:sz w:val="24"/>
                <w:szCs w:val="24"/>
              </w:rPr>
            </w:pPr>
            <w:r w:rsidRPr="00B320E1">
              <w:rPr>
                <w:b/>
                <w:bCs/>
                <w:noProof/>
              </w:rPr>
              <w:t>Abbildung G</w:t>
            </w:r>
          </w:p>
        </w:tc>
        <w:tc>
          <w:tcPr>
            <w:tcW w:w="5517" w:type="dxa"/>
            <w:gridSpan w:val="2"/>
          </w:tcPr>
          <w:p w14:paraId="6C11C0C1" w14:textId="77777777" w:rsidR="007C6668" w:rsidRPr="00B320E1" w:rsidRDefault="007C6668" w:rsidP="00F0391F">
            <w:pPr>
              <w:pStyle w:val="a3"/>
              <w:numPr>
                <w:ilvl w:val="0"/>
                <w:numId w:val="31"/>
              </w:numPr>
              <w:autoSpaceDE/>
              <w:autoSpaceDN/>
              <w:ind w:left="567" w:hanging="567"/>
              <w:rPr>
                <w:b/>
              </w:rPr>
            </w:pPr>
            <w:r w:rsidRPr="00B320E1">
              <w:rPr>
                <w:b/>
              </w:rPr>
              <w:t>Waschen Sie Ihre Hände.</w:t>
            </w:r>
          </w:p>
          <w:p w14:paraId="001C97DD" w14:textId="77777777" w:rsidR="007C6668" w:rsidRPr="00B320E1" w:rsidRDefault="007C6668" w:rsidP="00F0391F">
            <w:pPr>
              <w:pStyle w:val="Default"/>
              <w:autoSpaceDE/>
              <w:autoSpaceDN/>
              <w:ind w:left="567" w:hanging="567"/>
              <w:rPr>
                <w:rFonts w:eastAsia="새굴림"/>
                <w:sz w:val="20"/>
                <w:szCs w:val="20"/>
              </w:rPr>
            </w:pPr>
          </w:p>
          <w:p w14:paraId="63FAB48D" w14:textId="77777777" w:rsidR="007C6668" w:rsidRPr="00B320E1" w:rsidRDefault="007C6668" w:rsidP="00F0391F">
            <w:pPr>
              <w:pStyle w:val="a3"/>
              <w:numPr>
                <w:ilvl w:val="0"/>
                <w:numId w:val="37"/>
              </w:numPr>
              <w:autoSpaceDE/>
              <w:autoSpaceDN/>
              <w:ind w:left="567" w:hanging="567"/>
              <w:rPr>
                <w:bCs/>
              </w:rPr>
            </w:pPr>
            <w:r w:rsidRPr="00B320E1">
              <w:rPr>
                <w:color w:val="231F20"/>
              </w:rPr>
              <w:t xml:space="preserve">Waschen Sie Ihre Hände mit Wasser und Seife und trocknen Sie sie sorgfältig ab (siehe </w:t>
            </w:r>
            <w:r w:rsidRPr="00B320E1">
              <w:rPr>
                <w:b/>
                <w:bCs/>
                <w:color w:val="231F20"/>
              </w:rPr>
              <w:t>Abbildung G</w:t>
            </w:r>
            <w:r w:rsidRPr="00B320E1">
              <w:rPr>
                <w:color w:val="231F20"/>
              </w:rPr>
              <w:t>).</w:t>
            </w:r>
          </w:p>
          <w:p w14:paraId="16E5CE67" w14:textId="77777777" w:rsidR="007C6668" w:rsidRPr="00F0391F" w:rsidRDefault="007C6668" w:rsidP="00F0391F">
            <w:pPr>
              <w:autoSpaceDE/>
              <w:autoSpaceDN/>
              <w:rPr>
                <w:sz w:val="24"/>
                <w:szCs w:val="24"/>
              </w:rPr>
            </w:pPr>
          </w:p>
        </w:tc>
      </w:tr>
      <w:tr w:rsidR="007C6668" w:rsidRPr="007C6668" w14:paraId="0A3A3A6C" w14:textId="77777777" w:rsidTr="00F0391F">
        <w:tblPrEx>
          <w:tblBorders>
            <w:insideV w:val="single" w:sz="4" w:space="0" w:color="auto"/>
          </w:tblBorders>
          <w:tblCellMar>
            <w:top w:w="0" w:type="dxa"/>
            <w:bottom w:w="0" w:type="dxa"/>
          </w:tblCellMar>
        </w:tblPrEx>
        <w:tc>
          <w:tcPr>
            <w:tcW w:w="3573" w:type="dxa"/>
          </w:tcPr>
          <w:p w14:paraId="7B1CEB24" w14:textId="2C1F04E5" w:rsidR="007C6668"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58135D80" wp14:editId="3A75E508">
                  <wp:extent cx="2084070" cy="3561715"/>
                  <wp:effectExtent l="19050" t="19050" r="0" b="635"/>
                  <wp:docPr id="29" name="그림 1191617134" descr="스케치, 화이트, 그림, 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91617134" descr="스케치, 화이트, 그림, 텍스트이(가) 표시된 사진&#10;&#10;자동 생성된 설명"/>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84070" cy="3561715"/>
                          </a:xfrm>
                          <a:prstGeom prst="rect">
                            <a:avLst/>
                          </a:prstGeom>
                          <a:noFill/>
                          <a:ln w="9525" cmpd="sng">
                            <a:solidFill>
                              <a:srgbClr val="000000"/>
                            </a:solidFill>
                            <a:miter lim="800000"/>
                            <a:headEnd/>
                            <a:tailEnd/>
                          </a:ln>
                          <a:effectLst/>
                        </pic:spPr>
                      </pic:pic>
                    </a:graphicData>
                  </a:graphic>
                </wp:inline>
              </w:drawing>
            </w:r>
          </w:p>
          <w:p w14:paraId="1F75AB55" w14:textId="1DA94C74" w:rsidR="007C6668" w:rsidRPr="00F0391F" w:rsidRDefault="00A16FF2" w:rsidP="00F0391F">
            <w:pPr>
              <w:suppressAutoHyphens/>
              <w:autoSpaceDE/>
              <w:autoSpaceDN/>
              <w:jc w:val="right"/>
              <w:rPr>
                <w:b/>
                <w:bCs/>
                <w:noProof/>
                <w:sz w:val="24"/>
                <w:szCs w:val="24"/>
              </w:rPr>
            </w:pPr>
            <w:r>
              <w:rPr>
                <w:noProof/>
                <w:sz w:val="20"/>
                <w:szCs w:val="20"/>
                <w:lang w:val="en-US" w:eastAsia="ko-KR"/>
              </w:rPr>
              <mc:AlternateContent>
                <mc:Choice Requires="wps">
                  <w:drawing>
                    <wp:anchor distT="45720" distB="45720" distL="114300" distR="114300" simplePos="0" relativeHeight="251658287" behindDoc="0" locked="1" layoutInCell="1" allowOverlap="1" wp14:anchorId="2F4D3CCD" wp14:editId="7DDCE0CE">
                      <wp:simplePos x="0" y="0"/>
                      <wp:positionH relativeFrom="column">
                        <wp:posOffset>481330</wp:posOffset>
                      </wp:positionH>
                      <wp:positionV relativeFrom="paragraph">
                        <wp:posOffset>-1169670</wp:posOffset>
                      </wp:positionV>
                      <wp:extent cx="1657985" cy="655320"/>
                      <wp:effectExtent l="0" t="0" r="0" b="0"/>
                      <wp:wrapNone/>
                      <wp:docPr id="189829131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655320"/>
                              </a:xfrm>
                              <a:prstGeom prst="rect">
                                <a:avLst/>
                              </a:prstGeom>
                              <a:noFill/>
                              <a:ln>
                                <a:noFill/>
                              </a:ln>
                            </wps:spPr>
                            <wps:txbx>
                              <w:txbxContent>
                                <w:p w14:paraId="7FE5CA6B" w14:textId="0AA42D34" w:rsidR="00456610" w:rsidRPr="00B320E1" w:rsidRDefault="00456610" w:rsidP="001609E6">
                                  <w:pPr>
                                    <w:spacing w:line="264" w:lineRule="auto"/>
                                    <w:ind w:left="284" w:hanging="284"/>
                                    <w:rPr>
                                      <w:rFonts w:ascii="Arial" w:hAnsi="Arial" w:cs="Arial"/>
                                      <w:b/>
                                      <w:bCs/>
                                      <w:sz w:val="20"/>
                                      <w:szCs w:val="20"/>
                                      <w:lang w:val="es-ES"/>
                                    </w:rPr>
                                  </w:pPr>
                                  <w:r w:rsidRPr="00B320E1">
                                    <w:rPr>
                                      <w:rFonts w:ascii="Arial" w:hAnsi="Arial" w:cs="Arial"/>
                                      <w:b/>
                                      <w:bCs/>
                                      <w:sz w:val="20"/>
                                      <w:szCs w:val="20"/>
                                      <w:lang w:val="es-ES"/>
                                    </w:rPr>
                                    <w:tab/>
                                    <w:t>Selbstinjektion, Pflegeperson und medizinische Fachkraft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4D3CCD" id="Text Box 27" o:spid="_x0000_s1074" type="#_x0000_t202" style="position:absolute;left:0;text-align:left;margin-left:37.9pt;margin-top:-92.1pt;width:130.55pt;height:51.6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" filled="f" stroked="f">
                      <v:textbox inset="0,0,0,0">
                        <w:txbxContent>
                          <w:p w14:paraId="7FE5CA6B" w14:textId="0AA42D34" w:rsidR="00456610" w:rsidRPr="00B320E1" w:rsidRDefault="00456610" w:rsidP="001609E6">
                            <w:pPr>
                              <w:spacing w:line="264" w:lineRule="auto"/>
                              <w:ind w:left="284" w:hanging="284"/>
                              <w:rPr>
                                <w:rFonts w:ascii="Arial" w:hAnsi="Arial" w:cs="Arial"/>
                                <w:b/>
                                <w:bCs/>
                                <w:sz w:val="20"/>
                                <w:szCs w:val="20"/>
                                <w:lang w:val="es-ES"/>
                              </w:rPr>
                            </w:pPr>
                            <w:r w:rsidRPr="00B320E1">
                              <w:rPr>
                                <w:rFonts w:ascii="Arial" w:hAnsi="Arial" w:cs="Arial"/>
                                <w:b/>
                                <w:bCs/>
                                <w:sz w:val="20"/>
                                <w:szCs w:val="20"/>
                                <w:lang w:val="es-ES"/>
                              </w:rPr>
                              <w:tab/>
                              <w:t>Selbstinjektion, Pflegeperson und medizinische Fachkraft</w:t>
                            </w:r>
                          </w:p>
                        </w:txbxContent>
                      </v:textbox>
                      <w10:anchorlock/>
                    </v:shape>
                  </w:pict>
                </mc:Fallback>
              </mc:AlternateContent>
            </w:r>
            <w:r>
              <w:rPr>
                <w:noProof/>
                <w:sz w:val="20"/>
                <w:szCs w:val="20"/>
                <w:lang w:val="en-US" w:eastAsia="ko-KR"/>
              </w:rPr>
              <mc:AlternateContent>
                <mc:Choice Requires="wps">
                  <w:drawing>
                    <wp:anchor distT="45720" distB="45720" distL="114300" distR="114300" simplePos="0" relativeHeight="251658288" behindDoc="0" locked="1" layoutInCell="1" allowOverlap="1" wp14:anchorId="4D8B5D78" wp14:editId="1C990BEC">
                      <wp:simplePos x="0" y="0"/>
                      <wp:positionH relativeFrom="column">
                        <wp:posOffset>471170</wp:posOffset>
                      </wp:positionH>
                      <wp:positionV relativeFrom="paragraph">
                        <wp:posOffset>-570230</wp:posOffset>
                      </wp:positionV>
                      <wp:extent cx="1543685" cy="482600"/>
                      <wp:effectExtent l="0" t="0" r="0" b="0"/>
                      <wp:wrapNone/>
                      <wp:docPr id="355881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482600"/>
                              </a:xfrm>
                              <a:prstGeom prst="rect">
                                <a:avLst/>
                              </a:prstGeom>
                              <a:noFill/>
                              <a:ln>
                                <a:noFill/>
                              </a:ln>
                            </wps:spPr>
                            <wps:txbx>
                              <w:txbxContent>
                                <w:p w14:paraId="1506034C" w14:textId="2B398A1C" w:rsidR="00456610" w:rsidRPr="00B320E1" w:rsidRDefault="00456610" w:rsidP="001609E6">
                                  <w:pPr>
                                    <w:spacing w:line="264" w:lineRule="auto"/>
                                    <w:ind w:left="284" w:hanging="284"/>
                                    <w:rPr>
                                      <w:rFonts w:ascii="Arial" w:hAnsi="Arial" w:cs="Arial"/>
                                      <w:b/>
                                      <w:bCs/>
                                      <w:sz w:val="20"/>
                                      <w:szCs w:val="20"/>
                                      <w:lang w:val="es-ES"/>
                                    </w:rPr>
                                  </w:pPr>
                                  <w:r w:rsidRPr="00B320E1">
                                    <w:rPr>
                                      <w:rFonts w:ascii="Arial" w:hAnsi="Arial" w:cs="Arial"/>
                                      <w:b/>
                                      <w:bCs/>
                                      <w:sz w:val="20"/>
                                      <w:szCs w:val="20"/>
                                      <w:lang w:val="es-ES"/>
                                    </w:rPr>
                                    <w:tab/>
                                    <w:t>NUR Pflegeperson und medizinische Fachkraft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8B5D78" id="Text Box 25" o:spid="_x0000_s1075" type="#_x0000_t202" style="position:absolute;left:0;text-align:left;margin-left:37.1pt;margin-top:-44.9pt;width:121.55pt;height:38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" filled="f" stroked="f">
                      <v:textbox inset="0,0,0,0">
                        <w:txbxContent>
                          <w:p w14:paraId="1506034C" w14:textId="2B398A1C" w:rsidR="00456610" w:rsidRPr="00B320E1" w:rsidRDefault="00456610" w:rsidP="001609E6">
                            <w:pPr>
                              <w:spacing w:line="264" w:lineRule="auto"/>
                              <w:ind w:left="284" w:hanging="284"/>
                              <w:rPr>
                                <w:rFonts w:ascii="Arial" w:hAnsi="Arial" w:cs="Arial"/>
                                <w:b/>
                                <w:bCs/>
                                <w:sz w:val="20"/>
                                <w:szCs w:val="20"/>
                                <w:lang w:val="es-ES"/>
                              </w:rPr>
                            </w:pPr>
                            <w:r w:rsidRPr="00B320E1">
                              <w:rPr>
                                <w:rFonts w:ascii="Arial" w:hAnsi="Arial" w:cs="Arial"/>
                                <w:b/>
                                <w:bCs/>
                                <w:sz w:val="20"/>
                                <w:szCs w:val="20"/>
                                <w:lang w:val="es-ES"/>
                              </w:rPr>
                              <w:tab/>
                              <w:t>NUR Pflegeperson und medizinische Fachkraft</w:t>
                            </w:r>
                          </w:p>
                        </w:txbxContent>
                      </v:textbox>
                      <w10:anchorlock/>
                    </v:shape>
                  </w:pict>
                </mc:Fallback>
              </mc:AlternateContent>
            </w:r>
            <w:r w:rsidR="007C6668" w:rsidRPr="00B320E1">
              <w:rPr>
                <w:b/>
                <w:bCs/>
                <w:noProof/>
              </w:rPr>
              <w:t>Abbildung H</w:t>
            </w:r>
          </w:p>
        </w:tc>
        <w:tc>
          <w:tcPr>
            <w:tcW w:w="5641" w:type="dxa"/>
            <w:gridSpan w:val="3"/>
          </w:tcPr>
          <w:p w14:paraId="7A0DC2D0" w14:textId="77777777" w:rsidR="007C6668" w:rsidRPr="00B320E1" w:rsidRDefault="007C6668" w:rsidP="00F0391F">
            <w:pPr>
              <w:pStyle w:val="a3"/>
              <w:numPr>
                <w:ilvl w:val="0"/>
                <w:numId w:val="31"/>
              </w:numPr>
              <w:autoSpaceDE/>
              <w:autoSpaceDN/>
              <w:ind w:left="567" w:hanging="567"/>
              <w:rPr>
                <w:b/>
              </w:rPr>
            </w:pPr>
            <w:r w:rsidRPr="00B320E1">
              <w:rPr>
                <w:b/>
              </w:rPr>
              <w:t>Wählen Sie eine geeignete Injektionsstelle (siehe Abbildung H).</w:t>
            </w:r>
          </w:p>
          <w:p w14:paraId="7CF79414" w14:textId="77777777" w:rsidR="007C6668" w:rsidRPr="00B320E1" w:rsidRDefault="007C6668" w:rsidP="00F0391F">
            <w:pPr>
              <w:pStyle w:val="Default"/>
              <w:autoSpaceDE/>
              <w:autoSpaceDN/>
              <w:ind w:left="567" w:hanging="567"/>
              <w:rPr>
                <w:rFonts w:eastAsia="새굴림"/>
                <w:bCs/>
                <w:sz w:val="20"/>
                <w:szCs w:val="20"/>
                <w:lang w:val="de-DE"/>
              </w:rPr>
            </w:pPr>
          </w:p>
          <w:p w14:paraId="40F8C079" w14:textId="77777777" w:rsidR="007C6668" w:rsidRPr="00B320E1" w:rsidRDefault="007C6668" w:rsidP="00F0391F">
            <w:pPr>
              <w:pStyle w:val="a3"/>
              <w:numPr>
                <w:ilvl w:val="0"/>
                <w:numId w:val="38"/>
              </w:numPr>
              <w:autoSpaceDE/>
              <w:autoSpaceDN/>
              <w:ind w:left="567" w:hanging="567"/>
              <w:rPr>
                <w:bCs/>
              </w:rPr>
            </w:pPr>
            <w:r w:rsidRPr="00B320E1">
              <w:t>Empfohlene Injektionsstellen sind:</w:t>
            </w:r>
            <w:r w:rsidRPr="00B320E1">
              <w:rPr>
                <w:b/>
              </w:rPr>
              <w:t xml:space="preserve"> </w:t>
            </w:r>
          </w:p>
          <w:p w14:paraId="21FCA984" w14:textId="77777777" w:rsidR="007C6668" w:rsidRPr="00B320E1" w:rsidRDefault="007C6668" w:rsidP="00F0391F">
            <w:pPr>
              <w:pStyle w:val="a3"/>
              <w:numPr>
                <w:ilvl w:val="0"/>
                <w:numId w:val="19"/>
              </w:numPr>
              <w:autoSpaceDE/>
              <w:autoSpaceDN/>
              <w:ind w:left="1134" w:hanging="567"/>
              <w:rPr>
                <w:color w:val="231F20"/>
              </w:rPr>
            </w:pPr>
            <w:r w:rsidRPr="00B320E1">
              <w:rPr>
                <w:color w:val="231F20"/>
              </w:rPr>
              <w:t>die Vorderseite der Oberschenkel</w:t>
            </w:r>
          </w:p>
          <w:p w14:paraId="74FFF255" w14:textId="77777777" w:rsidR="007C6668" w:rsidRPr="00B320E1" w:rsidRDefault="007C6668" w:rsidP="00F0391F">
            <w:pPr>
              <w:pStyle w:val="a3"/>
              <w:numPr>
                <w:ilvl w:val="0"/>
                <w:numId w:val="19"/>
              </w:numPr>
              <w:autoSpaceDE/>
              <w:autoSpaceDN/>
              <w:ind w:left="1134" w:hanging="567"/>
            </w:pPr>
            <w:r w:rsidRPr="00B320E1">
              <w:rPr>
                <w:color w:val="231F20"/>
              </w:rPr>
              <w:t>der Bauch, mit Ausnahme eines Bereichs von 5 cm um den Bauchnabel herum</w:t>
            </w:r>
          </w:p>
          <w:p w14:paraId="1A00AEBA" w14:textId="77777777" w:rsidR="007C6668" w:rsidRPr="00B320E1" w:rsidRDefault="007C6668" w:rsidP="00F0391F">
            <w:pPr>
              <w:pStyle w:val="a3"/>
              <w:numPr>
                <w:ilvl w:val="0"/>
                <w:numId w:val="19"/>
              </w:numPr>
              <w:autoSpaceDE/>
              <w:autoSpaceDN/>
              <w:ind w:left="1134" w:hanging="567"/>
            </w:pPr>
            <w:r w:rsidRPr="00B320E1">
              <w:rPr>
                <w:color w:val="231F20"/>
              </w:rPr>
              <w:t>die Außenseite der Oberarme (nur für Pflegepersonen oder medizinische Fachkräfte).</w:t>
            </w:r>
          </w:p>
          <w:p w14:paraId="273BD530" w14:textId="77777777" w:rsidR="007C6668" w:rsidRPr="00B320E1" w:rsidRDefault="007C6668" w:rsidP="00F0391F">
            <w:pPr>
              <w:pStyle w:val="a3"/>
              <w:autoSpaceDE/>
              <w:autoSpaceDN/>
              <w:ind w:left="567" w:hanging="567"/>
            </w:pPr>
          </w:p>
          <w:p w14:paraId="3D6E4E15" w14:textId="77777777" w:rsidR="007C6668" w:rsidRPr="00B320E1" w:rsidRDefault="007C6668" w:rsidP="00F0391F">
            <w:pPr>
              <w:pStyle w:val="a3"/>
              <w:numPr>
                <w:ilvl w:val="0"/>
                <w:numId w:val="13"/>
              </w:numPr>
              <w:autoSpaceDE/>
              <w:autoSpaceDN/>
              <w:ind w:left="1134" w:hanging="567"/>
            </w:pPr>
            <w:r w:rsidRPr="00B320E1">
              <w:t xml:space="preserve">Verabreichen Sie sich </w:t>
            </w:r>
            <w:r w:rsidRPr="00B320E1">
              <w:rPr>
                <w:b/>
              </w:rPr>
              <w:t>nicht</w:t>
            </w:r>
            <w:r w:rsidRPr="00B320E1">
              <w:t xml:space="preserve"> selbst die Injektion </w:t>
            </w:r>
            <w:r w:rsidRPr="00B320E1">
              <w:rPr>
                <w:color w:val="231F20"/>
              </w:rPr>
              <w:t>in</w:t>
            </w:r>
            <w:r w:rsidRPr="00B320E1">
              <w:t xml:space="preserve"> den Oberarm.</w:t>
            </w:r>
          </w:p>
          <w:p w14:paraId="4BB64595" w14:textId="77777777" w:rsidR="007C6668" w:rsidRPr="00B320E1" w:rsidRDefault="007C6668" w:rsidP="00F0391F">
            <w:pPr>
              <w:pStyle w:val="a3"/>
              <w:numPr>
                <w:ilvl w:val="0"/>
                <w:numId w:val="13"/>
              </w:numPr>
              <w:autoSpaceDE/>
              <w:autoSpaceDN/>
              <w:ind w:left="1134" w:hanging="567"/>
              <w:rPr>
                <w:bCs/>
              </w:rPr>
            </w:pPr>
            <w:r w:rsidRPr="00B320E1">
              <w:t>Wählen Sie für jede neue Injektion eine andere Injektionsstelle, die mindestens 2,5 cm von der vorhergehenden entfernt ist.</w:t>
            </w:r>
          </w:p>
          <w:p w14:paraId="2A9849AF" w14:textId="77777777" w:rsidR="007C6668" w:rsidRPr="00B320E1" w:rsidRDefault="007C6668" w:rsidP="00F0391F">
            <w:pPr>
              <w:pStyle w:val="a3"/>
              <w:numPr>
                <w:ilvl w:val="0"/>
                <w:numId w:val="13"/>
              </w:numPr>
              <w:autoSpaceDE/>
              <w:autoSpaceDN/>
              <w:ind w:left="1134" w:hanging="567"/>
            </w:pPr>
            <w:r w:rsidRPr="00B320E1">
              <w:t xml:space="preserve">Injizieren Sie </w:t>
            </w:r>
            <w:r w:rsidRPr="00B320E1">
              <w:rPr>
                <w:b/>
              </w:rPr>
              <w:t>nicht</w:t>
            </w:r>
            <w:r w:rsidRPr="00B320E1">
              <w:t xml:space="preserve"> in Leberflecken, Narbengewebe, blaue Flecken oder Bereiche, in denen die Haut empfindlich, gerötet oder verhärtet ist.</w:t>
            </w:r>
          </w:p>
          <w:p w14:paraId="681BB6A1" w14:textId="77777777" w:rsidR="007C6668" w:rsidRPr="00F0391F" w:rsidRDefault="007C6668" w:rsidP="00F0391F">
            <w:pPr>
              <w:autoSpaceDE/>
              <w:autoSpaceDN/>
              <w:rPr>
                <w:sz w:val="24"/>
                <w:szCs w:val="24"/>
              </w:rPr>
            </w:pPr>
          </w:p>
        </w:tc>
      </w:tr>
      <w:tr w:rsidR="007C6668" w:rsidRPr="007C6668" w14:paraId="3A74EC4C" w14:textId="77777777" w:rsidTr="00F0391F">
        <w:trPr>
          <w:cantSplit/>
        </w:trPr>
        <w:tc>
          <w:tcPr>
            <w:tcW w:w="3686" w:type="dxa"/>
            <w:gridSpan w:val="2"/>
          </w:tcPr>
          <w:p w14:paraId="5A56A8C4" w14:textId="029FE932" w:rsidR="007C6668"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0C8E9D51" wp14:editId="173C629D">
                  <wp:extent cx="2073275" cy="2583815"/>
                  <wp:effectExtent l="19050" t="19050" r="3175" b="6985"/>
                  <wp:docPr id="30" name="그림 1770762785" descr="라인 아트, 스케치, 클립아트, 컬러링북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70762785" descr="라인 아트, 스케치, 클립아트, 컬러링북이(가) 표시된 사진&#10;&#10;자동 생성된 설명"/>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3275" cy="2583815"/>
                          </a:xfrm>
                          <a:prstGeom prst="rect">
                            <a:avLst/>
                          </a:prstGeom>
                          <a:noFill/>
                          <a:ln w="9525" cmpd="sng">
                            <a:solidFill>
                              <a:srgbClr val="000000"/>
                            </a:solidFill>
                            <a:miter lim="800000"/>
                            <a:headEnd/>
                            <a:tailEnd/>
                          </a:ln>
                          <a:effectLst/>
                        </pic:spPr>
                      </pic:pic>
                    </a:graphicData>
                  </a:graphic>
                </wp:inline>
              </w:drawing>
            </w:r>
          </w:p>
          <w:p w14:paraId="49955546" w14:textId="02998E43" w:rsidR="007C6668" w:rsidRPr="00F0391F" w:rsidRDefault="007C6668" w:rsidP="00F0391F">
            <w:pPr>
              <w:suppressAutoHyphens/>
              <w:autoSpaceDE/>
              <w:autoSpaceDN/>
              <w:jc w:val="right"/>
              <w:rPr>
                <w:b/>
                <w:bCs/>
                <w:noProof/>
                <w:sz w:val="24"/>
                <w:szCs w:val="24"/>
              </w:rPr>
            </w:pPr>
            <w:r w:rsidRPr="00B320E1">
              <w:rPr>
                <w:b/>
                <w:bCs/>
                <w:noProof/>
              </w:rPr>
              <w:t>Abbildung I</w:t>
            </w:r>
          </w:p>
        </w:tc>
        <w:tc>
          <w:tcPr>
            <w:tcW w:w="5528" w:type="dxa"/>
            <w:gridSpan w:val="2"/>
          </w:tcPr>
          <w:p w14:paraId="659C8B7D" w14:textId="77777777" w:rsidR="007C6668" w:rsidRPr="00B320E1" w:rsidRDefault="007C6668" w:rsidP="00F0391F">
            <w:pPr>
              <w:pStyle w:val="a3"/>
              <w:numPr>
                <w:ilvl w:val="0"/>
                <w:numId w:val="31"/>
              </w:numPr>
              <w:autoSpaceDE/>
              <w:autoSpaceDN/>
              <w:ind w:left="567" w:hanging="567"/>
              <w:rPr>
                <w:b/>
              </w:rPr>
            </w:pPr>
            <w:r w:rsidRPr="00B320E1">
              <w:rPr>
                <w:b/>
              </w:rPr>
              <w:t>Reinigen Sie die Injektionsstelle.</w:t>
            </w:r>
          </w:p>
          <w:p w14:paraId="41A02CC0" w14:textId="77777777" w:rsidR="007C6668" w:rsidRPr="00B320E1" w:rsidRDefault="007C6668" w:rsidP="00F0391F">
            <w:pPr>
              <w:pStyle w:val="Default"/>
              <w:autoSpaceDE/>
              <w:autoSpaceDN/>
              <w:ind w:left="567" w:hanging="567"/>
              <w:rPr>
                <w:rFonts w:eastAsia="새굴림"/>
                <w:sz w:val="20"/>
                <w:szCs w:val="20"/>
              </w:rPr>
            </w:pPr>
          </w:p>
          <w:p w14:paraId="38E1A2A2" w14:textId="77777777" w:rsidR="007C6668" w:rsidRPr="00B320E1" w:rsidRDefault="007C6668" w:rsidP="00F0391F">
            <w:pPr>
              <w:pStyle w:val="a3"/>
              <w:numPr>
                <w:ilvl w:val="0"/>
                <w:numId w:val="39"/>
              </w:numPr>
              <w:autoSpaceDE/>
              <w:autoSpaceDN/>
              <w:ind w:left="567" w:hanging="567"/>
              <w:rPr>
                <w:bCs/>
              </w:rPr>
            </w:pPr>
            <w:r w:rsidRPr="00B320E1">
              <w:t xml:space="preserve">Reinigen Sie die Injektionsstelle mit einem Alkoholtupfer und lassen Sie sie an der Luft trocknen (siehe </w:t>
            </w:r>
            <w:r w:rsidRPr="00B320E1">
              <w:rPr>
                <w:b/>
                <w:bCs/>
              </w:rPr>
              <w:t>Abbildung I</w:t>
            </w:r>
            <w:r w:rsidRPr="00B320E1">
              <w:t>).</w:t>
            </w:r>
            <w:r w:rsidRPr="00B320E1">
              <w:rPr>
                <w:color w:val="231F20"/>
              </w:rPr>
              <w:t xml:space="preserve"> Dadurch wird das Risiko für Infektionen verringert</w:t>
            </w:r>
            <w:r w:rsidRPr="00B320E1">
              <w:t>.</w:t>
            </w:r>
          </w:p>
          <w:p w14:paraId="4328F55F" w14:textId="77777777" w:rsidR="007C6668" w:rsidRPr="00B320E1" w:rsidRDefault="007C6668" w:rsidP="00F0391F">
            <w:pPr>
              <w:pStyle w:val="a3"/>
              <w:numPr>
                <w:ilvl w:val="0"/>
                <w:numId w:val="13"/>
              </w:numPr>
              <w:autoSpaceDE/>
              <w:autoSpaceDN/>
              <w:ind w:left="1134" w:hanging="567"/>
            </w:pPr>
            <w:r w:rsidRPr="00B320E1">
              <w:t xml:space="preserve">Berühren Sie die Injektionsstelle vor Verabreichung der Injektion </w:t>
            </w:r>
            <w:r w:rsidRPr="00B320E1">
              <w:rPr>
                <w:b/>
                <w:bCs/>
              </w:rPr>
              <w:t>nicht</w:t>
            </w:r>
            <w:r w:rsidRPr="00B320E1">
              <w:t xml:space="preserve"> mehr.</w:t>
            </w:r>
          </w:p>
          <w:p w14:paraId="155A1328" w14:textId="77777777" w:rsidR="007C6668" w:rsidRPr="00B320E1" w:rsidRDefault="007C6668" w:rsidP="00F0391F">
            <w:pPr>
              <w:pStyle w:val="a3"/>
              <w:numPr>
                <w:ilvl w:val="0"/>
                <w:numId w:val="13"/>
              </w:numPr>
              <w:autoSpaceDE/>
              <w:autoSpaceDN/>
              <w:ind w:left="1134" w:hanging="567"/>
            </w:pPr>
            <w:r w:rsidRPr="00B320E1">
              <w:t xml:space="preserve">Fächern oder pusten Sie </w:t>
            </w:r>
            <w:r w:rsidRPr="00B320E1">
              <w:rPr>
                <w:b/>
                <w:bCs/>
              </w:rPr>
              <w:t>nicht</w:t>
            </w:r>
            <w:r w:rsidRPr="00B320E1">
              <w:t xml:space="preserve"> auf die gereinigte Stelle.</w:t>
            </w:r>
          </w:p>
          <w:p w14:paraId="66F4051C" w14:textId="77777777" w:rsidR="007C6668" w:rsidRPr="00F0391F" w:rsidRDefault="007C6668" w:rsidP="00F0391F">
            <w:pPr>
              <w:autoSpaceDE/>
              <w:autoSpaceDN/>
              <w:rPr>
                <w:sz w:val="24"/>
                <w:szCs w:val="24"/>
              </w:rPr>
            </w:pPr>
          </w:p>
        </w:tc>
      </w:tr>
    </w:tbl>
    <w:p w14:paraId="3299F361" w14:textId="77777777" w:rsidR="007C6668" w:rsidRPr="007C6668" w:rsidRDefault="007C6668" w:rsidP="007C6668"/>
    <w:p w14:paraId="571AACEC" w14:textId="77777777" w:rsidR="007C6668" w:rsidRPr="007C6668" w:rsidRDefault="007C6668" w:rsidP="007C6668"/>
    <w:p w14:paraId="3568CE06" w14:textId="23789611" w:rsidR="007C6668" w:rsidRPr="00DE67E9" w:rsidRDefault="007C6668" w:rsidP="007C6668">
      <w:pPr>
        <w:keepNext/>
        <w:rPr>
          <w:b/>
          <w:bCs/>
        </w:rPr>
      </w:pPr>
      <w:r>
        <w:rPr>
          <w:b/>
          <w:bCs/>
        </w:rPr>
        <w:t>Verabreichung der Injektion</w:t>
      </w:r>
    </w:p>
    <w:p w14:paraId="10B4926D" w14:textId="77777777" w:rsidR="007C6668" w:rsidRDefault="007C6668" w:rsidP="007C6668">
      <w:pPr>
        <w:keepNext/>
        <w:rPr>
          <w:b/>
          <w:bCs/>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147"/>
        <w:gridCol w:w="5370"/>
        <w:gridCol w:w="147"/>
      </w:tblGrid>
      <w:tr w:rsidR="007C6668" w:rsidRPr="007C6668" w14:paraId="1B1FE819" w14:textId="77777777" w:rsidTr="00F0391F">
        <w:trPr>
          <w:gridAfter w:val="1"/>
          <w:wAfter w:w="113" w:type="dxa"/>
          <w:cantSplit/>
        </w:trPr>
        <w:tc>
          <w:tcPr>
            <w:tcW w:w="3539" w:type="dxa"/>
          </w:tcPr>
          <w:p w14:paraId="7A6215B1" w14:textId="7D4F86CD" w:rsidR="007C6668"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7960248B" wp14:editId="222194A0">
                  <wp:extent cx="2084070" cy="2583815"/>
                  <wp:effectExtent l="19050" t="19050" r="0" b="6985"/>
                  <wp:docPr id="31" name="그림 1895579912" descr="스케치, 그림, 클립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95579912" descr="스케치, 그림, 클립아트, 일러스트레이션이(가) 표시된 사진&#10;&#10;자동 생성된 설명"/>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1FE72D0D" w14:textId="70B2DB4B" w:rsidR="007C6668" w:rsidRPr="00F0391F" w:rsidRDefault="00A16FF2" w:rsidP="00F0391F">
            <w:pPr>
              <w:suppressAutoHyphens/>
              <w:autoSpaceDE/>
              <w:autoSpaceDN/>
              <w:jc w:val="right"/>
              <w:rPr>
                <w:b/>
                <w:bCs/>
                <w:noProof/>
                <w:sz w:val="24"/>
                <w:szCs w:val="24"/>
              </w:rPr>
            </w:pPr>
            <w:r>
              <w:rPr>
                <w:noProof/>
                <w:sz w:val="20"/>
                <w:szCs w:val="20"/>
                <w:lang w:val="en-US" w:eastAsia="ko-KR"/>
              </w:rPr>
              <mc:AlternateContent>
                <mc:Choice Requires="wps">
                  <w:drawing>
                    <wp:anchor distT="45720" distB="45720" distL="114300" distR="114300" simplePos="0" relativeHeight="251658289" behindDoc="0" locked="1" layoutInCell="1" allowOverlap="1" wp14:anchorId="77506757" wp14:editId="400A92E9">
                      <wp:simplePos x="0" y="0"/>
                      <wp:positionH relativeFrom="column">
                        <wp:posOffset>1118870</wp:posOffset>
                      </wp:positionH>
                      <wp:positionV relativeFrom="paragraph">
                        <wp:posOffset>-1697355</wp:posOffset>
                      </wp:positionV>
                      <wp:extent cx="1036955" cy="482600"/>
                      <wp:effectExtent l="0" t="0" r="0" b="0"/>
                      <wp:wrapNone/>
                      <wp:docPr id="2416884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482600"/>
                              </a:xfrm>
                              <a:prstGeom prst="rect">
                                <a:avLst/>
                              </a:prstGeom>
                              <a:noFill/>
                              <a:ln w="9525">
                                <a:noFill/>
                                <a:miter lim="800000"/>
                                <a:headEnd/>
                                <a:tailEnd/>
                              </a:ln>
                            </wps:spPr>
                            <wps:txbx>
                              <w:txbxContent>
                                <w:p w14:paraId="21A3380F" w14:textId="246EB568" w:rsidR="00456610" w:rsidRPr="00B320E1" w:rsidRDefault="00456610" w:rsidP="007C6668">
                                  <w:pPr>
                                    <w:spacing w:line="264" w:lineRule="auto"/>
                                    <w:rPr>
                                      <w:rFonts w:ascii="Arial" w:hAnsi="Arial" w:cs="Arial"/>
                                      <w:b/>
                                      <w:bCs/>
                                      <w:sz w:val="24"/>
                                      <w:szCs w:val="24"/>
                                      <w:lang w:val="es-ES"/>
                                    </w:rPr>
                                  </w:pPr>
                                  <w:r w:rsidRPr="00B320E1">
                                    <w:rPr>
                                      <w:rFonts w:ascii="Arial" w:hAnsi="Arial" w:cs="Arial"/>
                                      <w:b/>
                                      <w:bCs/>
                                      <w:sz w:val="24"/>
                                      <w:szCs w:val="24"/>
                                      <w:lang w:val="es-ES"/>
                                    </w:rPr>
                                    <w:t>Nadelschutz</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7506757" id="Text Box 23" o:spid="_x0000_s1076" type="#_x0000_t202" style="position:absolute;left:0;text-align:left;margin-left:88.1pt;margin-top:-133.65pt;width:81.65pt;height:38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" filled="f" stroked="f">
                      <v:textbox inset="0,0,0,0">
                        <w:txbxContent>
                          <w:p w14:paraId="21A3380F" w14:textId="246EB568" w:rsidR="00456610" w:rsidRPr="00B320E1" w:rsidRDefault="00456610" w:rsidP="007C6668">
                            <w:pPr>
                              <w:spacing w:line="264" w:lineRule="auto"/>
                              <w:rPr>
                                <w:rFonts w:ascii="Arial" w:hAnsi="Arial" w:cs="Arial"/>
                                <w:b/>
                                <w:bCs/>
                                <w:sz w:val="24"/>
                                <w:szCs w:val="24"/>
                                <w:lang w:val="es-ES"/>
                              </w:rPr>
                            </w:pPr>
                            <w:r w:rsidRPr="00B320E1">
                              <w:rPr>
                                <w:rFonts w:ascii="Arial" w:hAnsi="Arial" w:cs="Arial"/>
                                <w:b/>
                                <w:bCs/>
                                <w:sz w:val="24"/>
                                <w:szCs w:val="24"/>
                                <w:lang w:val="es-ES"/>
                              </w:rPr>
                              <w:t>Nadelschutz</w:t>
                            </w:r>
                          </w:p>
                        </w:txbxContent>
                      </v:textbox>
                      <w10:anchorlock/>
                    </v:shape>
                  </w:pict>
                </mc:Fallback>
              </mc:AlternateContent>
            </w:r>
            <w:r w:rsidR="007C6668" w:rsidRPr="00B320E1">
              <w:rPr>
                <w:b/>
                <w:bCs/>
                <w:noProof/>
              </w:rPr>
              <w:t>Abbildung J</w:t>
            </w:r>
          </w:p>
        </w:tc>
        <w:tc>
          <w:tcPr>
            <w:tcW w:w="5517" w:type="dxa"/>
            <w:gridSpan w:val="2"/>
          </w:tcPr>
          <w:p w14:paraId="53F9B4D4" w14:textId="77777777" w:rsidR="007C6668" w:rsidRPr="00B320E1" w:rsidRDefault="007C6668" w:rsidP="00F0391F">
            <w:pPr>
              <w:pStyle w:val="a3"/>
              <w:numPr>
                <w:ilvl w:val="0"/>
                <w:numId w:val="31"/>
              </w:numPr>
              <w:autoSpaceDE/>
              <w:autoSpaceDN/>
              <w:ind w:left="567" w:hanging="567"/>
              <w:rPr>
                <w:b/>
              </w:rPr>
            </w:pPr>
            <w:r w:rsidRPr="00B320E1">
              <w:rPr>
                <w:b/>
              </w:rPr>
              <w:t>Ziehen Sie die Schutzkappe ab.</w:t>
            </w:r>
          </w:p>
          <w:p w14:paraId="2D9B17D6" w14:textId="77777777" w:rsidR="007C6668" w:rsidRPr="00B320E1" w:rsidRDefault="007C6668" w:rsidP="00F0391F">
            <w:pPr>
              <w:pStyle w:val="Default"/>
              <w:keepNext/>
              <w:autoSpaceDE/>
              <w:autoSpaceDN/>
              <w:ind w:left="567" w:hanging="567"/>
              <w:rPr>
                <w:rFonts w:eastAsia="새굴림"/>
                <w:sz w:val="20"/>
                <w:szCs w:val="20"/>
                <w:lang w:val="de-DE"/>
              </w:rPr>
            </w:pPr>
          </w:p>
          <w:p w14:paraId="31EE3905" w14:textId="65B6C473" w:rsidR="007C6668" w:rsidRPr="00B320E1" w:rsidRDefault="007C6668" w:rsidP="00F0391F">
            <w:pPr>
              <w:pStyle w:val="a3"/>
              <w:keepNext/>
              <w:numPr>
                <w:ilvl w:val="0"/>
                <w:numId w:val="40"/>
              </w:numPr>
              <w:autoSpaceDE/>
              <w:autoSpaceDN/>
              <w:ind w:left="567" w:hanging="567"/>
              <w:rPr>
                <w:bCs/>
              </w:rPr>
            </w:pPr>
            <w:r w:rsidRPr="00B320E1">
              <w:rPr>
                <w:color w:val="231F20"/>
              </w:rPr>
              <w:t xml:space="preserve">Halten Sie den Fertigpen mit der aufgesetzten Schutzkappe </w:t>
            </w:r>
            <w:r w:rsidR="00693DFC" w:rsidRPr="00B320E1">
              <w:rPr>
                <w:color w:val="231F20"/>
              </w:rPr>
              <w:t xml:space="preserve">mit einer Hand </w:t>
            </w:r>
            <w:r w:rsidRPr="00B320E1">
              <w:rPr>
                <w:color w:val="231F20"/>
              </w:rPr>
              <w:t>am Körper des Pens fest.</w:t>
            </w:r>
            <w:r w:rsidRPr="00B320E1">
              <w:rPr>
                <w:color w:val="231F20"/>
              </w:rPr>
              <w:br/>
            </w:r>
            <w:r w:rsidRPr="00B320E1">
              <w:t xml:space="preserve">Ziehen Sie die Schutzkappe mit der anderen Hand vorsichtig gerade ab (siehe </w:t>
            </w:r>
            <w:r w:rsidRPr="00B320E1">
              <w:rPr>
                <w:b/>
                <w:bCs/>
              </w:rPr>
              <w:t>Abbildung J</w:t>
            </w:r>
            <w:r w:rsidRPr="00B320E1">
              <w:t>).</w:t>
            </w:r>
          </w:p>
          <w:p w14:paraId="1B0E4B36" w14:textId="77777777" w:rsidR="007C6668" w:rsidRPr="00B320E1" w:rsidRDefault="007C6668" w:rsidP="00F0391F">
            <w:pPr>
              <w:pStyle w:val="a3"/>
              <w:autoSpaceDE/>
              <w:autoSpaceDN/>
              <w:ind w:left="567"/>
              <w:rPr>
                <w:bCs/>
                <w:noProof/>
              </w:rPr>
            </w:pPr>
            <w:r w:rsidRPr="00B320E1">
              <w:rPr>
                <w:i/>
              </w:rPr>
              <w:t>Hinweis</w:t>
            </w:r>
            <w:r w:rsidRPr="00B320E1">
              <w:t>: Wenn Sie die Schutzkappe nicht abziehen können, sollten Sie eine Pflegeperson um Hilfe bitten oder mit Ihrem Arzt Kontakt aufnehmen.</w:t>
            </w:r>
          </w:p>
          <w:p w14:paraId="0E681AA8" w14:textId="77777777" w:rsidR="007C6668" w:rsidRPr="00B320E1" w:rsidRDefault="007C6668" w:rsidP="00F0391F">
            <w:pPr>
              <w:pStyle w:val="a3"/>
              <w:keepNext/>
              <w:numPr>
                <w:ilvl w:val="0"/>
                <w:numId w:val="40"/>
              </w:numPr>
              <w:autoSpaceDE/>
              <w:autoSpaceDN/>
              <w:ind w:left="567" w:hanging="567"/>
              <w:rPr>
                <w:color w:val="231F20"/>
              </w:rPr>
            </w:pPr>
            <w:r w:rsidRPr="00B320E1">
              <w:rPr>
                <w:color w:val="231F20"/>
              </w:rPr>
              <w:t xml:space="preserve">Entsorgen Sie die Schutzkappe umgehend in einem Nadelabwurfbehälter (siehe </w:t>
            </w:r>
            <w:r w:rsidRPr="00B320E1">
              <w:rPr>
                <w:b/>
                <w:bCs/>
                <w:color w:val="231F20"/>
              </w:rPr>
              <w:t>Schritt 14</w:t>
            </w:r>
            <w:r w:rsidRPr="00B320E1">
              <w:rPr>
                <w:color w:val="231F20"/>
              </w:rPr>
              <w:t xml:space="preserve"> und </w:t>
            </w:r>
            <w:r w:rsidRPr="00B320E1">
              <w:rPr>
                <w:b/>
                <w:bCs/>
                <w:color w:val="231F20"/>
              </w:rPr>
              <w:t>Abbildung O</w:t>
            </w:r>
            <w:r w:rsidRPr="00B320E1">
              <w:rPr>
                <w:color w:val="231F20"/>
              </w:rPr>
              <w:t>).</w:t>
            </w:r>
          </w:p>
          <w:p w14:paraId="4AD34FCF" w14:textId="45CC97B1" w:rsidR="007C6668" w:rsidRPr="00B320E1" w:rsidRDefault="007C6668" w:rsidP="00F0391F">
            <w:pPr>
              <w:pStyle w:val="a3"/>
              <w:numPr>
                <w:ilvl w:val="0"/>
                <w:numId w:val="13"/>
              </w:numPr>
              <w:autoSpaceDE/>
              <w:autoSpaceDN/>
              <w:ind w:left="1134" w:hanging="567"/>
            </w:pPr>
            <w:r w:rsidRPr="00B320E1">
              <w:t xml:space="preserve">Setzen Sie die Schutzkappe </w:t>
            </w:r>
            <w:r w:rsidRPr="00B320E1">
              <w:rPr>
                <w:b/>
              </w:rPr>
              <w:t>nicht</w:t>
            </w:r>
            <w:r w:rsidRPr="00B320E1">
              <w:t xml:space="preserve"> wieder auf den Fertigpen auf.</w:t>
            </w:r>
          </w:p>
          <w:p w14:paraId="27A99B8E" w14:textId="77777777" w:rsidR="007C6668" w:rsidRPr="00B320E1" w:rsidRDefault="007C6668" w:rsidP="00F0391F">
            <w:pPr>
              <w:pStyle w:val="a3"/>
              <w:numPr>
                <w:ilvl w:val="0"/>
                <w:numId w:val="13"/>
              </w:numPr>
              <w:autoSpaceDE/>
              <w:autoSpaceDN/>
              <w:ind w:left="1134" w:hanging="567"/>
            </w:pPr>
            <w:r w:rsidRPr="00B320E1">
              <w:t xml:space="preserve">Berühren Sie den Nadelschutz an der Spitze des Fertigpens </w:t>
            </w:r>
            <w:r w:rsidRPr="00B320E1">
              <w:rPr>
                <w:b/>
                <w:bCs/>
              </w:rPr>
              <w:t>nicht</w:t>
            </w:r>
            <w:r w:rsidRPr="00B320E1">
              <w:t>, um eine versehentliche Nadelstichverletzung zu vermeiden.</w:t>
            </w:r>
          </w:p>
          <w:p w14:paraId="30C16AE2" w14:textId="77777777" w:rsidR="007C6668" w:rsidRPr="00B320E1" w:rsidRDefault="007C6668" w:rsidP="00F0391F">
            <w:pPr>
              <w:pStyle w:val="a3"/>
              <w:numPr>
                <w:ilvl w:val="0"/>
                <w:numId w:val="13"/>
              </w:numPr>
              <w:autoSpaceDE/>
              <w:autoSpaceDN/>
              <w:ind w:left="1134" w:hanging="567"/>
            </w:pPr>
            <w:r w:rsidRPr="00B320E1">
              <w:rPr>
                <w:color w:val="231F20"/>
              </w:rPr>
              <w:t>Nach dem Abnehmen der Schutzkappe ist der Fertigpen bereit für die Verwendung. Wird der Fertigpen nicht innerhalb von 3 Minuten nach dem Abziehen der Schutzkappe verwendet, sollte der Fertigpen in einem Nadelabwurfbehälter entsorgt und ein neuer Fertigpen verwendet werden.</w:t>
            </w:r>
          </w:p>
          <w:p w14:paraId="564473EB" w14:textId="77777777" w:rsidR="007C6668" w:rsidRPr="00F0391F" w:rsidRDefault="007C6668" w:rsidP="00F0391F">
            <w:pPr>
              <w:autoSpaceDE/>
              <w:autoSpaceDN/>
              <w:rPr>
                <w:sz w:val="24"/>
                <w:szCs w:val="24"/>
              </w:rPr>
            </w:pPr>
          </w:p>
        </w:tc>
      </w:tr>
      <w:tr w:rsidR="007C6668" w:rsidRPr="007C6668" w14:paraId="47E46B62" w14:textId="77777777" w:rsidTr="00F0391F">
        <w:tblPrEx>
          <w:tblBorders>
            <w:insideV w:val="single" w:sz="4" w:space="0" w:color="auto"/>
          </w:tblBorders>
          <w:tblCellMar>
            <w:top w:w="0" w:type="dxa"/>
            <w:bottom w:w="0" w:type="dxa"/>
          </w:tblCellMar>
        </w:tblPrEx>
        <w:trPr>
          <w:gridAfter w:val="1"/>
          <w:wAfter w:w="113" w:type="dxa"/>
        </w:trPr>
        <w:tc>
          <w:tcPr>
            <w:tcW w:w="3539" w:type="dxa"/>
          </w:tcPr>
          <w:p w14:paraId="732620B1" w14:textId="662CF580" w:rsidR="007C6668"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4B9921D1" wp14:editId="0DBEA783">
                  <wp:extent cx="2084070" cy="2583815"/>
                  <wp:effectExtent l="19050" t="19050" r="0" b="6985"/>
                  <wp:docPr id="32" name="그림 2415689"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415689" descr="스케치, 그림, 클립아트, 라인 아트이(가) 표시된 사진&#10;&#10;자동 생성된 설명"/>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18C12DB3" w14:textId="45B6549E" w:rsidR="007C6668" w:rsidRPr="00F0391F" w:rsidRDefault="007C6668" w:rsidP="00F0391F">
            <w:pPr>
              <w:suppressAutoHyphens/>
              <w:autoSpaceDE/>
              <w:autoSpaceDN/>
              <w:jc w:val="right"/>
              <w:rPr>
                <w:b/>
                <w:bCs/>
                <w:noProof/>
                <w:sz w:val="24"/>
                <w:szCs w:val="24"/>
              </w:rPr>
            </w:pPr>
            <w:r w:rsidRPr="00B320E1">
              <w:rPr>
                <w:b/>
                <w:bCs/>
                <w:noProof/>
              </w:rPr>
              <w:t>Abbildung K</w:t>
            </w:r>
          </w:p>
        </w:tc>
        <w:tc>
          <w:tcPr>
            <w:tcW w:w="5517" w:type="dxa"/>
            <w:gridSpan w:val="2"/>
          </w:tcPr>
          <w:p w14:paraId="18C5A30C" w14:textId="77777777" w:rsidR="007C6668" w:rsidRPr="00B320E1" w:rsidRDefault="007C6668" w:rsidP="00F0391F">
            <w:pPr>
              <w:pStyle w:val="a3"/>
              <w:numPr>
                <w:ilvl w:val="0"/>
                <w:numId w:val="41"/>
              </w:numPr>
              <w:autoSpaceDE/>
              <w:autoSpaceDN/>
              <w:ind w:left="567" w:hanging="567"/>
              <w:rPr>
                <w:b/>
              </w:rPr>
            </w:pPr>
            <w:r w:rsidRPr="00B320E1">
              <w:rPr>
                <w:b/>
              </w:rPr>
              <w:t>Setzen Sie den Fertigpen auf die Injektionsstelle.</w:t>
            </w:r>
          </w:p>
          <w:p w14:paraId="710CB735" w14:textId="77777777" w:rsidR="007C6668" w:rsidRPr="00B320E1" w:rsidRDefault="007C6668" w:rsidP="00F0391F">
            <w:pPr>
              <w:pStyle w:val="a3"/>
              <w:autoSpaceDE/>
              <w:autoSpaceDN/>
              <w:ind w:left="567" w:hanging="567"/>
              <w:rPr>
                <w:color w:val="231F20"/>
              </w:rPr>
            </w:pPr>
          </w:p>
          <w:p w14:paraId="0FDD60C5" w14:textId="77777777" w:rsidR="007C6668" w:rsidRPr="00B320E1" w:rsidRDefault="007C6668" w:rsidP="00F0391F">
            <w:pPr>
              <w:pStyle w:val="a3"/>
              <w:numPr>
                <w:ilvl w:val="0"/>
                <w:numId w:val="43"/>
              </w:numPr>
              <w:autoSpaceDE/>
              <w:autoSpaceDN/>
              <w:ind w:left="567" w:hanging="567"/>
              <w:rPr>
                <w:color w:val="231F20"/>
              </w:rPr>
            </w:pPr>
            <w:r w:rsidRPr="00B320E1">
              <w:rPr>
                <w:color w:val="231F20"/>
              </w:rPr>
              <w:t xml:space="preserve">Halten Sie den Fertigpen bequem mit einer Hand fest, sodass Sie das Sichtfenster sehen können (siehe </w:t>
            </w:r>
            <w:r w:rsidRPr="00B320E1">
              <w:rPr>
                <w:b/>
                <w:bCs/>
                <w:color w:val="231F20"/>
              </w:rPr>
              <w:t>Abbildung K</w:t>
            </w:r>
            <w:r w:rsidRPr="00B320E1">
              <w:rPr>
                <w:color w:val="231F20"/>
              </w:rPr>
              <w:t>).</w:t>
            </w:r>
          </w:p>
          <w:p w14:paraId="3AD62A6D" w14:textId="77777777" w:rsidR="007C6668" w:rsidRPr="00B320E1" w:rsidRDefault="007C6668" w:rsidP="00F0391F">
            <w:pPr>
              <w:pStyle w:val="a3"/>
              <w:numPr>
                <w:ilvl w:val="0"/>
                <w:numId w:val="43"/>
              </w:numPr>
              <w:autoSpaceDE/>
              <w:autoSpaceDN/>
              <w:ind w:left="567" w:hanging="567"/>
              <w:rPr>
                <w:color w:val="231F20"/>
              </w:rPr>
            </w:pPr>
            <w:r w:rsidRPr="00B320E1">
              <w:rPr>
                <w:color w:val="231F20"/>
              </w:rPr>
              <w:t xml:space="preserve">Setzen Sie den Fertigpen ohne Zusammendrücken oder Dehnen der Haut in einem Winkel von 90 Grad auf die Haut auf (siehe </w:t>
            </w:r>
            <w:r w:rsidRPr="00B320E1">
              <w:rPr>
                <w:b/>
                <w:bCs/>
                <w:color w:val="231F20"/>
              </w:rPr>
              <w:t>Abbildung L</w:t>
            </w:r>
            <w:r w:rsidRPr="00B320E1">
              <w:rPr>
                <w:color w:val="231F20"/>
              </w:rPr>
              <w:t>).</w:t>
            </w:r>
          </w:p>
          <w:p w14:paraId="45266EAA" w14:textId="77777777" w:rsidR="007C6668" w:rsidRPr="00B320E1" w:rsidRDefault="007C6668" w:rsidP="00F0391F">
            <w:pPr>
              <w:pStyle w:val="a3"/>
              <w:autoSpaceDE/>
              <w:autoSpaceDN/>
              <w:ind w:left="567" w:hanging="567"/>
              <w:rPr>
                <w:bCs/>
                <w:i/>
                <w:iCs/>
                <w:noProof/>
                <w:lang w:eastAsia="ko-KR"/>
              </w:rPr>
            </w:pPr>
          </w:p>
          <w:p w14:paraId="6E704C24" w14:textId="77777777" w:rsidR="007C6668" w:rsidRPr="00B320E1" w:rsidRDefault="007C6668" w:rsidP="00F0391F">
            <w:pPr>
              <w:pStyle w:val="a3"/>
              <w:autoSpaceDE/>
              <w:autoSpaceDN/>
              <w:ind w:left="567"/>
              <w:rPr>
                <w:bCs/>
                <w:noProof/>
              </w:rPr>
            </w:pPr>
            <w:r w:rsidRPr="00B320E1">
              <w:rPr>
                <w:i/>
              </w:rPr>
              <w:t>Hinweis</w:t>
            </w:r>
            <w:r w:rsidRPr="00B320E1">
              <w:t>: Es ist wichtig, den Fertigpen im richtigen Winkel aufzusetzen, um sicherzustellen, dass das Arzneimittel unter die Haut (in das Fettgewebe) injiziert wird. Ansonsten könnte die Injektion schmerzhaft sein und das Arzneimittel nicht richtig wirken.</w:t>
            </w:r>
          </w:p>
          <w:p w14:paraId="6525FFDB" w14:textId="77777777" w:rsidR="007C6668" w:rsidRPr="00B320E1" w:rsidRDefault="007C6668" w:rsidP="00F0391F">
            <w:pPr>
              <w:pStyle w:val="a3"/>
              <w:autoSpaceDE/>
              <w:autoSpaceDN/>
              <w:ind w:left="567" w:hanging="567"/>
              <w:rPr>
                <w:color w:val="231F20"/>
              </w:rPr>
            </w:pPr>
          </w:p>
          <w:p w14:paraId="07C59003" w14:textId="70288B15" w:rsidR="007C6668" w:rsidRPr="00B320E1" w:rsidRDefault="007C6668" w:rsidP="00F0391F">
            <w:pPr>
              <w:pStyle w:val="a3"/>
              <w:numPr>
                <w:ilvl w:val="0"/>
                <w:numId w:val="13"/>
              </w:numPr>
              <w:autoSpaceDE/>
              <w:autoSpaceDN/>
              <w:ind w:left="1134" w:hanging="567"/>
            </w:pPr>
            <w:r w:rsidRPr="00B320E1">
              <w:t xml:space="preserve">Injizieren Sie </w:t>
            </w:r>
            <w:r w:rsidRPr="00B320E1">
              <w:rPr>
                <w:b/>
                <w:bCs/>
              </w:rPr>
              <w:t>nicht</w:t>
            </w:r>
            <w:r w:rsidRPr="00B320E1">
              <w:t xml:space="preserve"> in einen Muskel oder in ein Blutgefäß.</w:t>
            </w:r>
          </w:p>
          <w:p w14:paraId="413275F7" w14:textId="77777777" w:rsidR="007C6668" w:rsidRPr="00F0391F" w:rsidRDefault="007C6668" w:rsidP="00F0391F">
            <w:pPr>
              <w:autoSpaceDE/>
              <w:autoSpaceDN/>
              <w:rPr>
                <w:sz w:val="24"/>
                <w:szCs w:val="24"/>
              </w:rPr>
            </w:pPr>
          </w:p>
        </w:tc>
      </w:tr>
      <w:tr w:rsidR="007C6668" w:rsidRPr="00DE67E9" w14:paraId="6C821E10" w14:textId="77777777" w:rsidTr="00F0391F">
        <w:tblPrEx>
          <w:tblBorders>
            <w:insideV w:val="single" w:sz="4" w:space="0" w:color="auto"/>
          </w:tblBorders>
          <w:tblCellMar>
            <w:top w:w="0" w:type="dxa"/>
            <w:bottom w:w="0" w:type="dxa"/>
          </w:tblCellMar>
        </w:tblPrEx>
        <w:trPr>
          <w:gridAfter w:val="1"/>
          <w:wAfter w:w="113" w:type="dxa"/>
        </w:trPr>
        <w:tc>
          <w:tcPr>
            <w:tcW w:w="3539" w:type="dxa"/>
          </w:tcPr>
          <w:p w14:paraId="20F86299" w14:textId="22CE72CA" w:rsidR="007C6668" w:rsidRPr="00F0391F" w:rsidRDefault="00A16FF2" w:rsidP="00F0391F">
            <w:pPr>
              <w:suppressAutoHyphens/>
              <w:autoSpaceDE/>
              <w:autoSpaceDN/>
              <w:jc w:val="right"/>
              <w:rPr>
                <w:noProof/>
                <w:sz w:val="24"/>
                <w:szCs w:val="24"/>
              </w:rPr>
            </w:pPr>
            <w:r>
              <w:rPr>
                <w:noProof/>
                <w:lang w:val="en-US" w:eastAsia="ko-KR"/>
              </w:rPr>
              <mc:AlternateContent>
                <mc:Choice Requires="wps">
                  <w:drawing>
                    <wp:anchor distT="45720" distB="45720" distL="114300" distR="114300" simplePos="0" relativeHeight="251658290" behindDoc="0" locked="0" layoutInCell="1" allowOverlap="1" wp14:anchorId="12D726EF" wp14:editId="35CA092A">
                      <wp:simplePos x="0" y="0"/>
                      <wp:positionH relativeFrom="column">
                        <wp:posOffset>588010</wp:posOffset>
                      </wp:positionH>
                      <wp:positionV relativeFrom="paragraph">
                        <wp:posOffset>1379220</wp:posOffset>
                      </wp:positionV>
                      <wp:extent cx="629920" cy="467360"/>
                      <wp:effectExtent l="0" t="0" r="0" b="0"/>
                      <wp:wrapNone/>
                      <wp:docPr id="926294010"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0AEB6BAC" w14:textId="77777777" w:rsidR="00456610" w:rsidRPr="00BA148D" w:rsidRDefault="00456610" w:rsidP="007C6668">
                                  <w:pPr>
                                    <w:rPr>
                                      <w:rFonts w:ascii="Arial" w:hAnsi="Arial" w:cs="Arial"/>
                                      <w:b/>
                                      <w:bCs/>
                                      <w:sz w:val="32"/>
                                      <w:szCs w:val="32"/>
                                    </w:rPr>
                                  </w:pPr>
                                  <w:r w:rsidRPr="00BA148D">
                                    <w:rPr>
                                      <w:rFonts w:ascii="Arial" w:hAnsi="Arial" w:cs="Arial"/>
                                      <w:b/>
                                      <w:bCs/>
                                      <w:sz w:val="32"/>
                                      <w:szCs w:val="32"/>
                                    </w:rPr>
                                    <w:t>90°</w:t>
                                  </w:r>
                                </w:p>
                                <w:p w14:paraId="048E5165" w14:textId="77777777" w:rsidR="00456610" w:rsidRPr="00BA148D" w:rsidRDefault="00456610" w:rsidP="007C6668">
                                  <w:pPr>
                                    <w:rPr>
                                      <w:rFonts w:ascii="Arial" w:hAnsi="Arial" w:cs="Arial"/>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2D726EF" id="Text Box 21" o:spid="_x0000_s1077" type="#_x0000_t202" style="position:absolute;left:0;text-align:left;margin-left:46.3pt;margin-top:108.6pt;width:49.6pt;height:36.8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" filled="f" stroked="f">
                      <v:textbox style="mso-fit-shape-to-text:t" inset="0,0,0,0">
                        <w:txbxContent>
                          <w:p w14:paraId="0AEB6BAC" w14:textId="77777777" w:rsidR="00456610" w:rsidRPr="00BA148D" w:rsidRDefault="00456610" w:rsidP="007C6668">
                            <w:pPr>
                              <w:rPr>
                                <w:rFonts w:ascii="Arial" w:hAnsi="Arial" w:cs="Arial"/>
                                <w:b/>
                                <w:bCs/>
                                <w:sz w:val="32"/>
                                <w:szCs w:val="32"/>
                              </w:rPr>
                            </w:pPr>
                            <w:r w:rsidRPr="00BA148D">
                              <w:rPr>
                                <w:rFonts w:ascii="Arial" w:hAnsi="Arial" w:cs="Arial"/>
                                <w:b/>
                                <w:bCs/>
                                <w:sz w:val="32"/>
                                <w:szCs w:val="32"/>
                              </w:rPr>
                              <w:t>90°</w:t>
                            </w:r>
                          </w:p>
                          <w:p w14:paraId="048E5165" w14:textId="77777777" w:rsidR="00456610" w:rsidRPr="00BA148D" w:rsidRDefault="00456610" w:rsidP="007C6668">
                            <w:pPr>
                              <w:rPr>
                                <w:rFonts w:ascii="Arial" w:hAnsi="Arial" w:cs="Arial"/>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58291" behindDoc="0" locked="0" layoutInCell="1" allowOverlap="1" wp14:anchorId="1D898BDB" wp14:editId="78CABEC7">
                      <wp:simplePos x="0" y="0"/>
                      <wp:positionH relativeFrom="column">
                        <wp:posOffset>1055370</wp:posOffset>
                      </wp:positionH>
                      <wp:positionV relativeFrom="paragraph">
                        <wp:posOffset>2711450</wp:posOffset>
                      </wp:positionV>
                      <wp:extent cx="629920" cy="467360"/>
                      <wp:effectExtent l="0" t="0" r="0" b="0"/>
                      <wp:wrapNone/>
                      <wp:docPr id="63294460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 cy="467360"/>
                              </a:xfrm>
                              <a:prstGeom prst="rect">
                                <a:avLst/>
                              </a:prstGeom>
                              <a:noFill/>
                              <a:ln w="9525">
                                <a:noFill/>
                                <a:miter lim="800000"/>
                                <a:headEnd/>
                                <a:tailEnd/>
                              </a:ln>
                            </wps:spPr>
                            <wps:txbx>
                              <w:txbxContent>
                                <w:p w14:paraId="2D083D11" w14:textId="77777777" w:rsidR="00456610" w:rsidRPr="00BA148D" w:rsidRDefault="00456610" w:rsidP="007C6668">
                                  <w:pPr>
                                    <w:rPr>
                                      <w:rFonts w:ascii="Arial" w:hAnsi="Arial" w:cs="Arial"/>
                                      <w:b/>
                                      <w:bCs/>
                                      <w:sz w:val="32"/>
                                      <w:szCs w:val="32"/>
                                    </w:rPr>
                                  </w:pPr>
                                  <w:r w:rsidRPr="00BA148D">
                                    <w:rPr>
                                      <w:rFonts w:ascii="Arial" w:hAnsi="Arial" w:cs="Arial"/>
                                      <w:b/>
                                      <w:bCs/>
                                      <w:sz w:val="32"/>
                                      <w:szCs w:val="32"/>
                                    </w:rPr>
                                    <w:t>90°</w:t>
                                  </w:r>
                                </w:p>
                                <w:p w14:paraId="301B83ED" w14:textId="77777777" w:rsidR="00456610" w:rsidRPr="00BA148D" w:rsidRDefault="00456610" w:rsidP="007C6668">
                                  <w:pPr>
                                    <w:rPr>
                                      <w:rFonts w:ascii="Arial" w:hAnsi="Arial" w:cs="Arial"/>
                                      <w:b/>
                                      <w:bCs/>
                                      <w:sz w:val="32"/>
                                      <w:szCs w:val="32"/>
                                    </w:rPr>
                                  </w:pP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1D898BDB" id="Text Box 19" o:spid="_x0000_s1078" type="#_x0000_t202" style="position:absolute;left:0;text-align:left;margin-left:83.1pt;margin-top:213.5pt;width:49.6pt;height:36.8pt;z-index:251658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" filled="f" stroked="f">
                      <v:textbox style="mso-fit-shape-to-text:t" inset="0,0,0,0">
                        <w:txbxContent>
                          <w:p w14:paraId="2D083D11" w14:textId="77777777" w:rsidR="00456610" w:rsidRPr="00BA148D" w:rsidRDefault="00456610" w:rsidP="007C6668">
                            <w:pPr>
                              <w:rPr>
                                <w:rFonts w:ascii="Arial" w:hAnsi="Arial" w:cs="Arial"/>
                                <w:b/>
                                <w:bCs/>
                                <w:sz w:val="32"/>
                                <w:szCs w:val="32"/>
                              </w:rPr>
                            </w:pPr>
                            <w:r w:rsidRPr="00BA148D">
                              <w:rPr>
                                <w:rFonts w:ascii="Arial" w:hAnsi="Arial" w:cs="Arial"/>
                                <w:b/>
                                <w:bCs/>
                                <w:sz w:val="32"/>
                                <w:szCs w:val="32"/>
                              </w:rPr>
                              <w:t>90°</w:t>
                            </w:r>
                          </w:p>
                          <w:p w14:paraId="301B83ED" w14:textId="77777777" w:rsidR="00456610" w:rsidRPr="00BA148D" w:rsidRDefault="00456610" w:rsidP="007C6668">
                            <w:pPr>
                              <w:rPr>
                                <w:rFonts w:ascii="Arial" w:hAnsi="Arial" w:cs="Arial"/>
                                <w:b/>
                                <w:bCs/>
                                <w:sz w:val="32"/>
                                <w:szCs w:val="32"/>
                              </w:rPr>
                            </w:pPr>
                          </w:p>
                        </w:txbxContent>
                      </v:textbox>
                    </v:shape>
                  </w:pict>
                </mc:Fallback>
              </mc:AlternateContent>
            </w:r>
            <w:r>
              <w:rPr>
                <w:noProof/>
                <w:lang w:val="en-US" w:eastAsia="ko-KR"/>
              </w:rPr>
              <mc:AlternateContent>
                <mc:Choice Requires="wps">
                  <w:drawing>
                    <wp:anchor distT="45720" distB="45720" distL="114300" distR="114300" simplePos="0" relativeHeight="251658292" behindDoc="0" locked="0" layoutInCell="1" allowOverlap="1" wp14:anchorId="78CB1796" wp14:editId="22498BA5">
                      <wp:simplePos x="0" y="0"/>
                      <wp:positionH relativeFrom="column">
                        <wp:posOffset>88900</wp:posOffset>
                      </wp:positionH>
                      <wp:positionV relativeFrom="paragraph">
                        <wp:posOffset>2015490</wp:posOffset>
                      </wp:positionV>
                      <wp:extent cx="1983740" cy="277495"/>
                      <wp:effectExtent l="0" t="0" r="0" b="0"/>
                      <wp:wrapNone/>
                      <wp:docPr id="12100875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77495"/>
                              </a:xfrm>
                              <a:prstGeom prst="rect">
                                <a:avLst/>
                              </a:prstGeom>
                              <a:noFill/>
                              <a:ln w="9525">
                                <a:noFill/>
                                <a:miter lim="800000"/>
                                <a:headEnd/>
                                <a:tailEnd/>
                              </a:ln>
                            </wps:spPr>
                            <wps:txbx>
                              <w:txbxContent>
                                <w:p w14:paraId="769FC8AA" w14:textId="2D59E5D9" w:rsidR="00456610" w:rsidRPr="00F0391F" w:rsidRDefault="00456610" w:rsidP="007C6668">
                                  <w:pPr>
                                    <w:jc w:val="center"/>
                                    <w:rPr>
                                      <w:rFonts w:ascii="Arial" w:hAnsi="Arial" w:cs="Arial"/>
                                      <w:b/>
                                      <w:bCs/>
                                      <w:color w:val="FFFFFF"/>
                                      <w:sz w:val="28"/>
                                      <w:szCs w:val="28"/>
                                    </w:rPr>
                                  </w:pPr>
                                  <w:r w:rsidRPr="00D41173">
                                    <w:rPr>
                                      <w:rFonts w:ascii="Arial" w:hAnsi="Arial" w:cs="Arial"/>
                                      <w:b/>
                                      <w:bCs/>
                                      <w:color w:val="FFFFFF"/>
                                      <w:sz w:val="28"/>
                                      <w:szCs w:val="28"/>
                                    </w:rPr>
                                    <w:t>ODER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CB1796" id="Text Box 17" o:spid="_x0000_s1079" type="#_x0000_t202" style="position:absolute;left:0;text-align:left;margin-left:7pt;margin-top:158.7pt;width:156.2pt;height:21.85pt;z-index:251658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" filled="f" stroked="f">
                      <v:textbox inset="0,0,0,0">
                        <w:txbxContent>
                          <w:p w14:paraId="769FC8AA" w14:textId="2D59E5D9" w:rsidR="00456610" w:rsidRPr="00F0391F" w:rsidRDefault="00456610" w:rsidP="007C6668">
                            <w:pPr>
                              <w:jc w:val="center"/>
                              <w:rPr>
                                <w:rFonts w:ascii="Arial" w:hAnsi="Arial" w:cs="Arial"/>
                                <w:b/>
                                <w:bCs/>
                                <w:color w:val="FFFFFF"/>
                                <w:sz w:val="28"/>
                                <w:szCs w:val="28"/>
                              </w:rPr>
                            </w:pPr>
                            <w:r w:rsidRPr="00D41173">
                              <w:rPr>
                                <w:rFonts w:ascii="Arial" w:hAnsi="Arial" w:cs="Arial"/>
                                <w:b/>
                                <w:bCs/>
                                <w:color w:val="FFFFFF"/>
                                <w:sz w:val="28"/>
                                <w:szCs w:val="28"/>
                              </w:rPr>
                              <w:t>ODER</w:t>
                            </w:r>
                          </w:p>
                        </w:txbxContent>
                      </v:textbox>
                    </v:shape>
                  </w:pict>
                </mc:Fallback>
              </mc:AlternateContent>
            </w:r>
            <w:r>
              <w:rPr>
                <w:noProof/>
                <w:sz w:val="26"/>
                <w:szCs w:val="26"/>
                <w:lang w:val="en-US" w:eastAsia="ko-KR"/>
              </w:rPr>
              <w:drawing>
                <wp:inline distT="0" distB="0" distL="0" distR="0" wp14:anchorId="2C641DD2" wp14:editId="28E518B5">
                  <wp:extent cx="2073275" cy="4210685"/>
                  <wp:effectExtent l="19050" t="19050" r="3175" b="0"/>
                  <wp:docPr id="33" name="그림 1" descr="클립아트, 텍스트, 라인 아트, 만화 영화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descr="클립아트, 텍스트, 라인 아트, 만화 영화이(가) 표시된 사진&#10;&#10;자동 생성된 설명"/>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73275" cy="4210685"/>
                          </a:xfrm>
                          <a:prstGeom prst="rect">
                            <a:avLst/>
                          </a:prstGeom>
                          <a:noFill/>
                          <a:ln w="9525" cmpd="sng">
                            <a:solidFill>
                              <a:srgbClr val="000000"/>
                            </a:solidFill>
                            <a:miter lim="800000"/>
                            <a:headEnd/>
                            <a:tailEnd/>
                          </a:ln>
                          <a:effectLst/>
                        </pic:spPr>
                      </pic:pic>
                    </a:graphicData>
                  </a:graphic>
                </wp:inline>
              </w:drawing>
            </w:r>
          </w:p>
          <w:p w14:paraId="73EB52CF" w14:textId="2B3AD109" w:rsidR="007C6668" w:rsidRPr="00F0391F" w:rsidRDefault="007C6668" w:rsidP="00F0391F">
            <w:pPr>
              <w:suppressAutoHyphens/>
              <w:autoSpaceDE/>
              <w:autoSpaceDN/>
              <w:jc w:val="right"/>
              <w:rPr>
                <w:b/>
                <w:bCs/>
                <w:noProof/>
                <w:sz w:val="24"/>
                <w:szCs w:val="24"/>
              </w:rPr>
            </w:pPr>
            <w:r w:rsidRPr="00B320E1">
              <w:rPr>
                <w:b/>
                <w:bCs/>
                <w:noProof/>
              </w:rPr>
              <w:t>Abbildung L</w:t>
            </w:r>
          </w:p>
        </w:tc>
        <w:tc>
          <w:tcPr>
            <w:tcW w:w="5517" w:type="dxa"/>
            <w:gridSpan w:val="2"/>
          </w:tcPr>
          <w:p w14:paraId="25D4B720" w14:textId="77777777" w:rsidR="007C6668" w:rsidRPr="00F0391F" w:rsidRDefault="007C6668" w:rsidP="00F0391F">
            <w:pPr>
              <w:autoSpaceDE/>
              <w:autoSpaceDN/>
              <w:rPr>
                <w:sz w:val="24"/>
                <w:szCs w:val="24"/>
              </w:rPr>
            </w:pPr>
          </w:p>
        </w:tc>
      </w:tr>
      <w:tr w:rsidR="007C6668" w:rsidRPr="007C6668" w14:paraId="5D6E5859" w14:textId="77777777" w:rsidTr="00F0391F">
        <w:tblPrEx>
          <w:tblBorders>
            <w:insideV w:val="single" w:sz="4" w:space="0" w:color="auto"/>
          </w:tblBorders>
          <w:tblCellMar>
            <w:top w:w="0" w:type="dxa"/>
            <w:bottom w:w="0" w:type="dxa"/>
          </w:tblCellMar>
        </w:tblPrEx>
        <w:trPr>
          <w:gridAfter w:val="1"/>
          <w:wAfter w:w="113" w:type="dxa"/>
        </w:trPr>
        <w:tc>
          <w:tcPr>
            <w:tcW w:w="3539" w:type="dxa"/>
          </w:tcPr>
          <w:p w14:paraId="56C84B0A" w14:textId="6A54E319" w:rsidR="007C6668" w:rsidRPr="00F0391F" w:rsidRDefault="00A16FF2" w:rsidP="00F0391F">
            <w:pPr>
              <w:suppressAutoHyphens/>
              <w:autoSpaceDE/>
              <w:autoSpaceDN/>
              <w:jc w:val="right"/>
              <w:rPr>
                <w:b/>
                <w:bCs/>
                <w:noProof/>
                <w:sz w:val="24"/>
                <w:szCs w:val="24"/>
              </w:rPr>
            </w:pPr>
            <w:r>
              <w:rPr>
                <w:b/>
                <w:bCs/>
                <w:noProof/>
                <w:sz w:val="24"/>
                <w:szCs w:val="24"/>
                <w:lang w:val="en-US" w:eastAsia="ko-KR"/>
              </w:rPr>
              <w:drawing>
                <wp:inline distT="0" distB="0" distL="0" distR="0" wp14:anchorId="2001F3B0" wp14:editId="43193E40">
                  <wp:extent cx="2073275" cy="4880610"/>
                  <wp:effectExtent l="19050" t="19050" r="3175" b="0"/>
                  <wp:docPr id="34" name="그림 1661478188" descr="텍스트, 클립아트, 만화 영화, 화이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61478188" descr="텍스트, 클립아트, 만화 영화, 화이트이(가) 표시된 사진&#10;&#10;자동 생성된 설명"/>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73275" cy="4880610"/>
                          </a:xfrm>
                          <a:prstGeom prst="rect">
                            <a:avLst/>
                          </a:prstGeom>
                          <a:noFill/>
                          <a:ln w="9525" cmpd="sng">
                            <a:solidFill>
                              <a:srgbClr val="000000"/>
                            </a:solidFill>
                            <a:miter lim="800000"/>
                            <a:headEnd/>
                            <a:tailEnd/>
                          </a:ln>
                          <a:effectLst/>
                        </pic:spPr>
                      </pic:pic>
                    </a:graphicData>
                  </a:graphic>
                </wp:inline>
              </w:drawing>
            </w:r>
          </w:p>
          <w:p w14:paraId="5CF3A8F4" w14:textId="3A7A2FF0" w:rsidR="007C6668" w:rsidRPr="00F0391F" w:rsidRDefault="00A16FF2" w:rsidP="00F0391F">
            <w:pPr>
              <w:suppressAutoHyphens/>
              <w:autoSpaceDE/>
              <w:autoSpaceDN/>
              <w:jc w:val="right"/>
              <w:rPr>
                <w:b/>
                <w:bCs/>
                <w:noProof/>
                <w:sz w:val="24"/>
                <w:szCs w:val="24"/>
              </w:rPr>
            </w:pPr>
            <w:r>
              <w:rPr>
                <w:noProof/>
                <w:sz w:val="20"/>
                <w:szCs w:val="20"/>
                <w:lang w:val="en-US" w:eastAsia="ko-KR"/>
              </w:rPr>
              <mc:AlternateContent>
                <mc:Choice Requires="wps">
                  <w:drawing>
                    <wp:anchor distT="45720" distB="45720" distL="114300" distR="114300" simplePos="0" relativeHeight="251658293" behindDoc="0" locked="1" layoutInCell="1" allowOverlap="1" wp14:anchorId="5883178B" wp14:editId="1C21099B">
                      <wp:simplePos x="0" y="0"/>
                      <wp:positionH relativeFrom="column">
                        <wp:posOffset>342900</wp:posOffset>
                      </wp:positionH>
                      <wp:positionV relativeFrom="paragraph">
                        <wp:posOffset>-534035</wp:posOffset>
                      </wp:positionV>
                      <wp:extent cx="1393190" cy="482600"/>
                      <wp:effectExtent l="0" t="0" r="0" b="0"/>
                      <wp:wrapNone/>
                      <wp:docPr id="160903605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482600"/>
                              </a:xfrm>
                              <a:prstGeom prst="rect">
                                <a:avLst/>
                              </a:prstGeom>
                              <a:noFill/>
                              <a:ln w="9525">
                                <a:noFill/>
                                <a:miter lim="800000"/>
                                <a:headEnd/>
                                <a:tailEnd/>
                              </a:ln>
                            </wps:spPr>
                            <wps:txbx>
                              <w:txbxContent>
                                <w:p w14:paraId="17CF08BA" w14:textId="72B9EB88" w:rsidR="00456610" w:rsidRPr="00F0391F" w:rsidRDefault="00456610" w:rsidP="007C6668">
                                  <w:pPr>
                                    <w:jc w:val="center"/>
                                    <w:rPr>
                                      <w:rFonts w:ascii="Arial" w:hAnsi="Arial" w:cs="Arial"/>
                                      <w:b/>
                                      <w:bCs/>
                                      <w:color w:val="FFFFFF"/>
                                      <w:sz w:val="28"/>
                                      <w:szCs w:val="28"/>
                                      <w:lang w:val="es-ES"/>
                                    </w:rPr>
                                  </w:pPr>
                                  <w:r w:rsidRPr="009A59FF">
                                    <w:rPr>
                                      <w:rFonts w:ascii="Arial" w:hAnsi="Arial" w:cs="Arial"/>
                                      <w:b/>
                                      <w:bCs/>
                                      <w:color w:val="FFFFFF"/>
                                      <w:sz w:val="28"/>
                                      <w:szCs w:val="28"/>
                                      <w:lang w:val="es-ES"/>
                                    </w:rPr>
                                    <w:t>Dann langsam bis 5 zählen</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883178B" id="Text Box 15" o:spid="_x0000_s1080" type="#_x0000_t202" style="position:absolute;left:0;text-align:left;margin-left:27pt;margin-top:-42.05pt;width:109.7pt;height:38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" filled="f" stroked="f">
                      <v:textbox inset="0,0,0,0">
                        <w:txbxContent>
                          <w:p w14:paraId="17CF08BA" w14:textId="72B9EB88" w:rsidR="00456610" w:rsidRPr="00F0391F" w:rsidRDefault="00456610" w:rsidP="007C6668">
                            <w:pPr>
                              <w:jc w:val="center"/>
                              <w:rPr>
                                <w:rFonts w:ascii="Arial" w:hAnsi="Arial" w:cs="Arial"/>
                                <w:b/>
                                <w:bCs/>
                                <w:color w:val="FFFFFF"/>
                                <w:sz w:val="28"/>
                                <w:szCs w:val="28"/>
                                <w:lang w:val="es-ES"/>
                              </w:rPr>
                            </w:pPr>
                            <w:r w:rsidRPr="009A59FF">
                              <w:rPr>
                                <w:rFonts w:ascii="Arial" w:hAnsi="Arial" w:cs="Arial"/>
                                <w:b/>
                                <w:bCs/>
                                <w:color w:val="FFFFFF"/>
                                <w:sz w:val="28"/>
                                <w:szCs w:val="28"/>
                                <w:lang w:val="es-ES"/>
                              </w:rPr>
                              <w:t>Dann langsam bis 5 zählen</w:t>
                            </w:r>
                          </w:p>
                        </w:txbxContent>
                      </v:textbox>
                      <w10:anchorlock/>
                    </v:shape>
                  </w:pict>
                </mc:Fallback>
              </mc:AlternateContent>
            </w:r>
            <w:r>
              <w:rPr>
                <w:noProof/>
                <w:sz w:val="20"/>
                <w:szCs w:val="20"/>
                <w:lang w:val="en-US" w:eastAsia="ko-KR"/>
              </w:rPr>
              <mc:AlternateContent>
                <mc:Choice Requires="wps">
                  <w:drawing>
                    <wp:anchor distT="45720" distB="45720" distL="114300" distR="114300" simplePos="0" relativeHeight="251658294" behindDoc="0" locked="1" layoutInCell="1" allowOverlap="1" wp14:anchorId="4B8BB6B8" wp14:editId="1E8E940C">
                      <wp:simplePos x="0" y="0"/>
                      <wp:positionH relativeFrom="column">
                        <wp:posOffset>200660</wp:posOffset>
                      </wp:positionH>
                      <wp:positionV relativeFrom="paragraph">
                        <wp:posOffset>-4086225</wp:posOffset>
                      </wp:positionV>
                      <wp:extent cx="621030" cy="387985"/>
                      <wp:effectExtent l="0" t="0" r="0" b="0"/>
                      <wp:wrapNone/>
                      <wp:docPr id="19898866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87985"/>
                              </a:xfrm>
                              <a:prstGeom prst="rect">
                                <a:avLst/>
                              </a:prstGeom>
                              <a:noFill/>
                              <a:ln w="9525">
                                <a:noFill/>
                                <a:miter lim="800000"/>
                                <a:headEnd/>
                                <a:tailEnd/>
                              </a:ln>
                            </wps:spPr>
                            <wps:txbx>
                              <w:txbxContent>
                                <w:p w14:paraId="253DB71A" w14:textId="06EC3D8E" w:rsidR="00456610" w:rsidRPr="00F0391F" w:rsidRDefault="00456610" w:rsidP="007C6668">
                                  <w:pPr>
                                    <w:spacing w:line="204" w:lineRule="auto"/>
                                    <w:jc w:val="center"/>
                                    <w:rPr>
                                      <w:rFonts w:ascii="Arial" w:hAnsi="Arial" w:cs="Arial"/>
                                      <w:b/>
                                      <w:bCs/>
                                      <w:color w:val="FFFFFF"/>
                                      <w:sz w:val="28"/>
                                      <w:szCs w:val="28"/>
                                      <w:lang w:val="es-ES"/>
                                    </w:rPr>
                                  </w:pPr>
                                  <w:r w:rsidRPr="009A59FF">
                                    <w:rPr>
                                      <w:rFonts w:ascii="Arial" w:hAnsi="Arial" w:cs="Arial"/>
                                      <w:b/>
                                      <w:bCs/>
                                      <w:color w:val="FFFFFF"/>
                                      <w:sz w:val="28"/>
                                      <w:szCs w:val="28"/>
                                      <w:lang w:val="es-ES"/>
                                    </w:rPr>
                                    <w:t>1. Klick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BB6B8" id="Text Box 13" o:spid="_x0000_s1081" type="#_x0000_t202" style="position:absolute;left:0;text-align:left;margin-left:15.8pt;margin-top:-321.75pt;width:48.9pt;height:30.55pt;z-index:25165829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" filled="f" stroked="f">
                      <v:textbox inset="0,0,0,0">
                        <w:txbxContent>
                          <w:p w14:paraId="253DB71A" w14:textId="06EC3D8E" w:rsidR="00456610" w:rsidRPr="00F0391F" w:rsidRDefault="00456610" w:rsidP="007C6668">
                            <w:pPr>
                              <w:spacing w:line="204" w:lineRule="auto"/>
                              <w:jc w:val="center"/>
                              <w:rPr>
                                <w:rFonts w:ascii="Arial" w:hAnsi="Arial" w:cs="Arial"/>
                                <w:b/>
                                <w:bCs/>
                                <w:color w:val="FFFFFF"/>
                                <w:sz w:val="28"/>
                                <w:szCs w:val="28"/>
                                <w:lang w:val="es-ES"/>
                              </w:rPr>
                            </w:pPr>
                            <w:r w:rsidRPr="009A59FF">
                              <w:rPr>
                                <w:rFonts w:ascii="Arial" w:hAnsi="Arial" w:cs="Arial"/>
                                <w:b/>
                                <w:bCs/>
                                <w:color w:val="FFFFFF"/>
                                <w:sz w:val="28"/>
                                <w:szCs w:val="28"/>
                                <w:lang w:val="es-ES"/>
                              </w:rPr>
                              <w:t>1. Klick</w:t>
                            </w:r>
                          </w:p>
                        </w:txbxContent>
                      </v:textbox>
                      <w10:anchorlock/>
                    </v:shape>
                  </w:pict>
                </mc:Fallback>
              </mc:AlternateContent>
            </w:r>
            <w:r>
              <w:rPr>
                <w:noProof/>
                <w:sz w:val="20"/>
                <w:szCs w:val="20"/>
                <w:lang w:val="en-US" w:eastAsia="ko-KR"/>
              </w:rPr>
              <mc:AlternateContent>
                <mc:Choice Requires="wps">
                  <w:drawing>
                    <wp:anchor distT="45720" distB="45720" distL="114300" distR="114300" simplePos="0" relativeHeight="251658295" behindDoc="0" locked="1" layoutInCell="1" allowOverlap="1" wp14:anchorId="0B186380" wp14:editId="7E87FF38">
                      <wp:simplePos x="0" y="0"/>
                      <wp:positionH relativeFrom="column">
                        <wp:posOffset>200660</wp:posOffset>
                      </wp:positionH>
                      <wp:positionV relativeFrom="paragraph">
                        <wp:posOffset>-1884045</wp:posOffset>
                      </wp:positionV>
                      <wp:extent cx="621030" cy="387985"/>
                      <wp:effectExtent l="0" t="0" r="0" b="0"/>
                      <wp:wrapNone/>
                      <wp:docPr id="141725726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387985"/>
                              </a:xfrm>
                              <a:prstGeom prst="rect">
                                <a:avLst/>
                              </a:prstGeom>
                              <a:noFill/>
                              <a:ln w="9525">
                                <a:noFill/>
                                <a:miter lim="800000"/>
                                <a:headEnd/>
                                <a:tailEnd/>
                              </a:ln>
                            </wps:spPr>
                            <wps:txbx>
                              <w:txbxContent>
                                <w:p w14:paraId="3AC4292F" w14:textId="0CE49FC8" w:rsidR="00456610" w:rsidRPr="00F0391F" w:rsidRDefault="00456610" w:rsidP="007C6668">
                                  <w:pPr>
                                    <w:spacing w:line="204" w:lineRule="auto"/>
                                    <w:jc w:val="center"/>
                                    <w:rPr>
                                      <w:rFonts w:ascii="Arial" w:hAnsi="Arial" w:cs="Arial"/>
                                      <w:b/>
                                      <w:bCs/>
                                      <w:color w:val="FFFFFF"/>
                                      <w:sz w:val="28"/>
                                      <w:szCs w:val="28"/>
                                      <w:lang w:val="es-ES"/>
                                    </w:rPr>
                                  </w:pPr>
                                  <w:r w:rsidRPr="009A59FF">
                                    <w:rPr>
                                      <w:rFonts w:ascii="Arial" w:hAnsi="Arial" w:cs="Arial"/>
                                      <w:b/>
                                      <w:bCs/>
                                      <w:color w:val="FFFFFF"/>
                                      <w:sz w:val="28"/>
                                      <w:szCs w:val="28"/>
                                      <w:lang w:val="es-ES"/>
                                    </w:rPr>
                                    <w:t>2. Klick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86380" id="Text Box 11" o:spid="_x0000_s1082" type="#_x0000_t202" style="position:absolute;left:0;text-align:left;margin-left:15.8pt;margin-top:-148.35pt;width:48.9pt;height:30.55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" filled="f" stroked="f">
                      <v:textbox inset="0,0,0,0">
                        <w:txbxContent>
                          <w:p w14:paraId="3AC4292F" w14:textId="0CE49FC8" w:rsidR="00456610" w:rsidRPr="00F0391F" w:rsidRDefault="00456610" w:rsidP="007C6668">
                            <w:pPr>
                              <w:spacing w:line="204" w:lineRule="auto"/>
                              <w:jc w:val="center"/>
                              <w:rPr>
                                <w:rFonts w:ascii="Arial" w:hAnsi="Arial" w:cs="Arial"/>
                                <w:b/>
                                <w:bCs/>
                                <w:color w:val="FFFFFF"/>
                                <w:sz w:val="28"/>
                                <w:szCs w:val="28"/>
                                <w:lang w:val="es-ES"/>
                              </w:rPr>
                            </w:pPr>
                            <w:r w:rsidRPr="009A59FF">
                              <w:rPr>
                                <w:rFonts w:ascii="Arial" w:hAnsi="Arial" w:cs="Arial"/>
                                <w:b/>
                                <w:bCs/>
                                <w:color w:val="FFFFFF"/>
                                <w:sz w:val="28"/>
                                <w:szCs w:val="28"/>
                                <w:lang w:val="es-ES"/>
                              </w:rPr>
                              <w:t>2. Klick</w:t>
                            </w:r>
                          </w:p>
                        </w:txbxContent>
                      </v:textbox>
                      <w10:anchorlock/>
                    </v:shape>
                  </w:pict>
                </mc:Fallback>
              </mc:AlternateContent>
            </w:r>
            <w:r w:rsidR="007C6668" w:rsidRPr="00B320E1">
              <w:rPr>
                <w:b/>
                <w:bCs/>
                <w:noProof/>
              </w:rPr>
              <w:t>Abbildung M</w:t>
            </w:r>
          </w:p>
        </w:tc>
        <w:tc>
          <w:tcPr>
            <w:tcW w:w="5517" w:type="dxa"/>
            <w:gridSpan w:val="2"/>
          </w:tcPr>
          <w:p w14:paraId="003077E3" w14:textId="77777777" w:rsidR="007C6668" w:rsidRPr="00B320E1" w:rsidRDefault="007C6668" w:rsidP="00F0391F">
            <w:pPr>
              <w:pStyle w:val="a3"/>
              <w:numPr>
                <w:ilvl w:val="0"/>
                <w:numId w:val="41"/>
              </w:numPr>
              <w:autoSpaceDE/>
              <w:autoSpaceDN/>
              <w:ind w:left="567" w:hanging="567"/>
              <w:rPr>
                <w:b/>
              </w:rPr>
            </w:pPr>
            <w:r w:rsidRPr="00B320E1">
              <w:rPr>
                <w:b/>
              </w:rPr>
              <w:t>Verabreichen Sie die Injektion.</w:t>
            </w:r>
          </w:p>
          <w:p w14:paraId="5E73FB7B" w14:textId="77777777" w:rsidR="007C6668" w:rsidRPr="00B320E1" w:rsidRDefault="007C6668" w:rsidP="00F0391F">
            <w:pPr>
              <w:pStyle w:val="a3"/>
              <w:autoSpaceDE/>
              <w:autoSpaceDN/>
              <w:ind w:left="567" w:hanging="567"/>
              <w:rPr>
                <w:bCs/>
              </w:rPr>
            </w:pPr>
          </w:p>
          <w:p w14:paraId="22838A7C" w14:textId="77777777" w:rsidR="007C6668" w:rsidRPr="00B320E1" w:rsidRDefault="007C6668" w:rsidP="00F0391F">
            <w:pPr>
              <w:pStyle w:val="a3"/>
              <w:numPr>
                <w:ilvl w:val="0"/>
                <w:numId w:val="42"/>
              </w:numPr>
              <w:autoSpaceDE/>
              <w:autoSpaceDN/>
              <w:ind w:left="567" w:hanging="567"/>
              <w:rPr>
                <w:bCs/>
              </w:rPr>
            </w:pPr>
            <w:r w:rsidRPr="00B320E1">
              <w:t>Drücken Sie den Fertigpen fest gegen die Haut und starten Sie die Injektion.</w:t>
            </w:r>
          </w:p>
          <w:p w14:paraId="2B646F05" w14:textId="77777777" w:rsidR="007C6668" w:rsidRPr="00B320E1" w:rsidRDefault="007C6668" w:rsidP="00F0391F">
            <w:pPr>
              <w:pStyle w:val="a3"/>
              <w:numPr>
                <w:ilvl w:val="0"/>
                <w:numId w:val="42"/>
              </w:numPr>
              <w:autoSpaceDE/>
              <w:autoSpaceDN/>
              <w:ind w:left="567" w:hanging="567"/>
              <w:rPr>
                <w:bCs/>
              </w:rPr>
            </w:pPr>
            <w:r w:rsidRPr="00B320E1">
              <w:t xml:space="preserve">Wenn die Injektion startet, ist ein 1. Klickgeräusch zu hören und der orangefarbene Indikator beginnt, das Sichtfenster auszufüllen (siehe </w:t>
            </w:r>
            <w:r w:rsidRPr="00B320E1">
              <w:rPr>
                <w:b/>
                <w:bCs/>
              </w:rPr>
              <w:t>Abbildung M</w:t>
            </w:r>
            <w:r w:rsidRPr="00B320E1">
              <w:t>).</w:t>
            </w:r>
          </w:p>
          <w:p w14:paraId="4703E098" w14:textId="77777777" w:rsidR="007C6668" w:rsidRPr="00B320E1" w:rsidRDefault="007C6668" w:rsidP="00F0391F">
            <w:pPr>
              <w:pStyle w:val="a3"/>
              <w:numPr>
                <w:ilvl w:val="0"/>
                <w:numId w:val="42"/>
              </w:numPr>
              <w:autoSpaceDE/>
              <w:autoSpaceDN/>
              <w:ind w:left="567" w:hanging="567"/>
              <w:rPr>
                <w:bCs/>
              </w:rPr>
            </w:pPr>
            <w:r w:rsidRPr="00B320E1">
              <w:rPr>
                <w:color w:val="231F20"/>
              </w:rPr>
              <w:t>Halten Sie den Fertigpen weiter fest gegen die Haut gedrückt und achten Sie auf das 2. Klickgeräusch.</w:t>
            </w:r>
          </w:p>
          <w:p w14:paraId="7ACBEF85" w14:textId="77777777" w:rsidR="007C6668" w:rsidRPr="00B320E1" w:rsidRDefault="007C6668" w:rsidP="00F0391F">
            <w:pPr>
              <w:pStyle w:val="a3"/>
              <w:numPr>
                <w:ilvl w:val="0"/>
                <w:numId w:val="42"/>
              </w:numPr>
              <w:autoSpaceDE/>
              <w:autoSpaceDN/>
              <w:ind w:left="567" w:hanging="567"/>
              <w:rPr>
                <w:bCs/>
              </w:rPr>
            </w:pPr>
            <w:r w:rsidRPr="00B320E1">
              <w:t xml:space="preserve">Halten Sie den Fertigpen nach dem 2. Klickgeräusch weiter fest gegen die Haut gedrückt und </w:t>
            </w:r>
            <w:r w:rsidRPr="00B320E1">
              <w:rPr>
                <w:b/>
                <w:bCs/>
              </w:rPr>
              <w:t>zählen Sie langsam bis 5</w:t>
            </w:r>
            <w:r w:rsidRPr="00B320E1">
              <w:t xml:space="preserve">, um sicherzustellen, dass die vollständige Dosis injiziert wird (siehe </w:t>
            </w:r>
            <w:r w:rsidRPr="00B320E1">
              <w:rPr>
                <w:b/>
                <w:bCs/>
              </w:rPr>
              <w:t>Abbildung M</w:t>
            </w:r>
            <w:r w:rsidRPr="00B320E1">
              <w:t>).</w:t>
            </w:r>
          </w:p>
          <w:p w14:paraId="7CB0CC61" w14:textId="5290527E" w:rsidR="007C6668" w:rsidRPr="00B320E1" w:rsidRDefault="007C6668" w:rsidP="00F0391F">
            <w:pPr>
              <w:pStyle w:val="a3"/>
              <w:numPr>
                <w:ilvl w:val="0"/>
                <w:numId w:val="42"/>
              </w:numPr>
              <w:autoSpaceDE/>
              <w:autoSpaceDN/>
              <w:ind w:left="567" w:hanging="567"/>
              <w:rPr>
                <w:bCs/>
              </w:rPr>
            </w:pPr>
            <w:r w:rsidRPr="00B320E1">
              <w:rPr>
                <w:color w:val="231F20"/>
              </w:rPr>
              <w:t>Beobachten Sie den orangefarbenen Indikator, bis sich dieser nicht mehr bewegt und das Ende des Sichtfensters erreicht hat, um sicher zu sein, dass die vollständige Dosis des Arzneimittels injiziert wurde.</w:t>
            </w:r>
            <w:r w:rsidR="00FC22D7">
              <w:rPr>
                <w:color w:val="231F20"/>
              </w:rPr>
              <w:br/>
            </w:r>
            <w:r w:rsidR="00FC22D7" w:rsidRPr="003452D3">
              <w:rPr>
                <w:i/>
                <w:iCs/>
                <w:color w:val="231F20"/>
              </w:rPr>
              <w:t>Hinweis</w:t>
            </w:r>
            <w:r w:rsidR="00FC22D7">
              <w:rPr>
                <w:color w:val="231F20"/>
              </w:rPr>
              <w:t>: Wenn sich der orangefarbene Indikator nicht bewegt, entsorgen Sie den Fertigpen und verwenden Sie einen neuen.</w:t>
            </w:r>
          </w:p>
          <w:p w14:paraId="04CA3C0C" w14:textId="77777777" w:rsidR="007C6668" w:rsidRPr="00F0391F" w:rsidRDefault="007C6668" w:rsidP="00F0391F">
            <w:pPr>
              <w:autoSpaceDE/>
              <w:autoSpaceDN/>
              <w:rPr>
                <w:sz w:val="24"/>
                <w:szCs w:val="24"/>
              </w:rPr>
            </w:pPr>
          </w:p>
        </w:tc>
      </w:tr>
      <w:tr w:rsidR="007C6668" w:rsidRPr="007C6668" w14:paraId="7A5503E6" w14:textId="77777777" w:rsidTr="00F0391F">
        <w:trPr>
          <w:cantSplit/>
        </w:trPr>
        <w:tc>
          <w:tcPr>
            <w:tcW w:w="3686" w:type="dxa"/>
            <w:gridSpan w:val="2"/>
          </w:tcPr>
          <w:p w14:paraId="4A39B90F" w14:textId="7ECE90B1" w:rsidR="007C6668" w:rsidRPr="00F0391F" w:rsidRDefault="00A16FF2" w:rsidP="00F0391F">
            <w:pPr>
              <w:suppressAutoHyphens/>
              <w:autoSpaceDE/>
              <w:autoSpaceDN/>
              <w:jc w:val="right"/>
              <w:rPr>
                <w:b/>
                <w:bCs/>
                <w:noProof/>
                <w:sz w:val="24"/>
                <w:szCs w:val="24"/>
              </w:rPr>
            </w:pPr>
            <w:r>
              <w:rPr>
                <w:noProof/>
                <w:sz w:val="24"/>
                <w:szCs w:val="24"/>
                <w:lang w:val="en-US" w:eastAsia="ko-KR"/>
              </w:rPr>
              <w:drawing>
                <wp:inline distT="0" distB="0" distL="0" distR="0" wp14:anchorId="45279479" wp14:editId="14D9B3AC">
                  <wp:extent cx="2084070" cy="2583815"/>
                  <wp:effectExtent l="19050" t="19050" r="0" b="6985"/>
                  <wp:docPr id="35" name="그림 219393715" descr="스케치, 클립아트, 그림,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9393715" descr="스케치, 클립아트, 그림, 라인 아트이(가) 표시된 사진&#10;&#10;자동 생성된 설명"/>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84070" cy="2583815"/>
                          </a:xfrm>
                          <a:prstGeom prst="rect">
                            <a:avLst/>
                          </a:prstGeom>
                          <a:noFill/>
                          <a:ln w="9525" cmpd="sng">
                            <a:solidFill>
                              <a:srgbClr val="000000"/>
                            </a:solidFill>
                            <a:miter lim="800000"/>
                            <a:headEnd/>
                            <a:tailEnd/>
                          </a:ln>
                          <a:effectLst/>
                        </pic:spPr>
                      </pic:pic>
                    </a:graphicData>
                  </a:graphic>
                </wp:inline>
              </w:drawing>
            </w:r>
          </w:p>
          <w:p w14:paraId="237D5C87" w14:textId="694504B4" w:rsidR="007C6668" w:rsidRPr="00F0391F" w:rsidRDefault="007C6668" w:rsidP="00F0391F">
            <w:pPr>
              <w:suppressAutoHyphens/>
              <w:autoSpaceDE/>
              <w:autoSpaceDN/>
              <w:jc w:val="right"/>
              <w:rPr>
                <w:b/>
                <w:bCs/>
                <w:noProof/>
                <w:sz w:val="24"/>
                <w:szCs w:val="24"/>
              </w:rPr>
            </w:pPr>
            <w:r w:rsidRPr="00B320E1">
              <w:rPr>
                <w:b/>
                <w:bCs/>
                <w:noProof/>
              </w:rPr>
              <w:t>Abbildung N</w:t>
            </w:r>
          </w:p>
        </w:tc>
        <w:tc>
          <w:tcPr>
            <w:tcW w:w="5517" w:type="dxa"/>
            <w:gridSpan w:val="2"/>
          </w:tcPr>
          <w:p w14:paraId="5C548905" w14:textId="70D7A9B3" w:rsidR="007C6668" w:rsidRPr="00B320E1" w:rsidRDefault="0027047C" w:rsidP="00F0391F">
            <w:pPr>
              <w:pStyle w:val="a3"/>
              <w:numPr>
                <w:ilvl w:val="0"/>
                <w:numId w:val="41"/>
              </w:numPr>
              <w:autoSpaceDE/>
              <w:autoSpaceDN/>
              <w:ind w:left="567" w:hanging="567"/>
              <w:rPr>
                <w:b/>
              </w:rPr>
            </w:pPr>
            <w:r w:rsidRPr="00B320E1">
              <w:rPr>
                <w:b/>
              </w:rPr>
              <w:t xml:space="preserve">Heben </w:t>
            </w:r>
            <w:r w:rsidR="007C6668" w:rsidRPr="00B320E1">
              <w:rPr>
                <w:b/>
              </w:rPr>
              <w:t xml:space="preserve">Sie den Fertigpen </w:t>
            </w:r>
            <w:r w:rsidRPr="00B320E1">
              <w:rPr>
                <w:b/>
              </w:rPr>
              <w:t xml:space="preserve">von </w:t>
            </w:r>
            <w:r w:rsidR="007C6668" w:rsidRPr="00B320E1">
              <w:rPr>
                <w:b/>
              </w:rPr>
              <w:t xml:space="preserve">der Injektionsstelle </w:t>
            </w:r>
            <w:r w:rsidRPr="00B320E1">
              <w:rPr>
                <w:b/>
              </w:rPr>
              <w:t>ab</w:t>
            </w:r>
            <w:r w:rsidR="007C6668" w:rsidRPr="00B320E1">
              <w:rPr>
                <w:b/>
              </w:rPr>
              <w:t>.</w:t>
            </w:r>
          </w:p>
          <w:p w14:paraId="3219686F" w14:textId="77777777" w:rsidR="007C6668" w:rsidRPr="00B320E1" w:rsidRDefault="007C6668" w:rsidP="00F0391F">
            <w:pPr>
              <w:pStyle w:val="Default"/>
              <w:autoSpaceDE/>
              <w:autoSpaceDN/>
              <w:ind w:left="567" w:hanging="567"/>
              <w:rPr>
                <w:rFonts w:eastAsia="새굴림"/>
                <w:sz w:val="20"/>
                <w:szCs w:val="20"/>
                <w:lang w:val="de-DE"/>
              </w:rPr>
            </w:pPr>
          </w:p>
          <w:p w14:paraId="13C843CB" w14:textId="77777777" w:rsidR="007C6668" w:rsidRPr="00B320E1" w:rsidRDefault="007C6668" w:rsidP="00F0391F">
            <w:pPr>
              <w:pStyle w:val="a3"/>
              <w:numPr>
                <w:ilvl w:val="0"/>
                <w:numId w:val="47"/>
              </w:numPr>
              <w:autoSpaceDE/>
              <w:autoSpaceDN/>
              <w:ind w:left="567" w:hanging="567"/>
              <w:rPr>
                <w:bCs/>
              </w:rPr>
            </w:pPr>
            <w:r w:rsidRPr="00B320E1">
              <w:t>Wenn sich der orangefarbene Indikator nicht mehr bewegt, heben Sie den Fertigpen in einem Winkel von 90 Grad von der Injektionsstelle ab, um die Nadel aus der Haut herauszuziehen.</w:t>
            </w:r>
          </w:p>
          <w:p w14:paraId="04DD7195" w14:textId="77777777" w:rsidR="007C6668" w:rsidRPr="00B320E1" w:rsidRDefault="007C6668" w:rsidP="00F0391F">
            <w:pPr>
              <w:pStyle w:val="a3"/>
              <w:numPr>
                <w:ilvl w:val="0"/>
                <w:numId w:val="13"/>
              </w:numPr>
              <w:autoSpaceDE/>
              <w:autoSpaceDN/>
              <w:ind w:left="1134" w:hanging="567"/>
            </w:pPr>
            <w:r w:rsidRPr="00B320E1">
              <w:t xml:space="preserve">Der Nadelschutz schiebt sich automatisch vor, um die Nadel abzudecken, und rastet ein (siehe </w:t>
            </w:r>
            <w:r w:rsidRPr="00B320E1">
              <w:rPr>
                <w:b/>
                <w:bCs/>
              </w:rPr>
              <w:t>Abbildung N</w:t>
            </w:r>
            <w:r w:rsidRPr="00B320E1">
              <w:t>).</w:t>
            </w:r>
          </w:p>
          <w:p w14:paraId="3E5B0266" w14:textId="77777777" w:rsidR="007C6668" w:rsidRPr="00B320E1" w:rsidRDefault="007C6668" w:rsidP="00F0391F">
            <w:pPr>
              <w:pStyle w:val="a3"/>
              <w:autoSpaceDE/>
              <w:autoSpaceDN/>
              <w:ind w:left="567"/>
              <w:rPr>
                <w:bCs/>
                <w:noProof/>
              </w:rPr>
            </w:pPr>
            <w:r w:rsidRPr="00B320E1">
              <w:rPr>
                <w:i/>
              </w:rPr>
              <w:t>Hinweis</w:t>
            </w:r>
            <w:r w:rsidRPr="00B320E1">
              <w:t xml:space="preserve">: Wenn das Sichtfenster nicht vollständig mit dem orangefarbenen Indikator ausgefüllt oder die Injektion immer noch nicht abgeschlossen ist, bedeutet das, dass Sie nicht die vollständige Dosis erhalten haben. Entsorgen Sie den Fertigpen vorsichtig </w:t>
            </w:r>
            <w:r w:rsidRPr="00B320E1">
              <w:rPr>
                <w:color w:val="231F20"/>
              </w:rPr>
              <w:t>im Nadelabwurfbehälter und kontaktieren Sie unverzüglich Ihren Arzt.</w:t>
            </w:r>
          </w:p>
          <w:p w14:paraId="4477CF68" w14:textId="77777777" w:rsidR="007C6668" w:rsidRPr="00B320E1" w:rsidRDefault="007C6668" w:rsidP="00F0391F">
            <w:pPr>
              <w:pStyle w:val="a3"/>
              <w:autoSpaceDE/>
              <w:autoSpaceDN/>
              <w:ind w:left="567" w:hanging="567"/>
            </w:pPr>
          </w:p>
          <w:p w14:paraId="435CA624" w14:textId="77777777" w:rsidR="007C6668" w:rsidRPr="00B320E1" w:rsidRDefault="007C6668" w:rsidP="00F0391F">
            <w:pPr>
              <w:pStyle w:val="a3"/>
              <w:numPr>
                <w:ilvl w:val="0"/>
                <w:numId w:val="13"/>
              </w:numPr>
              <w:autoSpaceDE/>
              <w:autoSpaceDN/>
              <w:ind w:left="1134" w:hanging="567"/>
              <w:rPr>
                <w:bCs/>
              </w:rPr>
            </w:pPr>
            <w:r w:rsidRPr="00B320E1">
              <w:t xml:space="preserve">Berühren Sie </w:t>
            </w:r>
            <w:r w:rsidRPr="00B320E1">
              <w:rPr>
                <w:b/>
                <w:bCs/>
              </w:rPr>
              <w:t>nicht</w:t>
            </w:r>
            <w:r w:rsidRPr="00B320E1">
              <w:t xml:space="preserve"> den Nadelschutz des Fertigpens.</w:t>
            </w:r>
          </w:p>
          <w:p w14:paraId="545E995B" w14:textId="77777777" w:rsidR="007C6668" w:rsidRPr="00B320E1" w:rsidRDefault="007C6668" w:rsidP="00F0391F">
            <w:pPr>
              <w:pStyle w:val="a3"/>
              <w:numPr>
                <w:ilvl w:val="0"/>
                <w:numId w:val="13"/>
              </w:numPr>
              <w:autoSpaceDE/>
              <w:autoSpaceDN/>
              <w:ind w:left="1134" w:hanging="567"/>
              <w:rPr>
                <w:bCs/>
              </w:rPr>
            </w:pPr>
            <w:r w:rsidRPr="00B320E1">
              <w:t xml:space="preserve">Versuchen Sie </w:t>
            </w:r>
            <w:r w:rsidRPr="00B320E1">
              <w:rPr>
                <w:b/>
              </w:rPr>
              <w:t>nicht</w:t>
            </w:r>
            <w:r w:rsidRPr="00B320E1">
              <w:t>, den Fertigpen erneut zu verwenden.</w:t>
            </w:r>
          </w:p>
          <w:p w14:paraId="4C2E0F93" w14:textId="77777777" w:rsidR="007C6668" w:rsidRPr="00B320E1" w:rsidRDefault="007C6668" w:rsidP="00F0391F">
            <w:pPr>
              <w:pStyle w:val="a3"/>
              <w:numPr>
                <w:ilvl w:val="0"/>
                <w:numId w:val="13"/>
              </w:numPr>
              <w:autoSpaceDE/>
              <w:autoSpaceDN/>
              <w:ind w:left="1134" w:hanging="567"/>
              <w:rPr>
                <w:b/>
              </w:rPr>
            </w:pPr>
            <w:r w:rsidRPr="00B320E1">
              <w:t xml:space="preserve">Wiederholen Sie die Injektion </w:t>
            </w:r>
            <w:r w:rsidRPr="00B320E1">
              <w:rPr>
                <w:b/>
                <w:bCs/>
              </w:rPr>
              <w:t>nicht</w:t>
            </w:r>
            <w:r w:rsidRPr="00B320E1">
              <w:t xml:space="preserve"> mit einem anderen Fertigpen.</w:t>
            </w:r>
          </w:p>
          <w:p w14:paraId="47F76E73" w14:textId="77777777" w:rsidR="007C6668" w:rsidRPr="00F0391F" w:rsidRDefault="007C6668" w:rsidP="00F0391F">
            <w:pPr>
              <w:autoSpaceDE/>
              <w:autoSpaceDN/>
              <w:rPr>
                <w:sz w:val="24"/>
                <w:szCs w:val="24"/>
              </w:rPr>
            </w:pPr>
          </w:p>
        </w:tc>
      </w:tr>
    </w:tbl>
    <w:p w14:paraId="2A838265" w14:textId="77777777" w:rsidR="007C6668" w:rsidRPr="007C6668" w:rsidRDefault="007C6668" w:rsidP="007C6668"/>
    <w:p w14:paraId="122E2FA4" w14:textId="701DC62E" w:rsidR="007C6668" w:rsidRPr="00DA0957" w:rsidRDefault="007C6668" w:rsidP="007C6668">
      <w:pPr>
        <w:keepNext/>
        <w:rPr>
          <w:b/>
          <w:bCs/>
        </w:rPr>
      </w:pPr>
      <w:r>
        <w:rPr>
          <w:b/>
          <w:bCs/>
        </w:rPr>
        <w:t>Nach der Injektion</w:t>
      </w:r>
    </w:p>
    <w:p w14:paraId="10E65CFB" w14:textId="77777777" w:rsidR="007C6668" w:rsidRDefault="007C6668" w:rsidP="007C6668">
      <w:pPr>
        <w:keepNext/>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bottom w:w="28" w:type="dxa"/>
        </w:tblCellMar>
        <w:tblLook w:val="04A0" w:firstRow="1" w:lastRow="0" w:firstColumn="1" w:lastColumn="0" w:noHBand="0" w:noVBand="1"/>
      </w:tblPr>
      <w:tblGrid>
        <w:gridCol w:w="3539"/>
        <w:gridCol w:w="5641"/>
      </w:tblGrid>
      <w:tr w:rsidR="007C6668" w:rsidRPr="007C6668" w14:paraId="1B32FA88" w14:textId="77777777" w:rsidTr="00F0391F">
        <w:trPr>
          <w:cantSplit/>
        </w:trPr>
        <w:tc>
          <w:tcPr>
            <w:tcW w:w="9180" w:type="dxa"/>
            <w:gridSpan w:val="2"/>
          </w:tcPr>
          <w:p w14:paraId="6D52A7FF" w14:textId="77777777" w:rsidR="007C6668" w:rsidRPr="00B320E1" w:rsidRDefault="007C6668" w:rsidP="00F0391F">
            <w:pPr>
              <w:pStyle w:val="a3"/>
              <w:numPr>
                <w:ilvl w:val="0"/>
                <w:numId w:val="41"/>
              </w:numPr>
              <w:autoSpaceDE/>
              <w:autoSpaceDN/>
              <w:ind w:left="567" w:hanging="567"/>
              <w:rPr>
                <w:b/>
              </w:rPr>
            </w:pPr>
            <w:r w:rsidRPr="00B320E1">
              <w:rPr>
                <w:b/>
              </w:rPr>
              <w:t>Versorgen Sie die Injektionsstelle.</w:t>
            </w:r>
          </w:p>
          <w:p w14:paraId="1703E417" w14:textId="77777777" w:rsidR="007C6668" w:rsidRPr="00B320E1" w:rsidRDefault="007C6668" w:rsidP="00F0391F">
            <w:pPr>
              <w:pStyle w:val="Default"/>
              <w:autoSpaceDE/>
              <w:autoSpaceDN/>
              <w:ind w:left="567" w:hanging="567"/>
              <w:rPr>
                <w:rFonts w:eastAsia="새굴림"/>
                <w:sz w:val="20"/>
                <w:szCs w:val="20"/>
              </w:rPr>
            </w:pPr>
          </w:p>
          <w:p w14:paraId="0B5202FA" w14:textId="77777777" w:rsidR="007C6668" w:rsidRPr="00B320E1" w:rsidRDefault="007C6668" w:rsidP="00F0391F">
            <w:pPr>
              <w:pStyle w:val="a3"/>
              <w:numPr>
                <w:ilvl w:val="0"/>
                <w:numId w:val="46"/>
              </w:numPr>
              <w:autoSpaceDE/>
              <w:autoSpaceDN/>
              <w:ind w:left="567" w:hanging="567"/>
              <w:rPr>
                <w:bCs/>
              </w:rPr>
            </w:pPr>
            <w:r w:rsidRPr="00B320E1">
              <w:t>Falls es zu einer leichten Blutung kommt, versorgen Sie die Injektionsstelle, indem Sie einen Baumwolltupfer oder Verbandmull sanft auf die Stelle drücken (nicht reiben) und bei Bedarf ein Pflaster aufkleben.</w:t>
            </w:r>
          </w:p>
          <w:p w14:paraId="6448E245" w14:textId="77777777" w:rsidR="007C6668" w:rsidRPr="00B320E1" w:rsidRDefault="007C6668" w:rsidP="00F0391F">
            <w:pPr>
              <w:pStyle w:val="a3"/>
              <w:numPr>
                <w:ilvl w:val="0"/>
                <w:numId w:val="13"/>
              </w:numPr>
              <w:autoSpaceDE/>
              <w:autoSpaceDN/>
              <w:ind w:left="1134" w:hanging="567"/>
              <w:rPr>
                <w:bCs/>
              </w:rPr>
            </w:pPr>
            <w:r w:rsidRPr="00B320E1">
              <w:t xml:space="preserve">Reiben Sie die Injektionsstelle </w:t>
            </w:r>
            <w:r w:rsidRPr="00B320E1">
              <w:rPr>
                <w:b/>
              </w:rPr>
              <w:t>nicht</w:t>
            </w:r>
            <w:r w:rsidRPr="00B320E1">
              <w:t>.</w:t>
            </w:r>
          </w:p>
          <w:p w14:paraId="77DAAD30" w14:textId="77777777" w:rsidR="007C6668" w:rsidRPr="00F0391F" w:rsidRDefault="007C6668" w:rsidP="00F0391F">
            <w:pPr>
              <w:autoSpaceDE/>
              <w:autoSpaceDN/>
              <w:rPr>
                <w:sz w:val="24"/>
                <w:szCs w:val="24"/>
              </w:rPr>
            </w:pPr>
          </w:p>
        </w:tc>
      </w:tr>
      <w:tr w:rsidR="007C6668" w:rsidRPr="007C6668" w14:paraId="349D9C3A" w14:textId="77777777" w:rsidTr="00F0391F">
        <w:trPr>
          <w:cantSplit/>
        </w:trPr>
        <w:tc>
          <w:tcPr>
            <w:tcW w:w="3539" w:type="dxa"/>
          </w:tcPr>
          <w:p w14:paraId="0DC2030F" w14:textId="13AADA9C" w:rsidR="007C6668" w:rsidRPr="00F0391F" w:rsidRDefault="00A16FF2" w:rsidP="00F0391F">
            <w:pPr>
              <w:suppressAutoHyphens/>
              <w:autoSpaceDE/>
              <w:autoSpaceDN/>
              <w:jc w:val="right"/>
              <w:rPr>
                <w:noProof/>
                <w:sz w:val="24"/>
                <w:szCs w:val="24"/>
              </w:rPr>
            </w:pPr>
            <w:r>
              <w:rPr>
                <w:noProof/>
                <w:sz w:val="24"/>
                <w:szCs w:val="24"/>
                <w:lang w:val="en-US" w:eastAsia="ko-KR"/>
              </w:rPr>
              <w:drawing>
                <wp:inline distT="0" distB="0" distL="0" distR="0" wp14:anchorId="432FE1FD" wp14:editId="5888D045">
                  <wp:extent cx="2084070" cy="2562225"/>
                  <wp:effectExtent l="19050" t="19050" r="0" b="9525"/>
                  <wp:docPr id="36" name="그림 850045557"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50045557" descr="스케치, 그림, 사무용품, 아동 미술이(가) 표시된 사진&#10;&#10;자동 생성된 설명"/>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84070" cy="2562225"/>
                          </a:xfrm>
                          <a:prstGeom prst="rect">
                            <a:avLst/>
                          </a:prstGeom>
                          <a:noFill/>
                          <a:ln w="9525" cmpd="sng">
                            <a:solidFill>
                              <a:srgbClr val="000000"/>
                            </a:solidFill>
                            <a:miter lim="800000"/>
                            <a:headEnd/>
                            <a:tailEnd/>
                          </a:ln>
                          <a:effectLst/>
                        </pic:spPr>
                      </pic:pic>
                    </a:graphicData>
                  </a:graphic>
                </wp:inline>
              </w:drawing>
            </w:r>
          </w:p>
          <w:p w14:paraId="66FC0D25" w14:textId="4F68FEF1" w:rsidR="007C6668" w:rsidRPr="00F0391F" w:rsidRDefault="007C6668" w:rsidP="00F0391F">
            <w:pPr>
              <w:suppressAutoHyphens/>
              <w:autoSpaceDE/>
              <w:autoSpaceDN/>
              <w:jc w:val="right"/>
              <w:rPr>
                <w:b/>
                <w:bCs/>
                <w:noProof/>
                <w:sz w:val="24"/>
                <w:szCs w:val="24"/>
              </w:rPr>
            </w:pPr>
            <w:r w:rsidRPr="00B320E1">
              <w:rPr>
                <w:b/>
                <w:bCs/>
                <w:noProof/>
              </w:rPr>
              <w:t>Abbildung O</w:t>
            </w:r>
          </w:p>
        </w:tc>
        <w:tc>
          <w:tcPr>
            <w:tcW w:w="5641" w:type="dxa"/>
          </w:tcPr>
          <w:p w14:paraId="44189241" w14:textId="77777777" w:rsidR="007C6668" w:rsidRPr="00B320E1" w:rsidRDefault="007C6668" w:rsidP="00F0391F">
            <w:pPr>
              <w:pStyle w:val="a3"/>
              <w:numPr>
                <w:ilvl w:val="0"/>
                <w:numId w:val="41"/>
              </w:numPr>
              <w:autoSpaceDE/>
              <w:autoSpaceDN/>
              <w:ind w:left="567" w:hanging="567"/>
              <w:rPr>
                <w:b/>
              </w:rPr>
            </w:pPr>
            <w:r w:rsidRPr="00B320E1">
              <w:rPr>
                <w:b/>
              </w:rPr>
              <w:t>Entsorgen Sie Avtozma.</w:t>
            </w:r>
          </w:p>
          <w:p w14:paraId="7DAFAEDC" w14:textId="77777777" w:rsidR="007C6668" w:rsidRPr="00B320E1" w:rsidRDefault="007C6668" w:rsidP="00F0391F">
            <w:pPr>
              <w:pStyle w:val="Default"/>
              <w:autoSpaceDE/>
              <w:autoSpaceDN/>
              <w:ind w:left="567" w:hanging="567"/>
              <w:rPr>
                <w:rFonts w:eastAsia="새굴림"/>
                <w:sz w:val="20"/>
                <w:szCs w:val="20"/>
              </w:rPr>
            </w:pPr>
          </w:p>
          <w:p w14:paraId="57D439A9" w14:textId="0EA563A2" w:rsidR="007C6668" w:rsidRPr="00B320E1" w:rsidRDefault="007C6668" w:rsidP="00F0391F">
            <w:pPr>
              <w:pStyle w:val="a3"/>
              <w:numPr>
                <w:ilvl w:val="0"/>
                <w:numId w:val="45"/>
              </w:numPr>
              <w:autoSpaceDE/>
              <w:autoSpaceDN/>
              <w:ind w:left="567" w:hanging="567"/>
              <w:rPr>
                <w:bCs/>
              </w:rPr>
            </w:pPr>
            <w:r w:rsidRPr="00B320E1">
              <w:t xml:space="preserve">Entsorgen Sie den verwendeten Fertigpen sofort nach der Verwendung im Nadelabwurfbehälter (siehe </w:t>
            </w:r>
            <w:r w:rsidRPr="00B320E1">
              <w:rPr>
                <w:b/>
                <w:bCs/>
              </w:rPr>
              <w:t>Abbildung O</w:t>
            </w:r>
            <w:r w:rsidRPr="00B320E1">
              <w:t>).</w:t>
            </w:r>
          </w:p>
          <w:p w14:paraId="03B4FF76" w14:textId="77777777" w:rsidR="007C6668" w:rsidRPr="00B320E1" w:rsidRDefault="007C6668" w:rsidP="00F0391F">
            <w:pPr>
              <w:pStyle w:val="a3"/>
              <w:autoSpaceDE/>
              <w:autoSpaceDN/>
              <w:ind w:left="567" w:hanging="567"/>
              <w:rPr>
                <w:bCs/>
              </w:rPr>
            </w:pPr>
          </w:p>
          <w:p w14:paraId="51B8F708" w14:textId="77777777" w:rsidR="007C6668" w:rsidRPr="00B320E1" w:rsidRDefault="007C6668" w:rsidP="00F0391F">
            <w:pPr>
              <w:pStyle w:val="a3"/>
              <w:autoSpaceDE/>
              <w:autoSpaceDN/>
              <w:ind w:left="567"/>
              <w:rPr>
                <w:bCs/>
                <w:noProof/>
              </w:rPr>
            </w:pPr>
            <w:r w:rsidRPr="00B320E1">
              <w:rPr>
                <w:i/>
              </w:rPr>
              <w:t>Hinweis</w:t>
            </w:r>
            <w:r w:rsidRPr="00B320E1">
              <w:t>: Wenn Ihnen die Injektion von jemand anderem verabreicht wird, muss diese Person ebenfalls beim Herausziehen und Entsorgen des Fertigpens Vorsicht walten lassen, um eine versehentliche Nadelstichverletzung und die Übertragung einer Infektion zu vermeiden</w:t>
            </w:r>
            <w:r w:rsidRPr="00B320E1">
              <w:rPr>
                <w:color w:val="231F20"/>
              </w:rPr>
              <w:t>.</w:t>
            </w:r>
          </w:p>
          <w:p w14:paraId="3FE9CB58" w14:textId="77777777" w:rsidR="007C6668" w:rsidRPr="00B320E1" w:rsidRDefault="007C6668" w:rsidP="00F0391F">
            <w:pPr>
              <w:pStyle w:val="a3"/>
              <w:autoSpaceDE/>
              <w:autoSpaceDN/>
              <w:ind w:left="567" w:hanging="567"/>
              <w:rPr>
                <w:bCs/>
              </w:rPr>
            </w:pPr>
          </w:p>
          <w:p w14:paraId="072AB5DB" w14:textId="1CF04ED2" w:rsidR="007C6668" w:rsidRPr="00B320E1" w:rsidRDefault="007C6668" w:rsidP="00F0391F">
            <w:pPr>
              <w:pStyle w:val="a3"/>
              <w:numPr>
                <w:ilvl w:val="0"/>
                <w:numId w:val="13"/>
              </w:numPr>
              <w:autoSpaceDE/>
              <w:autoSpaceDN/>
              <w:ind w:left="1134" w:hanging="567"/>
            </w:pPr>
            <w:r w:rsidRPr="00B320E1">
              <w:t xml:space="preserve">Verwenden Sie den Fertigpen </w:t>
            </w:r>
            <w:r w:rsidRPr="00B320E1">
              <w:rPr>
                <w:b/>
              </w:rPr>
              <w:t>nicht</w:t>
            </w:r>
            <w:r w:rsidRPr="00B320E1">
              <w:t xml:space="preserve"> erneut.</w:t>
            </w:r>
          </w:p>
          <w:p w14:paraId="0C8F3F98" w14:textId="77777777" w:rsidR="007C6668" w:rsidRPr="00B320E1" w:rsidRDefault="007C6668" w:rsidP="00F0391F">
            <w:pPr>
              <w:pStyle w:val="a3"/>
              <w:numPr>
                <w:ilvl w:val="0"/>
                <w:numId w:val="13"/>
              </w:numPr>
              <w:autoSpaceDE/>
              <w:autoSpaceDN/>
              <w:ind w:left="1134" w:hanging="567"/>
            </w:pPr>
            <w:r w:rsidRPr="00B320E1">
              <w:t xml:space="preserve">Setzen Sie die Schutzkappe </w:t>
            </w:r>
            <w:r w:rsidRPr="00B320E1">
              <w:rPr>
                <w:b/>
              </w:rPr>
              <w:t>nicht</w:t>
            </w:r>
            <w:r w:rsidRPr="00B320E1">
              <w:t xml:space="preserve"> wieder auf den Fertigpen auf.</w:t>
            </w:r>
          </w:p>
          <w:p w14:paraId="6E876410" w14:textId="77777777" w:rsidR="007C6668" w:rsidRPr="00B320E1" w:rsidRDefault="007C6668" w:rsidP="00F0391F">
            <w:pPr>
              <w:pStyle w:val="a3"/>
              <w:numPr>
                <w:ilvl w:val="0"/>
                <w:numId w:val="13"/>
              </w:numPr>
              <w:autoSpaceDE/>
              <w:autoSpaceDN/>
              <w:ind w:left="1134" w:hanging="567"/>
            </w:pPr>
            <w:r w:rsidRPr="00B320E1">
              <w:t xml:space="preserve">Entsorgen Sie den Nadelabwurfbehälter </w:t>
            </w:r>
            <w:r w:rsidRPr="00B320E1">
              <w:rPr>
                <w:b/>
                <w:bCs/>
              </w:rPr>
              <w:t>nicht</w:t>
            </w:r>
            <w:r w:rsidRPr="00B320E1">
              <w:t xml:space="preserve"> im normalen Hausmüll.</w:t>
            </w:r>
          </w:p>
          <w:p w14:paraId="5B169C58" w14:textId="77777777" w:rsidR="007C6668" w:rsidRPr="00B320E1" w:rsidRDefault="007C6668" w:rsidP="00F0391F">
            <w:pPr>
              <w:pStyle w:val="a3"/>
              <w:numPr>
                <w:ilvl w:val="0"/>
                <w:numId w:val="13"/>
              </w:numPr>
              <w:autoSpaceDE/>
              <w:autoSpaceDN/>
              <w:ind w:left="1134" w:hanging="567"/>
            </w:pPr>
            <w:r w:rsidRPr="00B320E1">
              <w:t xml:space="preserve">Der Nadelabwurfbehälter darf </w:t>
            </w:r>
            <w:r w:rsidRPr="00B320E1">
              <w:rPr>
                <w:b/>
              </w:rPr>
              <w:t>nicht</w:t>
            </w:r>
            <w:r w:rsidRPr="00B320E1">
              <w:t xml:space="preserve"> recycelt werden.</w:t>
            </w:r>
          </w:p>
          <w:p w14:paraId="0D78B06B" w14:textId="2AD0B12F" w:rsidR="007C6668" w:rsidRPr="00B320E1" w:rsidRDefault="007C6668" w:rsidP="00F0391F">
            <w:pPr>
              <w:pStyle w:val="a3"/>
              <w:numPr>
                <w:ilvl w:val="0"/>
                <w:numId w:val="13"/>
              </w:numPr>
              <w:autoSpaceDE/>
              <w:autoSpaceDN/>
              <w:ind w:left="1134" w:hanging="567"/>
              <w:rPr>
                <w:bCs/>
              </w:rPr>
            </w:pPr>
            <w:r w:rsidRPr="00B320E1">
              <w:t>Bewahren Sie den Avtozma-Fertigpen und den Nadelabwurfbehälter für Kinder unzugänglich auf.</w:t>
            </w:r>
          </w:p>
          <w:p w14:paraId="6010A86F" w14:textId="77777777" w:rsidR="007C6668" w:rsidRPr="00B320E1" w:rsidRDefault="007C6668" w:rsidP="00F0391F">
            <w:pPr>
              <w:pStyle w:val="a3"/>
              <w:numPr>
                <w:ilvl w:val="0"/>
                <w:numId w:val="13"/>
              </w:numPr>
              <w:autoSpaceDE/>
              <w:autoSpaceDN/>
              <w:ind w:left="1134" w:hanging="567"/>
              <w:rPr>
                <w:bCs/>
              </w:rPr>
            </w:pPr>
            <w:r w:rsidRPr="00B320E1">
              <w:t>Entsorgen Sie den vollen Behälter entsprechend der Anweisung Ihres Arztes oder Apothekers. Wenn Sie keinen Nadelabwurfbehälter haben, können Sie einen verschließbaren und durchstichsicheren Behälter aus Ihrem Haushalt verwenden. Nicht verwendetes Arzneimittel oder Abfallmaterial ist entsprechend den nationalen Anforderungen zu beseitigen.</w:t>
            </w:r>
          </w:p>
          <w:p w14:paraId="39C423C9" w14:textId="45671EC5" w:rsidR="007C6668" w:rsidRPr="00F0391F" w:rsidRDefault="007C6668" w:rsidP="00F0391F">
            <w:pPr>
              <w:pStyle w:val="a3"/>
              <w:autoSpaceDE/>
              <w:autoSpaceDN/>
              <w:ind w:left="1134"/>
              <w:rPr>
                <w:bCs/>
              </w:rPr>
            </w:pPr>
          </w:p>
        </w:tc>
      </w:tr>
      <w:tr w:rsidR="007C6668" w:rsidRPr="007C6668" w14:paraId="2B5CDA44" w14:textId="77777777" w:rsidTr="00F0391F">
        <w:trPr>
          <w:cantSplit/>
        </w:trPr>
        <w:tc>
          <w:tcPr>
            <w:tcW w:w="9180" w:type="dxa"/>
            <w:gridSpan w:val="2"/>
          </w:tcPr>
          <w:p w14:paraId="4360F68D" w14:textId="77777777" w:rsidR="007C6668" w:rsidRPr="00B320E1" w:rsidRDefault="007C6668" w:rsidP="00F0391F">
            <w:pPr>
              <w:pStyle w:val="a3"/>
              <w:numPr>
                <w:ilvl w:val="0"/>
                <w:numId w:val="41"/>
              </w:numPr>
              <w:autoSpaceDE/>
              <w:autoSpaceDN/>
              <w:ind w:left="567" w:hanging="567"/>
              <w:rPr>
                <w:b/>
              </w:rPr>
            </w:pPr>
            <w:r w:rsidRPr="00B320E1">
              <w:rPr>
                <w:b/>
              </w:rPr>
              <w:t>Dokumentieren Sie die Injektion.</w:t>
            </w:r>
          </w:p>
          <w:p w14:paraId="79DF4FB1" w14:textId="77777777" w:rsidR="007C6668" w:rsidRPr="00B320E1" w:rsidRDefault="007C6668" w:rsidP="00F0391F">
            <w:pPr>
              <w:pStyle w:val="Default"/>
              <w:autoSpaceDE/>
              <w:autoSpaceDN/>
              <w:ind w:left="567" w:hanging="567"/>
              <w:rPr>
                <w:rFonts w:eastAsia="새굴림"/>
                <w:sz w:val="20"/>
                <w:szCs w:val="20"/>
              </w:rPr>
            </w:pPr>
          </w:p>
          <w:p w14:paraId="47B5FAA1" w14:textId="69D60C16" w:rsidR="007C6668" w:rsidRPr="007C6668" w:rsidRDefault="007C6668" w:rsidP="00F0391F">
            <w:pPr>
              <w:pStyle w:val="a3"/>
              <w:numPr>
                <w:ilvl w:val="0"/>
                <w:numId w:val="44"/>
              </w:numPr>
              <w:autoSpaceDE/>
              <w:autoSpaceDN/>
              <w:ind w:left="567" w:hanging="567"/>
            </w:pPr>
            <w:r w:rsidRPr="00B320E1">
              <w:t>Notieren Sie das Datum, die Uhrzeit und die Stelle, an der Sie sich die Injektion selbst verabreicht haben.</w:t>
            </w:r>
          </w:p>
        </w:tc>
      </w:tr>
    </w:tbl>
    <w:p w14:paraId="242E2C23" w14:textId="77777777" w:rsidR="007C6668" w:rsidRPr="007C6668" w:rsidRDefault="007C6668" w:rsidP="007C6668"/>
    <w:p w14:paraId="203AA91F" w14:textId="424D8426" w:rsidR="002D5756" w:rsidRPr="006A64EE" w:rsidRDefault="002D5756" w:rsidP="00CE4B1A">
      <w:pPr>
        <w:widowControl/>
        <w:rPr>
          <w:b/>
        </w:rPr>
      </w:pPr>
    </w:p>
    <w:sectPr w:rsidR="002D5756" w:rsidRPr="006A64EE" w:rsidSect="0096464B">
      <w:footerReference w:type="default" r:id="rId46"/>
      <w:pgSz w:w="11907" w:h="16840" w:code="9"/>
      <w:pgMar w:top="1418" w:right="1418" w:bottom="1134" w:left="1418" w:header="0"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A4143" w14:textId="77777777" w:rsidR="002A1D61" w:rsidRDefault="002A1D61">
      <w:r>
        <w:separator/>
      </w:r>
    </w:p>
  </w:endnote>
  <w:endnote w:type="continuationSeparator" w:id="0">
    <w:p w14:paraId="74290BD4" w14:textId="77777777" w:rsidR="002A1D61" w:rsidRDefault="002A1D61">
      <w:r>
        <w:continuationSeparator/>
      </w:r>
    </w:p>
  </w:endnote>
  <w:endnote w:type="continuationNotice" w:id="1">
    <w:p w14:paraId="5254B3AE" w14:textId="77777777" w:rsidR="002A1D61" w:rsidRDefault="002A1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새굴림">
    <w:panose1 w:val="02030600000101010101"/>
    <w:charset w:val="81"/>
    <w:family w:val="roman"/>
    <w:pitch w:val="variable"/>
    <w:sig w:usb0="B00002AF" w:usb1="7B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A8D50" w14:textId="6160077B" w:rsidR="00456610" w:rsidRPr="00F0391F" w:rsidRDefault="00456610">
    <w:pPr>
      <w:pStyle w:val="a6"/>
      <w:jc w:val="center"/>
      <w:rPr>
        <w:rFonts w:ascii="Arial" w:hAnsi="Arial" w:cs="Arial"/>
        <w:sz w:val="16"/>
        <w:szCs w:val="16"/>
      </w:rPr>
    </w:pPr>
    <w:r w:rsidRPr="00F0391F">
      <w:rPr>
        <w:rFonts w:ascii="Arial" w:hAnsi="Arial" w:cs="Arial"/>
        <w:sz w:val="16"/>
        <w:szCs w:val="16"/>
      </w:rPr>
      <w:fldChar w:fldCharType="begin"/>
    </w:r>
    <w:r w:rsidRPr="00F0391F">
      <w:rPr>
        <w:rFonts w:ascii="Arial" w:hAnsi="Arial" w:cs="Arial"/>
        <w:sz w:val="16"/>
        <w:szCs w:val="16"/>
      </w:rPr>
      <w:instrText xml:space="preserve"> PAGE   \* MERGEFORMAT </w:instrText>
    </w:r>
    <w:r w:rsidRPr="00F0391F">
      <w:rPr>
        <w:rFonts w:ascii="Arial" w:hAnsi="Arial" w:cs="Arial"/>
        <w:sz w:val="16"/>
        <w:szCs w:val="16"/>
      </w:rPr>
      <w:fldChar w:fldCharType="separate"/>
    </w:r>
    <w:r w:rsidR="00046301">
      <w:rPr>
        <w:rFonts w:ascii="Arial" w:hAnsi="Arial" w:cs="Arial"/>
        <w:noProof/>
        <w:sz w:val="16"/>
        <w:szCs w:val="16"/>
      </w:rPr>
      <w:t>189</w:t>
    </w:r>
    <w:r w:rsidRPr="00F0391F">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E73C6" w14:textId="77777777" w:rsidR="002A1D61" w:rsidRDefault="002A1D61">
      <w:r>
        <w:separator/>
      </w:r>
    </w:p>
  </w:footnote>
  <w:footnote w:type="continuationSeparator" w:id="0">
    <w:p w14:paraId="225EAFD2" w14:textId="77777777" w:rsidR="002A1D61" w:rsidRDefault="002A1D61">
      <w:r>
        <w:continuationSeparator/>
      </w:r>
    </w:p>
  </w:footnote>
  <w:footnote w:type="continuationNotice" w:id="1">
    <w:p w14:paraId="01554683" w14:textId="77777777" w:rsidR="002A1D61" w:rsidRDefault="002A1D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7" type="#_x0000_t75" alt="BT_1000x858px" style="width:15.6pt;height:13.2pt;visibility:visible;mso-wrap-style:square" o:bullet="t">
        <v:imagedata r:id="rId1" o:title="BT_1000x858px"/>
      </v:shape>
    </w:pict>
  </w:numPicBullet>
  <w:abstractNum w:abstractNumId="0" w15:restartNumberingAfterBreak="0">
    <w:nsid w:val="059A07FE"/>
    <w:multiLevelType w:val="hybridMultilevel"/>
    <w:tmpl w:val="8C644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CC123A"/>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 w15:restartNumberingAfterBreak="0">
    <w:nsid w:val="08B54059"/>
    <w:multiLevelType w:val="hybridMultilevel"/>
    <w:tmpl w:val="9B3264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9FF1A2B"/>
    <w:multiLevelType w:val="hybridMultilevel"/>
    <w:tmpl w:val="555C4208"/>
    <w:lvl w:ilvl="0" w:tplc="1D0CD3A0">
      <w:start w:val="10"/>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129E7C4D"/>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5" w15:restartNumberingAfterBreak="0">
    <w:nsid w:val="1AA010B1"/>
    <w:multiLevelType w:val="hybridMultilevel"/>
    <w:tmpl w:val="3998EAAC"/>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31558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7" w15:restartNumberingAfterBreak="0">
    <w:nsid w:val="1E5D7C24"/>
    <w:multiLevelType w:val="hybridMultilevel"/>
    <w:tmpl w:val="1118313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95"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DE55F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9" w15:restartNumberingAfterBreak="0">
    <w:nsid w:val="1FC1623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0" w15:restartNumberingAfterBreak="0">
    <w:nsid w:val="216018B2"/>
    <w:multiLevelType w:val="hybridMultilevel"/>
    <w:tmpl w:val="2FE830D8"/>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11" w15:restartNumberingAfterBreak="0">
    <w:nsid w:val="235B01CB"/>
    <w:multiLevelType w:val="hybridMultilevel"/>
    <w:tmpl w:val="D3448D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3D96753"/>
    <w:multiLevelType w:val="hybridMultilevel"/>
    <w:tmpl w:val="8FF05BDA"/>
    <w:lvl w:ilvl="0" w:tplc="FFFFFFFF">
      <w:start w:val="1"/>
      <w:numFmt w:val="decimal"/>
      <w:lvlText w:val="%1."/>
      <w:lvlJc w:val="left"/>
      <w:pPr>
        <w:ind w:left="471" w:hanging="360"/>
      </w:pPr>
      <w:rPr>
        <w:rFonts w:ascii="Times New Roman" w:hAnsi="Times New Roman" w:cs="Times New Roman" w:hint="default"/>
        <w:b/>
        <w:bCs w:val="0"/>
      </w:rPr>
    </w:lvl>
    <w:lvl w:ilvl="1" w:tplc="FFFFFFFF" w:tentative="1">
      <w:start w:val="1"/>
      <w:numFmt w:val="upperLetter"/>
      <w:lvlText w:val="%2."/>
      <w:lvlJc w:val="left"/>
      <w:pPr>
        <w:ind w:left="911" w:hanging="400"/>
      </w:pPr>
    </w:lvl>
    <w:lvl w:ilvl="2" w:tplc="FFFFFFFF" w:tentative="1">
      <w:start w:val="1"/>
      <w:numFmt w:val="lowerRoman"/>
      <w:lvlText w:val="%3."/>
      <w:lvlJc w:val="right"/>
      <w:pPr>
        <w:ind w:left="1311" w:hanging="400"/>
      </w:pPr>
    </w:lvl>
    <w:lvl w:ilvl="3" w:tplc="FFFFFFFF" w:tentative="1">
      <w:start w:val="1"/>
      <w:numFmt w:val="decimal"/>
      <w:lvlText w:val="%4."/>
      <w:lvlJc w:val="left"/>
      <w:pPr>
        <w:ind w:left="1711" w:hanging="400"/>
      </w:pPr>
    </w:lvl>
    <w:lvl w:ilvl="4" w:tplc="FFFFFFFF" w:tentative="1">
      <w:start w:val="1"/>
      <w:numFmt w:val="upperLetter"/>
      <w:lvlText w:val="%5."/>
      <w:lvlJc w:val="left"/>
      <w:pPr>
        <w:ind w:left="2111" w:hanging="400"/>
      </w:pPr>
    </w:lvl>
    <w:lvl w:ilvl="5" w:tplc="FFFFFFFF" w:tentative="1">
      <w:start w:val="1"/>
      <w:numFmt w:val="lowerRoman"/>
      <w:lvlText w:val="%6."/>
      <w:lvlJc w:val="right"/>
      <w:pPr>
        <w:ind w:left="2511" w:hanging="400"/>
      </w:pPr>
    </w:lvl>
    <w:lvl w:ilvl="6" w:tplc="FFFFFFFF" w:tentative="1">
      <w:start w:val="1"/>
      <w:numFmt w:val="decimal"/>
      <w:lvlText w:val="%7."/>
      <w:lvlJc w:val="left"/>
      <w:pPr>
        <w:ind w:left="2911" w:hanging="400"/>
      </w:pPr>
    </w:lvl>
    <w:lvl w:ilvl="7" w:tplc="FFFFFFFF" w:tentative="1">
      <w:start w:val="1"/>
      <w:numFmt w:val="upperLetter"/>
      <w:lvlText w:val="%8."/>
      <w:lvlJc w:val="left"/>
      <w:pPr>
        <w:ind w:left="3311" w:hanging="400"/>
      </w:pPr>
    </w:lvl>
    <w:lvl w:ilvl="8" w:tplc="FFFFFFFF" w:tentative="1">
      <w:start w:val="1"/>
      <w:numFmt w:val="lowerRoman"/>
      <w:lvlText w:val="%9."/>
      <w:lvlJc w:val="right"/>
      <w:pPr>
        <w:ind w:left="3711" w:hanging="400"/>
      </w:pPr>
    </w:lvl>
  </w:abstractNum>
  <w:abstractNum w:abstractNumId="13" w15:restartNumberingAfterBreak="0">
    <w:nsid w:val="281F72F3"/>
    <w:multiLevelType w:val="hybridMultilevel"/>
    <w:tmpl w:val="5E567C00"/>
    <w:lvl w:ilvl="0" w:tplc="BAE6AFF0">
      <w:start w:val="1"/>
      <w:numFmt w:val="decimal"/>
      <w:lvlText w:val="%1."/>
      <w:lvlJc w:val="left"/>
      <w:pPr>
        <w:ind w:left="471" w:hanging="360"/>
      </w:pPr>
      <w:rPr>
        <w:rFonts w:ascii="Times New Roman" w:hAnsi="Times New Roman" w:cs="Times New Roman" w:hint="default"/>
        <w:b/>
        <w:bCs w:val="0"/>
      </w:rPr>
    </w:lvl>
    <w:lvl w:ilvl="1" w:tplc="04090019" w:tentative="1">
      <w:start w:val="1"/>
      <w:numFmt w:val="upperLetter"/>
      <w:lvlText w:val="%2."/>
      <w:lvlJc w:val="left"/>
      <w:pPr>
        <w:ind w:left="911" w:hanging="400"/>
      </w:pPr>
    </w:lvl>
    <w:lvl w:ilvl="2" w:tplc="0409001B" w:tentative="1">
      <w:start w:val="1"/>
      <w:numFmt w:val="lowerRoman"/>
      <w:lvlText w:val="%3."/>
      <w:lvlJc w:val="right"/>
      <w:pPr>
        <w:ind w:left="1311" w:hanging="400"/>
      </w:pPr>
    </w:lvl>
    <w:lvl w:ilvl="3" w:tplc="0409000F" w:tentative="1">
      <w:start w:val="1"/>
      <w:numFmt w:val="decimal"/>
      <w:lvlText w:val="%4."/>
      <w:lvlJc w:val="left"/>
      <w:pPr>
        <w:ind w:left="1711" w:hanging="400"/>
      </w:pPr>
    </w:lvl>
    <w:lvl w:ilvl="4" w:tplc="04090019" w:tentative="1">
      <w:start w:val="1"/>
      <w:numFmt w:val="upperLetter"/>
      <w:lvlText w:val="%5."/>
      <w:lvlJc w:val="left"/>
      <w:pPr>
        <w:ind w:left="2111" w:hanging="400"/>
      </w:pPr>
    </w:lvl>
    <w:lvl w:ilvl="5" w:tplc="0409001B" w:tentative="1">
      <w:start w:val="1"/>
      <w:numFmt w:val="lowerRoman"/>
      <w:lvlText w:val="%6."/>
      <w:lvlJc w:val="right"/>
      <w:pPr>
        <w:ind w:left="2511" w:hanging="400"/>
      </w:pPr>
    </w:lvl>
    <w:lvl w:ilvl="6" w:tplc="0409000F" w:tentative="1">
      <w:start w:val="1"/>
      <w:numFmt w:val="decimal"/>
      <w:lvlText w:val="%7."/>
      <w:lvlJc w:val="left"/>
      <w:pPr>
        <w:ind w:left="2911" w:hanging="400"/>
      </w:pPr>
    </w:lvl>
    <w:lvl w:ilvl="7" w:tplc="04090019" w:tentative="1">
      <w:start w:val="1"/>
      <w:numFmt w:val="upperLetter"/>
      <w:lvlText w:val="%8."/>
      <w:lvlJc w:val="left"/>
      <w:pPr>
        <w:ind w:left="3311" w:hanging="400"/>
      </w:pPr>
    </w:lvl>
    <w:lvl w:ilvl="8" w:tplc="0409001B" w:tentative="1">
      <w:start w:val="1"/>
      <w:numFmt w:val="lowerRoman"/>
      <w:lvlText w:val="%9."/>
      <w:lvlJc w:val="right"/>
      <w:pPr>
        <w:ind w:left="3711" w:hanging="400"/>
      </w:pPr>
    </w:lvl>
  </w:abstractNum>
  <w:abstractNum w:abstractNumId="14" w15:restartNumberingAfterBreak="0">
    <w:nsid w:val="29403616"/>
    <w:multiLevelType w:val="multilevel"/>
    <w:tmpl w:val="5476C886"/>
    <w:lvl w:ilvl="0">
      <w:start w:val="14"/>
      <w:numFmt w:val="upperLetter"/>
      <w:lvlText w:val="%1"/>
      <w:lvlJc w:val="left"/>
      <w:pPr>
        <w:ind w:left="711" w:hanging="485"/>
      </w:pPr>
      <w:rPr>
        <w:rFonts w:hint="default"/>
      </w:rPr>
    </w:lvl>
    <w:lvl w:ilvl="1">
      <w:start w:val="5"/>
      <w:numFmt w:val="upperRoman"/>
      <w:lvlText w:val="%1.%2."/>
      <w:lvlJc w:val="left"/>
      <w:pPr>
        <w:ind w:left="711" w:hanging="485"/>
      </w:pPr>
      <w:rPr>
        <w:rFonts w:ascii="Times New Roman" w:eastAsia="Times New Roman" w:hAnsi="Times New Roman" w:hint="default"/>
        <w:spacing w:val="-1"/>
        <w:sz w:val="22"/>
        <w:szCs w:val="22"/>
      </w:rPr>
    </w:lvl>
    <w:lvl w:ilvl="2">
      <w:start w:val="1"/>
      <w:numFmt w:val="bullet"/>
      <w:lvlText w:val=""/>
      <w:lvlJc w:val="left"/>
      <w:pPr>
        <w:ind w:left="830" w:hanging="356"/>
      </w:pPr>
      <w:rPr>
        <w:rFonts w:ascii="Symbol" w:eastAsia="Symbol" w:hAnsi="Symbol" w:hint="default"/>
        <w:sz w:val="22"/>
        <w:szCs w:val="22"/>
      </w:rPr>
    </w:lvl>
    <w:lvl w:ilvl="3">
      <w:start w:val="1"/>
      <w:numFmt w:val="bullet"/>
      <w:lvlText w:val=""/>
      <w:lvlJc w:val="left"/>
      <w:pPr>
        <w:ind w:left="1196" w:hanging="358"/>
      </w:pPr>
      <w:rPr>
        <w:rFonts w:ascii="Symbol" w:eastAsia="Symbol" w:hAnsi="Symbol" w:hint="default"/>
        <w:sz w:val="22"/>
        <w:szCs w:val="22"/>
      </w:rPr>
    </w:lvl>
    <w:lvl w:ilvl="4">
      <w:start w:val="1"/>
      <w:numFmt w:val="bullet"/>
      <w:lvlText w:val="•"/>
      <w:lvlJc w:val="left"/>
      <w:pPr>
        <w:ind w:left="1417" w:hanging="358"/>
      </w:pPr>
      <w:rPr>
        <w:rFonts w:hint="default"/>
      </w:rPr>
    </w:lvl>
    <w:lvl w:ilvl="5">
      <w:start w:val="1"/>
      <w:numFmt w:val="bullet"/>
      <w:lvlText w:val="•"/>
      <w:lvlJc w:val="left"/>
      <w:pPr>
        <w:ind w:left="1639" w:hanging="358"/>
      </w:pPr>
      <w:rPr>
        <w:rFonts w:hint="default"/>
      </w:rPr>
    </w:lvl>
    <w:lvl w:ilvl="6">
      <w:start w:val="1"/>
      <w:numFmt w:val="bullet"/>
      <w:lvlText w:val="•"/>
      <w:lvlJc w:val="left"/>
      <w:pPr>
        <w:ind w:left="1860" w:hanging="358"/>
      </w:pPr>
      <w:rPr>
        <w:rFonts w:hint="default"/>
      </w:rPr>
    </w:lvl>
    <w:lvl w:ilvl="7">
      <w:start w:val="1"/>
      <w:numFmt w:val="bullet"/>
      <w:lvlText w:val="•"/>
      <w:lvlJc w:val="left"/>
      <w:pPr>
        <w:ind w:left="2082" w:hanging="358"/>
      </w:pPr>
      <w:rPr>
        <w:rFonts w:hint="default"/>
      </w:rPr>
    </w:lvl>
    <w:lvl w:ilvl="8">
      <w:start w:val="1"/>
      <w:numFmt w:val="bullet"/>
      <w:lvlText w:val="•"/>
      <w:lvlJc w:val="left"/>
      <w:pPr>
        <w:ind w:left="2303" w:hanging="358"/>
      </w:pPr>
      <w:rPr>
        <w:rFonts w:hint="default"/>
      </w:rPr>
    </w:lvl>
  </w:abstractNum>
  <w:abstractNum w:abstractNumId="15" w15:restartNumberingAfterBreak="0">
    <w:nsid w:val="2C05068F"/>
    <w:multiLevelType w:val="hybridMultilevel"/>
    <w:tmpl w:val="BD2CBBBE"/>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B87E7C"/>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7" w15:restartNumberingAfterBreak="0">
    <w:nsid w:val="2F725F08"/>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18" w15:restartNumberingAfterBreak="0">
    <w:nsid w:val="34653D49"/>
    <w:multiLevelType w:val="hybridMultilevel"/>
    <w:tmpl w:val="82F21D2C"/>
    <w:lvl w:ilvl="0" w:tplc="0650A428">
      <w:start w:val="1"/>
      <w:numFmt w:val="bullet"/>
      <w:lvlText w:val="•"/>
      <w:lvlJc w:val="left"/>
      <w:pPr>
        <w:ind w:left="911" w:hanging="400"/>
      </w:pPr>
      <w:rPr>
        <w:rFonts w:ascii="Times New Roman" w:eastAsia="Times New Roman" w:hAnsi="Times New Roman" w:hint="default"/>
        <w:sz w:val="22"/>
        <w:szCs w:val="22"/>
      </w:rPr>
    </w:lvl>
    <w:lvl w:ilvl="1" w:tplc="043E36C2" w:tentative="1">
      <w:start w:val="1"/>
      <w:numFmt w:val="bullet"/>
      <w:lvlText w:val=""/>
      <w:lvlJc w:val="left"/>
      <w:pPr>
        <w:ind w:left="1311" w:hanging="400"/>
      </w:pPr>
      <w:rPr>
        <w:rFonts w:ascii="Wingdings" w:hAnsi="Wingdings" w:hint="default"/>
      </w:rPr>
    </w:lvl>
    <w:lvl w:ilvl="2" w:tplc="0C9C1F6A" w:tentative="1">
      <w:start w:val="1"/>
      <w:numFmt w:val="bullet"/>
      <w:lvlText w:val=""/>
      <w:lvlJc w:val="left"/>
      <w:pPr>
        <w:ind w:left="1711" w:hanging="400"/>
      </w:pPr>
      <w:rPr>
        <w:rFonts w:ascii="Wingdings" w:hAnsi="Wingdings" w:hint="default"/>
      </w:rPr>
    </w:lvl>
    <w:lvl w:ilvl="3" w:tplc="AC68A48E" w:tentative="1">
      <w:start w:val="1"/>
      <w:numFmt w:val="bullet"/>
      <w:lvlText w:val=""/>
      <w:lvlJc w:val="left"/>
      <w:pPr>
        <w:ind w:left="2111" w:hanging="400"/>
      </w:pPr>
      <w:rPr>
        <w:rFonts w:ascii="Wingdings" w:hAnsi="Wingdings" w:hint="default"/>
      </w:rPr>
    </w:lvl>
    <w:lvl w:ilvl="4" w:tplc="444811B8" w:tentative="1">
      <w:start w:val="1"/>
      <w:numFmt w:val="bullet"/>
      <w:lvlText w:val=""/>
      <w:lvlJc w:val="left"/>
      <w:pPr>
        <w:ind w:left="2511" w:hanging="400"/>
      </w:pPr>
      <w:rPr>
        <w:rFonts w:ascii="Wingdings" w:hAnsi="Wingdings" w:hint="default"/>
      </w:rPr>
    </w:lvl>
    <w:lvl w:ilvl="5" w:tplc="FCD2B724" w:tentative="1">
      <w:start w:val="1"/>
      <w:numFmt w:val="bullet"/>
      <w:lvlText w:val=""/>
      <w:lvlJc w:val="left"/>
      <w:pPr>
        <w:ind w:left="2911" w:hanging="400"/>
      </w:pPr>
      <w:rPr>
        <w:rFonts w:ascii="Wingdings" w:hAnsi="Wingdings" w:hint="default"/>
      </w:rPr>
    </w:lvl>
    <w:lvl w:ilvl="6" w:tplc="53FC4946" w:tentative="1">
      <w:start w:val="1"/>
      <w:numFmt w:val="bullet"/>
      <w:lvlText w:val=""/>
      <w:lvlJc w:val="left"/>
      <w:pPr>
        <w:ind w:left="3311" w:hanging="400"/>
      </w:pPr>
      <w:rPr>
        <w:rFonts w:ascii="Wingdings" w:hAnsi="Wingdings" w:hint="default"/>
      </w:rPr>
    </w:lvl>
    <w:lvl w:ilvl="7" w:tplc="79BCAB6E" w:tentative="1">
      <w:start w:val="1"/>
      <w:numFmt w:val="bullet"/>
      <w:lvlText w:val=""/>
      <w:lvlJc w:val="left"/>
      <w:pPr>
        <w:ind w:left="3711" w:hanging="400"/>
      </w:pPr>
      <w:rPr>
        <w:rFonts w:ascii="Wingdings" w:hAnsi="Wingdings" w:hint="default"/>
      </w:rPr>
    </w:lvl>
    <w:lvl w:ilvl="8" w:tplc="0FA20506" w:tentative="1">
      <w:start w:val="1"/>
      <w:numFmt w:val="bullet"/>
      <w:lvlText w:val=""/>
      <w:lvlJc w:val="left"/>
      <w:pPr>
        <w:ind w:left="4111" w:hanging="400"/>
      </w:pPr>
      <w:rPr>
        <w:rFonts w:ascii="Wingdings" w:hAnsi="Wingdings" w:hint="default"/>
      </w:rPr>
    </w:lvl>
  </w:abstractNum>
  <w:abstractNum w:abstractNumId="19" w15:restartNumberingAfterBreak="0">
    <w:nsid w:val="34C942F4"/>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0" w15:restartNumberingAfterBreak="0">
    <w:nsid w:val="35C33797"/>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1" w15:restartNumberingAfterBreak="0">
    <w:nsid w:val="38DC174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2" w15:restartNumberingAfterBreak="0">
    <w:nsid w:val="3A0508C6"/>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3" w15:restartNumberingAfterBreak="0">
    <w:nsid w:val="3C0B3142"/>
    <w:multiLevelType w:val="hybridMultilevel"/>
    <w:tmpl w:val="B986F4A6"/>
    <w:lvl w:ilvl="0" w:tplc="4E3CD67C">
      <w:start w:val="1"/>
      <w:numFmt w:val="bullet"/>
      <w:pStyle w:val="bullet2"/>
      <w:lvlText w:val=""/>
      <w:lvlJc w:val="left"/>
      <w:pPr>
        <w:ind w:left="1044" w:hanging="284"/>
      </w:pPr>
      <w:rPr>
        <w:rFonts w:ascii="Symbol" w:hAnsi="Symbol" w:hint="default"/>
        <w:spacing w:val="0"/>
        <w:w w:val="100"/>
        <w:lang w:val="de-DE" w:eastAsia="en-US" w:bidi="ar-SA"/>
      </w:rPr>
    </w:lvl>
    <w:lvl w:ilvl="1" w:tplc="CC7C678E">
      <w:numFmt w:val="bullet"/>
      <w:lvlText w:val="•"/>
      <w:lvlJc w:val="left"/>
      <w:pPr>
        <w:ind w:left="1998" w:hanging="284"/>
      </w:pPr>
      <w:rPr>
        <w:rFonts w:hint="default"/>
        <w:lang w:val="de-DE" w:eastAsia="en-US" w:bidi="ar-SA"/>
      </w:rPr>
    </w:lvl>
    <w:lvl w:ilvl="2" w:tplc="37ECA1BC">
      <w:numFmt w:val="bullet"/>
      <w:lvlText w:val="•"/>
      <w:lvlJc w:val="left"/>
      <w:pPr>
        <w:ind w:left="2957" w:hanging="284"/>
      </w:pPr>
      <w:rPr>
        <w:rFonts w:hint="default"/>
        <w:lang w:val="de-DE" w:eastAsia="en-US" w:bidi="ar-SA"/>
      </w:rPr>
    </w:lvl>
    <w:lvl w:ilvl="3" w:tplc="37181CDC">
      <w:numFmt w:val="bullet"/>
      <w:lvlText w:val="•"/>
      <w:lvlJc w:val="left"/>
      <w:pPr>
        <w:ind w:left="3915" w:hanging="284"/>
      </w:pPr>
      <w:rPr>
        <w:rFonts w:hint="default"/>
        <w:lang w:val="de-DE" w:eastAsia="en-US" w:bidi="ar-SA"/>
      </w:rPr>
    </w:lvl>
    <w:lvl w:ilvl="4" w:tplc="692AF65E">
      <w:numFmt w:val="bullet"/>
      <w:lvlText w:val="•"/>
      <w:lvlJc w:val="left"/>
      <w:pPr>
        <w:ind w:left="4874" w:hanging="284"/>
      </w:pPr>
      <w:rPr>
        <w:rFonts w:hint="default"/>
        <w:lang w:val="de-DE" w:eastAsia="en-US" w:bidi="ar-SA"/>
      </w:rPr>
    </w:lvl>
    <w:lvl w:ilvl="5" w:tplc="1098F504">
      <w:numFmt w:val="bullet"/>
      <w:lvlText w:val="•"/>
      <w:lvlJc w:val="left"/>
      <w:pPr>
        <w:ind w:left="5833" w:hanging="284"/>
      </w:pPr>
      <w:rPr>
        <w:rFonts w:hint="default"/>
        <w:lang w:val="de-DE" w:eastAsia="en-US" w:bidi="ar-SA"/>
      </w:rPr>
    </w:lvl>
    <w:lvl w:ilvl="6" w:tplc="3E5E276E">
      <w:numFmt w:val="bullet"/>
      <w:lvlText w:val="•"/>
      <w:lvlJc w:val="left"/>
      <w:pPr>
        <w:ind w:left="6791" w:hanging="284"/>
      </w:pPr>
      <w:rPr>
        <w:rFonts w:hint="default"/>
        <w:lang w:val="de-DE" w:eastAsia="en-US" w:bidi="ar-SA"/>
      </w:rPr>
    </w:lvl>
    <w:lvl w:ilvl="7" w:tplc="02002A04">
      <w:numFmt w:val="bullet"/>
      <w:lvlText w:val="•"/>
      <w:lvlJc w:val="left"/>
      <w:pPr>
        <w:ind w:left="7750" w:hanging="284"/>
      </w:pPr>
      <w:rPr>
        <w:rFonts w:hint="default"/>
        <w:lang w:val="de-DE" w:eastAsia="en-US" w:bidi="ar-SA"/>
      </w:rPr>
    </w:lvl>
    <w:lvl w:ilvl="8" w:tplc="58D662D4">
      <w:numFmt w:val="bullet"/>
      <w:lvlText w:val="•"/>
      <w:lvlJc w:val="left"/>
      <w:pPr>
        <w:ind w:left="8709" w:hanging="284"/>
      </w:pPr>
      <w:rPr>
        <w:rFonts w:hint="default"/>
        <w:lang w:val="de-DE" w:eastAsia="en-US" w:bidi="ar-SA"/>
      </w:rPr>
    </w:lvl>
  </w:abstractNum>
  <w:abstractNum w:abstractNumId="24" w15:restartNumberingAfterBreak="0">
    <w:nsid w:val="3D553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5" w15:restartNumberingAfterBreak="0">
    <w:nsid w:val="41C200DB"/>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6" w15:restartNumberingAfterBreak="0">
    <w:nsid w:val="471B194A"/>
    <w:multiLevelType w:val="hybridMultilevel"/>
    <w:tmpl w:val="F6B8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3C758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28" w15:restartNumberingAfterBreak="0">
    <w:nsid w:val="49881D0A"/>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29" w15:restartNumberingAfterBreak="0">
    <w:nsid w:val="4C55185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0" w15:restartNumberingAfterBreak="0">
    <w:nsid w:val="4CC0175C"/>
    <w:multiLevelType w:val="hybridMultilevel"/>
    <w:tmpl w:val="BC547514"/>
    <w:lvl w:ilvl="0" w:tplc="4CA0F288">
      <w:start w:val="1"/>
      <w:numFmt w:val="bullet"/>
      <w:lvlText w:val=""/>
      <w:lvlJc w:val="left"/>
      <w:pPr>
        <w:ind w:left="360" w:hanging="360"/>
      </w:pPr>
      <w:rPr>
        <w:rFonts w:ascii="Symbol" w:hAnsi="Symbol" w:hint="default"/>
      </w:rPr>
    </w:lvl>
    <w:lvl w:ilvl="1" w:tplc="02A272A4" w:tentative="1">
      <w:start w:val="1"/>
      <w:numFmt w:val="bullet"/>
      <w:lvlText w:val="o"/>
      <w:lvlJc w:val="left"/>
      <w:pPr>
        <w:ind w:left="2072" w:hanging="360"/>
      </w:pPr>
      <w:rPr>
        <w:rFonts w:ascii="Courier New" w:hAnsi="Courier New" w:cs="Courier New" w:hint="default"/>
      </w:rPr>
    </w:lvl>
    <w:lvl w:ilvl="2" w:tplc="6EBC9FC0" w:tentative="1">
      <w:start w:val="1"/>
      <w:numFmt w:val="bullet"/>
      <w:lvlText w:val=""/>
      <w:lvlJc w:val="left"/>
      <w:pPr>
        <w:ind w:left="2792" w:hanging="360"/>
      </w:pPr>
      <w:rPr>
        <w:rFonts w:ascii="Wingdings" w:hAnsi="Wingdings" w:hint="default"/>
      </w:rPr>
    </w:lvl>
    <w:lvl w:ilvl="3" w:tplc="157487D4" w:tentative="1">
      <w:start w:val="1"/>
      <w:numFmt w:val="bullet"/>
      <w:lvlText w:val=""/>
      <w:lvlJc w:val="left"/>
      <w:pPr>
        <w:ind w:left="3512" w:hanging="360"/>
      </w:pPr>
      <w:rPr>
        <w:rFonts w:ascii="Symbol" w:hAnsi="Symbol" w:hint="default"/>
      </w:rPr>
    </w:lvl>
    <w:lvl w:ilvl="4" w:tplc="612C29FA" w:tentative="1">
      <w:start w:val="1"/>
      <w:numFmt w:val="bullet"/>
      <w:lvlText w:val="o"/>
      <w:lvlJc w:val="left"/>
      <w:pPr>
        <w:ind w:left="4232" w:hanging="360"/>
      </w:pPr>
      <w:rPr>
        <w:rFonts w:ascii="Courier New" w:hAnsi="Courier New" w:cs="Courier New" w:hint="default"/>
      </w:rPr>
    </w:lvl>
    <w:lvl w:ilvl="5" w:tplc="A0B00824" w:tentative="1">
      <w:start w:val="1"/>
      <w:numFmt w:val="bullet"/>
      <w:lvlText w:val=""/>
      <w:lvlJc w:val="left"/>
      <w:pPr>
        <w:ind w:left="4952" w:hanging="360"/>
      </w:pPr>
      <w:rPr>
        <w:rFonts w:ascii="Wingdings" w:hAnsi="Wingdings" w:hint="default"/>
      </w:rPr>
    </w:lvl>
    <w:lvl w:ilvl="6" w:tplc="8D848558" w:tentative="1">
      <w:start w:val="1"/>
      <w:numFmt w:val="bullet"/>
      <w:lvlText w:val=""/>
      <w:lvlJc w:val="left"/>
      <w:pPr>
        <w:ind w:left="5672" w:hanging="360"/>
      </w:pPr>
      <w:rPr>
        <w:rFonts w:ascii="Symbol" w:hAnsi="Symbol" w:hint="default"/>
      </w:rPr>
    </w:lvl>
    <w:lvl w:ilvl="7" w:tplc="E5DA7124" w:tentative="1">
      <w:start w:val="1"/>
      <w:numFmt w:val="bullet"/>
      <w:lvlText w:val="o"/>
      <w:lvlJc w:val="left"/>
      <w:pPr>
        <w:ind w:left="6392" w:hanging="360"/>
      </w:pPr>
      <w:rPr>
        <w:rFonts w:ascii="Courier New" w:hAnsi="Courier New" w:cs="Courier New" w:hint="default"/>
      </w:rPr>
    </w:lvl>
    <w:lvl w:ilvl="8" w:tplc="05B8C438" w:tentative="1">
      <w:start w:val="1"/>
      <w:numFmt w:val="bullet"/>
      <w:lvlText w:val=""/>
      <w:lvlJc w:val="left"/>
      <w:pPr>
        <w:ind w:left="7112" w:hanging="360"/>
      </w:pPr>
      <w:rPr>
        <w:rFonts w:ascii="Wingdings" w:hAnsi="Wingdings" w:hint="default"/>
      </w:rPr>
    </w:lvl>
  </w:abstractNum>
  <w:abstractNum w:abstractNumId="31" w15:restartNumberingAfterBreak="0">
    <w:nsid w:val="4E090470"/>
    <w:multiLevelType w:val="hybridMultilevel"/>
    <w:tmpl w:val="38DA79CE"/>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2" w15:restartNumberingAfterBreak="0">
    <w:nsid w:val="4FF51D60"/>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3" w15:restartNumberingAfterBreak="0">
    <w:nsid w:val="5F3F4D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34" w15:restartNumberingAfterBreak="0">
    <w:nsid w:val="5F812F93"/>
    <w:multiLevelType w:val="hybridMultilevel"/>
    <w:tmpl w:val="2FE830D8"/>
    <w:lvl w:ilvl="0" w:tplc="FFFFFFFF">
      <w:start w:val="1"/>
      <w:numFmt w:val="lowerLetter"/>
      <w:lvlText w:val="%1."/>
      <w:lvlJc w:val="left"/>
      <w:pPr>
        <w:ind w:left="831" w:hanging="360"/>
      </w:pPr>
      <w:rPr>
        <w:rFonts w:ascii="Times New Roman" w:hAnsi="Times New Roman" w:cs="Times New Roman" w:hint="default"/>
        <w:b/>
      </w:rPr>
    </w:lvl>
    <w:lvl w:ilvl="1" w:tplc="FFFFFFFF">
      <w:start w:val="1"/>
      <w:numFmt w:val="upperLetter"/>
      <w:lvlText w:val="%2."/>
      <w:lvlJc w:val="left"/>
      <w:pPr>
        <w:ind w:left="1680" w:hanging="440"/>
      </w:pPr>
    </w:lvl>
    <w:lvl w:ilvl="2" w:tplc="FFFFFFFF" w:tentative="1">
      <w:start w:val="1"/>
      <w:numFmt w:val="lowerRoman"/>
      <w:lvlText w:val="%3."/>
      <w:lvlJc w:val="right"/>
      <w:pPr>
        <w:ind w:left="2120" w:hanging="440"/>
      </w:pPr>
    </w:lvl>
    <w:lvl w:ilvl="3" w:tplc="FFFFFFFF" w:tentative="1">
      <w:start w:val="1"/>
      <w:numFmt w:val="decimal"/>
      <w:lvlText w:val="%4."/>
      <w:lvlJc w:val="left"/>
      <w:pPr>
        <w:ind w:left="2560" w:hanging="440"/>
      </w:pPr>
    </w:lvl>
    <w:lvl w:ilvl="4" w:tplc="FFFFFFFF" w:tentative="1">
      <w:start w:val="1"/>
      <w:numFmt w:val="upperLetter"/>
      <w:lvlText w:val="%5."/>
      <w:lvlJc w:val="left"/>
      <w:pPr>
        <w:ind w:left="3000" w:hanging="440"/>
      </w:pPr>
    </w:lvl>
    <w:lvl w:ilvl="5" w:tplc="FFFFFFFF" w:tentative="1">
      <w:start w:val="1"/>
      <w:numFmt w:val="lowerRoman"/>
      <w:lvlText w:val="%6."/>
      <w:lvlJc w:val="right"/>
      <w:pPr>
        <w:ind w:left="3440" w:hanging="440"/>
      </w:pPr>
    </w:lvl>
    <w:lvl w:ilvl="6" w:tplc="FFFFFFFF" w:tentative="1">
      <w:start w:val="1"/>
      <w:numFmt w:val="decimal"/>
      <w:lvlText w:val="%7."/>
      <w:lvlJc w:val="left"/>
      <w:pPr>
        <w:ind w:left="3880" w:hanging="440"/>
      </w:pPr>
    </w:lvl>
    <w:lvl w:ilvl="7" w:tplc="FFFFFFFF" w:tentative="1">
      <w:start w:val="1"/>
      <w:numFmt w:val="upperLetter"/>
      <w:lvlText w:val="%8."/>
      <w:lvlJc w:val="left"/>
      <w:pPr>
        <w:ind w:left="4320" w:hanging="440"/>
      </w:pPr>
    </w:lvl>
    <w:lvl w:ilvl="8" w:tplc="FFFFFFFF" w:tentative="1">
      <w:start w:val="1"/>
      <w:numFmt w:val="lowerRoman"/>
      <w:lvlText w:val="%9."/>
      <w:lvlJc w:val="right"/>
      <w:pPr>
        <w:ind w:left="4760" w:hanging="440"/>
      </w:pPr>
    </w:lvl>
  </w:abstractNum>
  <w:abstractNum w:abstractNumId="35" w15:restartNumberingAfterBreak="0">
    <w:nsid w:val="5FA91192"/>
    <w:multiLevelType w:val="hybridMultilevel"/>
    <w:tmpl w:val="7450C1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29D5D0B"/>
    <w:multiLevelType w:val="hybridMultilevel"/>
    <w:tmpl w:val="38DA79CE"/>
    <w:lvl w:ilvl="0" w:tplc="FFFFFFFF">
      <w:start w:val="1"/>
      <w:numFmt w:val="lowerLetter"/>
      <w:lvlText w:val="%1."/>
      <w:lvlJc w:val="left"/>
      <w:pPr>
        <w:ind w:left="360" w:hanging="360"/>
      </w:pPr>
      <w:rPr>
        <w:rFonts w:ascii="Times New Roman" w:hAnsi="Times New Roman" w:cs="Times New Roman" w:hint="default"/>
        <w:b/>
      </w:rPr>
    </w:lvl>
    <w:lvl w:ilvl="1" w:tplc="FFFFFFFF">
      <w:start w:val="1"/>
      <w:numFmt w:val="upperLetter"/>
      <w:lvlText w:val="%2."/>
      <w:lvlJc w:val="left"/>
      <w:pPr>
        <w:ind w:left="1209" w:hanging="440"/>
      </w:pPr>
    </w:lvl>
    <w:lvl w:ilvl="2" w:tplc="FFFFFFFF" w:tentative="1">
      <w:start w:val="1"/>
      <w:numFmt w:val="lowerRoman"/>
      <w:lvlText w:val="%3."/>
      <w:lvlJc w:val="right"/>
      <w:pPr>
        <w:ind w:left="1649" w:hanging="440"/>
      </w:pPr>
    </w:lvl>
    <w:lvl w:ilvl="3" w:tplc="FFFFFFFF" w:tentative="1">
      <w:start w:val="1"/>
      <w:numFmt w:val="decimal"/>
      <w:lvlText w:val="%4."/>
      <w:lvlJc w:val="left"/>
      <w:pPr>
        <w:ind w:left="2089" w:hanging="440"/>
      </w:pPr>
    </w:lvl>
    <w:lvl w:ilvl="4" w:tplc="FFFFFFFF" w:tentative="1">
      <w:start w:val="1"/>
      <w:numFmt w:val="upperLetter"/>
      <w:lvlText w:val="%5."/>
      <w:lvlJc w:val="left"/>
      <w:pPr>
        <w:ind w:left="2529" w:hanging="440"/>
      </w:pPr>
    </w:lvl>
    <w:lvl w:ilvl="5" w:tplc="FFFFFFFF" w:tentative="1">
      <w:start w:val="1"/>
      <w:numFmt w:val="lowerRoman"/>
      <w:lvlText w:val="%6."/>
      <w:lvlJc w:val="right"/>
      <w:pPr>
        <w:ind w:left="2969" w:hanging="440"/>
      </w:pPr>
    </w:lvl>
    <w:lvl w:ilvl="6" w:tplc="FFFFFFFF" w:tentative="1">
      <w:start w:val="1"/>
      <w:numFmt w:val="decimal"/>
      <w:lvlText w:val="%7."/>
      <w:lvlJc w:val="left"/>
      <w:pPr>
        <w:ind w:left="3409" w:hanging="440"/>
      </w:pPr>
    </w:lvl>
    <w:lvl w:ilvl="7" w:tplc="FFFFFFFF" w:tentative="1">
      <w:start w:val="1"/>
      <w:numFmt w:val="upperLetter"/>
      <w:lvlText w:val="%8."/>
      <w:lvlJc w:val="left"/>
      <w:pPr>
        <w:ind w:left="3849" w:hanging="440"/>
      </w:pPr>
    </w:lvl>
    <w:lvl w:ilvl="8" w:tplc="FFFFFFFF" w:tentative="1">
      <w:start w:val="1"/>
      <w:numFmt w:val="lowerRoman"/>
      <w:lvlText w:val="%9."/>
      <w:lvlJc w:val="right"/>
      <w:pPr>
        <w:ind w:left="4289" w:hanging="440"/>
      </w:pPr>
    </w:lvl>
  </w:abstractNum>
  <w:abstractNum w:abstractNumId="37" w15:restartNumberingAfterBreak="0">
    <w:nsid w:val="642E1531"/>
    <w:multiLevelType w:val="hybridMultilevel"/>
    <w:tmpl w:val="381CF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4514BF4"/>
    <w:multiLevelType w:val="hybridMultilevel"/>
    <w:tmpl w:val="2FE830D8"/>
    <w:lvl w:ilvl="0" w:tplc="689486F6">
      <w:start w:val="1"/>
      <w:numFmt w:val="lowerLetter"/>
      <w:lvlText w:val="%1."/>
      <w:lvlJc w:val="left"/>
      <w:pPr>
        <w:ind w:left="-648" w:hanging="360"/>
      </w:pPr>
      <w:rPr>
        <w:rFonts w:ascii="Times New Roman" w:hAnsi="Times New Roman" w:cs="Times New Roman" w:hint="default"/>
        <w:b/>
      </w:rPr>
    </w:lvl>
    <w:lvl w:ilvl="1" w:tplc="04090019" w:tentative="1">
      <w:start w:val="1"/>
      <w:numFmt w:val="upperLetter"/>
      <w:lvlText w:val="%2."/>
      <w:lvlJc w:val="left"/>
      <w:pPr>
        <w:ind w:left="201" w:hanging="440"/>
      </w:pPr>
    </w:lvl>
    <w:lvl w:ilvl="2" w:tplc="0409001B" w:tentative="1">
      <w:start w:val="1"/>
      <w:numFmt w:val="lowerRoman"/>
      <w:lvlText w:val="%3."/>
      <w:lvlJc w:val="right"/>
      <w:pPr>
        <w:ind w:left="641" w:hanging="440"/>
      </w:pPr>
    </w:lvl>
    <w:lvl w:ilvl="3" w:tplc="0409000F" w:tentative="1">
      <w:start w:val="1"/>
      <w:numFmt w:val="decimal"/>
      <w:lvlText w:val="%4."/>
      <w:lvlJc w:val="left"/>
      <w:pPr>
        <w:ind w:left="1081" w:hanging="440"/>
      </w:pPr>
    </w:lvl>
    <w:lvl w:ilvl="4" w:tplc="04090019" w:tentative="1">
      <w:start w:val="1"/>
      <w:numFmt w:val="upperLetter"/>
      <w:lvlText w:val="%5."/>
      <w:lvlJc w:val="left"/>
      <w:pPr>
        <w:ind w:left="1521" w:hanging="440"/>
      </w:pPr>
    </w:lvl>
    <w:lvl w:ilvl="5" w:tplc="0409001B" w:tentative="1">
      <w:start w:val="1"/>
      <w:numFmt w:val="lowerRoman"/>
      <w:lvlText w:val="%6."/>
      <w:lvlJc w:val="right"/>
      <w:pPr>
        <w:ind w:left="1961" w:hanging="440"/>
      </w:pPr>
    </w:lvl>
    <w:lvl w:ilvl="6" w:tplc="0409000F" w:tentative="1">
      <w:start w:val="1"/>
      <w:numFmt w:val="decimal"/>
      <w:lvlText w:val="%7."/>
      <w:lvlJc w:val="left"/>
      <w:pPr>
        <w:ind w:left="2401" w:hanging="440"/>
      </w:pPr>
    </w:lvl>
    <w:lvl w:ilvl="7" w:tplc="04090019" w:tentative="1">
      <w:start w:val="1"/>
      <w:numFmt w:val="upperLetter"/>
      <w:lvlText w:val="%8."/>
      <w:lvlJc w:val="left"/>
      <w:pPr>
        <w:ind w:left="2841" w:hanging="440"/>
      </w:pPr>
    </w:lvl>
    <w:lvl w:ilvl="8" w:tplc="0409001B" w:tentative="1">
      <w:start w:val="1"/>
      <w:numFmt w:val="lowerRoman"/>
      <w:lvlText w:val="%9."/>
      <w:lvlJc w:val="right"/>
      <w:pPr>
        <w:ind w:left="3281" w:hanging="440"/>
      </w:pPr>
    </w:lvl>
  </w:abstractNum>
  <w:abstractNum w:abstractNumId="39" w15:restartNumberingAfterBreak="0">
    <w:nsid w:val="64764B74"/>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0" w15:restartNumberingAfterBreak="0">
    <w:nsid w:val="653904C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1" w15:restartNumberingAfterBreak="0">
    <w:nsid w:val="6EDA6C1F"/>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2" w15:restartNumberingAfterBreak="0">
    <w:nsid w:val="70C03939"/>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3" w15:restartNumberingAfterBreak="0">
    <w:nsid w:val="740820E1"/>
    <w:multiLevelType w:val="hybridMultilevel"/>
    <w:tmpl w:val="AC245350"/>
    <w:lvl w:ilvl="0" w:tplc="DFE84B9A">
      <w:start w:val="1"/>
      <w:numFmt w:val="bullet"/>
      <w:lvlText w:val="-"/>
      <w:lvlJc w:val="left"/>
      <w:pPr>
        <w:ind w:left="4613" w:hanging="360"/>
      </w:pPr>
      <w:rPr>
        <w:rFonts w:ascii="Times New Roman" w:eastAsia="MS Mincho" w:hAnsi="Times New Roman" w:cs="Times New Roman" w:hint="default"/>
        <w:b/>
      </w:rPr>
    </w:lvl>
    <w:lvl w:ilvl="1" w:tplc="04090003" w:tentative="1">
      <w:start w:val="1"/>
      <w:numFmt w:val="bullet"/>
      <w:lvlText w:val=""/>
      <w:lvlJc w:val="left"/>
      <w:pPr>
        <w:ind w:left="5133" w:hanging="440"/>
      </w:pPr>
      <w:rPr>
        <w:rFonts w:ascii="Wingdings" w:hAnsi="Wingdings" w:hint="default"/>
      </w:rPr>
    </w:lvl>
    <w:lvl w:ilvl="2" w:tplc="04090005" w:tentative="1">
      <w:start w:val="1"/>
      <w:numFmt w:val="bullet"/>
      <w:lvlText w:val=""/>
      <w:lvlJc w:val="left"/>
      <w:pPr>
        <w:ind w:left="5573" w:hanging="440"/>
      </w:pPr>
      <w:rPr>
        <w:rFonts w:ascii="Wingdings" w:hAnsi="Wingdings" w:hint="default"/>
      </w:rPr>
    </w:lvl>
    <w:lvl w:ilvl="3" w:tplc="04090001" w:tentative="1">
      <w:start w:val="1"/>
      <w:numFmt w:val="bullet"/>
      <w:lvlText w:val=""/>
      <w:lvlJc w:val="left"/>
      <w:pPr>
        <w:ind w:left="6013" w:hanging="440"/>
      </w:pPr>
      <w:rPr>
        <w:rFonts w:ascii="Wingdings" w:hAnsi="Wingdings" w:hint="default"/>
      </w:rPr>
    </w:lvl>
    <w:lvl w:ilvl="4" w:tplc="04090003" w:tentative="1">
      <w:start w:val="1"/>
      <w:numFmt w:val="bullet"/>
      <w:lvlText w:val=""/>
      <w:lvlJc w:val="left"/>
      <w:pPr>
        <w:ind w:left="6453" w:hanging="440"/>
      </w:pPr>
      <w:rPr>
        <w:rFonts w:ascii="Wingdings" w:hAnsi="Wingdings" w:hint="default"/>
      </w:rPr>
    </w:lvl>
    <w:lvl w:ilvl="5" w:tplc="04090005" w:tentative="1">
      <w:start w:val="1"/>
      <w:numFmt w:val="bullet"/>
      <w:lvlText w:val=""/>
      <w:lvlJc w:val="left"/>
      <w:pPr>
        <w:ind w:left="6893" w:hanging="440"/>
      </w:pPr>
      <w:rPr>
        <w:rFonts w:ascii="Wingdings" w:hAnsi="Wingdings" w:hint="default"/>
      </w:rPr>
    </w:lvl>
    <w:lvl w:ilvl="6" w:tplc="04090001" w:tentative="1">
      <w:start w:val="1"/>
      <w:numFmt w:val="bullet"/>
      <w:lvlText w:val=""/>
      <w:lvlJc w:val="left"/>
      <w:pPr>
        <w:ind w:left="7333" w:hanging="440"/>
      </w:pPr>
      <w:rPr>
        <w:rFonts w:ascii="Wingdings" w:hAnsi="Wingdings" w:hint="default"/>
      </w:rPr>
    </w:lvl>
    <w:lvl w:ilvl="7" w:tplc="04090003" w:tentative="1">
      <w:start w:val="1"/>
      <w:numFmt w:val="bullet"/>
      <w:lvlText w:val=""/>
      <w:lvlJc w:val="left"/>
      <w:pPr>
        <w:ind w:left="7773" w:hanging="440"/>
      </w:pPr>
      <w:rPr>
        <w:rFonts w:ascii="Wingdings" w:hAnsi="Wingdings" w:hint="default"/>
      </w:rPr>
    </w:lvl>
    <w:lvl w:ilvl="8" w:tplc="04090005" w:tentative="1">
      <w:start w:val="1"/>
      <w:numFmt w:val="bullet"/>
      <w:lvlText w:val=""/>
      <w:lvlJc w:val="left"/>
      <w:pPr>
        <w:ind w:left="8213" w:hanging="440"/>
      </w:pPr>
      <w:rPr>
        <w:rFonts w:ascii="Wingdings" w:hAnsi="Wingdings" w:hint="default"/>
      </w:rPr>
    </w:lvl>
  </w:abstractNum>
  <w:abstractNum w:abstractNumId="44" w15:restartNumberingAfterBreak="0">
    <w:nsid w:val="74B92B02"/>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tentative="1">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5" w15:restartNumberingAfterBreak="0">
    <w:nsid w:val="78D30273"/>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6" w15:restartNumberingAfterBreak="0">
    <w:nsid w:val="7DB729B1"/>
    <w:multiLevelType w:val="hybridMultilevel"/>
    <w:tmpl w:val="2FE830D8"/>
    <w:lvl w:ilvl="0" w:tplc="FFFFFFFF">
      <w:start w:val="1"/>
      <w:numFmt w:val="lowerLetter"/>
      <w:lvlText w:val="%1."/>
      <w:lvlJc w:val="left"/>
      <w:pPr>
        <w:ind w:left="927" w:hanging="360"/>
      </w:pPr>
      <w:rPr>
        <w:rFonts w:ascii="Times New Roman" w:hAnsi="Times New Roman" w:cs="Times New Roman" w:hint="default"/>
        <w:b/>
      </w:rPr>
    </w:lvl>
    <w:lvl w:ilvl="1" w:tplc="FFFFFFFF">
      <w:start w:val="1"/>
      <w:numFmt w:val="upperLetter"/>
      <w:lvlText w:val="%2."/>
      <w:lvlJc w:val="left"/>
      <w:pPr>
        <w:ind w:left="1776" w:hanging="440"/>
      </w:pPr>
    </w:lvl>
    <w:lvl w:ilvl="2" w:tplc="FFFFFFFF" w:tentative="1">
      <w:start w:val="1"/>
      <w:numFmt w:val="lowerRoman"/>
      <w:lvlText w:val="%3."/>
      <w:lvlJc w:val="right"/>
      <w:pPr>
        <w:ind w:left="2216" w:hanging="440"/>
      </w:pPr>
    </w:lvl>
    <w:lvl w:ilvl="3" w:tplc="FFFFFFFF" w:tentative="1">
      <w:start w:val="1"/>
      <w:numFmt w:val="decimal"/>
      <w:lvlText w:val="%4."/>
      <w:lvlJc w:val="left"/>
      <w:pPr>
        <w:ind w:left="2656" w:hanging="440"/>
      </w:pPr>
    </w:lvl>
    <w:lvl w:ilvl="4" w:tplc="FFFFFFFF" w:tentative="1">
      <w:start w:val="1"/>
      <w:numFmt w:val="upperLetter"/>
      <w:lvlText w:val="%5."/>
      <w:lvlJc w:val="left"/>
      <w:pPr>
        <w:ind w:left="3096" w:hanging="440"/>
      </w:pPr>
    </w:lvl>
    <w:lvl w:ilvl="5" w:tplc="FFFFFFFF" w:tentative="1">
      <w:start w:val="1"/>
      <w:numFmt w:val="lowerRoman"/>
      <w:lvlText w:val="%6."/>
      <w:lvlJc w:val="right"/>
      <w:pPr>
        <w:ind w:left="3536" w:hanging="440"/>
      </w:pPr>
    </w:lvl>
    <w:lvl w:ilvl="6" w:tplc="FFFFFFFF" w:tentative="1">
      <w:start w:val="1"/>
      <w:numFmt w:val="decimal"/>
      <w:lvlText w:val="%7."/>
      <w:lvlJc w:val="left"/>
      <w:pPr>
        <w:ind w:left="3976" w:hanging="440"/>
      </w:pPr>
    </w:lvl>
    <w:lvl w:ilvl="7" w:tplc="FFFFFFFF" w:tentative="1">
      <w:start w:val="1"/>
      <w:numFmt w:val="upperLetter"/>
      <w:lvlText w:val="%8."/>
      <w:lvlJc w:val="left"/>
      <w:pPr>
        <w:ind w:left="4416" w:hanging="440"/>
      </w:pPr>
    </w:lvl>
    <w:lvl w:ilvl="8" w:tplc="FFFFFFFF" w:tentative="1">
      <w:start w:val="1"/>
      <w:numFmt w:val="lowerRoman"/>
      <w:lvlText w:val="%9."/>
      <w:lvlJc w:val="right"/>
      <w:pPr>
        <w:ind w:left="4856" w:hanging="440"/>
      </w:pPr>
    </w:lvl>
  </w:abstractNum>
  <w:abstractNum w:abstractNumId="47" w15:restartNumberingAfterBreak="0">
    <w:nsid w:val="7EF97C53"/>
    <w:multiLevelType w:val="hybridMultilevel"/>
    <w:tmpl w:val="85C2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143141">
    <w:abstractNumId w:val="23"/>
  </w:num>
  <w:num w:numId="2" w16cid:durableId="956833506">
    <w:abstractNumId w:val="47"/>
  </w:num>
  <w:num w:numId="3" w16cid:durableId="121458310">
    <w:abstractNumId w:val="26"/>
  </w:num>
  <w:num w:numId="4" w16cid:durableId="665472526">
    <w:abstractNumId w:val="37"/>
  </w:num>
  <w:num w:numId="5" w16cid:durableId="1372457530">
    <w:abstractNumId w:val="35"/>
  </w:num>
  <w:num w:numId="6" w16cid:durableId="375396915">
    <w:abstractNumId w:val="15"/>
  </w:num>
  <w:num w:numId="7" w16cid:durableId="473839214">
    <w:abstractNumId w:val="14"/>
  </w:num>
  <w:num w:numId="8" w16cid:durableId="1337340097">
    <w:abstractNumId w:val="5"/>
  </w:num>
  <w:num w:numId="9" w16cid:durableId="2135707678">
    <w:abstractNumId w:val="18"/>
  </w:num>
  <w:num w:numId="10" w16cid:durableId="472676414">
    <w:abstractNumId w:val="13"/>
  </w:num>
  <w:num w:numId="11" w16cid:durableId="827787652">
    <w:abstractNumId w:val="38"/>
  </w:num>
  <w:num w:numId="12" w16cid:durableId="201290127">
    <w:abstractNumId w:val="21"/>
  </w:num>
  <w:num w:numId="13" w16cid:durableId="556015516">
    <w:abstractNumId w:val="30"/>
  </w:num>
  <w:num w:numId="14" w16cid:durableId="1391153081">
    <w:abstractNumId w:val="40"/>
  </w:num>
  <w:num w:numId="15" w16cid:durableId="1929846519">
    <w:abstractNumId w:val="33"/>
  </w:num>
  <w:num w:numId="16" w16cid:durableId="622267516">
    <w:abstractNumId w:val="42"/>
  </w:num>
  <w:num w:numId="17" w16cid:durableId="1063718629">
    <w:abstractNumId w:val="1"/>
  </w:num>
  <w:num w:numId="18" w16cid:durableId="679822280">
    <w:abstractNumId w:val="46"/>
  </w:num>
  <w:num w:numId="19" w16cid:durableId="1339427782">
    <w:abstractNumId w:val="43"/>
  </w:num>
  <w:num w:numId="20" w16cid:durableId="1688217462">
    <w:abstractNumId w:val="25"/>
  </w:num>
  <w:num w:numId="21" w16cid:durableId="869562640">
    <w:abstractNumId w:val="39"/>
  </w:num>
  <w:num w:numId="22" w16cid:durableId="1845124686">
    <w:abstractNumId w:val="8"/>
  </w:num>
  <w:num w:numId="23" w16cid:durableId="456991487">
    <w:abstractNumId w:val="9"/>
  </w:num>
  <w:num w:numId="24" w16cid:durableId="175385372">
    <w:abstractNumId w:val="22"/>
  </w:num>
  <w:num w:numId="25" w16cid:durableId="1228111283">
    <w:abstractNumId w:val="45"/>
  </w:num>
  <w:num w:numId="26" w16cid:durableId="1103645469">
    <w:abstractNumId w:val="31"/>
  </w:num>
  <w:num w:numId="27" w16cid:durableId="944192545">
    <w:abstractNumId w:val="19"/>
  </w:num>
  <w:num w:numId="28" w16cid:durableId="213389921">
    <w:abstractNumId w:val="7"/>
  </w:num>
  <w:num w:numId="29" w16cid:durableId="76635080">
    <w:abstractNumId w:val="2"/>
  </w:num>
  <w:num w:numId="30" w16cid:durableId="1149320206">
    <w:abstractNumId w:val="0"/>
  </w:num>
  <w:num w:numId="31" w16cid:durableId="1723629250">
    <w:abstractNumId w:val="12"/>
  </w:num>
  <w:num w:numId="32" w16cid:durableId="95372190">
    <w:abstractNumId w:val="29"/>
  </w:num>
  <w:num w:numId="33" w16cid:durableId="2006933287">
    <w:abstractNumId w:val="24"/>
  </w:num>
  <w:num w:numId="34" w16cid:durableId="464540615">
    <w:abstractNumId w:val="44"/>
  </w:num>
  <w:num w:numId="35" w16cid:durableId="1935238470">
    <w:abstractNumId w:val="16"/>
  </w:num>
  <w:num w:numId="36" w16cid:durableId="4863845">
    <w:abstractNumId w:val="20"/>
  </w:num>
  <w:num w:numId="37" w16cid:durableId="170066216">
    <w:abstractNumId w:val="27"/>
  </w:num>
  <w:num w:numId="38" w16cid:durableId="716197303">
    <w:abstractNumId w:val="32"/>
  </w:num>
  <w:num w:numId="39" w16cid:durableId="292103303">
    <w:abstractNumId w:val="28"/>
  </w:num>
  <w:num w:numId="40" w16cid:durableId="894462655">
    <w:abstractNumId w:val="34"/>
  </w:num>
  <w:num w:numId="41" w16cid:durableId="653872609">
    <w:abstractNumId w:val="3"/>
  </w:num>
  <w:num w:numId="42" w16cid:durableId="44453328">
    <w:abstractNumId w:val="6"/>
  </w:num>
  <w:num w:numId="43" w16cid:durableId="442773613">
    <w:abstractNumId w:val="41"/>
  </w:num>
  <w:num w:numId="44" w16cid:durableId="484399780">
    <w:abstractNumId w:val="4"/>
  </w:num>
  <w:num w:numId="45" w16cid:durableId="196041375">
    <w:abstractNumId w:val="36"/>
  </w:num>
  <w:num w:numId="46" w16cid:durableId="773205706">
    <w:abstractNumId w:val="17"/>
  </w:num>
  <w:num w:numId="47" w16cid:durableId="730662983">
    <w:abstractNumId w:val="10"/>
  </w:num>
  <w:num w:numId="48" w16cid:durableId="16498285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proofState w:spelling="clean" w:grammar="clean"/>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56"/>
    <w:rsid w:val="0000012E"/>
    <w:rsid w:val="0000047F"/>
    <w:rsid w:val="00000575"/>
    <w:rsid w:val="000007EE"/>
    <w:rsid w:val="000073D5"/>
    <w:rsid w:val="00010AF3"/>
    <w:rsid w:val="00011F17"/>
    <w:rsid w:val="00012966"/>
    <w:rsid w:val="00013A17"/>
    <w:rsid w:val="00021D3F"/>
    <w:rsid w:val="000306BE"/>
    <w:rsid w:val="0003076D"/>
    <w:rsid w:val="0003586A"/>
    <w:rsid w:val="00046301"/>
    <w:rsid w:val="0005245F"/>
    <w:rsid w:val="00052BF9"/>
    <w:rsid w:val="00052E40"/>
    <w:rsid w:val="00052FFF"/>
    <w:rsid w:val="000558A1"/>
    <w:rsid w:val="00056D78"/>
    <w:rsid w:val="0006294C"/>
    <w:rsid w:val="00062EF3"/>
    <w:rsid w:val="00065697"/>
    <w:rsid w:val="0007114D"/>
    <w:rsid w:val="00071CAE"/>
    <w:rsid w:val="0007508C"/>
    <w:rsid w:val="0008144D"/>
    <w:rsid w:val="00082C20"/>
    <w:rsid w:val="000836B7"/>
    <w:rsid w:val="00083F01"/>
    <w:rsid w:val="00086D3E"/>
    <w:rsid w:val="00087CDA"/>
    <w:rsid w:val="00090ADD"/>
    <w:rsid w:val="000915A6"/>
    <w:rsid w:val="0009167C"/>
    <w:rsid w:val="00093A5E"/>
    <w:rsid w:val="00093E4C"/>
    <w:rsid w:val="00093FF7"/>
    <w:rsid w:val="000957F1"/>
    <w:rsid w:val="00097CF4"/>
    <w:rsid w:val="000A4CE8"/>
    <w:rsid w:val="000A50FF"/>
    <w:rsid w:val="000A74E3"/>
    <w:rsid w:val="000A7E62"/>
    <w:rsid w:val="000B1FEC"/>
    <w:rsid w:val="000B2DE7"/>
    <w:rsid w:val="000B6E11"/>
    <w:rsid w:val="000C0699"/>
    <w:rsid w:val="000C4DCB"/>
    <w:rsid w:val="000C56E6"/>
    <w:rsid w:val="000D0172"/>
    <w:rsid w:val="000D2A61"/>
    <w:rsid w:val="000D3068"/>
    <w:rsid w:val="000D4CFE"/>
    <w:rsid w:val="000D6EF1"/>
    <w:rsid w:val="000D7509"/>
    <w:rsid w:val="000E33CE"/>
    <w:rsid w:val="000E4D99"/>
    <w:rsid w:val="000E5DD7"/>
    <w:rsid w:val="000E6C43"/>
    <w:rsid w:val="000F19ED"/>
    <w:rsid w:val="000F4BF6"/>
    <w:rsid w:val="000F79EC"/>
    <w:rsid w:val="0010054B"/>
    <w:rsid w:val="00101625"/>
    <w:rsid w:val="00107B53"/>
    <w:rsid w:val="001101F8"/>
    <w:rsid w:val="00111252"/>
    <w:rsid w:val="0011146A"/>
    <w:rsid w:val="001151E6"/>
    <w:rsid w:val="00115ACE"/>
    <w:rsid w:val="001211F2"/>
    <w:rsid w:val="00121CB7"/>
    <w:rsid w:val="001220E1"/>
    <w:rsid w:val="00124D13"/>
    <w:rsid w:val="00125B1C"/>
    <w:rsid w:val="00125D28"/>
    <w:rsid w:val="00126AC1"/>
    <w:rsid w:val="00130002"/>
    <w:rsid w:val="00130BF6"/>
    <w:rsid w:val="00130F18"/>
    <w:rsid w:val="00134BBA"/>
    <w:rsid w:val="0013617A"/>
    <w:rsid w:val="001444C1"/>
    <w:rsid w:val="00145326"/>
    <w:rsid w:val="00145B8C"/>
    <w:rsid w:val="0014704E"/>
    <w:rsid w:val="0015120A"/>
    <w:rsid w:val="00151359"/>
    <w:rsid w:val="0015256C"/>
    <w:rsid w:val="0015574F"/>
    <w:rsid w:val="001609E6"/>
    <w:rsid w:val="001617A8"/>
    <w:rsid w:val="001703E8"/>
    <w:rsid w:val="00171E3F"/>
    <w:rsid w:val="00172ADF"/>
    <w:rsid w:val="0018020B"/>
    <w:rsid w:val="0018324B"/>
    <w:rsid w:val="001842E5"/>
    <w:rsid w:val="001858FA"/>
    <w:rsid w:val="001937F6"/>
    <w:rsid w:val="00193C36"/>
    <w:rsid w:val="0019747F"/>
    <w:rsid w:val="001A29C8"/>
    <w:rsid w:val="001A2CE7"/>
    <w:rsid w:val="001A473A"/>
    <w:rsid w:val="001A525C"/>
    <w:rsid w:val="001A59B7"/>
    <w:rsid w:val="001A5A98"/>
    <w:rsid w:val="001B205F"/>
    <w:rsid w:val="001B63FA"/>
    <w:rsid w:val="001C23FE"/>
    <w:rsid w:val="001C74AC"/>
    <w:rsid w:val="001C7532"/>
    <w:rsid w:val="001C75AE"/>
    <w:rsid w:val="001C7BA5"/>
    <w:rsid w:val="001D1EBD"/>
    <w:rsid w:val="001D48D6"/>
    <w:rsid w:val="001D583B"/>
    <w:rsid w:val="001D65BB"/>
    <w:rsid w:val="001D77D5"/>
    <w:rsid w:val="001E053C"/>
    <w:rsid w:val="001E16F7"/>
    <w:rsid w:val="001E1BB0"/>
    <w:rsid w:val="001E42B6"/>
    <w:rsid w:val="001E576B"/>
    <w:rsid w:val="001E7602"/>
    <w:rsid w:val="001F6E57"/>
    <w:rsid w:val="001F7513"/>
    <w:rsid w:val="00202B78"/>
    <w:rsid w:val="0020487E"/>
    <w:rsid w:val="0020719C"/>
    <w:rsid w:val="00207C77"/>
    <w:rsid w:val="00210878"/>
    <w:rsid w:val="0021328A"/>
    <w:rsid w:val="002151C6"/>
    <w:rsid w:val="002162B3"/>
    <w:rsid w:val="002164F0"/>
    <w:rsid w:val="002221F3"/>
    <w:rsid w:val="00222C73"/>
    <w:rsid w:val="00227E7F"/>
    <w:rsid w:val="00232F49"/>
    <w:rsid w:val="0023786A"/>
    <w:rsid w:val="00237B44"/>
    <w:rsid w:val="0024101B"/>
    <w:rsid w:val="00242BF4"/>
    <w:rsid w:val="00250081"/>
    <w:rsid w:val="00255FBD"/>
    <w:rsid w:val="00260292"/>
    <w:rsid w:val="00265A4B"/>
    <w:rsid w:val="00265CD0"/>
    <w:rsid w:val="0027047C"/>
    <w:rsid w:val="00270C20"/>
    <w:rsid w:val="002735DD"/>
    <w:rsid w:val="00273FD2"/>
    <w:rsid w:val="00274F58"/>
    <w:rsid w:val="00276506"/>
    <w:rsid w:val="00280869"/>
    <w:rsid w:val="0028096A"/>
    <w:rsid w:val="00281C8D"/>
    <w:rsid w:val="00282BB4"/>
    <w:rsid w:val="0028532E"/>
    <w:rsid w:val="002856D0"/>
    <w:rsid w:val="00285DDD"/>
    <w:rsid w:val="002870CF"/>
    <w:rsid w:val="00287F9A"/>
    <w:rsid w:val="002931B1"/>
    <w:rsid w:val="002A186A"/>
    <w:rsid w:val="002A1D61"/>
    <w:rsid w:val="002A3A61"/>
    <w:rsid w:val="002A49CD"/>
    <w:rsid w:val="002A6252"/>
    <w:rsid w:val="002B3A34"/>
    <w:rsid w:val="002B7747"/>
    <w:rsid w:val="002C03F6"/>
    <w:rsid w:val="002C22A8"/>
    <w:rsid w:val="002C488A"/>
    <w:rsid w:val="002C5B3A"/>
    <w:rsid w:val="002C6E68"/>
    <w:rsid w:val="002D1677"/>
    <w:rsid w:val="002D5756"/>
    <w:rsid w:val="002D69B8"/>
    <w:rsid w:val="002D7C17"/>
    <w:rsid w:val="002E1793"/>
    <w:rsid w:val="002E2525"/>
    <w:rsid w:val="002E74D7"/>
    <w:rsid w:val="002F6CA4"/>
    <w:rsid w:val="003005B3"/>
    <w:rsid w:val="00310243"/>
    <w:rsid w:val="0031179B"/>
    <w:rsid w:val="00311CEC"/>
    <w:rsid w:val="00314391"/>
    <w:rsid w:val="0031628E"/>
    <w:rsid w:val="0032029A"/>
    <w:rsid w:val="00321ED9"/>
    <w:rsid w:val="003223CA"/>
    <w:rsid w:val="00322FF0"/>
    <w:rsid w:val="00331219"/>
    <w:rsid w:val="00332513"/>
    <w:rsid w:val="00332B53"/>
    <w:rsid w:val="00336129"/>
    <w:rsid w:val="0034057A"/>
    <w:rsid w:val="00341837"/>
    <w:rsid w:val="003425C0"/>
    <w:rsid w:val="00342665"/>
    <w:rsid w:val="003427C0"/>
    <w:rsid w:val="003427E8"/>
    <w:rsid w:val="003452D3"/>
    <w:rsid w:val="00347DE1"/>
    <w:rsid w:val="00352D0A"/>
    <w:rsid w:val="003542B5"/>
    <w:rsid w:val="00354C7F"/>
    <w:rsid w:val="00355E7F"/>
    <w:rsid w:val="00357FC5"/>
    <w:rsid w:val="003619F1"/>
    <w:rsid w:val="00362777"/>
    <w:rsid w:val="003636CF"/>
    <w:rsid w:val="00364146"/>
    <w:rsid w:val="0036615F"/>
    <w:rsid w:val="003670BB"/>
    <w:rsid w:val="003671E1"/>
    <w:rsid w:val="00367D66"/>
    <w:rsid w:val="00370A19"/>
    <w:rsid w:val="00370D83"/>
    <w:rsid w:val="00372A4A"/>
    <w:rsid w:val="00372E3E"/>
    <w:rsid w:val="00377251"/>
    <w:rsid w:val="0038044D"/>
    <w:rsid w:val="00380610"/>
    <w:rsid w:val="00383DD8"/>
    <w:rsid w:val="00384E39"/>
    <w:rsid w:val="00386852"/>
    <w:rsid w:val="00387ABD"/>
    <w:rsid w:val="00391279"/>
    <w:rsid w:val="00391F95"/>
    <w:rsid w:val="003946B7"/>
    <w:rsid w:val="0039515D"/>
    <w:rsid w:val="003956A4"/>
    <w:rsid w:val="0039573B"/>
    <w:rsid w:val="00395B29"/>
    <w:rsid w:val="003969E2"/>
    <w:rsid w:val="003A6E4F"/>
    <w:rsid w:val="003A6F6A"/>
    <w:rsid w:val="003B1343"/>
    <w:rsid w:val="003B1F53"/>
    <w:rsid w:val="003B5BBF"/>
    <w:rsid w:val="003C0F6B"/>
    <w:rsid w:val="003C5089"/>
    <w:rsid w:val="003C650A"/>
    <w:rsid w:val="003D0595"/>
    <w:rsid w:val="003D105F"/>
    <w:rsid w:val="003D286F"/>
    <w:rsid w:val="003D423B"/>
    <w:rsid w:val="003D7846"/>
    <w:rsid w:val="003E4392"/>
    <w:rsid w:val="003E5683"/>
    <w:rsid w:val="003E77F3"/>
    <w:rsid w:val="003F2EA4"/>
    <w:rsid w:val="003F61C2"/>
    <w:rsid w:val="00401C76"/>
    <w:rsid w:val="0040275C"/>
    <w:rsid w:val="00402973"/>
    <w:rsid w:val="00404C76"/>
    <w:rsid w:val="00407BAF"/>
    <w:rsid w:val="00410BDC"/>
    <w:rsid w:val="004111A5"/>
    <w:rsid w:val="00417CE2"/>
    <w:rsid w:val="00422697"/>
    <w:rsid w:val="00424F58"/>
    <w:rsid w:val="004255F8"/>
    <w:rsid w:val="00426894"/>
    <w:rsid w:val="0043558C"/>
    <w:rsid w:val="004413A0"/>
    <w:rsid w:val="00442B9E"/>
    <w:rsid w:val="004433DF"/>
    <w:rsid w:val="00443655"/>
    <w:rsid w:val="00451480"/>
    <w:rsid w:val="0045297C"/>
    <w:rsid w:val="00456610"/>
    <w:rsid w:val="00460ED9"/>
    <w:rsid w:val="00462095"/>
    <w:rsid w:val="00462825"/>
    <w:rsid w:val="0046466E"/>
    <w:rsid w:val="00467BB4"/>
    <w:rsid w:val="00471796"/>
    <w:rsid w:val="00472294"/>
    <w:rsid w:val="00477FA5"/>
    <w:rsid w:val="00486497"/>
    <w:rsid w:val="00486949"/>
    <w:rsid w:val="00490BDE"/>
    <w:rsid w:val="00490D48"/>
    <w:rsid w:val="00494CFF"/>
    <w:rsid w:val="004962B0"/>
    <w:rsid w:val="004965A7"/>
    <w:rsid w:val="00496DF0"/>
    <w:rsid w:val="004A0C6A"/>
    <w:rsid w:val="004A22D2"/>
    <w:rsid w:val="004A388C"/>
    <w:rsid w:val="004A53CC"/>
    <w:rsid w:val="004B0A82"/>
    <w:rsid w:val="004B11D5"/>
    <w:rsid w:val="004B285C"/>
    <w:rsid w:val="004B2F66"/>
    <w:rsid w:val="004B4898"/>
    <w:rsid w:val="004C0355"/>
    <w:rsid w:val="004C15FC"/>
    <w:rsid w:val="004D07A5"/>
    <w:rsid w:val="004D0DFC"/>
    <w:rsid w:val="004D5AA3"/>
    <w:rsid w:val="004D7143"/>
    <w:rsid w:val="004D77C4"/>
    <w:rsid w:val="004E0D48"/>
    <w:rsid w:val="004E14B0"/>
    <w:rsid w:val="004E1F78"/>
    <w:rsid w:val="004E2E18"/>
    <w:rsid w:val="004E3973"/>
    <w:rsid w:val="004E3BD2"/>
    <w:rsid w:val="004E3BD6"/>
    <w:rsid w:val="004E5385"/>
    <w:rsid w:val="004E5EF5"/>
    <w:rsid w:val="004E65F2"/>
    <w:rsid w:val="004E6CA9"/>
    <w:rsid w:val="004F1875"/>
    <w:rsid w:val="004F5F74"/>
    <w:rsid w:val="005000F6"/>
    <w:rsid w:val="00500BB9"/>
    <w:rsid w:val="00504080"/>
    <w:rsid w:val="00504769"/>
    <w:rsid w:val="00507ECB"/>
    <w:rsid w:val="00511568"/>
    <w:rsid w:val="00511A40"/>
    <w:rsid w:val="00513B08"/>
    <w:rsid w:val="00514486"/>
    <w:rsid w:val="00515398"/>
    <w:rsid w:val="0051616F"/>
    <w:rsid w:val="00516DC3"/>
    <w:rsid w:val="00517106"/>
    <w:rsid w:val="00517E3F"/>
    <w:rsid w:val="00517EEA"/>
    <w:rsid w:val="0052695F"/>
    <w:rsid w:val="00531179"/>
    <w:rsid w:val="0053368C"/>
    <w:rsid w:val="00536E63"/>
    <w:rsid w:val="005433AA"/>
    <w:rsid w:val="00544FFF"/>
    <w:rsid w:val="00545D0B"/>
    <w:rsid w:val="00553BC2"/>
    <w:rsid w:val="00553D84"/>
    <w:rsid w:val="00554EEA"/>
    <w:rsid w:val="0055527D"/>
    <w:rsid w:val="005556CB"/>
    <w:rsid w:val="00560AD4"/>
    <w:rsid w:val="00560FEC"/>
    <w:rsid w:val="005613EF"/>
    <w:rsid w:val="0057038D"/>
    <w:rsid w:val="00574215"/>
    <w:rsid w:val="00574FD5"/>
    <w:rsid w:val="00575087"/>
    <w:rsid w:val="00575C67"/>
    <w:rsid w:val="00580109"/>
    <w:rsid w:val="005806E0"/>
    <w:rsid w:val="0058180C"/>
    <w:rsid w:val="00582D77"/>
    <w:rsid w:val="00585218"/>
    <w:rsid w:val="00587220"/>
    <w:rsid w:val="005873A0"/>
    <w:rsid w:val="00587C5A"/>
    <w:rsid w:val="00587D6E"/>
    <w:rsid w:val="00590F06"/>
    <w:rsid w:val="00593482"/>
    <w:rsid w:val="005942AA"/>
    <w:rsid w:val="00594B11"/>
    <w:rsid w:val="0059713A"/>
    <w:rsid w:val="005973B7"/>
    <w:rsid w:val="005979E2"/>
    <w:rsid w:val="005A0917"/>
    <w:rsid w:val="005A173B"/>
    <w:rsid w:val="005A191B"/>
    <w:rsid w:val="005A1E43"/>
    <w:rsid w:val="005A23DD"/>
    <w:rsid w:val="005A5C8E"/>
    <w:rsid w:val="005B0A95"/>
    <w:rsid w:val="005B15DD"/>
    <w:rsid w:val="005B376F"/>
    <w:rsid w:val="005B39B6"/>
    <w:rsid w:val="005C553B"/>
    <w:rsid w:val="005C650C"/>
    <w:rsid w:val="005C74EE"/>
    <w:rsid w:val="005D7CF5"/>
    <w:rsid w:val="005F4183"/>
    <w:rsid w:val="005F5979"/>
    <w:rsid w:val="005F6343"/>
    <w:rsid w:val="005F758D"/>
    <w:rsid w:val="00601A25"/>
    <w:rsid w:val="006040CD"/>
    <w:rsid w:val="00605CED"/>
    <w:rsid w:val="00605F87"/>
    <w:rsid w:val="006061F4"/>
    <w:rsid w:val="006077BD"/>
    <w:rsid w:val="00611251"/>
    <w:rsid w:val="00613BFB"/>
    <w:rsid w:val="00613F0A"/>
    <w:rsid w:val="00617841"/>
    <w:rsid w:val="00627A87"/>
    <w:rsid w:val="006308A9"/>
    <w:rsid w:val="0063190A"/>
    <w:rsid w:val="00633ECD"/>
    <w:rsid w:val="0064064C"/>
    <w:rsid w:val="006436D3"/>
    <w:rsid w:val="0064484D"/>
    <w:rsid w:val="00653448"/>
    <w:rsid w:val="00653B8B"/>
    <w:rsid w:val="00654FF6"/>
    <w:rsid w:val="00660213"/>
    <w:rsid w:val="00660643"/>
    <w:rsid w:val="00660A92"/>
    <w:rsid w:val="00660DE4"/>
    <w:rsid w:val="00661EBD"/>
    <w:rsid w:val="00664A7B"/>
    <w:rsid w:val="00665444"/>
    <w:rsid w:val="00667211"/>
    <w:rsid w:val="006749B5"/>
    <w:rsid w:val="00682206"/>
    <w:rsid w:val="0068592A"/>
    <w:rsid w:val="00685C0A"/>
    <w:rsid w:val="006930A1"/>
    <w:rsid w:val="00693DFC"/>
    <w:rsid w:val="00693F26"/>
    <w:rsid w:val="006950BD"/>
    <w:rsid w:val="00696C7C"/>
    <w:rsid w:val="006A0278"/>
    <w:rsid w:val="006A19A3"/>
    <w:rsid w:val="006A5F31"/>
    <w:rsid w:val="006A64EE"/>
    <w:rsid w:val="006B0339"/>
    <w:rsid w:val="006B2248"/>
    <w:rsid w:val="006B28EA"/>
    <w:rsid w:val="006B2CAB"/>
    <w:rsid w:val="006B456F"/>
    <w:rsid w:val="006B5972"/>
    <w:rsid w:val="006C02CB"/>
    <w:rsid w:val="006C080D"/>
    <w:rsid w:val="006C1730"/>
    <w:rsid w:val="006C1C04"/>
    <w:rsid w:val="006C4072"/>
    <w:rsid w:val="006C56DF"/>
    <w:rsid w:val="006C5DF8"/>
    <w:rsid w:val="006D1198"/>
    <w:rsid w:val="006D2C63"/>
    <w:rsid w:val="006E1419"/>
    <w:rsid w:val="006E191E"/>
    <w:rsid w:val="006E2C5B"/>
    <w:rsid w:val="006E3E24"/>
    <w:rsid w:val="006E4D29"/>
    <w:rsid w:val="006E5098"/>
    <w:rsid w:val="006E7EAA"/>
    <w:rsid w:val="006F0C24"/>
    <w:rsid w:val="006F14A1"/>
    <w:rsid w:val="006F3FD4"/>
    <w:rsid w:val="006F4671"/>
    <w:rsid w:val="006F5C58"/>
    <w:rsid w:val="006F608C"/>
    <w:rsid w:val="006F7106"/>
    <w:rsid w:val="00703F3B"/>
    <w:rsid w:val="00705269"/>
    <w:rsid w:val="007052AF"/>
    <w:rsid w:val="0070757F"/>
    <w:rsid w:val="007102D7"/>
    <w:rsid w:val="007121D6"/>
    <w:rsid w:val="0071592F"/>
    <w:rsid w:val="007221D3"/>
    <w:rsid w:val="007229EB"/>
    <w:rsid w:val="00726495"/>
    <w:rsid w:val="00726ED5"/>
    <w:rsid w:val="007319EC"/>
    <w:rsid w:val="00731B30"/>
    <w:rsid w:val="00732DEA"/>
    <w:rsid w:val="007372F1"/>
    <w:rsid w:val="007453B9"/>
    <w:rsid w:val="00745C5F"/>
    <w:rsid w:val="00750C0F"/>
    <w:rsid w:val="00751582"/>
    <w:rsid w:val="007523BB"/>
    <w:rsid w:val="007565C8"/>
    <w:rsid w:val="00765CA7"/>
    <w:rsid w:val="007664C1"/>
    <w:rsid w:val="007714D1"/>
    <w:rsid w:val="00775C1B"/>
    <w:rsid w:val="007775EC"/>
    <w:rsid w:val="00780FC6"/>
    <w:rsid w:val="00781010"/>
    <w:rsid w:val="007810C8"/>
    <w:rsid w:val="00782FBF"/>
    <w:rsid w:val="0079078E"/>
    <w:rsid w:val="007914CD"/>
    <w:rsid w:val="007927BE"/>
    <w:rsid w:val="0079360D"/>
    <w:rsid w:val="007A149F"/>
    <w:rsid w:val="007A1E77"/>
    <w:rsid w:val="007B0BAB"/>
    <w:rsid w:val="007B4030"/>
    <w:rsid w:val="007B4701"/>
    <w:rsid w:val="007B597F"/>
    <w:rsid w:val="007B615B"/>
    <w:rsid w:val="007B6B7B"/>
    <w:rsid w:val="007C0C0C"/>
    <w:rsid w:val="007C13C7"/>
    <w:rsid w:val="007C3560"/>
    <w:rsid w:val="007C428B"/>
    <w:rsid w:val="007C6668"/>
    <w:rsid w:val="007D3FDD"/>
    <w:rsid w:val="007D680A"/>
    <w:rsid w:val="007D7C66"/>
    <w:rsid w:val="007E0977"/>
    <w:rsid w:val="007E16C3"/>
    <w:rsid w:val="007E22D9"/>
    <w:rsid w:val="007E5C1E"/>
    <w:rsid w:val="007F0AFC"/>
    <w:rsid w:val="007F105B"/>
    <w:rsid w:val="007F4E69"/>
    <w:rsid w:val="007F526F"/>
    <w:rsid w:val="007F5797"/>
    <w:rsid w:val="007F6B5A"/>
    <w:rsid w:val="0080364D"/>
    <w:rsid w:val="008054CB"/>
    <w:rsid w:val="00805F16"/>
    <w:rsid w:val="00806547"/>
    <w:rsid w:val="008079D2"/>
    <w:rsid w:val="008079F9"/>
    <w:rsid w:val="008109E3"/>
    <w:rsid w:val="00815462"/>
    <w:rsid w:val="00817A38"/>
    <w:rsid w:val="0082171B"/>
    <w:rsid w:val="0082570C"/>
    <w:rsid w:val="0083158E"/>
    <w:rsid w:val="0083253D"/>
    <w:rsid w:val="008370F3"/>
    <w:rsid w:val="008415C6"/>
    <w:rsid w:val="00846019"/>
    <w:rsid w:val="00846418"/>
    <w:rsid w:val="00847614"/>
    <w:rsid w:val="008478E2"/>
    <w:rsid w:val="00851077"/>
    <w:rsid w:val="00852176"/>
    <w:rsid w:val="008552ED"/>
    <w:rsid w:val="00867193"/>
    <w:rsid w:val="0086777A"/>
    <w:rsid w:val="008718FD"/>
    <w:rsid w:val="0087289E"/>
    <w:rsid w:val="00873D3A"/>
    <w:rsid w:val="00874F1A"/>
    <w:rsid w:val="0087631F"/>
    <w:rsid w:val="00877680"/>
    <w:rsid w:val="00884C62"/>
    <w:rsid w:val="00885A70"/>
    <w:rsid w:val="00885B3B"/>
    <w:rsid w:val="00886D0F"/>
    <w:rsid w:val="008873C0"/>
    <w:rsid w:val="00891117"/>
    <w:rsid w:val="00891282"/>
    <w:rsid w:val="00891FD9"/>
    <w:rsid w:val="00894800"/>
    <w:rsid w:val="008A1031"/>
    <w:rsid w:val="008A14FC"/>
    <w:rsid w:val="008A3BC1"/>
    <w:rsid w:val="008A3F58"/>
    <w:rsid w:val="008A508A"/>
    <w:rsid w:val="008B3B58"/>
    <w:rsid w:val="008B4F05"/>
    <w:rsid w:val="008C26A5"/>
    <w:rsid w:val="008C4DF2"/>
    <w:rsid w:val="008C692C"/>
    <w:rsid w:val="008D08C9"/>
    <w:rsid w:val="008D2F37"/>
    <w:rsid w:val="008D396F"/>
    <w:rsid w:val="008D3B49"/>
    <w:rsid w:val="008D6825"/>
    <w:rsid w:val="008D73EB"/>
    <w:rsid w:val="008E027B"/>
    <w:rsid w:val="008E36A1"/>
    <w:rsid w:val="008E3CE6"/>
    <w:rsid w:val="008F6EC5"/>
    <w:rsid w:val="008F757E"/>
    <w:rsid w:val="00900A71"/>
    <w:rsid w:val="009017E7"/>
    <w:rsid w:val="00901DE4"/>
    <w:rsid w:val="00902B9F"/>
    <w:rsid w:val="00902F78"/>
    <w:rsid w:val="0090302A"/>
    <w:rsid w:val="0090664E"/>
    <w:rsid w:val="009076A4"/>
    <w:rsid w:val="00915E8F"/>
    <w:rsid w:val="009168F7"/>
    <w:rsid w:val="00916A8D"/>
    <w:rsid w:val="009204B8"/>
    <w:rsid w:val="009230F9"/>
    <w:rsid w:val="009244B1"/>
    <w:rsid w:val="009259FE"/>
    <w:rsid w:val="00925AB0"/>
    <w:rsid w:val="009262DD"/>
    <w:rsid w:val="00926F1D"/>
    <w:rsid w:val="009302FF"/>
    <w:rsid w:val="00933E33"/>
    <w:rsid w:val="00934CA4"/>
    <w:rsid w:val="0093710E"/>
    <w:rsid w:val="009374AC"/>
    <w:rsid w:val="00940BBA"/>
    <w:rsid w:val="00941F47"/>
    <w:rsid w:val="009433BF"/>
    <w:rsid w:val="00945248"/>
    <w:rsid w:val="009501A2"/>
    <w:rsid w:val="00952D16"/>
    <w:rsid w:val="00953EA5"/>
    <w:rsid w:val="0095432A"/>
    <w:rsid w:val="00956BA7"/>
    <w:rsid w:val="009574AF"/>
    <w:rsid w:val="0095784F"/>
    <w:rsid w:val="00960F81"/>
    <w:rsid w:val="009611C2"/>
    <w:rsid w:val="00962E78"/>
    <w:rsid w:val="00963CE0"/>
    <w:rsid w:val="009643EE"/>
    <w:rsid w:val="0096464B"/>
    <w:rsid w:val="00965AEE"/>
    <w:rsid w:val="009662A0"/>
    <w:rsid w:val="00970C69"/>
    <w:rsid w:val="00984917"/>
    <w:rsid w:val="00985998"/>
    <w:rsid w:val="009864DC"/>
    <w:rsid w:val="009874BF"/>
    <w:rsid w:val="00994B96"/>
    <w:rsid w:val="00997469"/>
    <w:rsid w:val="009A058C"/>
    <w:rsid w:val="009A42E9"/>
    <w:rsid w:val="009A4F40"/>
    <w:rsid w:val="009A59FF"/>
    <w:rsid w:val="009A63DA"/>
    <w:rsid w:val="009B29EB"/>
    <w:rsid w:val="009B2DB1"/>
    <w:rsid w:val="009B46D1"/>
    <w:rsid w:val="009B5E21"/>
    <w:rsid w:val="009B76B2"/>
    <w:rsid w:val="009C2544"/>
    <w:rsid w:val="009C51F2"/>
    <w:rsid w:val="009C6FF9"/>
    <w:rsid w:val="009C7570"/>
    <w:rsid w:val="009D4D35"/>
    <w:rsid w:val="009D7117"/>
    <w:rsid w:val="009D7479"/>
    <w:rsid w:val="009E0A66"/>
    <w:rsid w:val="009E3677"/>
    <w:rsid w:val="009E4E7B"/>
    <w:rsid w:val="009F4CAB"/>
    <w:rsid w:val="009F6FB2"/>
    <w:rsid w:val="00A000D0"/>
    <w:rsid w:val="00A03048"/>
    <w:rsid w:val="00A16DFB"/>
    <w:rsid w:val="00A16FF2"/>
    <w:rsid w:val="00A20F3B"/>
    <w:rsid w:val="00A23CFF"/>
    <w:rsid w:val="00A245F8"/>
    <w:rsid w:val="00A27271"/>
    <w:rsid w:val="00A27366"/>
    <w:rsid w:val="00A304FF"/>
    <w:rsid w:val="00A32487"/>
    <w:rsid w:val="00A41342"/>
    <w:rsid w:val="00A55682"/>
    <w:rsid w:val="00A56BE5"/>
    <w:rsid w:val="00A704AD"/>
    <w:rsid w:val="00A705C6"/>
    <w:rsid w:val="00A71339"/>
    <w:rsid w:val="00A75401"/>
    <w:rsid w:val="00A77403"/>
    <w:rsid w:val="00A777B8"/>
    <w:rsid w:val="00A827C8"/>
    <w:rsid w:val="00A85198"/>
    <w:rsid w:val="00A862F0"/>
    <w:rsid w:val="00A8652B"/>
    <w:rsid w:val="00A873D9"/>
    <w:rsid w:val="00A90306"/>
    <w:rsid w:val="00A9112D"/>
    <w:rsid w:val="00A91C79"/>
    <w:rsid w:val="00A93474"/>
    <w:rsid w:val="00A949DE"/>
    <w:rsid w:val="00A95D75"/>
    <w:rsid w:val="00AA4B48"/>
    <w:rsid w:val="00AA52D3"/>
    <w:rsid w:val="00AA5B6E"/>
    <w:rsid w:val="00AA60C5"/>
    <w:rsid w:val="00AB2627"/>
    <w:rsid w:val="00AB4192"/>
    <w:rsid w:val="00AB5C6C"/>
    <w:rsid w:val="00AB63C8"/>
    <w:rsid w:val="00AC3EC6"/>
    <w:rsid w:val="00AC452A"/>
    <w:rsid w:val="00AC45A6"/>
    <w:rsid w:val="00AD0DEF"/>
    <w:rsid w:val="00AD15E0"/>
    <w:rsid w:val="00AD5037"/>
    <w:rsid w:val="00AD5A0C"/>
    <w:rsid w:val="00AE1729"/>
    <w:rsid w:val="00AE1DE7"/>
    <w:rsid w:val="00AE460C"/>
    <w:rsid w:val="00AE6660"/>
    <w:rsid w:val="00AE6B80"/>
    <w:rsid w:val="00AF2863"/>
    <w:rsid w:val="00AF5812"/>
    <w:rsid w:val="00AF7D24"/>
    <w:rsid w:val="00B050AB"/>
    <w:rsid w:val="00B07324"/>
    <w:rsid w:val="00B10040"/>
    <w:rsid w:val="00B11191"/>
    <w:rsid w:val="00B117D3"/>
    <w:rsid w:val="00B22497"/>
    <w:rsid w:val="00B22F2F"/>
    <w:rsid w:val="00B2309A"/>
    <w:rsid w:val="00B31BF5"/>
    <w:rsid w:val="00B31D2A"/>
    <w:rsid w:val="00B320E1"/>
    <w:rsid w:val="00B41844"/>
    <w:rsid w:val="00B41896"/>
    <w:rsid w:val="00B41A4A"/>
    <w:rsid w:val="00B42E77"/>
    <w:rsid w:val="00B436C7"/>
    <w:rsid w:val="00B43980"/>
    <w:rsid w:val="00B443C6"/>
    <w:rsid w:val="00B45061"/>
    <w:rsid w:val="00B50ECE"/>
    <w:rsid w:val="00B535C6"/>
    <w:rsid w:val="00B53AA6"/>
    <w:rsid w:val="00B53D37"/>
    <w:rsid w:val="00B608F3"/>
    <w:rsid w:val="00B6198B"/>
    <w:rsid w:val="00B62692"/>
    <w:rsid w:val="00B62762"/>
    <w:rsid w:val="00B630F4"/>
    <w:rsid w:val="00B6319C"/>
    <w:rsid w:val="00B67B86"/>
    <w:rsid w:val="00B7330B"/>
    <w:rsid w:val="00B75195"/>
    <w:rsid w:val="00B776A9"/>
    <w:rsid w:val="00B77C5B"/>
    <w:rsid w:val="00B80002"/>
    <w:rsid w:val="00B81266"/>
    <w:rsid w:val="00B84AF4"/>
    <w:rsid w:val="00B926F4"/>
    <w:rsid w:val="00B938BC"/>
    <w:rsid w:val="00B971A8"/>
    <w:rsid w:val="00B9795C"/>
    <w:rsid w:val="00BA3BE1"/>
    <w:rsid w:val="00BA494F"/>
    <w:rsid w:val="00BA5767"/>
    <w:rsid w:val="00BB0BD8"/>
    <w:rsid w:val="00BB3354"/>
    <w:rsid w:val="00BB34EB"/>
    <w:rsid w:val="00BB4249"/>
    <w:rsid w:val="00BB490C"/>
    <w:rsid w:val="00BC08B2"/>
    <w:rsid w:val="00BD397D"/>
    <w:rsid w:val="00BD4207"/>
    <w:rsid w:val="00BD73B1"/>
    <w:rsid w:val="00BE53B2"/>
    <w:rsid w:val="00BE6557"/>
    <w:rsid w:val="00BF25C2"/>
    <w:rsid w:val="00BF57E1"/>
    <w:rsid w:val="00BF76E9"/>
    <w:rsid w:val="00C03AEB"/>
    <w:rsid w:val="00C1582E"/>
    <w:rsid w:val="00C16E13"/>
    <w:rsid w:val="00C17163"/>
    <w:rsid w:val="00C202C4"/>
    <w:rsid w:val="00C21100"/>
    <w:rsid w:val="00C21238"/>
    <w:rsid w:val="00C242B8"/>
    <w:rsid w:val="00C450F6"/>
    <w:rsid w:val="00C47753"/>
    <w:rsid w:val="00C52283"/>
    <w:rsid w:val="00C53C1B"/>
    <w:rsid w:val="00C53E7C"/>
    <w:rsid w:val="00C5689C"/>
    <w:rsid w:val="00C6210F"/>
    <w:rsid w:val="00C62519"/>
    <w:rsid w:val="00C6328A"/>
    <w:rsid w:val="00C64190"/>
    <w:rsid w:val="00C65991"/>
    <w:rsid w:val="00C66AC5"/>
    <w:rsid w:val="00C71C16"/>
    <w:rsid w:val="00C75FEC"/>
    <w:rsid w:val="00C76B9B"/>
    <w:rsid w:val="00C770FE"/>
    <w:rsid w:val="00C801B5"/>
    <w:rsid w:val="00C80BB9"/>
    <w:rsid w:val="00C8114C"/>
    <w:rsid w:val="00C87E17"/>
    <w:rsid w:val="00C90498"/>
    <w:rsid w:val="00C93DF3"/>
    <w:rsid w:val="00CA074F"/>
    <w:rsid w:val="00CA0D13"/>
    <w:rsid w:val="00CA37B8"/>
    <w:rsid w:val="00CA439A"/>
    <w:rsid w:val="00CC161D"/>
    <w:rsid w:val="00CC206F"/>
    <w:rsid w:val="00CC3AE9"/>
    <w:rsid w:val="00CC5560"/>
    <w:rsid w:val="00CD0715"/>
    <w:rsid w:val="00CD19B4"/>
    <w:rsid w:val="00CD4851"/>
    <w:rsid w:val="00CD584A"/>
    <w:rsid w:val="00CD6784"/>
    <w:rsid w:val="00CE1BFB"/>
    <w:rsid w:val="00CE1FFC"/>
    <w:rsid w:val="00CE4B1A"/>
    <w:rsid w:val="00CE7BAA"/>
    <w:rsid w:val="00CE7C1B"/>
    <w:rsid w:val="00CF001A"/>
    <w:rsid w:val="00CF1594"/>
    <w:rsid w:val="00CF4698"/>
    <w:rsid w:val="00CF4765"/>
    <w:rsid w:val="00CF5D79"/>
    <w:rsid w:val="00CF6253"/>
    <w:rsid w:val="00D002AA"/>
    <w:rsid w:val="00D0274D"/>
    <w:rsid w:val="00D05034"/>
    <w:rsid w:val="00D06DFF"/>
    <w:rsid w:val="00D07274"/>
    <w:rsid w:val="00D079C1"/>
    <w:rsid w:val="00D137F0"/>
    <w:rsid w:val="00D1387E"/>
    <w:rsid w:val="00D158DC"/>
    <w:rsid w:val="00D161D2"/>
    <w:rsid w:val="00D161D6"/>
    <w:rsid w:val="00D16817"/>
    <w:rsid w:val="00D17390"/>
    <w:rsid w:val="00D211C7"/>
    <w:rsid w:val="00D22D1A"/>
    <w:rsid w:val="00D33468"/>
    <w:rsid w:val="00D34C2F"/>
    <w:rsid w:val="00D36F26"/>
    <w:rsid w:val="00D37541"/>
    <w:rsid w:val="00D37BE6"/>
    <w:rsid w:val="00D40A94"/>
    <w:rsid w:val="00D41173"/>
    <w:rsid w:val="00D41282"/>
    <w:rsid w:val="00D41926"/>
    <w:rsid w:val="00D4237A"/>
    <w:rsid w:val="00D42ACF"/>
    <w:rsid w:val="00D44E77"/>
    <w:rsid w:val="00D462E1"/>
    <w:rsid w:val="00D47682"/>
    <w:rsid w:val="00D57E20"/>
    <w:rsid w:val="00D637EB"/>
    <w:rsid w:val="00D6409F"/>
    <w:rsid w:val="00D67735"/>
    <w:rsid w:val="00D67EC0"/>
    <w:rsid w:val="00D7241C"/>
    <w:rsid w:val="00D74457"/>
    <w:rsid w:val="00D74E7C"/>
    <w:rsid w:val="00D75241"/>
    <w:rsid w:val="00D75764"/>
    <w:rsid w:val="00D76D23"/>
    <w:rsid w:val="00D77F8A"/>
    <w:rsid w:val="00D81CF2"/>
    <w:rsid w:val="00D8297E"/>
    <w:rsid w:val="00D835D4"/>
    <w:rsid w:val="00D84648"/>
    <w:rsid w:val="00D86CC0"/>
    <w:rsid w:val="00D873B9"/>
    <w:rsid w:val="00D92CE6"/>
    <w:rsid w:val="00D951E3"/>
    <w:rsid w:val="00D9580C"/>
    <w:rsid w:val="00D97C5C"/>
    <w:rsid w:val="00D97F8E"/>
    <w:rsid w:val="00DA0DB5"/>
    <w:rsid w:val="00DA4A3B"/>
    <w:rsid w:val="00DA7A42"/>
    <w:rsid w:val="00DB4658"/>
    <w:rsid w:val="00DB5777"/>
    <w:rsid w:val="00DB7EC8"/>
    <w:rsid w:val="00DC1C5B"/>
    <w:rsid w:val="00DC37C1"/>
    <w:rsid w:val="00DC400D"/>
    <w:rsid w:val="00DD1688"/>
    <w:rsid w:val="00DD494C"/>
    <w:rsid w:val="00DD7793"/>
    <w:rsid w:val="00DE775B"/>
    <w:rsid w:val="00DF3C4F"/>
    <w:rsid w:val="00DF3F57"/>
    <w:rsid w:val="00DF63F1"/>
    <w:rsid w:val="00DF6D38"/>
    <w:rsid w:val="00DF73A9"/>
    <w:rsid w:val="00DF7B20"/>
    <w:rsid w:val="00DF7F79"/>
    <w:rsid w:val="00E00084"/>
    <w:rsid w:val="00E04B8B"/>
    <w:rsid w:val="00E07140"/>
    <w:rsid w:val="00E104D7"/>
    <w:rsid w:val="00E1420D"/>
    <w:rsid w:val="00E15781"/>
    <w:rsid w:val="00E15AEC"/>
    <w:rsid w:val="00E17BFC"/>
    <w:rsid w:val="00E211EF"/>
    <w:rsid w:val="00E23384"/>
    <w:rsid w:val="00E23E87"/>
    <w:rsid w:val="00E243CB"/>
    <w:rsid w:val="00E2465E"/>
    <w:rsid w:val="00E26B10"/>
    <w:rsid w:val="00E26B13"/>
    <w:rsid w:val="00E270C6"/>
    <w:rsid w:val="00E303AE"/>
    <w:rsid w:val="00E3050D"/>
    <w:rsid w:val="00E31084"/>
    <w:rsid w:val="00E32CE0"/>
    <w:rsid w:val="00E3319F"/>
    <w:rsid w:val="00E33697"/>
    <w:rsid w:val="00E34167"/>
    <w:rsid w:val="00E36F2A"/>
    <w:rsid w:val="00E37DE6"/>
    <w:rsid w:val="00E429F8"/>
    <w:rsid w:val="00E43243"/>
    <w:rsid w:val="00E43423"/>
    <w:rsid w:val="00E434E5"/>
    <w:rsid w:val="00E50E4C"/>
    <w:rsid w:val="00E52FD4"/>
    <w:rsid w:val="00E54A2C"/>
    <w:rsid w:val="00E54A6E"/>
    <w:rsid w:val="00E60B5C"/>
    <w:rsid w:val="00E6296E"/>
    <w:rsid w:val="00E632D8"/>
    <w:rsid w:val="00E63FC1"/>
    <w:rsid w:val="00E66A0E"/>
    <w:rsid w:val="00E66AB0"/>
    <w:rsid w:val="00E66D33"/>
    <w:rsid w:val="00E7012D"/>
    <w:rsid w:val="00E70720"/>
    <w:rsid w:val="00E76D4B"/>
    <w:rsid w:val="00E7781C"/>
    <w:rsid w:val="00E77D99"/>
    <w:rsid w:val="00E85F65"/>
    <w:rsid w:val="00E95BBC"/>
    <w:rsid w:val="00E96793"/>
    <w:rsid w:val="00E96CA7"/>
    <w:rsid w:val="00E96F6A"/>
    <w:rsid w:val="00EA0724"/>
    <w:rsid w:val="00EA233F"/>
    <w:rsid w:val="00EA2AC3"/>
    <w:rsid w:val="00EA382B"/>
    <w:rsid w:val="00EA5451"/>
    <w:rsid w:val="00EA6A7E"/>
    <w:rsid w:val="00EB0C12"/>
    <w:rsid w:val="00EB1524"/>
    <w:rsid w:val="00EB4C17"/>
    <w:rsid w:val="00EB7604"/>
    <w:rsid w:val="00EB78D4"/>
    <w:rsid w:val="00EB7D74"/>
    <w:rsid w:val="00EC2F4A"/>
    <w:rsid w:val="00EC32A6"/>
    <w:rsid w:val="00EC346A"/>
    <w:rsid w:val="00EC7F7A"/>
    <w:rsid w:val="00ED24E7"/>
    <w:rsid w:val="00ED3853"/>
    <w:rsid w:val="00ED3FC0"/>
    <w:rsid w:val="00EE2433"/>
    <w:rsid w:val="00EE2673"/>
    <w:rsid w:val="00EF28D0"/>
    <w:rsid w:val="00EF568D"/>
    <w:rsid w:val="00F0391F"/>
    <w:rsid w:val="00F04039"/>
    <w:rsid w:val="00F05640"/>
    <w:rsid w:val="00F06049"/>
    <w:rsid w:val="00F07F08"/>
    <w:rsid w:val="00F14E1C"/>
    <w:rsid w:val="00F17B5E"/>
    <w:rsid w:val="00F21AA2"/>
    <w:rsid w:val="00F25801"/>
    <w:rsid w:val="00F27375"/>
    <w:rsid w:val="00F3293D"/>
    <w:rsid w:val="00F33A35"/>
    <w:rsid w:val="00F34B63"/>
    <w:rsid w:val="00F378C7"/>
    <w:rsid w:val="00F43754"/>
    <w:rsid w:val="00F53348"/>
    <w:rsid w:val="00F556A7"/>
    <w:rsid w:val="00F55B4D"/>
    <w:rsid w:val="00F640B9"/>
    <w:rsid w:val="00F648A5"/>
    <w:rsid w:val="00F6698F"/>
    <w:rsid w:val="00F66A30"/>
    <w:rsid w:val="00F70596"/>
    <w:rsid w:val="00F74890"/>
    <w:rsid w:val="00F8002E"/>
    <w:rsid w:val="00F80103"/>
    <w:rsid w:val="00F83C1F"/>
    <w:rsid w:val="00F91E2B"/>
    <w:rsid w:val="00F92221"/>
    <w:rsid w:val="00F933AF"/>
    <w:rsid w:val="00F964F2"/>
    <w:rsid w:val="00F9761F"/>
    <w:rsid w:val="00FA0E43"/>
    <w:rsid w:val="00FA2513"/>
    <w:rsid w:val="00FB0187"/>
    <w:rsid w:val="00FB1376"/>
    <w:rsid w:val="00FB4D65"/>
    <w:rsid w:val="00FB5863"/>
    <w:rsid w:val="00FB6898"/>
    <w:rsid w:val="00FC22D7"/>
    <w:rsid w:val="00FC3BC8"/>
    <w:rsid w:val="00FC7AC3"/>
    <w:rsid w:val="00FD3EF6"/>
    <w:rsid w:val="00FD5AF4"/>
    <w:rsid w:val="00FD60F7"/>
    <w:rsid w:val="00FE3B6D"/>
    <w:rsid w:val="00FE5011"/>
    <w:rsid w:val="00FE5324"/>
    <w:rsid w:val="00FE5552"/>
    <w:rsid w:val="00FF50AE"/>
    <w:rsid w:val="00FF6F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E6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01A2"/>
    <w:pPr>
      <w:widowControl w:val="0"/>
      <w:autoSpaceDE w:val="0"/>
      <w:autoSpaceDN w:val="0"/>
    </w:pPr>
    <w:rPr>
      <w:rFonts w:ascii="Times New Roman" w:eastAsia="Times New Roman" w:hAnsi="Times New Roman" w:cs="Times New Roman"/>
      <w:sz w:val="22"/>
      <w:szCs w:val="22"/>
      <w:lang w:val="de-DE" w:eastAsia="en-US"/>
    </w:rPr>
  </w:style>
  <w:style w:type="paragraph" w:styleId="1">
    <w:name w:val="heading 1"/>
    <w:basedOn w:val="a"/>
    <w:uiPriority w:val="9"/>
    <w:qFormat/>
    <w:rsid w:val="00517106"/>
    <w:pPr>
      <w:keepNext/>
      <w:keepLines/>
      <w:widowControl/>
      <w:ind w:left="567" w:hanging="567"/>
      <w:outlineLvl w:val="0"/>
    </w:pPr>
    <w:rPr>
      <w:b/>
      <w:bCs/>
    </w:rPr>
  </w:style>
  <w:style w:type="paragraph" w:styleId="2">
    <w:name w:val="heading 2"/>
    <w:basedOn w:val="a"/>
    <w:link w:val="2Char"/>
    <w:uiPriority w:val="9"/>
    <w:unhideWhenUsed/>
    <w:qFormat/>
    <w:rsid w:val="004F1875"/>
    <w:pPr>
      <w:keepNext/>
      <w:keepLines/>
      <w:widowControl/>
      <w:ind w:left="567" w:hanging="567"/>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link w:val="Char"/>
    <w:qFormat/>
    <w:rsid w:val="00222C73"/>
    <w:pPr>
      <w:widowControl w:val="0"/>
      <w:autoSpaceDE w:val="0"/>
      <w:autoSpaceDN w:val="0"/>
    </w:pPr>
    <w:rPr>
      <w:rFonts w:ascii="Times New Roman" w:eastAsia="Times New Roman" w:hAnsi="Times New Roman" w:cs="Times New Roman"/>
      <w:sz w:val="22"/>
      <w:szCs w:val="22"/>
      <w:lang w:val="de-DE" w:eastAsia="en-US"/>
    </w:rPr>
  </w:style>
  <w:style w:type="paragraph" w:styleId="a4">
    <w:name w:val="List Paragraph"/>
    <w:basedOn w:val="a"/>
    <w:link w:val="Char0"/>
    <w:uiPriority w:val="34"/>
    <w:qFormat/>
    <w:pPr>
      <w:ind w:left="1044" w:hanging="432"/>
    </w:pPr>
  </w:style>
  <w:style w:type="paragraph" w:customStyle="1" w:styleId="TableParagraph">
    <w:name w:val="Table Paragraph"/>
    <w:basedOn w:val="a"/>
    <w:uiPriority w:val="1"/>
    <w:qFormat/>
    <w:rsid w:val="00B81266"/>
  </w:style>
  <w:style w:type="paragraph" w:styleId="a5">
    <w:name w:val="header"/>
    <w:basedOn w:val="a"/>
    <w:link w:val="Char1"/>
    <w:uiPriority w:val="99"/>
    <w:unhideWhenUsed/>
    <w:rsid w:val="00372E3E"/>
    <w:pPr>
      <w:tabs>
        <w:tab w:val="center" w:pos="4680"/>
        <w:tab w:val="right" w:pos="9360"/>
      </w:tabs>
    </w:pPr>
  </w:style>
  <w:style w:type="character" w:customStyle="1" w:styleId="Char1">
    <w:name w:val="머리글 Char"/>
    <w:link w:val="a5"/>
    <w:uiPriority w:val="99"/>
    <w:rsid w:val="00372E3E"/>
    <w:rPr>
      <w:rFonts w:ascii="Times New Roman" w:eastAsia="Times New Roman" w:hAnsi="Times New Roman" w:cs="Times New Roman"/>
      <w:lang w:val="de-DE"/>
    </w:rPr>
  </w:style>
  <w:style w:type="paragraph" w:styleId="a6">
    <w:name w:val="footer"/>
    <w:basedOn w:val="a"/>
    <w:link w:val="Char2"/>
    <w:uiPriority w:val="99"/>
    <w:unhideWhenUsed/>
    <w:rsid w:val="00372E3E"/>
    <w:pPr>
      <w:tabs>
        <w:tab w:val="center" w:pos="4680"/>
        <w:tab w:val="right" w:pos="9360"/>
      </w:tabs>
    </w:pPr>
  </w:style>
  <w:style w:type="character" w:customStyle="1" w:styleId="Char2">
    <w:name w:val="바닥글 Char"/>
    <w:link w:val="a6"/>
    <w:uiPriority w:val="99"/>
    <w:rsid w:val="00372E3E"/>
    <w:rPr>
      <w:rFonts w:ascii="Times New Roman" w:eastAsia="Times New Roman" w:hAnsi="Times New Roman" w:cs="Times New Roman"/>
      <w:lang w:val="de-DE"/>
    </w:rPr>
  </w:style>
  <w:style w:type="paragraph" w:customStyle="1" w:styleId="Headernumbered">
    <w:name w:val="Header numbered"/>
    <w:link w:val="HeadernumberedChar"/>
    <w:qFormat/>
    <w:rsid w:val="00010AF3"/>
    <w:pPr>
      <w:keepNext/>
      <w:keepLines/>
      <w:tabs>
        <w:tab w:val="left" w:pos="1044"/>
      </w:tabs>
      <w:autoSpaceDE w:val="0"/>
      <w:autoSpaceDN w:val="0"/>
      <w:ind w:left="567" w:hanging="567"/>
    </w:pPr>
    <w:rPr>
      <w:rFonts w:ascii="Times New Roman" w:eastAsia="Times New Roman" w:hAnsi="Times New Roman" w:cs="Times New Roman"/>
      <w:b/>
      <w:bCs/>
      <w:sz w:val="22"/>
      <w:szCs w:val="22"/>
      <w:lang w:val="de-DE" w:eastAsia="en-US"/>
    </w:rPr>
  </w:style>
  <w:style w:type="character" w:customStyle="1" w:styleId="Char0">
    <w:name w:val="목록 단락 Char"/>
    <w:link w:val="a4"/>
    <w:uiPriority w:val="1"/>
    <w:rsid w:val="00222C73"/>
    <w:rPr>
      <w:rFonts w:ascii="Times New Roman" w:eastAsia="Times New Roman" w:hAnsi="Times New Roman" w:cs="Times New Roman"/>
      <w:lang w:val="de-DE"/>
    </w:rPr>
  </w:style>
  <w:style w:type="character" w:customStyle="1" w:styleId="HeadernumberedChar">
    <w:name w:val="Header numbered Char"/>
    <w:link w:val="Headernumbered"/>
    <w:rsid w:val="00010AF3"/>
    <w:rPr>
      <w:rFonts w:ascii="Times New Roman" w:eastAsia="Times New Roman" w:hAnsi="Times New Roman" w:cs="Times New Roman"/>
      <w:b/>
      <w:bCs/>
      <w:lang w:val="de-DE"/>
    </w:rPr>
  </w:style>
  <w:style w:type="paragraph" w:customStyle="1" w:styleId="Header2">
    <w:name w:val="Header 2"/>
    <w:next w:val="a"/>
    <w:link w:val="Header2Char"/>
    <w:qFormat/>
    <w:rsid w:val="009501A2"/>
    <w:pPr>
      <w:keepNext/>
      <w:keepLines/>
      <w:autoSpaceDE w:val="0"/>
      <w:autoSpaceDN w:val="0"/>
      <w:ind w:left="567" w:hanging="567"/>
    </w:pPr>
    <w:rPr>
      <w:rFonts w:ascii="Times New Roman" w:eastAsia="Times New Roman" w:hAnsi="Times New Roman" w:cs="Times New Roman"/>
      <w:b/>
      <w:bCs/>
      <w:sz w:val="22"/>
      <w:szCs w:val="22"/>
      <w:lang w:val="de-DE" w:eastAsia="en-US"/>
    </w:rPr>
  </w:style>
  <w:style w:type="character" w:customStyle="1" w:styleId="2Char">
    <w:name w:val="제목 2 Char"/>
    <w:link w:val="2"/>
    <w:uiPriority w:val="9"/>
    <w:rsid w:val="004F1875"/>
    <w:rPr>
      <w:rFonts w:ascii="Times New Roman" w:eastAsia="Times New Roman" w:hAnsi="Times New Roman" w:cs="Times New Roman"/>
      <w:b/>
      <w:bCs/>
      <w:lang w:val="de-DE"/>
    </w:rPr>
  </w:style>
  <w:style w:type="character" w:customStyle="1" w:styleId="Header2Char">
    <w:name w:val="Header 2 Char"/>
    <w:link w:val="Header2"/>
    <w:rsid w:val="009501A2"/>
    <w:rPr>
      <w:rFonts w:ascii="Times New Roman" w:eastAsia="Times New Roman" w:hAnsi="Times New Roman" w:cs="Times New Roman"/>
      <w:b/>
      <w:bCs/>
      <w:lang w:val="de-DE"/>
    </w:rPr>
  </w:style>
  <w:style w:type="paragraph" w:customStyle="1" w:styleId="bullet">
    <w:name w:val="bullet"/>
    <w:link w:val="bulletChar"/>
    <w:qFormat/>
    <w:rsid w:val="00965AEE"/>
    <w:pPr>
      <w:autoSpaceDE w:val="0"/>
      <w:autoSpaceDN w:val="0"/>
      <w:ind w:left="567" w:hanging="567"/>
    </w:pPr>
    <w:rPr>
      <w:rFonts w:ascii="Times New Roman" w:eastAsia="Times New Roman" w:hAnsi="Times New Roman" w:cs="Times New Roman"/>
      <w:sz w:val="22"/>
      <w:szCs w:val="22"/>
      <w:lang w:val="de-DE" w:eastAsia="en-US"/>
    </w:rPr>
  </w:style>
  <w:style w:type="character" w:customStyle="1" w:styleId="bulletChar">
    <w:name w:val="bullet Char"/>
    <w:link w:val="bullet"/>
    <w:rsid w:val="00965AEE"/>
    <w:rPr>
      <w:rFonts w:ascii="Times New Roman" w:eastAsia="Times New Roman" w:hAnsi="Times New Roman" w:cs="Times New Roman"/>
      <w:lang w:val="de-DE"/>
    </w:rPr>
  </w:style>
  <w:style w:type="paragraph" w:customStyle="1" w:styleId="tabele">
    <w:name w:val="tabele"/>
    <w:link w:val="tabeleChar"/>
    <w:qFormat/>
    <w:rsid w:val="0053368C"/>
    <w:pPr>
      <w:widowControl w:val="0"/>
      <w:pBdr>
        <w:top w:val="single" w:sz="4" w:space="1" w:color="auto"/>
        <w:left w:val="single" w:sz="4" w:space="4" w:color="auto"/>
        <w:bottom w:val="single" w:sz="4" w:space="1" w:color="auto"/>
        <w:right w:val="single" w:sz="4" w:space="4" w:color="auto"/>
      </w:pBdr>
      <w:autoSpaceDE w:val="0"/>
      <w:autoSpaceDN w:val="0"/>
      <w:ind w:left="567" w:hanging="567"/>
    </w:pPr>
    <w:rPr>
      <w:rFonts w:ascii="Times New Roman" w:eastAsia="Times New Roman" w:hAnsi="Times New Roman" w:cs="Times New Roman"/>
      <w:b/>
      <w:sz w:val="22"/>
      <w:szCs w:val="22"/>
      <w:lang w:val="de-DE" w:eastAsia="en-US"/>
    </w:rPr>
  </w:style>
  <w:style w:type="character" w:customStyle="1" w:styleId="tabeleChar">
    <w:name w:val="tabele Char"/>
    <w:link w:val="tabele"/>
    <w:rsid w:val="0053368C"/>
    <w:rPr>
      <w:rFonts w:ascii="Times New Roman" w:eastAsia="Times New Roman" w:hAnsi="Times New Roman" w:cs="Times New Roman"/>
      <w:b/>
      <w:lang w:val="de-DE"/>
    </w:rPr>
  </w:style>
  <w:style w:type="paragraph" w:customStyle="1" w:styleId="bullet2">
    <w:name w:val="bullet2"/>
    <w:basedOn w:val="a4"/>
    <w:link w:val="bullet2Char"/>
    <w:qFormat/>
    <w:rsid w:val="00CA439A"/>
    <w:pPr>
      <w:widowControl/>
      <w:numPr>
        <w:numId w:val="1"/>
      </w:numPr>
      <w:ind w:left="567" w:hanging="209"/>
    </w:pPr>
  </w:style>
  <w:style w:type="character" w:customStyle="1" w:styleId="bullet2Char">
    <w:name w:val="bullet2 Char"/>
    <w:link w:val="bullet2"/>
    <w:rsid w:val="00CA439A"/>
    <w:rPr>
      <w:rFonts w:ascii="Times New Roman" w:eastAsia="Times New Roman" w:hAnsi="Times New Roman" w:cs="Times New Roman"/>
      <w:lang w:val="de-DE"/>
    </w:rPr>
  </w:style>
  <w:style w:type="table" w:styleId="a7">
    <w:name w:val="Table Grid"/>
    <w:basedOn w:val="a1"/>
    <w:uiPriority w:val="39"/>
    <w:rsid w:val="00E26B10"/>
    <w:rPr>
      <w:rFonts w:ascii="새굴림" w:eastAsia="새굴림" w:hAnsi="새굴림" w:cs="새굴림"/>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unhideWhenUsed/>
    <w:rsid w:val="007221D3"/>
    <w:rPr>
      <w:color w:val="0000FF"/>
      <w:u w:val="single"/>
    </w:rPr>
  </w:style>
  <w:style w:type="character" w:customStyle="1" w:styleId="10">
    <w:name w:val="확인되지 않은 멘션1"/>
    <w:uiPriority w:val="99"/>
    <w:semiHidden/>
    <w:unhideWhenUsed/>
    <w:rsid w:val="007221D3"/>
    <w:rPr>
      <w:color w:val="605E5C"/>
      <w:shd w:val="clear" w:color="auto" w:fill="E1DFDD"/>
    </w:rPr>
  </w:style>
  <w:style w:type="paragraph" w:customStyle="1" w:styleId="Tabletittle">
    <w:name w:val="Table tittle"/>
    <w:basedOn w:val="a"/>
    <w:qFormat/>
    <w:rsid w:val="00CA074F"/>
    <w:pPr>
      <w:keepNext/>
      <w:keepLines/>
      <w:widowControl/>
      <w:ind w:left="1134" w:hanging="1134"/>
    </w:pPr>
    <w:rPr>
      <w:i/>
    </w:rPr>
  </w:style>
  <w:style w:type="paragraph" w:styleId="a9">
    <w:name w:val="Title"/>
    <w:basedOn w:val="a"/>
    <w:next w:val="a"/>
    <w:link w:val="Char3"/>
    <w:uiPriority w:val="10"/>
    <w:qFormat/>
    <w:rsid w:val="00D47682"/>
    <w:pPr>
      <w:adjustRightInd w:val="0"/>
      <w:ind w:left="567" w:hanging="567"/>
      <w:contextualSpacing/>
    </w:pPr>
    <w:rPr>
      <w:rFonts w:eastAsia="MS Gothic"/>
      <w:b/>
      <w:spacing w:val="-10"/>
      <w:kern w:val="28"/>
    </w:rPr>
  </w:style>
  <w:style w:type="character" w:customStyle="1" w:styleId="Char3">
    <w:name w:val="제목 Char"/>
    <w:link w:val="a9"/>
    <w:uiPriority w:val="10"/>
    <w:rsid w:val="00D47682"/>
    <w:rPr>
      <w:rFonts w:ascii="Times New Roman" w:eastAsia="MS Gothic" w:hAnsi="Times New Roman" w:cs="Times New Roman"/>
      <w:b/>
      <w:spacing w:val="-10"/>
      <w:kern w:val="28"/>
      <w:lang w:val="de-DE"/>
    </w:rPr>
  </w:style>
  <w:style w:type="paragraph" w:customStyle="1" w:styleId="Default">
    <w:name w:val="Default"/>
    <w:rsid w:val="00594B11"/>
    <w:pPr>
      <w:autoSpaceDE w:val="0"/>
      <w:autoSpaceDN w:val="0"/>
      <w:adjustRightInd w:val="0"/>
    </w:pPr>
    <w:rPr>
      <w:rFonts w:ascii="Times New Roman" w:hAnsi="Times New Roman" w:cs="Times New Roman"/>
      <w:color w:val="000000"/>
      <w:sz w:val="24"/>
      <w:szCs w:val="24"/>
      <w:lang w:eastAsia="en-US"/>
    </w:rPr>
  </w:style>
  <w:style w:type="character" w:styleId="aa">
    <w:name w:val="annotation reference"/>
    <w:uiPriority w:val="99"/>
    <w:semiHidden/>
    <w:unhideWhenUsed/>
    <w:rsid w:val="009B76B2"/>
    <w:rPr>
      <w:sz w:val="16"/>
      <w:szCs w:val="16"/>
    </w:rPr>
  </w:style>
  <w:style w:type="paragraph" w:styleId="ab">
    <w:name w:val="annotation text"/>
    <w:basedOn w:val="a"/>
    <w:link w:val="Char4"/>
    <w:uiPriority w:val="99"/>
    <w:unhideWhenUsed/>
    <w:rsid w:val="009B76B2"/>
    <w:rPr>
      <w:sz w:val="20"/>
      <w:szCs w:val="20"/>
    </w:rPr>
  </w:style>
  <w:style w:type="character" w:customStyle="1" w:styleId="Char4">
    <w:name w:val="메모 텍스트 Char"/>
    <w:link w:val="ab"/>
    <w:uiPriority w:val="99"/>
    <w:rsid w:val="009B76B2"/>
    <w:rPr>
      <w:rFonts w:ascii="Times New Roman" w:eastAsia="Times New Roman" w:hAnsi="Times New Roman" w:cs="Times New Roman"/>
      <w:sz w:val="20"/>
      <w:szCs w:val="20"/>
      <w:lang w:val="de-DE"/>
    </w:rPr>
  </w:style>
  <w:style w:type="paragraph" w:styleId="ac">
    <w:name w:val="annotation subject"/>
    <w:basedOn w:val="ab"/>
    <w:next w:val="ab"/>
    <w:link w:val="Char5"/>
    <w:uiPriority w:val="99"/>
    <w:semiHidden/>
    <w:unhideWhenUsed/>
    <w:rsid w:val="009B76B2"/>
    <w:rPr>
      <w:b/>
      <w:bCs/>
    </w:rPr>
  </w:style>
  <w:style w:type="character" w:customStyle="1" w:styleId="Char5">
    <w:name w:val="메모 주제 Char"/>
    <w:link w:val="ac"/>
    <w:uiPriority w:val="99"/>
    <w:semiHidden/>
    <w:rsid w:val="009B76B2"/>
    <w:rPr>
      <w:rFonts w:ascii="Times New Roman" w:eastAsia="Times New Roman" w:hAnsi="Times New Roman" w:cs="Times New Roman"/>
      <w:b/>
      <w:bCs/>
      <w:sz w:val="20"/>
      <w:szCs w:val="20"/>
      <w:lang w:val="de-DE"/>
    </w:rPr>
  </w:style>
  <w:style w:type="paragraph" w:styleId="ad">
    <w:name w:val="Revision"/>
    <w:hidden/>
    <w:uiPriority w:val="99"/>
    <w:semiHidden/>
    <w:rsid w:val="00D75764"/>
    <w:rPr>
      <w:rFonts w:ascii="Times New Roman" w:eastAsia="Times New Roman" w:hAnsi="Times New Roman" w:cs="Times New Roman"/>
      <w:sz w:val="22"/>
      <w:szCs w:val="22"/>
      <w:lang w:val="de-DE" w:eastAsia="en-US"/>
    </w:rPr>
  </w:style>
  <w:style w:type="character" w:styleId="ae">
    <w:name w:val="FollowedHyperlink"/>
    <w:uiPriority w:val="99"/>
    <w:semiHidden/>
    <w:unhideWhenUsed/>
    <w:rsid w:val="00011F17"/>
    <w:rPr>
      <w:color w:val="800080"/>
      <w:u w:val="single"/>
    </w:rPr>
  </w:style>
  <w:style w:type="character" w:customStyle="1" w:styleId="Char">
    <w:name w:val="본문 Char"/>
    <w:link w:val="a3"/>
    <w:rsid w:val="00410BDC"/>
    <w:rPr>
      <w:rFonts w:ascii="Times New Roman" w:eastAsia="Times New Roman" w:hAnsi="Times New Roman" w:cs="Times New Roman"/>
      <w:lang w:val="de-DE"/>
    </w:rPr>
  </w:style>
  <w:style w:type="paragraph" w:customStyle="1" w:styleId="StyleArialNarrow8pts">
    <w:name w:val="_Style Arial Narrow 8 pts"/>
    <w:basedOn w:val="a"/>
    <w:qFormat/>
    <w:rsid w:val="008873C0"/>
    <w:pPr>
      <w:widowControl/>
      <w:tabs>
        <w:tab w:val="left" w:pos="567"/>
      </w:tabs>
      <w:autoSpaceDE/>
      <w:autoSpaceDN/>
    </w:pPr>
    <w:rPr>
      <w:rFonts w:ascii="Arial Narrow" w:eastAsia="PMingLiU" w:hAnsi="Arial Narrow"/>
      <w:sz w:val="16"/>
      <w:szCs w:val="16"/>
      <w:lang w:val="es-ES"/>
    </w:rPr>
  </w:style>
  <w:style w:type="paragraph" w:styleId="af">
    <w:name w:val="Balloon Text"/>
    <w:basedOn w:val="a"/>
    <w:link w:val="Char6"/>
    <w:uiPriority w:val="99"/>
    <w:semiHidden/>
    <w:unhideWhenUsed/>
    <w:rsid w:val="006F7106"/>
    <w:rPr>
      <w:rFonts w:ascii="Segoe UI" w:hAnsi="Segoe UI" w:cs="Segoe UI"/>
      <w:sz w:val="18"/>
      <w:szCs w:val="18"/>
    </w:rPr>
  </w:style>
  <w:style w:type="character" w:customStyle="1" w:styleId="Char6">
    <w:name w:val="풍선 도움말 텍스트 Char"/>
    <w:link w:val="af"/>
    <w:uiPriority w:val="99"/>
    <w:semiHidden/>
    <w:rsid w:val="006F7106"/>
    <w:rPr>
      <w:rFonts w:ascii="Segoe UI" w:eastAsia="Times New Roman" w:hAnsi="Segoe UI" w:cs="Segoe UI"/>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55354">
      <w:bodyDiv w:val="1"/>
      <w:marLeft w:val="0"/>
      <w:marRight w:val="0"/>
      <w:marTop w:val="0"/>
      <w:marBottom w:val="0"/>
      <w:divBdr>
        <w:top w:val="none" w:sz="0" w:space="0" w:color="auto"/>
        <w:left w:val="none" w:sz="0" w:space="0" w:color="auto"/>
        <w:bottom w:val="none" w:sz="0" w:space="0" w:color="auto"/>
        <w:right w:val="none" w:sz="0" w:space="0" w:color="auto"/>
      </w:divBdr>
    </w:div>
    <w:div w:id="1314993176">
      <w:bodyDiv w:val="1"/>
      <w:marLeft w:val="0"/>
      <w:marRight w:val="0"/>
      <w:marTop w:val="0"/>
      <w:marBottom w:val="0"/>
      <w:divBdr>
        <w:top w:val="none" w:sz="0" w:space="0" w:color="auto"/>
        <w:left w:val="none" w:sz="0" w:space="0" w:color="auto"/>
        <w:bottom w:val="none" w:sz="0" w:space="0" w:color="auto"/>
        <w:right w:val="none" w:sz="0" w:space="0" w:color="auto"/>
      </w:divBdr>
    </w:div>
    <w:div w:id="1506165471">
      <w:bodyDiv w:val="1"/>
      <w:marLeft w:val="0"/>
      <w:marRight w:val="0"/>
      <w:marTop w:val="0"/>
      <w:marBottom w:val="0"/>
      <w:divBdr>
        <w:top w:val="none" w:sz="0" w:space="0" w:color="auto"/>
        <w:left w:val="none" w:sz="0" w:space="0" w:color="auto"/>
        <w:bottom w:val="none" w:sz="0" w:space="0" w:color="auto"/>
        <w:right w:val="none" w:sz="0" w:space="0" w:color="auto"/>
      </w:divBdr>
    </w:div>
    <w:div w:id="1568805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mailto:BEinfo@celltrionhc.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hyperlink" Target="mailto:NLinfo@celltrionhc.com"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19.png"/><Relationship Id="rId10" Type="http://schemas.openxmlformats.org/officeDocument/2006/relationships/webSettings" Target="webSettings.xml"/><Relationship Id="rId19" Type="http://schemas.openxmlformats.org/officeDocument/2006/relationships/image" Target="media/image7.png"/><Relationship Id="rId31" Type="http://schemas.openxmlformats.org/officeDocument/2006/relationships/hyperlink" Target="mailto:infoDE@celltrionhc.com" TargetMode="External"/><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Linfo@celltrionhc.com"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mailto:BEinfo@celltrionhc.com" TargetMode="External"/><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ema.europa.eu/" TargetMode="External"/><Relationship Id="rId38" Type="http://schemas.openxmlformats.org/officeDocument/2006/relationships/image" Target="media/image21.png"/><Relationship Id="rId46" Type="http://schemas.openxmlformats.org/officeDocument/2006/relationships/footer" Target="footer1.xml"/><Relationship Id="rId20" Type="http://schemas.openxmlformats.org/officeDocument/2006/relationships/image" Target="media/image8.png"/><Relationship Id="rId41" Type="http://schemas.openxmlformats.org/officeDocument/2006/relationships/image" Target="media/image2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Dr. Robert Pollmann"/>
    <f:field ref="FSCFOLIO_1_1001_FieldCurrentDate" text="03.01.2025 12:17"/>
    <f:field ref="objvalidfrom" date="" text="" edit="true"/>
    <f:field ref="objvalidto" date="" text="" edit="true"/>
    <f:field ref="FSCFOLIO_1_1001_FieldReleasedVersionDate" text=""/>
    <f:field ref="FSCFOLIO_1_1001_FieldReleasedVersionNr" text=""/>
    <f:field ref="CCAPRECONFIG_15_1001_Objektname" text="Avtozma-ema-combined-h-6196-de_comments" edit="true"/>
    <f:field ref="DEPRECONFIG_15_1001_Objektname" text="Avtozma-ema-combined-h-6196-de_comments" edit="true"/>
    <f:field ref="objname" text="Avtozma-ema-combined-h-6196-de_comments" edit="true"/>
    <f:field ref="objsubject" text="" edit="true"/>
    <f:field ref="objcreatedby" text="Pollmann, Robert, Dr."/>
    <f:field ref="objcreatedat" date="2024-12-18T11:34:31" text="18.12.2024 11:34:31"/>
    <f:field ref="objchangedby" text="Pollmann, Robert, Dr."/>
    <f:field ref="objmodifiedat" date="2025-01-03T12:03:03" text="03.01.2025 12:03:03"/>
    <f:field ref="objprimaryrelated__0_objname" text="Feedback FG" edit="true"/>
    <f:field ref="objprimaryrelated__0_objsubject" text="" edit="true"/>
    <f:field ref="objprimaryrelated__0_objcreatedby" text="Klumpp, Katarina"/>
    <f:field ref="objprimaryrelated__0_objcreatedat" date="2024-12-18T11:32:11" text="18.12.2024 11:32:11"/>
    <f:field ref="objprimaryrelated__0_objchangedby" text="Pollmann, Robert, Dr."/>
    <f:field ref="objprimaryrelated__0_objmodifiedat" date="2025-01-03T12:05:54" text="03.01.2025 12:05:54"/>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DE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field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EMADOC-1700519818-2467748</_dlc_DocId>
    <_dlc_DocIdUrl xmlns="a034c160-bfb7-45f5-8632-2eb7e0508071">
      <Url>https://euema.sharepoint.com/sites/CRM/_layouts/15/DocIdRedir.aspx?ID=EMADOC-1700519818-2467748</Url>
      <Description>EMADOC-1700519818-2467748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BE1C9-FB0E-460A-AE88-0F4F3363F127}"/>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4206DE40-522A-48F7-A0E1-68A7C02CF1D0}">
  <ds:schemaRefs>
    <ds:schemaRef ds:uri="http://schemas.microsoft.com/office/2006/metadata/properties"/>
    <ds:schemaRef ds:uri="http://schemas.microsoft.com/office/infopath/2007/PartnerControls"/>
    <ds:schemaRef ds:uri="a4d64e8f-e33f-435d-981f-c49545ae15b0"/>
    <ds:schemaRef ds:uri="e1eef876-2644-4dc2-b8ea-c736ac46ca54"/>
  </ds:schemaRefs>
</ds:datastoreItem>
</file>

<file path=customXml/itemProps4.xml><?xml version="1.0" encoding="utf-8"?>
<ds:datastoreItem xmlns:ds="http://schemas.openxmlformats.org/officeDocument/2006/customXml" ds:itemID="{28B30CA3-8862-4101-BBEF-131C901FCCC5}"/>
</file>

<file path=customXml/itemProps5.xml><?xml version="1.0" encoding="utf-8"?>
<ds:datastoreItem xmlns:ds="http://schemas.openxmlformats.org/officeDocument/2006/customXml" ds:itemID="{1718784E-EEFC-4397-A80F-5DC0ECCD8495}">
  <ds:schemaRefs>
    <ds:schemaRef ds:uri="http://schemas.microsoft.com/sharepoint/v3/contenttype/forms"/>
  </ds:schemaRefs>
</ds:datastoreItem>
</file>

<file path=customXml/itemProps6.xml><?xml version="1.0" encoding="utf-8"?>
<ds:datastoreItem xmlns:ds="http://schemas.openxmlformats.org/officeDocument/2006/customXml" ds:itemID="{55CBF012-4089-4806-AC6F-2BE3DDA3464D}">
  <ds:schemaRefs>
    <ds:schemaRef ds:uri="http://schemas.openxmlformats.org/officeDocument/2006/bibliography"/>
  </ds:schemaRefs>
</ds:datastoreItem>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188</Pages>
  <Words>67950</Words>
  <Characters>402269</Characters>
  <Application>Microsoft Office Word</Application>
  <DocSecurity>0</DocSecurity>
  <Lines>25141</Lines>
  <Paragraphs>16214</Paragraphs>
  <ScaleCrop>false</ScaleCrop>
  <HeadingPairs>
    <vt:vector size="2" baseType="variant">
      <vt:variant>
        <vt:lpstr>제목</vt:lpstr>
      </vt:variant>
      <vt:variant>
        <vt:i4>1</vt:i4>
      </vt:variant>
    </vt:vector>
  </HeadingPairs>
  <TitlesOfParts>
    <vt:vector size="1" baseType="lpstr">
      <vt:lpstr>Avtozma, INN-tocilizumab</vt:lpstr>
    </vt:vector>
  </TitlesOfParts>
  <Manager/>
  <Company/>
  <LinksUpToDate>false</LinksUpToDate>
  <CharactersWithSpaces>454005</CharactersWithSpaces>
  <SharedDoc>false</SharedDoc>
  <HLinks>
    <vt:vector size="126" baseType="variant">
      <vt:variant>
        <vt:i4>3801208</vt:i4>
      </vt:variant>
      <vt:variant>
        <vt:i4>60</vt:i4>
      </vt:variant>
      <vt:variant>
        <vt:i4>0</vt:i4>
      </vt:variant>
      <vt:variant>
        <vt:i4>5</vt:i4>
      </vt:variant>
      <vt:variant>
        <vt:lpwstr>https://www.ema.europa.eu/</vt:lpwstr>
      </vt:variant>
      <vt:variant>
        <vt:lpwstr/>
      </vt:variant>
      <vt:variant>
        <vt:i4>8257627</vt:i4>
      </vt:variant>
      <vt:variant>
        <vt:i4>57</vt:i4>
      </vt:variant>
      <vt:variant>
        <vt:i4>0</vt:i4>
      </vt:variant>
      <vt:variant>
        <vt:i4>5</vt:i4>
      </vt:variant>
      <vt:variant>
        <vt:lpwstr>mailto:NLinfo@celltrionhc.com</vt:lpwstr>
      </vt:variant>
      <vt:variant>
        <vt:lpwstr/>
      </vt:variant>
      <vt:variant>
        <vt:i4>7602258</vt:i4>
      </vt:variant>
      <vt:variant>
        <vt:i4>54</vt:i4>
      </vt:variant>
      <vt:variant>
        <vt:i4>0</vt:i4>
      </vt:variant>
      <vt:variant>
        <vt:i4>5</vt:i4>
      </vt:variant>
      <vt:variant>
        <vt:lpwstr>mailto:infoDE@celltrionhc.com</vt:lpwstr>
      </vt:variant>
      <vt:variant>
        <vt:lpwstr/>
      </vt:variant>
      <vt:variant>
        <vt:i4>7471186</vt:i4>
      </vt:variant>
      <vt:variant>
        <vt:i4>51</vt:i4>
      </vt:variant>
      <vt:variant>
        <vt:i4>0</vt:i4>
      </vt:variant>
      <vt:variant>
        <vt:i4>5</vt:i4>
      </vt:variant>
      <vt:variant>
        <vt:lpwstr>mailto:BEinfo@celltrionhc.com</vt:lpwstr>
      </vt:variant>
      <vt:variant>
        <vt:lpwstr/>
      </vt:variant>
      <vt:variant>
        <vt:i4>7471186</vt:i4>
      </vt:variant>
      <vt:variant>
        <vt:i4>48</vt:i4>
      </vt:variant>
      <vt:variant>
        <vt:i4>0</vt:i4>
      </vt:variant>
      <vt:variant>
        <vt:i4>5</vt:i4>
      </vt:variant>
      <vt:variant>
        <vt:lpwstr>mailto:BEinfo@celltrionhc.com</vt:lpwstr>
      </vt:variant>
      <vt:variant>
        <vt:lpwstr/>
      </vt:variant>
      <vt:variant>
        <vt:i4>2490456</vt:i4>
      </vt:variant>
      <vt:variant>
        <vt:i4>45</vt:i4>
      </vt:variant>
      <vt:variant>
        <vt:i4>0</vt:i4>
      </vt:variant>
      <vt:variant>
        <vt:i4>5</vt:i4>
      </vt:variant>
      <vt:variant>
        <vt:lpwstr>https://www.ema.europa.eu/documents/template-form/appendix-v-adverse-drug-reaction-reporting-details_en.doc</vt:lpwstr>
      </vt:variant>
      <vt:variant>
        <vt:lpwstr/>
      </vt:variant>
      <vt:variant>
        <vt:i4>3801208</vt:i4>
      </vt:variant>
      <vt:variant>
        <vt:i4>42</vt:i4>
      </vt:variant>
      <vt:variant>
        <vt:i4>0</vt:i4>
      </vt:variant>
      <vt:variant>
        <vt:i4>5</vt:i4>
      </vt:variant>
      <vt:variant>
        <vt:lpwstr>https://www.ema.europa.eu/</vt:lpwstr>
      </vt:variant>
      <vt:variant>
        <vt:lpwstr/>
      </vt:variant>
      <vt:variant>
        <vt:i4>8257627</vt:i4>
      </vt:variant>
      <vt:variant>
        <vt:i4>39</vt:i4>
      </vt:variant>
      <vt:variant>
        <vt:i4>0</vt:i4>
      </vt:variant>
      <vt:variant>
        <vt:i4>5</vt:i4>
      </vt:variant>
      <vt:variant>
        <vt:lpwstr>mailto:NLinfo@celltrionhc.com</vt:lpwstr>
      </vt:variant>
      <vt:variant>
        <vt:lpwstr/>
      </vt:variant>
      <vt:variant>
        <vt:i4>2490456</vt:i4>
      </vt:variant>
      <vt:variant>
        <vt:i4>36</vt:i4>
      </vt:variant>
      <vt:variant>
        <vt:i4>0</vt:i4>
      </vt:variant>
      <vt:variant>
        <vt:i4>5</vt:i4>
      </vt:variant>
      <vt:variant>
        <vt:lpwstr>https://www.ema.europa.eu/documents/template-form/appendix-v-adverse-drug-reaction-reporting-details_en.doc</vt:lpwstr>
      </vt:variant>
      <vt:variant>
        <vt:lpwstr/>
      </vt:variant>
      <vt:variant>
        <vt:i4>3801208</vt:i4>
      </vt:variant>
      <vt:variant>
        <vt:i4>33</vt:i4>
      </vt:variant>
      <vt:variant>
        <vt:i4>0</vt:i4>
      </vt:variant>
      <vt:variant>
        <vt:i4>5</vt:i4>
      </vt:variant>
      <vt:variant>
        <vt:lpwstr>https://www.ema.europa.eu/</vt:lpwstr>
      </vt:variant>
      <vt:variant>
        <vt:lpwstr/>
      </vt:variant>
      <vt:variant>
        <vt:i4>8257627</vt:i4>
      </vt:variant>
      <vt:variant>
        <vt:i4>30</vt:i4>
      </vt:variant>
      <vt:variant>
        <vt:i4>0</vt:i4>
      </vt:variant>
      <vt:variant>
        <vt:i4>5</vt:i4>
      </vt:variant>
      <vt:variant>
        <vt:lpwstr>mailto:NLinfo@celltrionhc.com</vt:lpwstr>
      </vt:variant>
      <vt:variant>
        <vt:lpwstr/>
      </vt:variant>
      <vt:variant>
        <vt:i4>2490456</vt:i4>
      </vt:variant>
      <vt:variant>
        <vt:i4>27</vt:i4>
      </vt:variant>
      <vt:variant>
        <vt:i4>0</vt:i4>
      </vt:variant>
      <vt:variant>
        <vt:i4>5</vt:i4>
      </vt:variant>
      <vt:variant>
        <vt:lpwstr>https://www.ema.europa.eu/documents/template-form/appendix-v-adverse-drug-reaction-reporting-details_en.doc</vt:lpwstr>
      </vt:variant>
      <vt:variant>
        <vt:lpwstr/>
      </vt:variant>
      <vt:variant>
        <vt:i4>3801208</vt:i4>
      </vt:variant>
      <vt:variant>
        <vt:i4>24</vt:i4>
      </vt:variant>
      <vt:variant>
        <vt:i4>0</vt:i4>
      </vt:variant>
      <vt:variant>
        <vt:i4>5</vt:i4>
      </vt:variant>
      <vt:variant>
        <vt:lpwstr>https://www.ema.europa.eu/</vt:lpwstr>
      </vt:variant>
      <vt:variant>
        <vt:lpwstr/>
      </vt:variant>
      <vt:variant>
        <vt:i4>3801208</vt:i4>
      </vt:variant>
      <vt:variant>
        <vt:i4>21</vt:i4>
      </vt:variant>
      <vt:variant>
        <vt:i4>0</vt:i4>
      </vt:variant>
      <vt:variant>
        <vt:i4>5</vt:i4>
      </vt:variant>
      <vt:variant>
        <vt:lpwstr>https://www.ema.europa.eu/</vt:lpwstr>
      </vt:variant>
      <vt:variant>
        <vt:lpwstr/>
      </vt:variant>
      <vt:variant>
        <vt:i4>2490456</vt:i4>
      </vt:variant>
      <vt:variant>
        <vt:i4>18</vt:i4>
      </vt:variant>
      <vt:variant>
        <vt:i4>0</vt:i4>
      </vt:variant>
      <vt:variant>
        <vt:i4>5</vt:i4>
      </vt:variant>
      <vt:variant>
        <vt:lpwstr>https://www.ema.europa.eu/documents/template-form/appendix-v-adverse-drug-reaction-reporting-details_en.doc</vt:lpwstr>
      </vt:variant>
      <vt:variant>
        <vt:lpwstr/>
      </vt:variant>
      <vt:variant>
        <vt:i4>3801208</vt:i4>
      </vt:variant>
      <vt:variant>
        <vt:i4>15</vt:i4>
      </vt:variant>
      <vt:variant>
        <vt:i4>0</vt:i4>
      </vt:variant>
      <vt:variant>
        <vt:i4>5</vt:i4>
      </vt:variant>
      <vt:variant>
        <vt:lpwstr>https://www.ema.europa.eu/</vt:lpwstr>
      </vt:variant>
      <vt:variant>
        <vt:lpwstr/>
      </vt:variant>
      <vt:variant>
        <vt:i4>3801208</vt:i4>
      </vt:variant>
      <vt:variant>
        <vt:i4>12</vt:i4>
      </vt:variant>
      <vt:variant>
        <vt:i4>0</vt:i4>
      </vt:variant>
      <vt:variant>
        <vt:i4>5</vt:i4>
      </vt:variant>
      <vt:variant>
        <vt:lpwstr>https://www.ema.europa.eu/</vt:lpwstr>
      </vt:variant>
      <vt:variant>
        <vt:lpwstr/>
      </vt:variant>
      <vt:variant>
        <vt:i4>4063305</vt:i4>
      </vt:variant>
      <vt:variant>
        <vt:i4>9</vt:i4>
      </vt:variant>
      <vt:variant>
        <vt:i4>0</vt:i4>
      </vt:variant>
      <vt:variant>
        <vt:i4>5</vt:i4>
      </vt:variant>
      <vt:variant>
        <vt:lpwstr>C:\Users\PC\Documents\0001_AA_2023\RWS\to do\241-L1073A-PXCP_Lektorat Susi_29 Nov_17 Uhr\Erosion Score</vt:lpwstr>
      </vt:variant>
      <vt:variant>
        <vt:lpwstr/>
      </vt:variant>
      <vt:variant>
        <vt:i4>3801208</vt:i4>
      </vt:variant>
      <vt:variant>
        <vt:i4>6</vt:i4>
      </vt:variant>
      <vt:variant>
        <vt:i4>0</vt:i4>
      </vt:variant>
      <vt:variant>
        <vt:i4>5</vt:i4>
      </vt:variant>
      <vt:variant>
        <vt:lpwstr>https://www.ema.europa.eu/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Avtozma, INN-tocilizumab</dc:title>
  <dc:subject>EPAR</dc:subject>
  <dc:creator/>
  <cp:keywords>Avtozma, INN-tocilizumab</cp:keywords>
  <dc:description/>
  <cp:lastModifiedBy/>
  <cp:revision>1</cp:revision>
  <dcterms:created xsi:type="dcterms:W3CDTF">2025-07-17T01:08:00Z</dcterms:created>
  <dcterms:modified xsi:type="dcterms:W3CDTF">2025-08-27T08:02:00Z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699efcf1-5f9b-485e-b76f-2e62f7a81343</vt:lpwstr>
  </property>
</Properties>
</file>