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09FD" w14:textId="77777777" w:rsidR="00C16CE7" w:rsidRPr="00C16CE7" w:rsidRDefault="00C16CE7" w:rsidP="00C16CE7">
      <w:pPr>
        <w:widowControl w:val="0"/>
        <w:pBdr>
          <w:top w:val="single" w:sz="4" w:space="1" w:color="auto"/>
          <w:left w:val="single" w:sz="4" w:space="4" w:color="auto"/>
          <w:bottom w:val="single" w:sz="4" w:space="1" w:color="auto"/>
          <w:right w:val="single" w:sz="4" w:space="4" w:color="auto"/>
        </w:pBdr>
        <w:rPr>
          <w:sz w:val="22"/>
          <w:szCs w:val="22"/>
        </w:rPr>
      </w:pPr>
      <w:r w:rsidRPr="00C16CE7">
        <w:rPr>
          <w:sz w:val="22"/>
          <w:szCs w:val="22"/>
        </w:rPr>
        <w:t xml:space="preserve">Bei diesem Dokument handelt es sich um die genehmigte Produktinformation für </w:t>
      </w:r>
      <w:proofErr w:type="spellStart"/>
      <w:r w:rsidRPr="00C16CE7">
        <w:rPr>
          <w:sz w:val="22"/>
          <w:szCs w:val="22"/>
          <w:lang w:val="en-GB"/>
        </w:rPr>
        <w:t>Glivec</w:t>
      </w:r>
      <w:proofErr w:type="spellEnd"/>
      <w:r w:rsidRPr="00C16CE7">
        <w:rPr>
          <w:sz w:val="22"/>
          <w:szCs w:val="22"/>
        </w:rPr>
        <w:t>, wobei die Änderungen seit dem vorherigen Verfahren, die sich auf die Produktinformation (</w:t>
      </w:r>
      <w:r w:rsidRPr="00C16CE7">
        <w:rPr>
          <w:sz w:val="22"/>
          <w:szCs w:val="22"/>
          <w:lang w:val="en-GB"/>
        </w:rPr>
        <w:t>EMA/VR/0000282643</w:t>
      </w:r>
      <w:r w:rsidRPr="00C16CE7">
        <w:rPr>
          <w:sz w:val="22"/>
          <w:szCs w:val="22"/>
        </w:rPr>
        <w:t>) auswirken, unterstrichen sind.</w:t>
      </w:r>
    </w:p>
    <w:p w14:paraId="2C4DEDC7" w14:textId="77777777" w:rsidR="00C16CE7" w:rsidRPr="00C16CE7" w:rsidRDefault="00C16CE7" w:rsidP="00C16CE7">
      <w:pPr>
        <w:widowControl w:val="0"/>
        <w:pBdr>
          <w:top w:val="single" w:sz="4" w:space="1" w:color="auto"/>
          <w:left w:val="single" w:sz="4" w:space="4" w:color="auto"/>
          <w:bottom w:val="single" w:sz="4" w:space="1" w:color="auto"/>
          <w:right w:val="single" w:sz="4" w:space="4" w:color="auto"/>
        </w:pBdr>
        <w:rPr>
          <w:sz w:val="22"/>
          <w:szCs w:val="22"/>
        </w:rPr>
      </w:pPr>
    </w:p>
    <w:p w14:paraId="0F4522F7" w14:textId="44A7B97B" w:rsidR="006615F9" w:rsidRPr="006051F8" w:rsidRDefault="00C16CE7" w:rsidP="00C16CE7">
      <w:pPr>
        <w:pStyle w:val="Header"/>
        <w:pBdr>
          <w:top w:val="single" w:sz="4" w:space="1" w:color="auto"/>
          <w:left w:val="single" w:sz="4" w:space="4" w:color="auto"/>
          <w:bottom w:val="single" w:sz="4" w:space="1" w:color="auto"/>
          <w:right w:val="single" w:sz="4" w:space="4" w:color="auto"/>
        </w:pBdr>
        <w:tabs>
          <w:tab w:val="clear" w:pos="4320"/>
          <w:tab w:val="clear" w:pos="8640"/>
        </w:tabs>
        <w:rPr>
          <w:color w:val="000000"/>
          <w:szCs w:val="22"/>
        </w:rPr>
      </w:pPr>
      <w:r w:rsidRPr="0039034E">
        <w:t xml:space="preserve">Weitere Informationen finden Sie auf der Website der Europäischen Arzneimittel-Agentur: </w:t>
      </w:r>
      <w:hyperlink r:id="rId12" w:history="1">
        <w:r w:rsidRPr="0039034E">
          <w:rPr>
            <w:rStyle w:val="Hyperlink"/>
          </w:rPr>
          <w:t>https://www.ema.europa.eu/en/medicines/human/EPAR/glivec</w:t>
        </w:r>
      </w:hyperlink>
    </w:p>
    <w:p w14:paraId="6A5B237D" w14:textId="77777777" w:rsidR="006615F9" w:rsidRPr="006051F8" w:rsidRDefault="006615F9" w:rsidP="004E7659">
      <w:pPr>
        <w:rPr>
          <w:color w:val="000000"/>
          <w:sz w:val="22"/>
          <w:szCs w:val="22"/>
        </w:rPr>
      </w:pPr>
    </w:p>
    <w:p w14:paraId="456D505F" w14:textId="77777777" w:rsidR="006615F9" w:rsidRPr="006051F8" w:rsidRDefault="006615F9" w:rsidP="004E7659">
      <w:pPr>
        <w:rPr>
          <w:color w:val="000000"/>
          <w:sz w:val="22"/>
          <w:szCs w:val="22"/>
        </w:rPr>
      </w:pPr>
    </w:p>
    <w:p w14:paraId="0DB11DD0" w14:textId="77777777" w:rsidR="006615F9" w:rsidRPr="006051F8" w:rsidRDefault="006615F9" w:rsidP="004E7659">
      <w:pPr>
        <w:rPr>
          <w:color w:val="000000"/>
          <w:sz w:val="22"/>
          <w:szCs w:val="22"/>
        </w:rPr>
      </w:pPr>
    </w:p>
    <w:p w14:paraId="5ED16B1C" w14:textId="77777777" w:rsidR="006615F9" w:rsidRPr="006051F8" w:rsidRDefault="006615F9" w:rsidP="004E7659">
      <w:pPr>
        <w:rPr>
          <w:color w:val="000000"/>
          <w:sz w:val="22"/>
          <w:szCs w:val="22"/>
        </w:rPr>
      </w:pPr>
    </w:p>
    <w:p w14:paraId="2306F401" w14:textId="77777777" w:rsidR="006615F9" w:rsidRPr="006051F8" w:rsidRDefault="006615F9" w:rsidP="004E7659">
      <w:pPr>
        <w:rPr>
          <w:color w:val="000000"/>
          <w:sz w:val="22"/>
          <w:szCs w:val="22"/>
        </w:rPr>
      </w:pPr>
    </w:p>
    <w:p w14:paraId="5CCB943E" w14:textId="77777777" w:rsidR="006615F9" w:rsidRPr="006051F8" w:rsidRDefault="006615F9" w:rsidP="004E7659">
      <w:pPr>
        <w:rPr>
          <w:color w:val="000000"/>
          <w:sz w:val="22"/>
          <w:szCs w:val="22"/>
        </w:rPr>
      </w:pPr>
    </w:p>
    <w:p w14:paraId="0902EC1D" w14:textId="77777777" w:rsidR="006615F9" w:rsidRPr="006051F8" w:rsidRDefault="006615F9" w:rsidP="004E7659">
      <w:pPr>
        <w:rPr>
          <w:color w:val="000000"/>
          <w:sz w:val="22"/>
          <w:szCs w:val="22"/>
        </w:rPr>
      </w:pPr>
    </w:p>
    <w:p w14:paraId="5028C2FD" w14:textId="77777777" w:rsidR="006615F9" w:rsidRPr="006051F8" w:rsidRDefault="006615F9" w:rsidP="004E7659">
      <w:pPr>
        <w:rPr>
          <w:color w:val="000000"/>
          <w:sz w:val="22"/>
          <w:szCs w:val="22"/>
        </w:rPr>
      </w:pPr>
    </w:p>
    <w:p w14:paraId="46CD556D" w14:textId="77777777" w:rsidR="006615F9" w:rsidRPr="006051F8" w:rsidRDefault="006615F9" w:rsidP="004E7659">
      <w:pPr>
        <w:rPr>
          <w:color w:val="000000"/>
          <w:sz w:val="22"/>
          <w:szCs w:val="22"/>
        </w:rPr>
      </w:pPr>
    </w:p>
    <w:p w14:paraId="4E53178E" w14:textId="77777777" w:rsidR="006615F9" w:rsidRPr="006051F8" w:rsidRDefault="006615F9" w:rsidP="004E7659">
      <w:pPr>
        <w:rPr>
          <w:color w:val="000000"/>
          <w:sz w:val="22"/>
          <w:szCs w:val="22"/>
        </w:rPr>
      </w:pPr>
    </w:p>
    <w:p w14:paraId="64BB7E12" w14:textId="77777777" w:rsidR="006615F9" w:rsidRPr="006051F8" w:rsidRDefault="006615F9" w:rsidP="004E7659">
      <w:pPr>
        <w:rPr>
          <w:color w:val="000000"/>
          <w:sz w:val="22"/>
          <w:szCs w:val="22"/>
        </w:rPr>
      </w:pPr>
    </w:p>
    <w:p w14:paraId="07E0706E" w14:textId="77777777" w:rsidR="0078519F" w:rsidRPr="006051F8" w:rsidRDefault="0078519F" w:rsidP="004E7659">
      <w:pPr>
        <w:rPr>
          <w:color w:val="000000"/>
          <w:sz w:val="22"/>
          <w:szCs w:val="22"/>
        </w:rPr>
      </w:pPr>
    </w:p>
    <w:p w14:paraId="4845D10D" w14:textId="77777777" w:rsidR="006615F9" w:rsidRPr="006051F8" w:rsidRDefault="006615F9" w:rsidP="004E7659">
      <w:pPr>
        <w:rPr>
          <w:color w:val="000000"/>
          <w:sz w:val="22"/>
          <w:szCs w:val="22"/>
        </w:rPr>
      </w:pPr>
    </w:p>
    <w:p w14:paraId="3971B631" w14:textId="77777777" w:rsidR="006615F9" w:rsidRPr="006051F8" w:rsidRDefault="006615F9" w:rsidP="004E7659">
      <w:pPr>
        <w:rPr>
          <w:color w:val="000000"/>
          <w:sz w:val="22"/>
          <w:szCs w:val="22"/>
        </w:rPr>
      </w:pPr>
    </w:p>
    <w:p w14:paraId="5A6740CD" w14:textId="77777777" w:rsidR="00F0239D" w:rsidRPr="006051F8" w:rsidRDefault="00F0239D" w:rsidP="004E7659">
      <w:pPr>
        <w:pStyle w:val="Header"/>
        <w:tabs>
          <w:tab w:val="clear" w:pos="4320"/>
          <w:tab w:val="clear" w:pos="8640"/>
        </w:tabs>
        <w:rPr>
          <w:color w:val="000000"/>
          <w:szCs w:val="22"/>
        </w:rPr>
      </w:pPr>
    </w:p>
    <w:p w14:paraId="462DF1DB" w14:textId="77777777" w:rsidR="006615F9" w:rsidRPr="006051F8" w:rsidRDefault="006615F9" w:rsidP="004E7659">
      <w:pPr>
        <w:rPr>
          <w:color w:val="000000"/>
          <w:sz w:val="22"/>
          <w:szCs w:val="22"/>
        </w:rPr>
      </w:pPr>
    </w:p>
    <w:p w14:paraId="6BA44249" w14:textId="77777777" w:rsidR="006615F9" w:rsidRPr="006051F8" w:rsidRDefault="006615F9" w:rsidP="004E7659">
      <w:pPr>
        <w:rPr>
          <w:color w:val="000000"/>
          <w:sz w:val="22"/>
          <w:szCs w:val="22"/>
        </w:rPr>
      </w:pPr>
    </w:p>
    <w:p w14:paraId="35A22D55" w14:textId="77777777" w:rsidR="006615F9" w:rsidRPr="008A4F40" w:rsidRDefault="006615F9" w:rsidP="004E7659">
      <w:pPr>
        <w:jc w:val="center"/>
        <w:rPr>
          <w:b/>
          <w:color w:val="000000"/>
          <w:sz w:val="22"/>
          <w:szCs w:val="22"/>
        </w:rPr>
      </w:pPr>
      <w:r w:rsidRPr="008A4F40">
        <w:rPr>
          <w:b/>
          <w:color w:val="000000"/>
          <w:sz w:val="22"/>
          <w:szCs w:val="22"/>
        </w:rPr>
        <w:t>ANHANG I</w:t>
      </w:r>
    </w:p>
    <w:p w14:paraId="29B1F770" w14:textId="77777777" w:rsidR="006615F9" w:rsidRPr="008A4F40" w:rsidRDefault="006615F9" w:rsidP="004E7659">
      <w:pPr>
        <w:jc w:val="center"/>
        <w:rPr>
          <w:color w:val="000000"/>
          <w:sz w:val="22"/>
          <w:szCs w:val="22"/>
        </w:rPr>
      </w:pPr>
    </w:p>
    <w:p w14:paraId="2B6E4A32" w14:textId="77777777" w:rsidR="006615F9" w:rsidRPr="008A4F40" w:rsidRDefault="006615F9" w:rsidP="004E7659">
      <w:pPr>
        <w:jc w:val="center"/>
        <w:outlineLvl w:val="0"/>
        <w:rPr>
          <w:b/>
          <w:color w:val="000000"/>
          <w:sz w:val="22"/>
          <w:szCs w:val="22"/>
        </w:rPr>
      </w:pPr>
      <w:r w:rsidRPr="008A4F40">
        <w:rPr>
          <w:b/>
          <w:color w:val="000000"/>
          <w:sz w:val="22"/>
          <w:szCs w:val="22"/>
        </w:rPr>
        <w:t xml:space="preserve">ZUSAMMENFASSUNG </w:t>
      </w:r>
      <w:smartTag w:uri="urn:schemas-microsoft-com:office:smarttags" w:element="stockticker">
        <w:r w:rsidRPr="008A4F40">
          <w:rPr>
            <w:b/>
            <w:color w:val="000000"/>
            <w:sz w:val="22"/>
            <w:szCs w:val="22"/>
          </w:rPr>
          <w:t>DER</w:t>
        </w:r>
      </w:smartTag>
      <w:r w:rsidRPr="008A4F40">
        <w:rPr>
          <w:b/>
          <w:color w:val="000000"/>
          <w:sz w:val="22"/>
          <w:szCs w:val="22"/>
        </w:rPr>
        <w:t xml:space="preserve"> MERKMALE </w:t>
      </w:r>
      <w:smartTag w:uri="urn:schemas-microsoft-com:office:smarttags" w:element="stockticker">
        <w:r w:rsidRPr="008A4F40">
          <w:rPr>
            <w:b/>
            <w:color w:val="000000"/>
            <w:sz w:val="22"/>
            <w:szCs w:val="22"/>
          </w:rPr>
          <w:t>DES</w:t>
        </w:r>
      </w:smartTag>
      <w:r w:rsidRPr="008A4F40">
        <w:rPr>
          <w:b/>
          <w:color w:val="000000"/>
          <w:sz w:val="22"/>
          <w:szCs w:val="22"/>
        </w:rPr>
        <w:t xml:space="preserve"> ARZNEIMITTELS</w:t>
      </w:r>
    </w:p>
    <w:p w14:paraId="75EDC746" w14:textId="55B7B9EA" w:rsidR="00F56A4B" w:rsidRPr="008A4F40" w:rsidRDefault="006615F9" w:rsidP="004E7659">
      <w:pPr>
        <w:keepNext/>
        <w:ind w:left="567" w:hanging="567"/>
        <w:rPr>
          <w:color w:val="000000"/>
          <w:sz w:val="22"/>
          <w:szCs w:val="22"/>
        </w:rPr>
      </w:pPr>
      <w:r w:rsidRPr="008A4F40">
        <w:rPr>
          <w:color w:val="000000"/>
          <w:sz w:val="22"/>
          <w:szCs w:val="22"/>
        </w:rPr>
        <w:br w:type="page"/>
      </w:r>
      <w:r w:rsidR="00F56A4B" w:rsidRPr="008A4F40">
        <w:rPr>
          <w:b/>
          <w:color w:val="000000"/>
          <w:sz w:val="22"/>
          <w:szCs w:val="22"/>
        </w:rPr>
        <w:t>1.</w:t>
      </w:r>
      <w:r w:rsidR="00F56A4B" w:rsidRPr="008A4F40">
        <w:rPr>
          <w:b/>
          <w:color w:val="000000"/>
          <w:sz w:val="22"/>
          <w:szCs w:val="22"/>
        </w:rPr>
        <w:tab/>
        <w:t xml:space="preserve">BEZEICHNUNG </w:t>
      </w:r>
      <w:smartTag w:uri="urn:schemas-microsoft-com:office:smarttags" w:element="stockticker">
        <w:r w:rsidR="00F56A4B" w:rsidRPr="008A4F40">
          <w:rPr>
            <w:b/>
            <w:color w:val="000000"/>
            <w:sz w:val="22"/>
            <w:szCs w:val="22"/>
          </w:rPr>
          <w:t>DES</w:t>
        </w:r>
      </w:smartTag>
      <w:r w:rsidR="00F56A4B" w:rsidRPr="008A4F40">
        <w:rPr>
          <w:b/>
          <w:color w:val="000000"/>
          <w:sz w:val="22"/>
          <w:szCs w:val="22"/>
        </w:rPr>
        <w:t xml:space="preserve"> ARZNEIMITTELS</w:t>
      </w:r>
    </w:p>
    <w:p w14:paraId="3E02B8D3" w14:textId="77777777" w:rsidR="00F56A4B" w:rsidRPr="008A4F40" w:rsidRDefault="00F56A4B" w:rsidP="004E7659">
      <w:pPr>
        <w:keepNext/>
        <w:rPr>
          <w:color w:val="000000"/>
          <w:sz w:val="22"/>
          <w:szCs w:val="22"/>
        </w:rPr>
      </w:pPr>
    </w:p>
    <w:p w14:paraId="09793BD1" w14:textId="77777777" w:rsidR="00F56A4B" w:rsidRPr="008A4F40" w:rsidRDefault="00416119" w:rsidP="004E7659">
      <w:pPr>
        <w:rPr>
          <w:color w:val="000000"/>
          <w:sz w:val="22"/>
          <w:szCs w:val="22"/>
        </w:rPr>
      </w:pPr>
      <w:r w:rsidRPr="008A4F40">
        <w:rPr>
          <w:color w:val="000000"/>
          <w:sz w:val="22"/>
          <w:szCs w:val="22"/>
        </w:rPr>
        <w:t xml:space="preserve">Glivec </w:t>
      </w:r>
      <w:r w:rsidR="00F56A4B" w:rsidRPr="008A4F40">
        <w:rPr>
          <w:color w:val="000000"/>
          <w:sz w:val="22"/>
          <w:szCs w:val="22"/>
        </w:rPr>
        <w:t>100</w:t>
      </w:r>
      <w:r w:rsidR="001922B0" w:rsidRPr="008A4F40">
        <w:rPr>
          <w:color w:val="000000"/>
          <w:sz w:val="22"/>
          <w:szCs w:val="22"/>
        </w:rPr>
        <w:t> mg</w:t>
      </w:r>
      <w:r w:rsidR="00F56A4B" w:rsidRPr="008A4F40">
        <w:rPr>
          <w:color w:val="000000"/>
          <w:sz w:val="22"/>
          <w:szCs w:val="22"/>
        </w:rPr>
        <w:t xml:space="preserve"> Filmtabletten</w:t>
      </w:r>
    </w:p>
    <w:p w14:paraId="0AF86725" w14:textId="77777777" w:rsidR="007B0208" w:rsidRPr="008A4F40" w:rsidRDefault="007B0208" w:rsidP="004E7659">
      <w:pPr>
        <w:rPr>
          <w:color w:val="000000"/>
          <w:sz w:val="22"/>
          <w:szCs w:val="22"/>
        </w:rPr>
      </w:pPr>
      <w:r w:rsidRPr="008A4F40">
        <w:rPr>
          <w:color w:val="000000"/>
          <w:sz w:val="22"/>
          <w:szCs w:val="22"/>
        </w:rPr>
        <w:t>Glivec 400 mg Filmtabletten</w:t>
      </w:r>
    </w:p>
    <w:p w14:paraId="76999BFA" w14:textId="77777777" w:rsidR="00F56A4B" w:rsidRPr="008A4F40" w:rsidRDefault="00F56A4B" w:rsidP="004E7659">
      <w:pPr>
        <w:rPr>
          <w:color w:val="000000"/>
          <w:sz w:val="22"/>
          <w:szCs w:val="22"/>
        </w:rPr>
      </w:pPr>
    </w:p>
    <w:p w14:paraId="7E01C618" w14:textId="77777777" w:rsidR="00F56A4B" w:rsidRPr="008A4F40" w:rsidRDefault="00F56A4B" w:rsidP="004E7659">
      <w:pPr>
        <w:rPr>
          <w:color w:val="000000"/>
          <w:sz w:val="22"/>
          <w:szCs w:val="22"/>
        </w:rPr>
      </w:pPr>
    </w:p>
    <w:p w14:paraId="251985B9" w14:textId="77777777" w:rsidR="00F56A4B" w:rsidRPr="008A4F40" w:rsidRDefault="00F56A4B" w:rsidP="004E7659">
      <w:pPr>
        <w:keepNext/>
        <w:ind w:left="567" w:hanging="567"/>
        <w:rPr>
          <w:color w:val="000000"/>
          <w:sz w:val="22"/>
          <w:szCs w:val="22"/>
        </w:rPr>
      </w:pPr>
      <w:r w:rsidRPr="008A4F40">
        <w:rPr>
          <w:b/>
          <w:color w:val="000000"/>
          <w:sz w:val="22"/>
          <w:szCs w:val="22"/>
        </w:rPr>
        <w:t>2.</w:t>
      </w:r>
      <w:r w:rsidRPr="008A4F40">
        <w:rPr>
          <w:b/>
          <w:color w:val="000000"/>
          <w:sz w:val="22"/>
          <w:szCs w:val="22"/>
        </w:rPr>
        <w:tab/>
        <w:t>QUALITATIVE UND QUANTITATIVE ZUSAMMENSETZUNG</w:t>
      </w:r>
    </w:p>
    <w:p w14:paraId="5F2BDF8C" w14:textId="77777777" w:rsidR="00F56A4B" w:rsidRPr="008A4F40" w:rsidRDefault="00F56A4B" w:rsidP="004E7659">
      <w:pPr>
        <w:pStyle w:val="Header"/>
        <w:keepNext/>
        <w:tabs>
          <w:tab w:val="clear" w:pos="4320"/>
          <w:tab w:val="clear" w:pos="8640"/>
        </w:tabs>
        <w:rPr>
          <w:color w:val="000000"/>
          <w:szCs w:val="22"/>
        </w:rPr>
      </w:pPr>
    </w:p>
    <w:p w14:paraId="312BF9CB" w14:textId="485FD6BC" w:rsidR="007B0208" w:rsidRPr="008A4F40" w:rsidRDefault="007B0208" w:rsidP="004E7659">
      <w:pPr>
        <w:keepNext/>
        <w:rPr>
          <w:color w:val="000000"/>
          <w:sz w:val="22"/>
          <w:szCs w:val="22"/>
          <w:u w:val="single"/>
        </w:rPr>
      </w:pPr>
      <w:r w:rsidRPr="008A4F40">
        <w:rPr>
          <w:color w:val="000000"/>
          <w:sz w:val="22"/>
          <w:szCs w:val="22"/>
          <w:u w:val="single"/>
        </w:rPr>
        <w:t>Glivec 100 mg Filmtabletten</w:t>
      </w:r>
    </w:p>
    <w:p w14:paraId="1FBDBA9F" w14:textId="77777777" w:rsidR="0046560E" w:rsidRPr="008A4F40" w:rsidRDefault="0046560E" w:rsidP="004E7659">
      <w:pPr>
        <w:keepNext/>
        <w:rPr>
          <w:color w:val="000000"/>
          <w:sz w:val="22"/>
          <w:szCs w:val="22"/>
          <w:u w:val="single"/>
        </w:rPr>
      </w:pPr>
    </w:p>
    <w:p w14:paraId="7F1AA4DA" w14:textId="77777777" w:rsidR="00F56A4B" w:rsidRPr="008A4F40" w:rsidRDefault="00F56A4B" w:rsidP="004E7659">
      <w:pPr>
        <w:rPr>
          <w:color w:val="000000"/>
          <w:sz w:val="22"/>
          <w:szCs w:val="22"/>
        </w:rPr>
      </w:pPr>
      <w:r w:rsidRPr="008A4F40">
        <w:rPr>
          <w:color w:val="000000"/>
          <w:sz w:val="22"/>
          <w:szCs w:val="22"/>
        </w:rPr>
        <w:t>Jede Filmtablette enthält 100</w:t>
      </w:r>
      <w:r w:rsidR="001922B0" w:rsidRPr="008A4F40">
        <w:rPr>
          <w:color w:val="000000"/>
          <w:sz w:val="22"/>
          <w:szCs w:val="22"/>
        </w:rPr>
        <w:t> mg</w:t>
      </w:r>
      <w:r w:rsidRPr="008A4F40">
        <w:rPr>
          <w:color w:val="000000"/>
          <w:sz w:val="22"/>
          <w:szCs w:val="22"/>
        </w:rPr>
        <w:t xml:space="preserve"> Imatinib (als Mesilat)</w:t>
      </w:r>
      <w:r w:rsidR="0010708C" w:rsidRPr="008A4F40">
        <w:rPr>
          <w:color w:val="000000"/>
          <w:sz w:val="22"/>
          <w:szCs w:val="22"/>
        </w:rPr>
        <w:t>.</w:t>
      </w:r>
    </w:p>
    <w:p w14:paraId="3C3343AB" w14:textId="77777777" w:rsidR="00F56A4B" w:rsidRPr="008A4F40" w:rsidRDefault="00F56A4B" w:rsidP="004E7659">
      <w:pPr>
        <w:rPr>
          <w:color w:val="000000"/>
          <w:sz w:val="22"/>
          <w:szCs w:val="22"/>
        </w:rPr>
      </w:pPr>
    </w:p>
    <w:p w14:paraId="15B7D65C" w14:textId="23CC1EE3" w:rsidR="007B0208" w:rsidRPr="008A4F40" w:rsidRDefault="007B0208" w:rsidP="004E7659">
      <w:pPr>
        <w:keepNext/>
        <w:rPr>
          <w:color w:val="000000"/>
          <w:sz w:val="22"/>
          <w:szCs w:val="22"/>
          <w:u w:val="single"/>
        </w:rPr>
      </w:pPr>
      <w:r w:rsidRPr="008A4F40">
        <w:rPr>
          <w:color w:val="000000"/>
          <w:sz w:val="22"/>
          <w:szCs w:val="22"/>
          <w:u w:val="single"/>
        </w:rPr>
        <w:t>Glivec 400 mg Filmtabletten</w:t>
      </w:r>
    </w:p>
    <w:p w14:paraId="68C9BF48" w14:textId="77777777" w:rsidR="0046560E" w:rsidRPr="008A4F40" w:rsidRDefault="0046560E" w:rsidP="004E7659">
      <w:pPr>
        <w:keepNext/>
        <w:rPr>
          <w:color w:val="000000"/>
          <w:sz w:val="22"/>
          <w:szCs w:val="22"/>
          <w:u w:val="single"/>
        </w:rPr>
      </w:pPr>
    </w:p>
    <w:p w14:paraId="48A735BA" w14:textId="77777777" w:rsidR="007B0208" w:rsidRPr="008A4F40" w:rsidRDefault="007B0208" w:rsidP="004E7659">
      <w:pPr>
        <w:rPr>
          <w:color w:val="000000"/>
          <w:sz w:val="22"/>
          <w:szCs w:val="22"/>
        </w:rPr>
      </w:pPr>
      <w:r w:rsidRPr="008A4F40">
        <w:rPr>
          <w:color w:val="000000"/>
          <w:sz w:val="22"/>
          <w:szCs w:val="22"/>
        </w:rPr>
        <w:t>Jede Filmtablette enthält 400 mg Imatinib (als Mesilat).</w:t>
      </w:r>
    </w:p>
    <w:p w14:paraId="51C50426" w14:textId="77777777" w:rsidR="007B0208" w:rsidRPr="008A4F40" w:rsidRDefault="007B0208" w:rsidP="004E7659">
      <w:pPr>
        <w:rPr>
          <w:color w:val="000000"/>
          <w:sz w:val="22"/>
          <w:szCs w:val="22"/>
        </w:rPr>
      </w:pPr>
    </w:p>
    <w:p w14:paraId="0E3D0F02" w14:textId="49A0C1EF" w:rsidR="00416119" w:rsidRPr="008A4F40" w:rsidRDefault="00C5148D" w:rsidP="004E7659">
      <w:pPr>
        <w:pStyle w:val="BodyText3"/>
        <w:rPr>
          <w:color w:val="000000"/>
          <w:szCs w:val="22"/>
        </w:rPr>
      </w:pPr>
      <w:r w:rsidRPr="008A4F40">
        <w:rPr>
          <w:noProof/>
          <w:color w:val="000000"/>
          <w:szCs w:val="22"/>
        </w:rPr>
        <w:t>V</w:t>
      </w:r>
      <w:r w:rsidR="00416119" w:rsidRPr="008A4F40">
        <w:rPr>
          <w:noProof/>
          <w:color w:val="000000"/>
          <w:szCs w:val="22"/>
        </w:rPr>
        <w:t>ollständige Auflistung der sonstigen Bestandteile</w:t>
      </w:r>
      <w:r w:rsidR="00DF2A2E" w:rsidRPr="008A4F40">
        <w:rPr>
          <w:noProof/>
          <w:color w:val="000000"/>
          <w:szCs w:val="22"/>
        </w:rPr>
        <w:t>,</w:t>
      </w:r>
      <w:r w:rsidR="00416119" w:rsidRPr="008A4F40">
        <w:rPr>
          <w:noProof/>
          <w:color w:val="000000"/>
          <w:szCs w:val="22"/>
        </w:rPr>
        <w:t xml:space="preserve"> siehe Abschnitt</w:t>
      </w:r>
      <w:ins w:id="0" w:author="Author">
        <w:r w:rsidR="00E96CC8">
          <w:rPr>
            <w:noProof/>
            <w:color w:val="000000"/>
            <w:szCs w:val="22"/>
          </w:rPr>
          <w:t> </w:t>
        </w:r>
      </w:ins>
      <w:del w:id="1" w:author="Author">
        <w:r w:rsidR="00416119" w:rsidRPr="008A4F40" w:rsidDel="00E96CC8">
          <w:rPr>
            <w:noProof/>
            <w:color w:val="000000"/>
            <w:szCs w:val="22"/>
          </w:rPr>
          <w:delText xml:space="preserve"> </w:delText>
        </w:r>
      </w:del>
      <w:r w:rsidR="00416119" w:rsidRPr="008A4F40">
        <w:rPr>
          <w:noProof/>
          <w:color w:val="000000"/>
          <w:szCs w:val="22"/>
        </w:rPr>
        <w:t>6.1.</w:t>
      </w:r>
    </w:p>
    <w:p w14:paraId="5775741A" w14:textId="77777777" w:rsidR="00F56A4B" w:rsidRPr="008A4F40" w:rsidRDefault="00F56A4B" w:rsidP="004E7659">
      <w:pPr>
        <w:rPr>
          <w:color w:val="000000"/>
          <w:sz w:val="22"/>
          <w:szCs w:val="22"/>
        </w:rPr>
      </w:pPr>
    </w:p>
    <w:p w14:paraId="4FF3E203" w14:textId="77777777" w:rsidR="00F56A4B" w:rsidRPr="008A4F40" w:rsidRDefault="00F56A4B" w:rsidP="004E7659">
      <w:pPr>
        <w:rPr>
          <w:color w:val="000000"/>
          <w:sz w:val="22"/>
          <w:szCs w:val="22"/>
        </w:rPr>
      </w:pPr>
    </w:p>
    <w:p w14:paraId="5A325B63" w14:textId="77777777" w:rsidR="00F56A4B" w:rsidRPr="008A4F40" w:rsidRDefault="00F56A4B" w:rsidP="004E7659">
      <w:pPr>
        <w:keepNext/>
        <w:ind w:left="567" w:hanging="567"/>
        <w:rPr>
          <w:color w:val="000000"/>
          <w:sz w:val="22"/>
          <w:szCs w:val="22"/>
        </w:rPr>
      </w:pPr>
      <w:r w:rsidRPr="008A4F40">
        <w:rPr>
          <w:b/>
          <w:color w:val="000000"/>
          <w:sz w:val="22"/>
          <w:szCs w:val="22"/>
        </w:rPr>
        <w:t>3.</w:t>
      </w:r>
      <w:r w:rsidRPr="008A4F40">
        <w:rPr>
          <w:b/>
          <w:color w:val="000000"/>
          <w:sz w:val="22"/>
          <w:szCs w:val="22"/>
        </w:rPr>
        <w:tab/>
        <w:t>DARREICHUNGSFORM</w:t>
      </w:r>
    </w:p>
    <w:p w14:paraId="58E8DE0C" w14:textId="77777777" w:rsidR="00F56A4B" w:rsidRPr="008A4F40" w:rsidRDefault="00F56A4B" w:rsidP="004E7659">
      <w:pPr>
        <w:keepNext/>
        <w:rPr>
          <w:color w:val="000000"/>
          <w:sz w:val="22"/>
          <w:szCs w:val="22"/>
        </w:rPr>
      </w:pPr>
    </w:p>
    <w:p w14:paraId="789B6093" w14:textId="77777777" w:rsidR="00F56A4B" w:rsidRPr="008A4F40" w:rsidRDefault="00F56A4B" w:rsidP="004E7659">
      <w:pPr>
        <w:rPr>
          <w:color w:val="000000"/>
          <w:sz w:val="22"/>
          <w:szCs w:val="22"/>
        </w:rPr>
      </w:pPr>
      <w:r w:rsidRPr="008A4F40">
        <w:rPr>
          <w:color w:val="000000"/>
          <w:sz w:val="22"/>
          <w:szCs w:val="22"/>
        </w:rPr>
        <w:t>Filmtablette</w:t>
      </w:r>
    </w:p>
    <w:p w14:paraId="7BD4EF05" w14:textId="77777777" w:rsidR="00F56A4B" w:rsidRPr="008A4F40" w:rsidRDefault="00F56A4B" w:rsidP="004E7659">
      <w:pPr>
        <w:rPr>
          <w:color w:val="000000"/>
          <w:sz w:val="22"/>
          <w:szCs w:val="22"/>
        </w:rPr>
      </w:pPr>
    </w:p>
    <w:p w14:paraId="32E28A54" w14:textId="4A3345FB" w:rsidR="004E0971" w:rsidRPr="008A4F40" w:rsidRDefault="004E0971" w:rsidP="004E7659">
      <w:pPr>
        <w:keepNext/>
        <w:rPr>
          <w:color w:val="000000"/>
          <w:sz w:val="22"/>
          <w:szCs w:val="22"/>
          <w:u w:val="single"/>
        </w:rPr>
      </w:pPr>
      <w:r w:rsidRPr="008A4F40">
        <w:rPr>
          <w:color w:val="000000"/>
          <w:sz w:val="22"/>
          <w:szCs w:val="22"/>
          <w:u w:val="single"/>
        </w:rPr>
        <w:t>Glivec 100 mg Filmtabletten</w:t>
      </w:r>
    </w:p>
    <w:p w14:paraId="2C1097FC" w14:textId="77777777" w:rsidR="0046560E" w:rsidRPr="008A4F40" w:rsidRDefault="0046560E" w:rsidP="004E7659">
      <w:pPr>
        <w:keepNext/>
        <w:rPr>
          <w:color w:val="000000"/>
          <w:sz w:val="22"/>
          <w:szCs w:val="22"/>
          <w:u w:val="single"/>
        </w:rPr>
      </w:pPr>
    </w:p>
    <w:p w14:paraId="37E18791" w14:textId="77777777" w:rsidR="00F56A4B" w:rsidRPr="008A4F40" w:rsidRDefault="00F56A4B" w:rsidP="004E7659">
      <w:pPr>
        <w:rPr>
          <w:color w:val="000000"/>
          <w:sz w:val="22"/>
          <w:szCs w:val="22"/>
        </w:rPr>
      </w:pPr>
      <w:r w:rsidRPr="008A4F40">
        <w:rPr>
          <w:color w:val="000000"/>
          <w:sz w:val="22"/>
          <w:szCs w:val="22"/>
        </w:rPr>
        <w:t>Dunkelgelbe bis braun-orange runde Filmtablette, gekennzeichnet mit „</w:t>
      </w:r>
      <w:smartTag w:uri="urn:schemas-microsoft-com:office:smarttags" w:element="stockticker">
        <w:r w:rsidRPr="008A4F40">
          <w:rPr>
            <w:color w:val="000000"/>
            <w:sz w:val="22"/>
            <w:szCs w:val="22"/>
          </w:rPr>
          <w:t>NVR</w:t>
        </w:r>
      </w:smartTag>
      <w:r w:rsidRPr="008A4F40">
        <w:rPr>
          <w:color w:val="000000"/>
          <w:sz w:val="22"/>
          <w:szCs w:val="22"/>
        </w:rPr>
        <w:t>“ auf der einen und „SA“ auf der anderen Seite. Auf der mit „SA“ gekennzeichneten Seite befindet sich zusätzlich ein</w:t>
      </w:r>
      <w:r w:rsidR="00F9359D" w:rsidRPr="008A4F40">
        <w:rPr>
          <w:color w:val="000000"/>
          <w:sz w:val="22"/>
          <w:szCs w:val="22"/>
        </w:rPr>
        <w:t>e</w:t>
      </w:r>
      <w:r w:rsidRPr="008A4F40">
        <w:rPr>
          <w:color w:val="000000"/>
          <w:sz w:val="22"/>
          <w:szCs w:val="22"/>
        </w:rPr>
        <w:t xml:space="preserve"> Bruchkerbe.</w:t>
      </w:r>
    </w:p>
    <w:p w14:paraId="621A915A" w14:textId="77777777" w:rsidR="00F56A4B" w:rsidRPr="008A4F40" w:rsidRDefault="00F56A4B" w:rsidP="004E7659">
      <w:pPr>
        <w:rPr>
          <w:color w:val="000000"/>
          <w:sz w:val="22"/>
          <w:szCs w:val="22"/>
        </w:rPr>
      </w:pPr>
    </w:p>
    <w:p w14:paraId="30471512" w14:textId="5BF62B3B" w:rsidR="004E0971" w:rsidRPr="008A4F40" w:rsidRDefault="004E0971" w:rsidP="004E7659">
      <w:pPr>
        <w:keepNext/>
        <w:rPr>
          <w:color w:val="000000"/>
          <w:sz w:val="22"/>
          <w:szCs w:val="22"/>
          <w:u w:val="single"/>
        </w:rPr>
      </w:pPr>
      <w:r w:rsidRPr="008A4F40">
        <w:rPr>
          <w:color w:val="000000"/>
          <w:sz w:val="22"/>
          <w:szCs w:val="22"/>
          <w:u w:val="single"/>
        </w:rPr>
        <w:t>Glivec 400 mg Filmtabletten</w:t>
      </w:r>
    </w:p>
    <w:p w14:paraId="0DE560FC" w14:textId="77777777" w:rsidR="0046560E" w:rsidRPr="008A4F40" w:rsidRDefault="0046560E" w:rsidP="004E7659">
      <w:pPr>
        <w:keepNext/>
        <w:rPr>
          <w:color w:val="000000"/>
          <w:sz w:val="22"/>
          <w:szCs w:val="22"/>
          <w:u w:val="single"/>
        </w:rPr>
      </w:pPr>
    </w:p>
    <w:p w14:paraId="69AAB47D" w14:textId="34B8D3FB" w:rsidR="002440AE" w:rsidRPr="008A4F40" w:rsidRDefault="004E0971" w:rsidP="004E7659">
      <w:pPr>
        <w:rPr>
          <w:color w:val="000000"/>
          <w:sz w:val="22"/>
          <w:szCs w:val="22"/>
        </w:rPr>
      </w:pPr>
      <w:r w:rsidRPr="008A4F40">
        <w:rPr>
          <w:color w:val="000000"/>
          <w:sz w:val="22"/>
          <w:szCs w:val="22"/>
        </w:rPr>
        <w:t xml:space="preserve">Dunkelgelbe bis braun-orange ovaloide, bikonvexe Filmtablette mit abgeschrägten Kanten. Auf </w:t>
      </w:r>
      <w:r w:rsidR="00FF072B">
        <w:rPr>
          <w:color w:val="000000"/>
          <w:sz w:val="22"/>
          <w:szCs w:val="22"/>
        </w:rPr>
        <w:t xml:space="preserve">der </w:t>
      </w:r>
      <w:r w:rsidRPr="008A4F40">
        <w:rPr>
          <w:color w:val="000000"/>
          <w:sz w:val="22"/>
          <w:szCs w:val="22"/>
        </w:rPr>
        <w:t>eine</w:t>
      </w:r>
      <w:r w:rsidR="00FF072B">
        <w:rPr>
          <w:color w:val="000000"/>
          <w:sz w:val="22"/>
          <w:szCs w:val="22"/>
        </w:rPr>
        <w:t>n</w:t>
      </w:r>
      <w:r w:rsidRPr="008A4F40">
        <w:rPr>
          <w:color w:val="000000"/>
          <w:sz w:val="22"/>
          <w:szCs w:val="22"/>
        </w:rPr>
        <w:t xml:space="preserve"> Seite ist „</w:t>
      </w:r>
      <w:r w:rsidR="00782FD0">
        <w:rPr>
          <w:color w:val="000000"/>
          <w:sz w:val="22"/>
          <w:szCs w:val="22"/>
        </w:rPr>
        <w:t>400</w:t>
      </w:r>
      <w:r w:rsidRPr="008A4F40">
        <w:rPr>
          <w:color w:val="000000"/>
          <w:sz w:val="22"/>
          <w:szCs w:val="22"/>
        </w:rPr>
        <w:t>“ eingeprägt</w:t>
      </w:r>
      <w:r w:rsidR="00782FD0" w:rsidRPr="00782FD0">
        <w:rPr>
          <w:color w:val="000000"/>
          <w:sz w:val="22"/>
          <w:szCs w:val="22"/>
        </w:rPr>
        <w:t xml:space="preserve"> </w:t>
      </w:r>
      <w:r w:rsidR="00782FD0">
        <w:rPr>
          <w:color w:val="000000"/>
          <w:sz w:val="22"/>
          <w:szCs w:val="22"/>
        </w:rPr>
        <w:t>und auf der anderen Seite befindet sich eine Bruchkerbe mit der Prägung „SL“ auf beiden Seiten der Bruchkerbe</w:t>
      </w:r>
      <w:r w:rsidRPr="008A4F40">
        <w:rPr>
          <w:color w:val="000000"/>
          <w:sz w:val="22"/>
          <w:szCs w:val="22"/>
        </w:rPr>
        <w:t>.</w:t>
      </w:r>
    </w:p>
    <w:p w14:paraId="47C642DB" w14:textId="38CAFBCD" w:rsidR="00F56A4B" w:rsidRDefault="00F56A4B" w:rsidP="004E7659">
      <w:pPr>
        <w:rPr>
          <w:color w:val="000000"/>
          <w:sz w:val="22"/>
          <w:szCs w:val="22"/>
        </w:rPr>
      </w:pPr>
    </w:p>
    <w:p w14:paraId="5E2AC3C8" w14:textId="359B4264" w:rsidR="006C3994" w:rsidRDefault="00782FD0" w:rsidP="004E7659">
      <w:pPr>
        <w:rPr>
          <w:color w:val="000000"/>
          <w:sz w:val="22"/>
          <w:szCs w:val="22"/>
        </w:rPr>
      </w:pPr>
      <w:r>
        <w:rPr>
          <w:color w:val="000000"/>
          <w:sz w:val="22"/>
          <w:szCs w:val="22"/>
        </w:rPr>
        <w:t>Die Filmt</w:t>
      </w:r>
      <w:r w:rsidRPr="00782FD0">
        <w:rPr>
          <w:color w:val="000000"/>
          <w:sz w:val="22"/>
          <w:szCs w:val="22"/>
        </w:rPr>
        <w:t>ablette kann i</w:t>
      </w:r>
      <w:r>
        <w:rPr>
          <w:color w:val="000000"/>
          <w:sz w:val="22"/>
          <w:szCs w:val="22"/>
        </w:rPr>
        <w:t>n gleiche Dosen geteilt werden.</w:t>
      </w:r>
    </w:p>
    <w:p w14:paraId="204EB57F" w14:textId="77777777" w:rsidR="00CA345D" w:rsidRDefault="00CA345D" w:rsidP="004E7659">
      <w:pPr>
        <w:rPr>
          <w:color w:val="000000"/>
          <w:sz w:val="22"/>
          <w:szCs w:val="22"/>
        </w:rPr>
      </w:pPr>
    </w:p>
    <w:p w14:paraId="47641DD8" w14:textId="77777777" w:rsidR="00782FD0" w:rsidRPr="008A4F40" w:rsidRDefault="00782FD0" w:rsidP="004E7659">
      <w:pPr>
        <w:rPr>
          <w:color w:val="000000"/>
          <w:sz w:val="22"/>
          <w:szCs w:val="22"/>
        </w:rPr>
      </w:pPr>
    </w:p>
    <w:p w14:paraId="1BFFA4BA" w14:textId="77777777" w:rsidR="000742FC" w:rsidRPr="008A4F40" w:rsidRDefault="000742FC" w:rsidP="004E7659">
      <w:pPr>
        <w:keepNext/>
        <w:ind w:left="567" w:hanging="567"/>
        <w:rPr>
          <w:color w:val="000000"/>
          <w:sz w:val="22"/>
          <w:szCs w:val="22"/>
        </w:rPr>
      </w:pPr>
      <w:r w:rsidRPr="008A4F40">
        <w:rPr>
          <w:b/>
          <w:color w:val="000000"/>
          <w:sz w:val="22"/>
          <w:szCs w:val="22"/>
        </w:rPr>
        <w:t>4.</w:t>
      </w:r>
      <w:r w:rsidRPr="008A4F40">
        <w:rPr>
          <w:b/>
          <w:color w:val="000000"/>
          <w:sz w:val="22"/>
          <w:szCs w:val="22"/>
        </w:rPr>
        <w:tab/>
        <w:t>KLINISCHE ANGABEN</w:t>
      </w:r>
    </w:p>
    <w:p w14:paraId="395F2CE4" w14:textId="77777777" w:rsidR="000742FC" w:rsidRPr="008A4F40" w:rsidRDefault="000742FC" w:rsidP="004E7659">
      <w:pPr>
        <w:pStyle w:val="Header"/>
        <w:keepNext/>
        <w:tabs>
          <w:tab w:val="clear" w:pos="4320"/>
          <w:tab w:val="clear" w:pos="8640"/>
        </w:tabs>
        <w:rPr>
          <w:color w:val="000000"/>
          <w:szCs w:val="22"/>
        </w:rPr>
      </w:pPr>
    </w:p>
    <w:p w14:paraId="1349FEF2" w14:textId="77777777" w:rsidR="000742FC" w:rsidRPr="008A4F40" w:rsidRDefault="000742FC" w:rsidP="004E7659">
      <w:pPr>
        <w:keepNext/>
        <w:ind w:left="567" w:hanging="567"/>
        <w:rPr>
          <w:color w:val="000000"/>
          <w:sz w:val="22"/>
          <w:szCs w:val="22"/>
        </w:rPr>
      </w:pPr>
      <w:r w:rsidRPr="008A4F40">
        <w:rPr>
          <w:b/>
          <w:color w:val="000000"/>
          <w:sz w:val="22"/>
          <w:szCs w:val="22"/>
        </w:rPr>
        <w:t>4.1</w:t>
      </w:r>
      <w:r w:rsidRPr="008A4F40">
        <w:rPr>
          <w:b/>
          <w:color w:val="000000"/>
          <w:sz w:val="22"/>
          <w:szCs w:val="22"/>
        </w:rPr>
        <w:tab/>
        <w:t>Anwendungsgebiete</w:t>
      </w:r>
    </w:p>
    <w:p w14:paraId="18C654C5" w14:textId="77777777" w:rsidR="000742FC" w:rsidRPr="008A4F40" w:rsidRDefault="000742FC" w:rsidP="004E7659">
      <w:pPr>
        <w:pStyle w:val="BodyTextIndent3"/>
        <w:keepNext/>
        <w:widowControl/>
        <w:ind w:left="0"/>
        <w:rPr>
          <w:rFonts w:ascii="Times New Roman" w:hAnsi="Times New Roman"/>
          <w:color w:val="000000"/>
          <w:szCs w:val="22"/>
        </w:rPr>
      </w:pPr>
    </w:p>
    <w:p w14:paraId="0BAECEA7" w14:textId="77777777" w:rsidR="000742FC" w:rsidRPr="008A4F40" w:rsidRDefault="000742FC" w:rsidP="004E7659">
      <w:pPr>
        <w:pStyle w:val="BodyTextIndent3"/>
        <w:keepNext/>
        <w:widowControl/>
        <w:ind w:left="0"/>
        <w:rPr>
          <w:rFonts w:ascii="Times New Roman" w:hAnsi="Times New Roman"/>
          <w:color w:val="000000"/>
          <w:szCs w:val="22"/>
        </w:rPr>
      </w:pPr>
      <w:r w:rsidRPr="008A4F40">
        <w:rPr>
          <w:rFonts w:ascii="Times New Roman" w:hAnsi="Times New Roman"/>
          <w:color w:val="000000"/>
          <w:szCs w:val="22"/>
        </w:rPr>
        <w:t>Glivec ist angezeigt zur Behandlung von</w:t>
      </w:r>
    </w:p>
    <w:p w14:paraId="4C3AA247"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Erwachsenen und Kindern mit neu diagnostizierter Philadelphia-Chromosom (bcr-abl)-positiver (Ph+) chronischer myeloischer Leukämie (CML), für die eine Knochenmarktransplantation als Erstbehandlungsmöglichkeit nicht in Betracht gezogen wird.</w:t>
      </w:r>
    </w:p>
    <w:p w14:paraId="00704DD2" w14:textId="390BA5F2"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Erwachsenen und Kindern mit Ph+</w:t>
      </w:r>
      <w:r w:rsidR="007A7758">
        <w:rPr>
          <w:rFonts w:ascii="Times New Roman" w:hAnsi="Times New Roman"/>
          <w:color w:val="000000"/>
          <w:szCs w:val="22"/>
        </w:rPr>
        <w:t xml:space="preserve"> </w:t>
      </w:r>
      <w:r w:rsidRPr="008A4F40">
        <w:rPr>
          <w:rFonts w:ascii="Times New Roman" w:hAnsi="Times New Roman"/>
          <w:color w:val="000000"/>
          <w:szCs w:val="22"/>
        </w:rPr>
        <w:t>CML in der chronischen Phase nach Versagen einer Interferon-Alpha-Therapie, in der akzele</w:t>
      </w:r>
      <w:r w:rsidRPr="008A4F40">
        <w:rPr>
          <w:rFonts w:ascii="Times New Roman" w:hAnsi="Times New Roman"/>
          <w:color w:val="000000"/>
          <w:szCs w:val="22"/>
        </w:rPr>
        <w:softHyphen/>
        <w:t>rierten Phase oder in der Blastenkrise.</w:t>
      </w:r>
    </w:p>
    <w:p w14:paraId="6F662476"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 xml:space="preserve">Erwachsenen </w:t>
      </w:r>
      <w:r w:rsidR="009F2D90" w:rsidRPr="008A4F40">
        <w:rPr>
          <w:rFonts w:ascii="Times New Roman" w:hAnsi="Times New Roman"/>
          <w:color w:val="000000"/>
          <w:szCs w:val="22"/>
        </w:rPr>
        <w:t xml:space="preserve">und Kindern </w:t>
      </w:r>
      <w:r w:rsidRPr="008A4F40">
        <w:rPr>
          <w:rFonts w:ascii="Times New Roman" w:hAnsi="Times New Roman"/>
          <w:color w:val="000000"/>
          <w:szCs w:val="22"/>
        </w:rPr>
        <w:t xml:space="preserve">mit neu diagnostizierter Philadelphia-Chromosom-positiver akuter lymphatischer Leukämie (Ph+ </w:t>
      </w:r>
      <w:smartTag w:uri="urn:schemas-microsoft-com:office:smarttags" w:element="stockticker">
        <w:r w:rsidRPr="008A4F40">
          <w:rPr>
            <w:rFonts w:ascii="Times New Roman" w:hAnsi="Times New Roman"/>
            <w:color w:val="000000"/>
            <w:szCs w:val="22"/>
          </w:rPr>
          <w:t>ALL</w:t>
        </w:r>
      </w:smartTag>
      <w:r w:rsidRPr="008A4F40">
        <w:rPr>
          <w:rFonts w:ascii="Times New Roman" w:hAnsi="Times New Roman"/>
          <w:color w:val="000000"/>
          <w:szCs w:val="22"/>
        </w:rPr>
        <w:t>) in Kombination mit einer Chemotherapie.</w:t>
      </w:r>
    </w:p>
    <w:p w14:paraId="3C91C565"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 xml:space="preserve">Erwachsenen mit rezidivierter oder refraktärer Ph+ </w:t>
      </w:r>
      <w:smartTag w:uri="urn:schemas-microsoft-com:office:smarttags" w:element="stockticker">
        <w:r w:rsidRPr="008A4F40">
          <w:rPr>
            <w:rFonts w:ascii="Times New Roman" w:hAnsi="Times New Roman"/>
            <w:color w:val="000000"/>
            <w:szCs w:val="22"/>
          </w:rPr>
          <w:t>ALL</w:t>
        </w:r>
      </w:smartTag>
      <w:r w:rsidRPr="008A4F40">
        <w:rPr>
          <w:rFonts w:ascii="Times New Roman" w:hAnsi="Times New Roman"/>
          <w:color w:val="000000"/>
          <w:szCs w:val="22"/>
        </w:rPr>
        <w:t xml:space="preserve"> als Monotherapie.</w:t>
      </w:r>
    </w:p>
    <w:p w14:paraId="3F4E82BE"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Erwachsenen mit myelodysplastischen/myeloproliferativen Erkrankungen (</w:t>
      </w:r>
      <w:smartTag w:uri="urn:schemas-microsoft-com:office:smarttags" w:element="stockticker">
        <w:r w:rsidRPr="008A4F40">
          <w:rPr>
            <w:rFonts w:ascii="Times New Roman" w:hAnsi="Times New Roman"/>
            <w:color w:val="000000"/>
            <w:szCs w:val="22"/>
          </w:rPr>
          <w:t>MDS</w:t>
        </w:r>
      </w:smartTag>
      <w:r w:rsidRPr="008A4F40">
        <w:rPr>
          <w:rFonts w:ascii="Times New Roman" w:hAnsi="Times New Roman"/>
          <w:color w:val="000000"/>
          <w:szCs w:val="22"/>
        </w:rPr>
        <w:t>/MPD) in Verbindung mit Genumlagerungen des PDGF-Rezeptors (platelet-derived growth factor).</w:t>
      </w:r>
    </w:p>
    <w:p w14:paraId="41FA7EB4"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Erwachsenen mit fortgeschrittenem hypereosinophilem Syndrom (HES) und/oder chronischer eosinophiler Leukämie (</w:t>
      </w:r>
      <w:smartTag w:uri="urn:schemas-microsoft-com:office:smarttags" w:element="stockticker">
        <w:r w:rsidRPr="008A4F40">
          <w:rPr>
            <w:rFonts w:ascii="Times New Roman" w:hAnsi="Times New Roman"/>
            <w:color w:val="000000"/>
            <w:szCs w:val="22"/>
          </w:rPr>
          <w:t>CEL</w:t>
        </w:r>
      </w:smartTag>
      <w:r w:rsidRPr="008A4F40">
        <w:rPr>
          <w:rFonts w:ascii="Times New Roman" w:hAnsi="Times New Roman"/>
          <w:color w:val="000000"/>
          <w:szCs w:val="22"/>
        </w:rPr>
        <w:t>) mit FIP1L1-PDGFR</w:t>
      </w:r>
      <w:r w:rsidRPr="008A4F40">
        <w:rPr>
          <w:rFonts w:ascii="Symbol" w:eastAsia="Symbol" w:hAnsi="Symbol" w:cs="Symbol"/>
          <w:color w:val="000000"/>
          <w:szCs w:val="22"/>
        </w:rPr>
        <w:t>a</w:t>
      </w:r>
      <w:r w:rsidRPr="008A4F40">
        <w:rPr>
          <w:rFonts w:ascii="Times New Roman" w:hAnsi="Times New Roman"/>
          <w:color w:val="000000"/>
          <w:szCs w:val="22"/>
        </w:rPr>
        <w:t>-Umlagerung.</w:t>
      </w:r>
    </w:p>
    <w:p w14:paraId="41DB8466" w14:textId="77777777" w:rsidR="000742FC" w:rsidRPr="008A4F40" w:rsidRDefault="000742FC" w:rsidP="004E7659">
      <w:pPr>
        <w:pStyle w:val="BodyTextIndent3"/>
        <w:widowControl/>
        <w:ind w:left="0"/>
        <w:rPr>
          <w:rFonts w:ascii="Times New Roman" w:hAnsi="Times New Roman"/>
          <w:color w:val="000000"/>
          <w:szCs w:val="22"/>
        </w:rPr>
      </w:pPr>
    </w:p>
    <w:p w14:paraId="1D73220F" w14:textId="77777777" w:rsidR="000742FC" w:rsidRPr="008A4F40" w:rsidRDefault="000742FC"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Die Wirkung von Glivec auf das Ergebnis einer Knochenmarktransplantation wurde nicht untersucht.</w:t>
      </w:r>
    </w:p>
    <w:p w14:paraId="64EE6D97" w14:textId="77777777" w:rsidR="000742FC" w:rsidRPr="008A4F40" w:rsidRDefault="000742FC" w:rsidP="004E7659">
      <w:pPr>
        <w:pStyle w:val="BodyTextIndent3"/>
        <w:widowControl/>
        <w:ind w:left="0"/>
        <w:rPr>
          <w:rFonts w:ascii="Times New Roman" w:hAnsi="Times New Roman"/>
          <w:color w:val="000000"/>
          <w:szCs w:val="22"/>
        </w:rPr>
      </w:pPr>
    </w:p>
    <w:p w14:paraId="29EF3963" w14:textId="77777777" w:rsidR="000742FC" w:rsidRPr="008A4F40" w:rsidRDefault="000742FC" w:rsidP="004E7659">
      <w:pPr>
        <w:pStyle w:val="BodyTextIndent3"/>
        <w:keepNext/>
        <w:widowControl/>
        <w:ind w:left="0"/>
        <w:rPr>
          <w:rFonts w:ascii="Times New Roman" w:hAnsi="Times New Roman"/>
          <w:color w:val="000000"/>
          <w:szCs w:val="22"/>
        </w:rPr>
      </w:pPr>
      <w:r w:rsidRPr="008A4F40">
        <w:rPr>
          <w:rFonts w:ascii="Times New Roman" w:hAnsi="Times New Roman"/>
          <w:color w:val="000000"/>
          <w:szCs w:val="22"/>
        </w:rPr>
        <w:t>Glivec ist angezeigt zur</w:t>
      </w:r>
    </w:p>
    <w:p w14:paraId="59794449"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Behandlung c-Kit-(CD 117)-positiver nicht resezierbarer und/oder metastasierter maligner gastrointestinaler Stromatumoren (GIST) bei Erwachsenen.</w:t>
      </w:r>
    </w:p>
    <w:p w14:paraId="1C3D7CA3"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adjuvanten Behandlung Erwachsener mit signif</w:t>
      </w:r>
      <w:r w:rsidR="0054789C" w:rsidRPr="008A4F40">
        <w:rPr>
          <w:rFonts w:ascii="Times New Roman" w:hAnsi="Times New Roman"/>
          <w:color w:val="000000"/>
          <w:szCs w:val="22"/>
        </w:rPr>
        <w:t>i</w:t>
      </w:r>
      <w:r w:rsidRPr="008A4F40">
        <w:rPr>
          <w:rFonts w:ascii="Times New Roman" w:hAnsi="Times New Roman"/>
          <w:color w:val="000000"/>
          <w:szCs w:val="22"/>
        </w:rPr>
        <w:t>kantem Risiko eines Rezidivs nach Resektion c-Kit-(CD 117)-positiver GIST. Patienten mit einem niedrigen oder sehr niedrigen Rezidivrisiko sollten keine adjuvante Behandlung erhalten.</w:t>
      </w:r>
    </w:p>
    <w:p w14:paraId="7DE34411" w14:textId="77777777" w:rsidR="000742FC" w:rsidRPr="008A4F40" w:rsidRDefault="000742FC" w:rsidP="004E7659">
      <w:pPr>
        <w:pStyle w:val="BodyTextIndent3"/>
        <w:widowControl/>
        <w:numPr>
          <w:ilvl w:val="0"/>
          <w:numId w:val="13"/>
        </w:numPr>
        <w:tabs>
          <w:tab w:val="clear" w:pos="360"/>
        </w:tabs>
        <w:ind w:left="567" w:hanging="567"/>
        <w:rPr>
          <w:rFonts w:ascii="Times New Roman" w:hAnsi="Times New Roman"/>
          <w:color w:val="000000"/>
          <w:szCs w:val="22"/>
        </w:rPr>
      </w:pPr>
      <w:r w:rsidRPr="008A4F40">
        <w:rPr>
          <w:rFonts w:ascii="Times New Roman" w:hAnsi="Times New Roman"/>
          <w:color w:val="000000"/>
          <w:szCs w:val="22"/>
        </w:rPr>
        <w:t>Behandlung Erwachsener mit nicht resezierbarem Dermatofibrosarcoma protuberans (DFSP) und Erwachsener mit rezidivierendem und/oder metastasiertem DFSP, die für eine chirurgische Behandlung nicht in Frage kommen.</w:t>
      </w:r>
    </w:p>
    <w:p w14:paraId="12B72BA0" w14:textId="77777777" w:rsidR="000742FC" w:rsidRPr="008A4F40" w:rsidRDefault="000742FC" w:rsidP="004E7659">
      <w:pPr>
        <w:pStyle w:val="BodyTextIndent3"/>
        <w:widowControl/>
        <w:ind w:left="0"/>
        <w:rPr>
          <w:rFonts w:ascii="Times New Roman" w:hAnsi="Times New Roman"/>
          <w:color w:val="000000"/>
          <w:szCs w:val="22"/>
        </w:rPr>
      </w:pPr>
    </w:p>
    <w:p w14:paraId="18115EE3" w14:textId="761129E8" w:rsidR="000742FC" w:rsidRPr="008A4F40" w:rsidRDefault="000742FC"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 xml:space="preserve">Bei Erwachsenen und Kindern mit CML basiert die Wirksamkeit von Glivec auf den hämatologischen und zytogenetischen Gesamtansprechraten und auf dem progressionsfreien Überleben, bei Ph+ </w:t>
      </w:r>
      <w:smartTag w:uri="urn:schemas-microsoft-com:office:smarttags" w:element="stockticker">
        <w:r w:rsidRPr="008A4F40">
          <w:rPr>
            <w:rFonts w:ascii="Times New Roman" w:hAnsi="Times New Roman"/>
            <w:color w:val="000000"/>
            <w:szCs w:val="22"/>
          </w:rPr>
          <w:t>ALL</w:t>
        </w:r>
      </w:smartTag>
      <w:r w:rsidRPr="008A4F40">
        <w:rPr>
          <w:rFonts w:ascii="Times New Roman" w:hAnsi="Times New Roman"/>
          <w:color w:val="000000"/>
          <w:szCs w:val="22"/>
        </w:rPr>
        <w:t xml:space="preserve"> und </w:t>
      </w:r>
      <w:smartTag w:uri="urn:schemas-microsoft-com:office:smarttags" w:element="stockticker">
        <w:r w:rsidRPr="008A4F40">
          <w:rPr>
            <w:rFonts w:ascii="Times New Roman" w:hAnsi="Times New Roman"/>
            <w:color w:val="000000"/>
            <w:szCs w:val="22"/>
          </w:rPr>
          <w:t>MDS</w:t>
        </w:r>
      </w:smartTag>
      <w:r w:rsidRPr="008A4F40">
        <w:rPr>
          <w:rFonts w:ascii="Times New Roman" w:hAnsi="Times New Roman"/>
          <w:color w:val="000000"/>
          <w:szCs w:val="22"/>
        </w:rPr>
        <w:t>/MPD auf den hämatologischen und zytogenetischen Gesamtansprechraten, bei HES/</w:t>
      </w:r>
      <w:smartTag w:uri="urn:schemas-microsoft-com:office:smarttags" w:element="stockticker">
        <w:r w:rsidRPr="008A4F40">
          <w:rPr>
            <w:rFonts w:ascii="Times New Roman" w:hAnsi="Times New Roman"/>
            <w:color w:val="000000"/>
            <w:szCs w:val="22"/>
          </w:rPr>
          <w:t>CEL</w:t>
        </w:r>
      </w:smartTag>
      <w:r w:rsidRPr="008A4F40">
        <w:rPr>
          <w:rFonts w:ascii="Times New Roman" w:hAnsi="Times New Roman"/>
          <w:color w:val="000000"/>
          <w:szCs w:val="22"/>
        </w:rPr>
        <w:t xml:space="preserve"> auf der hämatologischen Ansprechrate, bei nicht resezierbaren und/oder metastasierten GIST und DFSP auf den objektiven Ansprechraten und bei adjuvanter Behandlung der GIST auf dem rezidivfreien Überleben. Die Erfahrung mit der Anwendung von Glivec bei Patienten mit </w:t>
      </w:r>
      <w:smartTag w:uri="urn:schemas-microsoft-com:office:smarttags" w:element="stockticker">
        <w:r w:rsidRPr="008A4F40">
          <w:rPr>
            <w:rFonts w:ascii="Times New Roman" w:hAnsi="Times New Roman"/>
            <w:color w:val="000000"/>
            <w:szCs w:val="22"/>
          </w:rPr>
          <w:t>MDS</w:t>
        </w:r>
      </w:smartTag>
      <w:r w:rsidRPr="008A4F40">
        <w:rPr>
          <w:rFonts w:ascii="Times New Roman" w:hAnsi="Times New Roman"/>
          <w:color w:val="000000"/>
          <w:szCs w:val="22"/>
        </w:rPr>
        <w:t>/MPD in Verbindung mit PDGFR-Genumlagerungen ist sehr begrenzt (siehe Abschnitt</w:t>
      </w:r>
      <w:ins w:id="2" w:author="Author">
        <w:r w:rsidR="00E96CC8">
          <w:rPr>
            <w:rFonts w:ascii="Times New Roman" w:hAnsi="Times New Roman"/>
            <w:color w:val="000000"/>
            <w:szCs w:val="22"/>
          </w:rPr>
          <w:t> </w:t>
        </w:r>
      </w:ins>
      <w:del w:id="3" w:author="Author">
        <w:r w:rsidRPr="008A4F40" w:rsidDel="00E96CC8">
          <w:rPr>
            <w:rFonts w:ascii="Times New Roman" w:hAnsi="Times New Roman"/>
            <w:color w:val="000000"/>
            <w:szCs w:val="22"/>
          </w:rPr>
          <w:delText xml:space="preserve"> </w:delText>
        </w:r>
      </w:del>
      <w:r w:rsidRPr="008A4F40">
        <w:rPr>
          <w:rFonts w:ascii="Times New Roman" w:hAnsi="Times New Roman"/>
          <w:color w:val="000000"/>
          <w:szCs w:val="22"/>
        </w:rPr>
        <w:t>5.1). Außer für neu diagnostizierte CML in der chronischen Phase liegen keine kontrollierten Studien vor, die einen klinischen Vorteil oder ein verlän</w:t>
      </w:r>
      <w:r w:rsidRPr="008A4F40">
        <w:rPr>
          <w:rFonts w:ascii="Times New Roman" w:hAnsi="Times New Roman"/>
          <w:color w:val="000000"/>
          <w:szCs w:val="22"/>
        </w:rPr>
        <w:softHyphen/>
        <w:t>gertes Überleben bei diesen Erkrankungen belegen.</w:t>
      </w:r>
    </w:p>
    <w:p w14:paraId="6D71E20F" w14:textId="77777777" w:rsidR="000742FC" w:rsidRPr="008A4F40" w:rsidRDefault="000742FC" w:rsidP="004E7659">
      <w:pPr>
        <w:pStyle w:val="Header"/>
        <w:tabs>
          <w:tab w:val="clear" w:pos="4320"/>
          <w:tab w:val="clear" w:pos="8640"/>
        </w:tabs>
        <w:rPr>
          <w:color w:val="000000"/>
          <w:szCs w:val="22"/>
        </w:rPr>
      </w:pPr>
    </w:p>
    <w:p w14:paraId="44FA511C" w14:textId="77777777" w:rsidR="000742FC" w:rsidRPr="008A4F40" w:rsidRDefault="000742FC" w:rsidP="004E7659">
      <w:pPr>
        <w:keepNext/>
        <w:ind w:left="567" w:hanging="567"/>
        <w:rPr>
          <w:color w:val="000000"/>
          <w:sz w:val="22"/>
          <w:szCs w:val="22"/>
        </w:rPr>
      </w:pPr>
      <w:r w:rsidRPr="008A4F40">
        <w:rPr>
          <w:b/>
          <w:color w:val="000000"/>
          <w:sz w:val="22"/>
          <w:szCs w:val="22"/>
        </w:rPr>
        <w:t>4.2</w:t>
      </w:r>
      <w:r w:rsidRPr="008A4F40">
        <w:rPr>
          <w:b/>
          <w:color w:val="000000"/>
          <w:sz w:val="22"/>
          <w:szCs w:val="22"/>
        </w:rPr>
        <w:tab/>
        <w:t>Dosierung</w:t>
      </w:r>
      <w:r w:rsidR="00C5148D" w:rsidRPr="008A4F40">
        <w:rPr>
          <w:b/>
          <w:color w:val="000000"/>
          <w:sz w:val="22"/>
          <w:szCs w:val="22"/>
        </w:rPr>
        <w:t xml:space="preserve"> und</w:t>
      </w:r>
      <w:r w:rsidRPr="008A4F40">
        <w:rPr>
          <w:b/>
          <w:color w:val="000000"/>
          <w:sz w:val="22"/>
          <w:szCs w:val="22"/>
        </w:rPr>
        <w:t xml:space="preserve"> Art der Anwendung</w:t>
      </w:r>
    </w:p>
    <w:p w14:paraId="52067C28" w14:textId="77777777" w:rsidR="00F56A4B" w:rsidRPr="008A4F40" w:rsidRDefault="00F56A4B" w:rsidP="004E7659">
      <w:pPr>
        <w:pStyle w:val="BodyText3"/>
        <w:keepNext/>
        <w:rPr>
          <w:color w:val="000000"/>
          <w:szCs w:val="22"/>
        </w:rPr>
      </w:pPr>
    </w:p>
    <w:p w14:paraId="5DD5F454" w14:textId="77777777" w:rsidR="00416119" w:rsidRPr="008A4F40" w:rsidRDefault="00416119" w:rsidP="004E7659">
      <w:pPr>
        <w:pStyle w:val="BodyText3"/>
        <w:rPr>
          <w:color w:val="000000"/>
          <w:szCs w:val="22"/>
        </w:rPr>
      </w:pPr>
      <w:r w:rsidRPr="008A4F40">
        <w:rPr>
          <w:color w:val="000000"/>
          <w:szCs w:val="22"/>
        </w:rPr>
        <w:t>Der Beginn der Behandlung sollte von einem Arzt mit Erfahrung in der Behandlung von Patienten mit hämatologischen malignen Erkrankungen und malignen Sarkomen vorgenommen werden, soweit zutreffend.</w:t>
      </w:r>
    </w:p>
    <w:p w14:paraId="740B26A2" w14:textId="77777777" w:rsidR="00F56A4B" w:rsidRPr="008A4F40" w:rsidRDefault="00F56A4B" w:rsidP="004E7659">
      <w:pPr>
        <w:rPr>
          <w:color w:val="000000"/>
          <w:sz w:val="22"/>
          <w:szCs w:val="22"/>
        </w:rPr>
      </w:pPr>
    </w:p>
    <w:p w14:paraId="6AD6192C" w14:textId="4E923666" w:rsidR="004E0971" w:rsidRPr="008A4F40" w:rsidRDefault="004E0971" w:rsidP="004E7659">
      <w:pPr>
        <w:rPr>
          <w:color w:val="000000"/>
          <w:sz w:val="22"/>
          <w:szCs w:val="22"/>
        </w:rPr>
      </w:pPr>
      <w:r w:rsidRPr="008A4F40">
        <w:rPr>
          <w:color w:val="000000"/>
          <w:sz w:val="22"/>
          <w:szCs w:val="22"/>
        </w:rPr>
        <w:t xml:space="preserve">Für Dosierungen, die von 400 mg und 800 mg abweichen (siehe Dosierungsanleitung unten), stehen teilbare Filmtabletten zu 100 mg </w:t>
      </w:r>
      <w:r w:rsidR="00782FD0">
        <w:rPr>
          <w:color w:val="000000"/>
          <w:sz w:val="22"/>
          <w:szCs w:val="22"/>
        </w:rPr>
        <w:t xml:space="preserve">und 400 mg </w:t>
      </w:r>
      <w:r w:rsidRPr="008A4F40">
        <w:rPr>
          <w:color w:val="000000"/>
          <w:sz w:val="22"/>
          <w:szCs w:val="22"/>
        </w:rPr>
        <w:t>zur Verfügung.</w:t>
      </w:r>
    </w:p>
    <w:p w14:paraId="720EEAAB" w14:textId="77777777" w:rsidR="00F56A4B" w:rsidRPr="008A4F40" w:rsidRDefault="00F56A4B" w:rsidP="004E7659">
      <w:pPr>
        <w:rPr>
          <w:color w:val="000000"/>
          <w:sz w:val="22"/>
          <w:szCs w:val="22"/>
        </w:rPr>
      </w:pPr>
    </w:p>
    <w:p w14:paraId="414D83AE" w14:textId="77777777" w:rsidR="00D72F2D" w:rsidRPr="008A4F40" w:rsidRDefault="00F56A4B" w:rsidP="004E7659">
      <w:pPr>
        <w:ind w:firstLine="3"/>
        <w:rPr>
          <w:color w:val="000000"/>
          <w:sz w:val="22"/>
          <w:szCs w:val="22"/>
        </w:rPr>
      </w:pPr>
      <w:r w:rsidRPr="008A4F40">
        <w:rPr>
          <w:color w:val="000000"/>
          <w:sz w:val="22"/>
          <w:szCs w:val="22"/>
        </w:rPr>
        <w:t xml:space="preserve">Die verschriebene Dosis soll oral mit einer Mahlzeit und einem großen Glas Wasser eingenommen werden, um das Risiko gastrointestinaler Irritationen zu minimieren. </w:t>
      </w:r>
      <w:r w:rsidR="00B765B7" w:rsidRPr="008A4F40">
        <w:rPr>
          <w:color w:val="000000"/>
          <w:sz w:val="22"/>
          <w:szCs w:val="22"/>
        </w:rPr>
        <w:t>Dosen von 400 mg oder 600 mg sollten einmal täglich verabreicht werden, während Tagesdosen von 800 mg auf zweimal täglich 400 mg (morgens und abends) aufgeteilt werden sollen.</w:t>
      </w:r>
    </w:p>
    <w:p w14:paraId="55C170DE" w14:textId="77777777" w:rsidR="00F56A4B" w:rsidRPr="008A4F40" w:rsidRDefault="00F56A4B" w:rsidP="004E7659">
      <w:pPr>
        <w:ind w:firstLine="3"/>
        <w:rPr>
          <w:color w:val="000000"/>
          <w:sz w:val="22"/>
          <w:szCs w:val="22"/>
        </w:rPr>
      </w:pPr>
    </w:p>
    <w:p w14:paraId="7913D980" w14:textId="77777777" w:rsidR="00F56A4B" w:rsidRPr="008A4F40" w:rsidRDefault="00F56A4B" w:rsidP="004E7659">
      <w:pPr>
        <w:ind w:firstLine="3"/>
        <w:rPr>
          <w:color w:val="000000"/>
          <w:sz w:val="22"/>
          <w:szCs w:val="22"/>
        </w:rPr>
      </w:pPr>
      <w:r w:rsidRPr="008A4F40">
        <w:rPr>
          <w:color w:val="000000"/>
          <w:sz w:val="22"/>
          <w:szCs w:val="22"/>
        </w:rPr>
        <w:t xml:space="preserve">Für Patienten, die nicht in der Lage sind, die Filmtabletten zu schlucken, können die Tabletten in einem Glas </w:t>
      </w:r>
      <w:r w:rsidR="006F748B" w:rsidRPr="008A4F40">
        <w:rPr>
          <w:color w:val="000000"/>
          <w:sz w:val="22"/>
          <w:szCs w:val="22"/>
        </w:rPr>
        <w:t>W</w:t>
      </w:r>
      <w:r w:rsidRPr="008A4F40">
        <w:rPr>
          <w:color w:val="000000"/>
          <w:sz w:val="22"/>
          <w:szCs w:val="22"/>
        </w:rPr>
        <w:t>asser</w:t>
      </w:r>
      <w:r w:rsidR="006F748B" w:rsidRPr="008A4F40">
        <w:rPr>
          <w:color w:val="000000"/>
          <w:sz w:val="22"/>
          <w:szCs w:val="22"/>
        </w:rPr>
        <w:t xml:space="preserve"> ohne Kohlensäure</w:t>
      </w:r>
      <w:r w:rsidRPr="008A4F40">
        <w:rPr>
          <w:color w:val="000000"/>
          <w:sz w:val="22"/>
          <w:szCs w:val="22"/>
        </w:rPr>
        <w:t xml:space="preserve"> oder Apfelsaft suspendiert werden. Die erforderliche Anzahl Tabletten sollte in eine angemessene Menge des Getränks (etwa 50</w:t>
      </w:r>
      <w:r w:rsidR="001922B0" w:rsidRPr="008A4F40">
        <w:rPr>
          <w:color w:val="000000"/>
          <w:sz w:val="22"/>
          <w:szCs w:val="22"/>
        </w:rPr>
        <w:t> ml</w:t>
      </w:r>
      <w:r w:rsidRPr="008A4F40">
        <w:rPr>
          <w:color w:val="000000"/>
          <w:sz w:val="22"/>
          <w:szCs w:val="22"/>
        </w:rPr>
        <w:t xml:space="preserve"> für eine 100</w:t>
      </w:r>
      <w:r w:rsidR="001922B0" w:rsidRPr="008A4F40">
        <w:rPr>
          <w:color w:val="000000"/>
          <w:sz w:val="22"/>
          <w:szCs w:val="22"/>
        </w:rPr>
        <w:t> mg</w:t>
      </w:r>
      <w:r w:rsidRPr="008A4F40">
        <w:rPr>
          <w:color w:val="000000"/>
          <w:sz w:val="22"/>
          <w:szCs w:val="22"/>
        </w:rPr>
        <w:t>-Tablette und 200</w:t>
      </w:r>
      <w:r w:rsidR="001922B0" w:rsidRPr="008A4F40">
        <w:rPr>
          <w:color w:val="000000"/>
          <w:sz w:val="22"/>
          <w:szCs w:val="22"/>
        </w:rPr>
        <w:t> ml</w:t>
      </w:r>
      <w:r w:rsidRPr="008A4F40">
        <w:rPr>
          <w:color w:val="000000"/>
          <w:sz w:val="22"/>
          <w:szCs w:val="22"/>
        </w:rPr>
        <w:t xml:space="preserve"> für eine 400</w:t>
      </w:r>
      <w:r w:rsidR="001922B0" w:rsidRPr="008A4F40">
        <w:rPr>
          <w:color w:val="000000"/>
          <w:sz w:val="22"/>
          <w:szCs w:val="22"/>
        </w:rPr>
        <w:t> mg</w:t>
      </w:r>
      <w:r w:rsidRPr="008A4F40">
        <w:rPr>
          <w:color w:val="000000"/>
          <w:sz w:val="22"/>
          <w:szCs w:val="22"/>
        </w:rPr>
        <w:t>-Tablette) gegeben und die Mischung mit einem Löffel umgerührt werden. Die Suspension soll unmittelbar nach dem vollständigen Zerfall der Tablette(n) eingenommen werden.</w:t>
      </w:r>
    </w:p>
    <w:p w14:paraId="098BF013" w14:textId="77777777" w:rsidR="00F56A4B" w:rsidRPr="008A4F40" w:rsidRDefault="00F56A4B" w:rsidP="004E7659">
      <w:pPr>
        <w:ind w:firstLine="3"/>
        <w:rPr>
          <w:color w:val="000000"/>
          <w:sz w:val="22"/>
          <w:szCs w:val="22"/>
        </w:rPr>
      </w:pPr>
    </w:p>
    <w:p w14:paraId="5885C405" w14:textId="7AB36C08" w:rsidR="000742FC" w:rsidRPr="008A4F40" w:rsidRDefault="000742FC" w:rsidP="004E7659">
      <w:pPr>
        <w:keepNext/>
        <w:ind w:firstLine="6"/>
        <w:rPr>
          <w:color w:val="000000"/>
          <w:sz w:val="22"/>
          <w:szCs w:val="22"/>
          <w:u w:val="single"/>
        </w:rPr>
      </w:pPr>
      <w:r w:rsidRPr="008A4F40">
        <w:rPr>
          <w:color w:val="000000"/>
          <w:sz w:val="22"/>
          <w:szCs w:val="22"/>
          <w:u w:val="single"/>
        </w:rPr>
        <w:t>Dosierung bei Erwachsenen mit CML</w:t>
      </w:r>
    </w:p>
    <w:p w14:paraId="5044619F" w14:textId="77777777" w:rsidR="0043305B" w:rsidRPr="008A4F40" w:rsidRDefault="0043305B" w:rsidP="004E7659">
      <w:pPr>
        <w:keepNext/>
        <w:ind w:firstLine="6"/>
        <w:rPr>
          <w:color w:val="000000"/>
          <w:sz w:val="22"/>
          <w:szCs w:val="22"/>
          <w:u w:val="single"/>
        </w:rPr>
      </w:pPr>
    </w:p>
    <w:p w14:paraId="1EBDD9B9" w14:textId="77777777" w:rsidR="000742FC" w:rsidRPr="008A4F40" w:rsidRDefault="000742FC" w:rsidP="004E7659">
      <w:pPr>
        <w:ind w:firstLine="3"/>
        <w:rPr>
          <w:color w:val="000000"/>
          <w:sz w:val="22"/>
          <w:szCs w:val="22"/>
        </w:rPr>
      </w:pPr>
      <w:r w:rsidRPr="008A4F40">
        <w:rPr>
          <w:color w:val="000000"/>
          <w:sz w:val="22"/>
          <w:szCs w:val="22"/>
        </w:rPr>
        <w:t xml:space="preserve">Die empfohlene Dosierung von Glivec beträgt bei </w:t>
      </w:r>
      <w:r w:rsidR="00330D46" w:rsidRPr="008A4F40">
        <w:rPr>
          <w:color w:val="000000"/>
          <w:sz w:val="22"/>
          <w:szCs w:val="22"/>
        </w:rPr>
        <w:t xml:space="preserve">erwachsenen </w:t>
      </w:r>
      <w:r w:rsidRPr="008A4F40">
        <w:rPr>
          <w:color w:val="000000"/>
          <w:sz w:val="22"/>
          <w:szCs w:val="22"/>
        </w:rPr>
        <w:t>Patienten in der chronischen Phase der CML 400 mg/Tag. Die chronische Phase der CML liegt vor, wenn alle der folgenden Kriterien erfüllt sind: Blasten &lt; 15% im Blut und Knochenmark, Basophile im peripheren Blut &lt; 20%, Thrombozyten &gt; 100 x 10</w:t>
      </w:r>
      <w:r w:rsidRPr="008A4F40">
        <w:rPr>
          <w:color w:val="000000"/>
          <w:sz w:val="22"/>
          <w:szCs w:val="22"/>
          <w:vertAlign w:val="superscript"/>
        </w:rPr>
        <w:t>9</w:t>
      </w:r>
      <w:r w:rsidRPr="008A4F40">
        <w:rPr>
          <w:color w:val="000000"/>
          <w:sz w:val="22"/>
          <w:szCs w:val="22"/>
        </w:rPr>
        <w:t>/l.</w:t>
      </w:r>
    </w:p>
    <w:p w14:paraId="745642E1" w14:textId="77777777" w:rsidR="000742FC" w:rsidRPr="008A4F40" w:rsidRDefault="000742FC" w:rsidP="004E7659">
      <w:pPr>
        <w:ind w:firstLine="3"/>
        <w:rPr>
          <w:color w:val="000000"/>
          <w:sz w:val="22"/>
          <w:szCs w:val="22"/>
        </w:rPr>
      </w:pPr>
    </w:p>
    <w:p w14:paraId="2C50A62E" w14:textId="77777777" w:rsidR="000742FC" w:rsidRPr="008A4F40" w:rsidRDefault="000742FC" w:rsidP="004E7659">
      <w:pPr>
        <w:ind w:firstLine="3"/>
        <w:rPr>
          <w:color w:val="000000"/>
          <w:sz w:val="22"/>
          <w:szCs w:val="22"/>
        </w:rPr>
      </w:pPr>
      <w:r w:rsidRPr="008A4F40">
        <w:rPr>
          <w:color w:val="000000"/>
          <w:sz w:val="22"/>
          <w:szCs w:val="22"/>
        </w:rPr>
        <w:t xml:space="preserve">Die empfohlene Dosierung von Glivec beträgt bei </w:t>
      </w:r>
      <w:r w:rsidR="00330D46" w:rsidRPr="008A4F40">
        <w:rPr>
          <w:color w:val="000000"/>
          <w:sz w:val="22"/>
          <w:szCs w:val="22"/>
        </w:rPr>
        <w:t xml:space="preserve">erwachsenen </w:t>
      </w:r>
      <w:r w:rsidRPr="008A4F40">
        <w:rPr>
          <w:color w:val="000000"/>
          <w:sz w:val="22"/>
          <w:szCs w:val="22"/>
        </w:rPr>
        <w:t xml:space="preserve">Patienten in der akzelerierten Phase 600 mg/Tag. Die akzelerierte Phase liegt vor, wenn eines der folgenden Kriterien erfüllt ist: Blasten </w:t>
      </w:r>
      <w:r w:rsidRPr="008A4F40">
        <w:rPr>
          <w:rFonts w:ascii="Symbol" w:eastAsia="Symbol" w:hAnsi="Symbol" w:cs="Symbol"/>
          <w:snapToGrid w:val="0"/>
          <w:color w:val="000000"/>
          <w:sz w:val="22"/>
          <w:szCs w:val="22"/>
          <w:lang w:val="it-IT"/>
        </w:rPr>
        <w:t>³</w:t>
      </w:r>
      <w:r w:rsidRPr="008A4F40">
        <w:rPr>
          <w:snapToGrid w:val="0"/>
          <w:color w:val="000000"/>
          <w:sz w:val="22"/>
          <w:szCs w:val="22"/>
        </w:rPr>
        <w:t> </w:t>
      </w:r>
      <w:r w:rsidRPr="008A4F40">
        <w:rPr>
          <w:color w:val="000000"/>
          <w:sz w:val="22"/>
          <w:szCs w:val="22"/>
        </w:rPr>
        <w:t xml:space="preserve">15%, aber &lt; 30% im Blut oder Knochenmark, Blasten + Promyelozyten </w:t>
      </w:r>
      <w:r w:rsidRPr="008A4F40">
        <w:rPr>
          <w:rFonts w:ascii="Symbol" w:eastAsia="Symbol" w:hAnsi="Symbol" w:cs="Symbol"/>
          <w:snapToGrid w:val="0"/>
          <w:color w:val="000000"/>
          <w:sz w:val="22"/>
          <w:szCs w:val="22"/>
          <w:lang w:val="it-IT"/>
        </w:rPr>
        <w:t>³</w:t>
      </w:r>
      <w:r w:rsidRPr="008A4F40">
        <w:rPr>
          <w:snapToGrid w:val="0"/>
          <w:color w:val="000000"/>
          <w:sz w:val="22"/>
          <w:szCs w:val="22"/>
        </w:rPr>
        <w:t> </w:t>
      </w:r>
      <w:r w:rsidRPr="008A4F40">
        <w:rPr>
          <w:color w:val="000000"/>
          <w:sz w:val="22"/>
          <w:szCs w:val="22"/>
        </w:rPr>
        <w:t xml:space="preserve">30% im Blut oder Knochenmark (vorausgesetzt &lt; 30% Blasten), Basophile im peripheren Blut </w:t>
      </w:r>
      <w:r w:rsidRPr="008A4F40">
        <w:rPr>
          <w:rFonts w:ascii="Symbol" w:eastAsia="Symbol" w:hAnsi="Symbol" w:cs="Symbol"/>
          <w:snapToGrid w:val="0"/>
          <w:color w:val="000000"/>
          <w:sz w:val="22"/>
          <w:szCs w:val="22"/>
          <w:lang w:val="it-IT"/>
        </w:rPr>
        <w:t>³</w:t>
      </w:r>
      <w:r w:rsidRPr="008A4F40">
        <w:rPr>
          <w:snapToGrid w:val="0"/>
          <w:color w:val="000000"/>
          <w:sz w:val="22"/>
          <w:szCs w:val="22"/>
        </w:rPr>
        <w:t> </w:t>
      </w:r>
      <w:r w:rsidRPr="008A4F40">
        <w:rPr>
          <w:color w:val="000000"/>
          <w:sz w:val="22"/>
          <w:szCs w:val="22"/>
        </w:rPr>
        <w:t>20%, Thrombozyten &lt; 100 x 10</w:t>
      </w:r>
      <w:r w:rsidRPr="008A4F40">
        <w:rPr>
          <w:color w:val="000000"/>
          <w:sz w:val="22"/>
          <w:szCs w:val="22"/>
          <w:vertAlign w:val="superscript"/>
        </w:rPr>
        <w:t>9</w:t>
      </w:r>
      <w:r w:rsidRPr="008A4F40">
        <w:rPr>
          <w:color w:val="000000"/>
          <w:sz w:val="22"/>
          <w:szCs w:val="22"/>
        </w:rPr>
        <w:t>/l unabhängig von der Therapie.</w:t>
      </w:r>
    </w:p>
    <w:p w14:paraId="2D03F0AE" w14:textId="77777777" w:rsidR="000742FC" w:rsidRPr="008A4F40" w:rsidRDefault="000742FC" w:rsidP="004E7659">
      <w:pPr>
        <w:ind w:firstLine="3"/>
        <w:rPr>
          <w:color w:val="000000"/>
          <w:sz w:val="22"/>
          <w:szCs w:val="22"/>
        </w:rPr>
      </w:pPr>
    </w:p>
    <w:p w14:paraId="0B34FF02" w14:textId="77777777" w:rsidR="000742FC" w:rsidRPr="008A4F40" w:rsidRDefault="000742FC" w:rsidP="004E7659">
      <w:pPr>
        <w:ind w:firstLine="3"/>
        <w:rPr>
          <w:color w:val="000000"/>
          <w:sz w:val="22"/>
          <w:szCs w:val="22"/>
        </w:rPr>
      </w:pPr>
      <w:r w:rsidRPr="008A4F40">
        <w:rPr>
          <w:color w:val="000000"/>
          <w:sz w:val="22"/>
          <w:szCs w:val="22"/>
        </w:rPr>
        <w:t xml:space="preserve">Die empfohlene Dosierung von Glivec beträgt bei </w:t>
      </w:r>
      <w:r w:rsidR="00330D46" w:rsidRPr="008A4F40">
        <w:rPr>
          <w:color w:val="000000"/>
          <w:sz w:val="22"/>
          <w:szCs w:val="22"/>
        </w:rPr>
        <w:t xml:space="preserve">erwachsenen </w:t>
      </w:r>
      <w:r w:rsidRPr="008A4F40">
        <w:rPr>
          <w:color w:val="000000"/>
          <w:sz w:val="22"/>
          <w:szCs w:val="22"/>
        </w:rPr>
        <w:t xml:space="preserve">Patienten in der Blastenkrise 600 mg/Tag. Die Blastenkrise ist definiert als </w:t>
      </w:r>
      <w:r w:rsidRPr="008A4F40">
        <w:rPr>
          <w:rFonts w:ascii="Symbol" w:eastAsia="Symbol" w:hAnsi="Symbol" w:cs="Symbol"/>
          <w:snapToGrid w:val="0"/>
          <w:color w:val="000000"/>
          <w:sz w:val="22"/>
          <w:szCs w:val="22"/>
          <w:lang w:val="it-IT"/>
        </w:rPr>
        <w:t>³</w:t>
      </w:r>
      <w:r w:rsidRPr="008A4F40">
        <w:rPr>
          <w:snapToGrid w:val="0"/>
          <w:color w:val="000000"/>
          <w:sz w:val="22"/>
          <w:szCs w:val="22"/>
        </w:rPr>
        <w:t> </w:t>
      </w:r>
      <w:r w:rsidRPr="008A4F40">
        <w:rPr>
          <w:color w:val="000000"/>
          <w:sz w:val="22"/>
          <w:szCs w:val="22"/>
        </w:rPr>
        <w:t>30% Blasten im Blut oder Knochenmark oder dem Vorliegen einer extra</w:t>
      </w:r>
      <w:r w:rsidRPr="008A4F40">
        <w:rPr>
          <w:color w:val="000000"/>
          <w:sz w:val="22"/>
          <w:szCs w:val="22"/>
        </w:rPr>
        <w:softHyphen/>
        <w:t>medullären Erkrankung außer einer Hepatosplenomegalie.</w:t>
      </w:r>
    </w:p>
    <w:p w14:paraId="0B27A142" w14:textId="77777777" w:rsidR="000742FC" w:rsidRPr="008A4F40" w:rsidRDefault="000742FC" w:rsidP="004E7659">
      <w:pPr>
        <w:ind w:firstLine="3"/>
        <w:rPr>
          <w:color w:val="000000"/>
          <w:sz w:val="22"/>
          <w:szCs w:val="22"/>
        </w:rPr>
      </w:pPr>
    </w:p>
    <w:p w14:paraId="0A6216EE" w14:textId="77777777" w:rsidR="000742FC" w:rsidRPr="008A4F40" w:rsidRDefault="000742FC" w:rsidP="004E7659">
      <w:pPr>
        <w:pStyle w:val="BodyTextIndent2"/>
        <w:widowControl/>
        <w:rPr>
          <w:color w:val="000000"/>
          <w:szCs w:val="22"/>
        </w:rPr>
      </w:pPr>
      <w:r w:rsidRPr="008A4F40">
        <w:rPr>
          <w:color w:val="000000"/>
          <w:szCs w:val="22"/>
        </w:rPr>
        <w:t>Dauer der Behandlung: In klinischen Studien wurde die Behandlung mit Glivec bis zum Auftreten einer Progression der Erkrankung fortgeführt. Der Effekt eines Behandlungsstopps nach Erreichen einer kompletten zytogenetischen Remission wurde nicht untersucht.</w:t>
      </w:r>
    </w:p>
    <w:p w14:paraId="7016538B" w14:textId="77777777" w:rsidR="000742FC" w:rsidRPr="008A4F40" w:rsidRDefault="000742FC" w:rsidP="004E7659">
      <w:pPr>
        <w:ind w:firstLine="3"/>
        <w:rPr>
          <w:color w:val="000000"/>
          <w:sz w:val="22"/>
          <w:szCs w:val="22"/>
        </w:rPr>
      </w:pPr>
    </w:p>
    <w:p w14:paraId="238FE659" w14:textId="2F8E8BAB" w:rsidR="000742FC" w:rsidRPr="008A4F40" w:rsidRDefault="000742FC" w:rsidP="004E7659">
      <w:pPr>
        <w:ind w:firstLine="3"/>
        <w:rPr>
          <w:color w:val="000000"/>
          <w:sz w:val="22"/>
          <w:szCs w:val="22"/>
        </w:rPr>
      </w:pPr>
      <w:r w:rsidRPr="008A4F40">
        <w:rPr>
          <w:color w:val="000000"/>
          <w:sz w:val="22"/>
          <w:szCs w:val="22"/>
        </w:rPr>
        <w:t>Eine Dosiserhöhung von 400 mg auf 600 mg oder 800 mg bei Patienten in der chronischen Phase der Erkrankung oder von 600 mg auf maximal 800 mg (2-mal 400 mg täglich) bei Patienten in der akzelerierten Phase oder der Blastenkrise kann bei Abwesenheit schwerer Nebenwirkungen des Arzneimittels und bei Fehlen nicht</w:t>
      </w:r>
      <w:r w:rsidR="00B829AA">
        <w:rPr>
          <w:color w:val="000000"/>
          <w:sz w:val="22"/>
          <w:szCs w:val="22"/>
        </w:rPr>
        <w:t>-</w:t>
      </w:r>
      <w:r w:rsidRPr="008A4F40">
        <w:rPr>
          <w:color w:val="000000"/>
          <w:sz w:val="22"/>
          <w:szCs w:val="22"/>
        </w:rPr>
        <w:t>Leukämie</w:t>
      </w:r>
      <w:r w:rsidR="00B829AA">
        <w:rPr>
          <w:color w:val="000000"/>
          <w:sz w:val="22"/>
          <w:szCs w:val="22"/>
        </w:rPr>
        <w:t>-</w:t>
      </w:r>
      <w:r w:rsidRPr="008A4F40">
        <w:rPr>
          <w:color w:val="000000"/>
          <w:sz w:val="22"/>
          <w:szCs w:val="22"/>
        </w:rPr>
        <w:t>bedingter Neutropenie oder Thrombozytopenie unter folgenden Umständen in Betracht gezogen werden: Progression der Erkrankung (zu jeder Zeit), keine zufriedenstellende hämatologische Remission nach mindestens 3 Monaten Behandlung, fehlende zytogenetische Remission nach 12 Monaten Behandlung oder Verlust einer vorher erreichten hämatologi</w:t>
      </w:r>
      <w:del w:id="4" w:author="Author">
        <w:r w:rsidRPr="008A4F40" w:rsidDel="004E7659">
          <w:rPr>
            <w:color w:val="000000"/>
            <w:sz w:val="22"/>
            <w:szCs w:val="22"/>
          </w:rPr>
          <w:softHyphen/>
        </w:r>
      </w:del>
      <w:r w:rsidRPr="008A4F40">
        <w:rPr>
          <w:color w:val="000000"/>
          <w:sz w:val="22"/>
          <w:szCs w:val="22"/>
        </w:rPr>
        <w:t>schen und/oder zytogenetischen Remission. Die Patienten müssen nach einer Dosiserhöhung engmaschig überwacht werden, weil die Wahrscheinlichkeit für das Auftreten von Nebenwirkungen bei höheren Dosierungen ansteigt.</w:t>
      </w:r>
    </w:p>
    <w:p w14:paraId="628498B5" w14:textId="77777777" w:rsidR="000742FC" w:rsidRPr="008A4F40" w:rsidRDefault="000742FC" w:rsidP="004E7659">
      <w:pPr>
        <w:rPr>
          <w:color w:val="000000"/>
          <w:sz w:val="22"/>
          <w:szCs w:val="22"/>
        </w:rPr>
      </w:pPr>
    </w:p>
    <w:p w14:paraId="13E33052" w14:textId="4B200351" w:rsidR="000742FC" w:rsidRPr="008A4F40" w:rsidRDefault="000742FC" w:rsidP="004E7659">
      <w:pPr>
        <w:keepNext/>
        <w:rPr>
          <w:color w:val="000000"/>
          <w:sz w:val="22"/>
          <w:szCs w:val="22"/>
          <w:u w:val="single"/>
        </w:rPr>
      </w:pPr>
      <w:r w:rsidRPr="008A4F40">
        <w:rPr>
          <w:color w:val="000000"/>
          <w:sz w:val="22"/>
          <w:szCs w:val="22"/>
          <w:u w:val="single"/>
        </w:rPr>
        <w:t>Dosierung bei Kindern mit CML</w:t>
      </w:r>
    </w:p>
    <w:p w14:paraId="262C105F" w14:textId="77777777" w:rsidR="0043305B" w:rsidRPr="008A4F40" w:rsidRDefault="0043305B" w:rsidP="004E7659">
      <w:pPr>
        <w:keepNext/>
        <w:rPr>
          <w:color w:val="000000"/>
          <w:sz w:val="22"/>
          <w:szCs w:val="22"/>
          <w:u w:val="single"/>
        </w:rPr>
      </w:pPr>
    </w:p>
    <w:p w14:paraId="0DC18818" w14:textId="000ADB80" w:rsidR="000742FC" w:rsidRPr="008A4F40" w:rsidRDefault="000742FC" w:rsidP="004E7659">
      <w:pPr>
        <w:rPr>
          <w:color w:val="000000"/>
          <w:sz w:val="22"/>
          <w:szCs w:val="22"/>
        </w:rPr>
      </w:pPr>
      <w:r w:rsidRPr="008A4F40">
        <w:rPr>
          <w:color w:val="000000"/>
          <w:sz w:val="22"/>
          <w:szCs w:val="22"/>
        </w:rPr>
        <w:t>Die Dosierung bei Kindern sollte auf Basis der Körperoberfläche vorgenommen werden (mg/m</w:t>
      </w:r>
      <w:r w:rsidRPr="008A4F40">
        <w:rPr>
          <w:color w:val="000000"/>
          <w:sz w:val="22"/>
          <w:szCs w:val="22"/>
          <w:vertAlign w:val="superscript"/>
        </w:rPr>
        <w:t>2</w:t>
      </w:r>
      <w:r w:rsidRPr="008A4F40">
        <w:rPr>
          <w:color w:val="000000"/>
          <w:sz w:val="22"/>
          <w:szCs w:val="22"/>
        </w:rPr>
        <w:t>). Für Kinder in der chronischen Phase der CML bzw. weiter fortgeschrittenen Stadien der CML wird eine tägliche Dosis von 340 mg/m</w:t>
      </w:r>
      <w:r w:rsidRPr="008A4F40">
        <w:rPr>
          <w:color w:val="000000"/>
          <w:sz w:val="22"/>
          <w:szCs w:val="22"/>
          <w:vertAlign w:val="superscript"/>
        </w:rPr>
        <w:t>2</w:t>
      </w:r>
      <w:r w:rsidRPr="008A4F40">
        <w:rPr>
          <w:color w:val="000000"/>
          <w:sz w:val="22"/>
          <w:szCs w:val="22"/>
        </w:rPr>
        <w:t xml:space="preserve"> empfohlen (eine Gesamtdosis von 800 mg darf nicht überschritten werden). Die Gesamtdosis kann als tägliche Einmaldosis oder alternativ aufgeteilt auf zwei Applikationen – eine morgens und eine abends – gegeben werden. Die Dosierungsempfehlung beruht zum gegenwärtigen Zeitpunkt auf einer kleinen Zahl pädiatrischer Patienten (siehe Abschnitte</w:t>
      </w:r>
      <w:ins w:id="5" w:author="Author">
        <w:r w:rsidR="00E96CC8">
          <w:rPr>
            <w:color w:val="000000"/>
            <w:sz w:val="22"/>
            <w:szCs w:val="22"/>
          </w:rPr>
          <w:t> </w:t>
        </w:r>
      </w:ins>
      <w:del w:id="6" w:author="Author">
        <w:r w:rsidRPr="008A4F40" w:rsidDel="00E96CC8">
          <w:rPr>
            <w:color w:val="000000"/>
            <w:sz w:val="22"/>
            <w:szCs w:val="22"/>
          </w:rPr>
          <w:delText xml:space="preserve"> </w:delText>
        </w:r>
      </w:del>
      <w:r w:rsidRPr="008A4F40">
        <w:rPr>
          <w:color w:val="000000"/>
          <w:sz w:val="22"/>
          <w:szCs w:val="22"/>
        </w:rPr>
        <w:t>5.1 und 5.2). Erfahrungen mit der Behandlung von Kindern unter 2 Jahren liegen nicht vor.</w:t>
      </w:r>
    </w:p>
    <w:p w14:paraId="548EAD13" w14:textId="77777777" w:rsidR="000742FC" w:rsidRPr="008A4F40" w:rsidRDefault="000742FC" w:rsidP="004E7659">
      <w:pPr>
        <w:rPr>
          <w:color w:val="000000"/>
          <w:sz w:val="22"/>
          <w:szCs w:val="22"/>
        </w:rPr>
      </w:pPr>
    </w:p>
    <w:p w14:paraId="0092A020" w14:textId="77777777" w:rsidR="000742FC" w:rsidRPr="008A4F40" w:rsidRDefault="000742FC" w:rsidP="004E7659">
      <w:pPr>
        <w:ind w:firstLine="3"/>
        <w:rPr>
          <w:color w:val="000000"/>
          <w:sz w:val="22"/>
          <w:szCs w:val="22"/>
        </w:rPr>
      </w:pPr>
      <w:r w:rsidRPr="008A4F40">
        <w:rPr>
          <w:color w:val="000000"/>
          <w:sz w:val="22"/>
          <w:szCs w:val="22"/>
        </w:rPr>
        <w:t>Eine Dosiserhöhung von täglich 340 mg/m</w:t>
      </w:r>
      <w:r w:rsidRPr="008A4F40">
        <w:rPr>
          <w:color w:val="000000"/>
          <w:sz w:val="22"/>
          <w:szCs w:val="22"/>
          <w:vertAlign w:val="superscript"/>
        </w:rPr>
        <w:t>2</w:t>
      </w:r>
      <w:r w:rsidRPr="008A4F40">
        <w:rPr>
          <w:color w:val="000000"/>
          <w:sz w:val="22"/>
          <w:szCs w:val="22"/>
        </w:rPr>
        <w:t xml:space="preserve"> auf täglich 570 mg/m</w:t>
      </w:r>
      <w:r w:rsidRPr="008A4F40">
        <w:rPr>
          <w:color w:val="000000"/>
          <w:sz w:val="22"/>
          <w:szCs w:val="22"/>
          <w:vertAlign w:val="superscript"/>
        </w:rPr>
        <w:t>2</w:t>
      </w:r>
      <w:r w:rsidRPr="008A4F40">
        <w:rPr>
          <w:color w:val="000000"/>
          <w:sz w:val="22"/>
          <w:szCs w:val="22"/>
        </w:rPr>
        <w:t xml:space="preserve"> (eine Gesamtdosis von 800 mg darf nicht überschritten werden) bei Kindern kann bei Abwesenheit schwerer Nebenwirkungen des Arzneimittels und bei Fehlen nicht-Leukämie-bedingter Neutropenie oder Thrombozytopenie unter folgenden Umständen in Betracht gezogen werden: Progression der Erkrankung (zu jeder Zeit), keine zufriedenstellende hämatologische Remission nach mindestens 3 Monaten Behandlung, fehlende zytogenetische Remission nach 12 Monaten Behandlung oder Verschwinden einer vorher erreichten hämatologi</w:t>
      </w:r>
      <w:r w:rsidRPr="008A4F40">
        <w:rPr>
          <w:color w:val="000000"/>
          <w:sz w:val="22"/>
          <w:szCs w:val="22"/>
        </w:rPr>
        <w:softHyphen/>
        <w:t>schen und/oder zytogenetischen Remission. Die Patienten müssen nach einer Dosiserhöhung engmaschig überwacht werden, weil die Wahrscheinlichkeit für das Auftreten von Nebenwirkungen bei höheren Dosierungen ansteigt.</w:t>
      </w:r>
    </w:p>
    <w:p w14:paraId="1415A686" w14:textId="77777777" w:rsidR="000742FC" w:rsidRPr="008A4F40" w:rsidRDefault="000742FC" w:rsidP="004E7659">
      <w:pPr>
        <w:rPr>
          <w:color w:val="000000"/>
          <w:sz w:val="22"/>
          <w:szCs w:val="22"/>
          <w:u w:val="single"/>
        </w:rPr>
      </w:pPr>
    </w:p>
    <w:p w14:paraId="1DA20D51" w14:textId="7FF2516E" w:rsidR="000742FC" w:rsidRPr="008A4F40" w:rsidRDefault="000742FC" w:rsidP="004E7659">
      <w:pPr>
        <w:keepNext/>
        <w:rPr>
          <w:color w:val="000000"/>
          <w:sz w:val="22"/>
          <w:szCs w:val="22"/>
          <w:u w:val="single"/>
        </w:rPr>
      </w:pPr>
      <w:r w:rsidRPr="008A4F40">
        <w:rPr>
          <w:color w:val="000000"/>
          <w:sz w:val="22"/>
          <w:szCs w:val="22"/>
          <w:u w:val="single"/>
        </w:rPr>
        <w:t xml:space="preserve">Dosierung bei </w:t>
      </w:r>
      <w:r w:rsidR="009F2D90" w:rsidRPr="008A4F40">
        <w:rPr>
          <w:color w:val="000000"/>
          <w:sz w:val="22"/>
          <w:szCs w:val="22"/>
          <w:u w:val="single"/>
        </w:rPr>
        <w:t xml:space="preserve">Erwachsenen mit </w:t>
      </w:r>
      <w:r w:rsidRPr="008A4F40">
        <w:rPr>
          <w:color w:val="000000"/>
          <w:sz w:val="22"/>
          <w:szCs w:val="22"/>
          <w:u w:val="single"/>
        </w:rPr>
        <w:t xml:space="preserve">Ph+ </w:t>
      </w:r>
      <w:smartTag w:uri="urn:schemas-microsoft-com:office:smarttags" w:element="stockticker">
        <w:r w:rsidRPr="008A4F40">
          <w:rPr>
            <w:color w:val="000000"/>
            <w:sz w:val="22"/>
            <w:szCs w:val="22"/>
            <w:u w:val="single"/>
          </w:rPr>
          <w:t>ALL</w:t>
        </w:r>
      </w:smartTag>
    </w:p>
    <w:p w14:paraId="0E2AF41B" w14:textId="77777777" w:rsidR="0043305B" w:rsidRPr="008A4F40" w:rsidRDefault="0043305B" w:rsidP="004E7659">
      <w:pPr>
        <w:keepNext/>
        <w:rPr>
          <w:color w:val="000000"/>
          <w:sz w:val="22"/>
          <w:szCs w:val="22"/>
          <w:u w:val="single"/>
        </w:rPr>
      </w:pPr>
    </w:p>
    <w:p w14:paraId="6CE5A8F6" w14:textId="77777777" w:rsidR="000742FC" w:rsidRPr="008A4F40" w:rsidRDefault="000742FC" w:rsidP="004E7659">
      <w:pPr>
        <w:rPr>
          <w:color w:val="000000"/>
          <w:sz w:val="22"/>
          <w:szCs w:val="22"/>
        </w:rPr>
      </w:pPr>
      <w:r w:rsidRPr="008A4F40">
        <w:rPr>
          <w:color w:val="000000"/>
          <w:sz w:val="22"/>
          <w:szCs w:val="22"/>
        </w:rPr>
        <w:t xml:space="preserve">Die empfohlene Dosierung von Glivec bei </w:t>
      </w:r>
      <w:r w:rsidR="00330D46" w:rsidRPr="008A4F40">
        <w:rPr>
          <w:color w:val="000000"/>
          <w:sz w:val="22"/>
          <w:szCs w:val="22"/>
        </w:rPr>
        <w:t xml:space="preserve">erwachsenen </w:t>
      </w:r>
      <w:r w:rsidRPr="008A4F40">
        <w:rPr>
          <w:color w:val="000000"/>
          <w:sz w:val="22"/>
          <w:szCs w:val="22"/>
        </w:rPr>
        <w:t xml:space="preserve">Patienten mit Ph+ </w:t>
      </w:r>
      <w:smartTag w:uri="urn:schemas-microsoft-com:office:smarttags" w:element="stockticker">
        <w:r w:rsidRPr="008A4F40">
          <w:rPr>
            <w:color w:val="000000"/>
            <w:sz w:val="22"/>
            <w:szCs w:val="22"/>
          </w:rPr>
          <w:t>ALL</w:t>
        </w:r>
      </w:smartTag>
      <w:r w:rsidRPr="008A4F40">
        <w:rPr>
          <w:color w:val="000000"/>
          <w:sz w:val="22"/>
          <w:szCs w:val="22"/>
        </w:rPr>
        <w:t xml:space="preserve"> beträgt 600 mg/Tag. Hämatologen, die in der Behandlung dieser Erkrankung erfahren sind, sollten die Therapie in allen Phasen überwachen.</w:t>
      </w:r>
    </w:p>
    <w:p w14:paraId="418FE755" w14:textId="77777777" w:rsidR="000742FC" w:rsidRPr="008A4F40" w:rsidRDefault="000742FC" w:rsidP="004E7659">
      <w:pPr>
        <w:rPr>
          <w:color w:val="000000"/>
          <w:sz w:val="22"/>
          <w:szCs w:val="22"/>
        </w:rPr>
      </w:pPr>
    </w:p>
    <w:p w14:paraId="48AA70C9" w14:textId="66CC7FFC" w:rsidR="000742FC" w:rsidRPr="008A4F40" w:rsidRDefault="000742FC" w:rsidP="004E7659">
      <w:pPr>
        <w:rPr>
          <w:color w:val="000000"/>
          <w:sz w:val="22"/>
          <w:szCs w:val="22"/>
        </w:rPr>
      </w:pPr>
      <w:r w:rsidRPr="008A4F40">
        <w:rPr>
          <w:color w:val="000000"/>
          <w:sz w:val="22"/>
          <w:szCs w:val="22"/>
        </w:rPr>
        <w:t xml:space="preserve">Behandlungsschema: Auf Basis der vorliegenden Daten wurde gezeigt, dass Glivec wirksam und sicher ist, wenn es in Kombination mit Chemotherapie in einer Dosierung von 600 mg/Tag in der Induktionsphase sowie in der Konsolidierungs- und Erhaltungsphase der Chemotherapie bei Erwachsenen mit neu diagnostizierter Ph+ </w:t>
      </w:r>
      <w:smartTag w:uri="urn:schemas-microsoft-com:office:smarttags" w:element="stockticker">
        <w:r w:rsidRPr="008A4F40">
          <w:rPr>
            <w:color w:val="000000"/>
            <w:sz w:val="22"/>
            <w:szCs w:val="22"/>
          </w:rPr>
          <w:t>ALL</w:t>
        </w:r>
      </w:smartTag>
      <w:r w:rsidRPr="008A4F40">
        <w:rPr>
          <w:color w:val="000000"/>
          <w:sz w:val="22"/>
          <w:szCs w:val="22"/>
        </w:rPr>
        <w:t xml:space="preserve"> angewendet wird (siehe Abschnitt</w:t>
      </w:r>
      <w:ins w:id="7" w:author="Author">
        <w:r w:rsidR="00E96CC8">
          <w:rPr>
            <w:color w:val="000000"/>
            <w:sz w:val="22"/>
            <w:szCs w:val="22"/>
          </w:rPr>
          <w:t> </w:t>
        </w:r>
      </w:ins>
      <w:del w:id="8" w:author="Author">
        <w:r w:rsidRPr="008A4F40" w:rsidDel="00E96CC8">
          <w:rPr>
            <w:color w:val="000000"/>
            <w:sz w:val="22"/>
            <w:szCs w:val="22"/>
          </w:rPr>
          <w:delText xml:space="preserve"> </w:delText>
        </w:r>
      </w:del>
      <w:r w:rsidRPr="008A4F40">
        <w:rPr>
          <w:color w:val="000000"/>
          <w:sz w:val="22"/>
          <w:szCs w:val="22"/>
        </w:rPr>
        <w:t>5.1). Die Dauer der Glivec-Therapie kann je nach dem ausgewählten Behandlungsschema variieren, aber längere Expositionen von Glivec haben im Allgemeinen bessere Ergebnisse erbracht.</w:t>
      </w:r>
    </w:p>
    <w:p w14:paraId="4DB59EBE" w14:textId="77777777" w:rsidR="000742FC" w:rsidRPr="008A4F40" w:rsidRDefault="000742FC" w:rsidP="004E7659">
      <w:pPr>
        <w:rPr>
          <w:color w:val="000000"/>
          <w:sz w:val="22"/>
          <w:szCs w:val="22"/>
        </w:rPr>
      </w:pPr>
    </w:p>
    <w:p w14:paraId="4B97C30D" w14:textId="3D6B632B" w:rsidR="009F2D90" w:rsidRPr="008A4F40" w:rsidRDefault="000742FC" w:rsidP="004E7659">
      <w:pPr>
        <w:rPr>
          <w:color w:val="000000"/>
          <w:sz w:val="22"/>
          <w:szCs w:val="22"/>
        </w:rPr>
      </w:pPr>
      <w:r w:rsidRPr="008A4F40">
        <w:rPr>
          <w:color w:val="000000"/>
          <w:sz w:val="22"/>
          <w:szCs w:val="22"/>
        </w:rPr>
        <w:t xml:space="preserve">Für Erwachsene mit rezidivierter oder refraktärer Ph+ </w:t>
      </w:r>
      <w:smartTag w:uri="urn:schemas-microsoft-com:office:smarttags" w:element="stockticker">
        <w:r w:rsidRPr="008A4F40">
          <w:rPr>
            <w:color w:val="000000"/>
            <w:sz w:val="22"/>
            <w:szCs w:val="22"/>
          </w:rPr>
          <w:t>ALL</w:t>
        </w:r>
      </w:smartTag>
      <w:r w:rsidRPr="008A4F40">
        <w:rPr>
          <w:color w:val="000000"/>
          <w:sz w:val="22"/>
          <w:szCs w:val="22"/>
        </w:rPr>
        <w:t xml:space="preserve"> ist eine Glivec-Monotherapie mit 600 mg/Tag sicher und wirksam und kann gegeben werden, bis eine Progression der Erkrankung auftritt.</w:t>
      </w:r>
    </w:p>
    <w:p w14:paraId="1822B65F" w14:textId="77777777" w:rsidR="009F2D90" w:rsidRPr="008A4F40" w:rsidRDefault="009F2D90" w:rsidP="004E7659">
      <w:pPr>
        <w:rPr>
          <w:color w:val="000000"/>
          <w:sz w:val="22"/>
          <w:szCs w:val="22"/>
        </w:rPr>
      </w:pPr>
    </w:p>
    <w:p w14:paraId="06BB1C87" w14:textId="4BD8B116" w:rsidR="009F2D90" w:rsidRPr="008A4F40" w:rsidRDefault="009F2D90" w:rsidP="004E7659">
      <w:pPr>
        <w:keepNext/>
        <w:rPr>
          <w:color w:val="000000"/>
          <w:sz w:val="22"/>
          <w:szCs w:val="22"/>
          <w:u w:val="single"/>
        </w:rPr>
      </w:pPr>
      <w:r w:rsidRPr="008A4F40">
        <w:rPr>
          <w:color w:val="000000"/>
          <w:sz w:val="22"/>
          <w:szCs w:val="22"/>
          <w:u w:val="single"/>
        </w:rPr>
        <w:t>Dosierung bei Kindern mit Ph+ ALL</w:t>
      </w:r>
    </w:p>
    <w:p w14:paraId="530E8078" w14:textId="77777777" w:rsidR="0043305B" w:rsidRPr="008A4F40" w:rsidRDefault="0043305B" w:rsidP="004E7659">
      <w:pPr>
        <w:keepNext/>
        <w:rPr>
          <w:color w:val="000000"/>
          <w:sz w:val="22"/>
          <w:szCs w:val="22"/>
          <w:u w:val="single"/>
        </w:rPr>
      </w:pPr>
    </w:p>
    <w:p w14:paraId="53421B7E" w14:textId="77777777" w:rsidR="000742FC" w:rsidRPr="008A4F40" w:rsidRDefault="009F2D90" w:rsidP="004E7659">
      <w:pPr>
        <w:rPr>
          <w:color w:val="000000"/>
          <w:sz w:val="22"/>
          <w:szCs w:val="22"/>
        </w:rPr>
      </w:pPr>
      <w:r w:rsidRPr="008A4F40">
        <w:rPr>
          <w:color w:val="000000"/>
          <w:sz w:val="22"/>
          <w:szCs w:val="22"/>
        </w:rPr>
        <w:t>Bei Kindern sollte die Dosierung auf der Basis der Körperoberfläche (mg/m²) erfolgen. Eine Dosis von 340 mg/m² täglich wird bei Kindern mit Ph+ ALL empfohlen (eine Gesamtdosis von 600 mg darf nicht überschritten werden).</w:t>
      </w:r>
    </w:p>
    <w:p w14:paraId="2A25904F" w14:textId="77777777" w:rsidR="000742FC" w:rsidRPr="008A4F40" w:rsidRDefault="000742FC" w:rsidP="004E7659">
      <w:pPr>
        <w:rPr>
          <w:color w:val="000000"/>
          <w:sz w:val="22"/>
          <w:szCs w:val="22"/>
        </w:rPr>
      </w:pPr>
    </w:p>
    <w:p w14:paraId="7E1DF0E0" w14:textId="7D860FEB" w:rsidR="000742FC" w:rsidRPr="008A4F40" w:rsidRDefault="000742FC" w:rsidP="004E7659">
      <w:pPr>
        <w:keepNext/>
        <w:rPr>
          <w:color w:val="000000"/>
          <w:sz w:val="22"/>
          <w:szCs w:val="22"/>
          <w:u w:val="single"/>
        </w:rPr>
      </w:pPr>
      <w:r w:rsidRPr="008A4F40">
        <w:rPr>
          <w:color w:val="000000"/>
          <w:sz w:val="22"/>
          <w:szCs w:val="22"/>
          <w:u w:val="single"/>
        </w:rPr>
        <w:t xml:space="preserve">Dosierung bei </w:t>
      </w:r>
      <w:smartTag w:uri="urn:schemas-microsoft-com:office:smarttags" w:element="stockticker">
        <w:r w:rsidRPr="008A4F40">
          <w:rPr>
            <w:color w:val="000000"/>
            <w:sz w:val="22"/>
            <w:szCs w:val="22"/>
            <w:u w:val="single"/>
          </w:rPr>
          <w:t>MDS</w:t>
        </w:r>
      </w:smartTag>
      <w:r w:rsidRPr="008A4F40">
        <w:rPr>
          <w:color w:val="000000"/>
          <w:sz w:val="22"/>
          <w:szCs w:val="22"/>
          <w:u w:val="single"/>
        </w:rPr>
        <w:t>/MPD</w:t>
      </w:r>
    </w:p>
    <w:p w14:paraId="1B1DA0FC" w14:textId="77777777" w:rsidR="0043305B" w:rsidRPr="008A4F40" w:rsidRDefault="0043305B" w:rsidP="004E7659">
      <w:pPr>
        <w:keepNext/>
        <w:rPr>
          <w:color w:val="000000"/>
          <w:sz w:val="22"/>
          <w:szCs w:val="22"/>
          <w:u w:val="single"/>
        </w:rPr>
      </w:pPr>
    </w:p>
    <w:p w14:paraId="5DAEBAD5" w14:textId="77777777" w:rsidR="000742FC" w:rsidRPr="008A4F40" w:rsidRDefault="000742FC" w:rsidP="004E7659">
      <w:pPr>
        <w:rPr>
          <w:color w:val="000000"/>
          <w:sz w:val="22"/>
          <w:szCs w:val="22"/>
        </w:rPr>
      </w:pPr>
      <w:r w:rsidRPr="008A4F40">
        <w:rPr>
          <w:color w:val="000000"/>
          <w:sz w:val="22"/>
          <w:szCs w:val="22"/>
        </w:rPr>
        <w:t xml:space="preserve">Die empfohlene Dosierung von Glivec bei </w:t>
      </w:r>
      <w:r w:rsidR="00330D46" w:rsidRPr="008A4F40">
        <w:rPr>
          <w:color w:val="000000"/>
          <w:sz w:val="22"/>
          <w:szCs w:val="22"/>
        </w:rPr>
        <w:t xml:space="preserve">erwachsenen </w:t>
      </w:r>
      <w:r w:rsidRPr="008A4F40">
        <w:rPr>
          <w:color w:val="000000"/>
          <w:sz w:val="22"/>
          <w:szCs w:val="22"/>
        </w:rPr>
        <w:t xml:space="preserve">Patienten mit </w:t>
      </w:r>
      <w:smartTag w:uri="urn:schemas-microsoft-com:office:smarttags" w:element="stockticker">
        <w:r w:rsidRPr="008A4F40">
          <w:rPr>
            <w:color w:val="000000"/>
            <w:sz w:val="22"/>
            <w:szCs w:val="22"/>
          </w:rPr>
          <w:t>MDS</w:t>
        </w:r>
      </w:smartTag>
      <w:r w:rsidRPr="008A4F40">
        <w:rPr>
          <w:color w:val="000000"/>
          <w:sz w:val="22"/>
          <w:szCs w:val="22"/>
        </w:rPr>
        <w:t>/MPD beträgt 400 mg/Tag.</w:t>
      </w:r>
    </w:p>
    <w:p w14:paraId="13426828" w14:textId="77777777" w:rsidR="000742FC" w:rsidRPr="008A4F40" w:rsidRDefault="000742FC" w:rsidP="004E7659">
      <w:pPr>
        <w:rPr>
          <w:color w:val="000000"/>
          <w:sz w:val="22"/>
          <w:szCs w:val="22"/>
        </w:rPr>
      </w:pPr>
    </w:p>
    <w:p w14:paraId="75A273C9" w14:textId="66E259BF" w:rsidR="000742FC" w:rsidRPr="008A4F40" w:rsidRDefault="000742FC" w:rsidP="004E7659">
      <w:pPr>
        <w:rPr>
          <w:color w:val="000000"/>
          <w:sz w:val="22"/>
          <w:szCs w:val="22"/>
        </w:rPr>
      </w:pPr>
      <w:r w:rsidRPr="008A4F40">
        <w:rPr>
          <w:color w:val="000000"/>
          <w:sz w:val="22"/>
          <w:szCs w:val="22"/>
        </w:rPr>
        <w:t>Dauer der Behandlung: In der einzigen bisher durchgeführten klinischen Studie wurde die Behandlung mit Glivec bis zur Progression der Erkrankung fortgeführt (siehe Abschnitt</w:t>
      </w:r>
      <w:ins w:id="9" w:author="Author">
        <w:r w:rsidR="00E96CC8">
          <w:rPr>
            <w:color w:val="000000"/>
            <w:sz w:val="22"/>
            <w:szCs w:val="22"/>
          </w:rPr>
          <w:t> </w:t>
        </w:r>
      </w:ins>
      <w:del w:id="10" w:author="Author">
        <w:r w:rsidRPr="008A4F40" w:rsidDel="00E96CC8">
          <w:rPr>
            <w:color w:val="000000"/>
            <w:sz w:val="22"/>
            <w:szCs w:val="22"/>
          </w:rPr>
          <w:delText xml:space="preserve"> </w:delText>
        </w:r>
      </w:del>
      <w:r w:rsidRPr="008A4F40">
        <w:rPr>
          <w:color w:val="000000"/>
          <w:sz w:val="22"/>
          <w:szCs w:val="22"/>
        </w:rPr>
        <w:t>5.1). Zum Zeitpunkt der Auswertung betrug die mediane Behandlungsdauer 47 Monate (24 Tage bis 60 Monate).</w:t>
      </w:r>
    </w:p>
    <w:p w14:paraId="7440DB21" w14:textId="77777777" w:rsidR="000742FC" w:rsidRPr="008A4F40" w:rsidRDefault="000742FC" w:rsidP="004E7659">
      <w:pPr>
        <w:rPr>
          <w:color w:val="000000"/>
          <w:sz w:val="22"/>
          <w:szCs w:val="22"/>
          <w:u w:val="single"/>
        </w:rPr>
      </w:pPr>
    </w:p>
    <w:p w14:paraId="77237D97" w14:textId="4EDBF936" w:rsidR="000742FC" w:rsidRPr="008A4F40" w:rsidRDefault="000742FC" w:rsidP="004E7659">
      <w:pPr>
        <w:keepNext/>
        <w:rPr>
          <w:color w:val="000000"/>
          <w:sz w:val="22"/>
          <w:szCs w:val="22"/>
          <w:u w:val="single"/>
        </w:rPr>
      </w:pPr>
      <w:r w:rsidRPr="008A4F40">
        <w:rPr>
          <w:color w:val="000000"/>
          <w:sz w:val="22"/>
          <w:szCs w:val="22"/>
          <w:u w:val="single"/>
        </w:rPr>
        <w:t>Dosierung bei HES/</w:t>
      </w:r>
      <w:smartTag w:uri="urn:schemas-microsoft-com:office:smarttags" w:element="stockticker">
        <w:r w:rsidRPr="008A4F40">
          <w:rPr>
            <w:color w:val="000000"/>
            <w:sz w:val="22"/>
            <w:szCs w:val="22"/>
            <w:u w:val="single"/>
          </w:rPr>
          <w:t>CEL</w:t>
        </w:r>
      </w:smartTag>
    </w:p>
    <w:p w14:paraId="67F47811" w14:textId="77777777" w:rsidR="0043305B" w:rsidRPr="008A4F40" w:rsidRDefault="0043305B" w:rsidP="004E7659">
      <w:pPr>
        <w:keepNext/>
        <w:rPr>
          <w:color w:val="000000"/>
          <w:sz w:val="22"/>
          <w:szCs w:val="22"/>
          <w:u w:val="single"/>
        </w:rPr>
      </w:pPr>
    </w:p>
    <w:p w14:paraId="27960CC2" w14:textId="77777777" w:rsidR="000742FC" w:rsidRPr="008A4F40" w:rsidRDefault="000742FC" w:rsidP="004E7659">
      <w:pPr>
        <w:rPr>
          <w:color w:val="000000"/>
          <w:sz w:val="22"/>
          <w:szCs w:val="22"/>
        </w:rPr>
      </w:pPr>
      <w:r w:rsidRPr="008A4F40">
        <w:rPr>
          <w:color w:val="000000"/>
          <w:sz w:val="22"/>
          <w:szCs w:val="22"/>
        </w:rPr>
        <w:t xml:space="preserve">Die empfohlene Dosierung von Glivec bei </w:t>
      </w:r>
      <w:r w:rsidR="00330D46" w:rsidRPr="008A4F40">
        <w:rPr>
          <w:color w:val="000000"/>
          <w:sz w:val="22"/>
          <w:szCs w:val="22"/>
        </w:rPr>
        <w:t xml:space="preserve">erwachsenen </w:t>
      </w:r>
      <w:r w:rsidRPr="008A4F40">
        <w:rPr>
          <w:color w:val="000000"/>
          <w:sz w:val="22"/>
          <w:szCs w:val="22"/>
        </w:rPr>
        <w:t>Patienten mit HES/</w:t>
      </w:r>
      <w:smartTag w:uri="urn:schemas-microsoft-com:office:smarttags" w:element="stockticker">
        <w:r w:rsidRPr="008A4F40">
          <w:rPr>
            <w:color w:val="000000"/>
            <w:sz w:val="22"/>
            <w:szCs w:val="22"/>
          </w:rPr>
          <w:t>CEL</w:t>
        </w:r>
      </w:smartTag>
      <w:r w:rsidRPr="008A4F40">
        <w:rPr>
          <w:color w:val="000000"/>
          <w:sz w:val="22"/>
          <w:szCs w:val="22"/>
        </w:rPr>
        <w:t xml:space="preserve"> beträgt 100 mg/Tag.</w:t>
      </w:r>
    </w:p>
    <w:p w14:paraId="42742E8A" w14:textId="77777777" w:rsidR="000742FC" w:rsidRPr="008A4F40" w:rsidRDefault="000742FC" w:rsidP="004E7659">
      <w:pPr>
        <w:rPr>
          <w:color w:val="000000"/>
          <w:sz w:val="22"/>
          <w:szCs w:val="22"/>
        </w:rPr>
      </w:pPr>
    </w:p>
    <w:p w14:paraId="7E2A4995" w14:textId="77777777" w:rsidR="000742FC" w:rsidRPr="008A4F40" w:rsidRDefault="000742FC" w:rsidP="004E7659">
      <w:pPr>
        <w:rPr>
          <w:color w:val="000000"/>
          <w:sz w:val="22"/>
          <w:szCs w:val="22"/>
        </w:rPr>
      </w:pPr>
      <w:r w:rsidRPr="008A4F40">
        <w:rPr>
          <w:color w:val="000000"/>
          <w:sz w:val="22"/>
          <w:szCs w:val="22"/>
        </w:rPr>
        <w:t>Bei Abwesenheit von Nebenwirkungen kann eine Dosissteigerung von 100 mg auf 400 mg erwogen werden, wenn Untersuchungen ein unzureichendes Ansprechen auf die Therapie zeigen.</w:t>
      </w:r>
    </w:p>
    <w:p w14:paraId="3755D716" w14:textId="77777777" w:rsidR="000742FC" w:rsidRPr="008A4F40" w:rsidRDefault="000742FC" w:rsidP="004E7659">
      <w:pPr>
        <w:rPr>
          <w:color w:val="000000"/>
          <w:sz w:val="22"/>
          <w:szCs w:val="22"/>
        </w:rPr>
      </w:pPr>
    </w:p>
    <w:p w14:paraId="73292781" w14:textId="77777777" w:rsidR="000742FC" w:rsidRPr="008A4F40" w:rsidRDefault="000742FC" w:rsidP="004E7659">
      <w:pPr>
        <w:rPr>
          <w:color w:val="000000"/>
          <w:sz w:val="22"/>
          <w:szCs w:val="22"/>
        </w:rPr>
      </w:pPr>
      <w:r w:rsidRPr="008A4F40">
        <w:rPr>
          <w:color w:val="000000"/>
          <w:sz w:val="22"/>
          <w:szCs w:val="22"/>
        </w:rPr>
        <w:t>Die Behandlung sollte fortgesetzt werden, solange der Nutzen für den Patienten andauert.</w:t>
      </w:r>
    </w:p>
    <w:p w14:paraId="0CDD68C4" w14:textId="77777777" w:rsidR="000742FC" w:rsidRPr="008A4F40" w:rsidRDefault="000742FC" w:rsidP="004E7659">
      <w:pPr>
        <w:rPr>
          <w:color w:val="000000"/>
          <w:sz w:val="22"/>
          <w:szCs w:val="22"/>
        </w:rPr>
      </w:pPr>
    </w:p>
    <w:p w14:paraId="2508E612" w14:textId="7A4070B1" w:rsidR="000742FC" w:rsidRPr="008A4F40" w:rsidRDefault="000742FC" w:rsidP="004E7659">
      <w:pPr>
        <w:keepNext/>
        <w:rPr>
          <w:color w:val="000000"/>
          <w:sz w:val="22"/>
          <w:szCs w:val="22"/>
          <w:u w:val="single"/>
        </w:rPr>
      </w:pPr>
      <w:r w:rsidRPr="008A4F40">
        <w:rPr>
          <w:color w:val="000000"/>
          <w:sz w:val="22"/>
          <w:szCs w:val="22"/>
          <w:u w:val="single"/>
        </w:rPr>
        <w:t>Dosierung bei GIST</w:t>
      </w:r>
    </w:p>
    <w:p w14:paraId="153037A1" w14:textId="77777777" w:rsidR="0043305B" w:rsidRPr="008A4F40" w:rsidRDefault="0043305B" w:rsidP="004E7659">
      <w:pPr>
        <w:keepNext/>
        <w:rPr>
          <w:color w:val="000000"/>
          <w:sz w:val="22"/>
          <w:szCs w:val="22"/>
          <w:u w:val="single"/>
        </w:rPr>
      </w:pPr>
    </w:p>
    <w:p w14:paraId="616F0339" w14:textId="77777777" w:rsidR="000742FC" w:rsidRPr="008A4F40" w:rsidRDefault="000742FC" w:rsidP="004E7659">
      <w:pPr>
        <w:rPr>
          <w:color w:val="000000"/>
          <w:sz w:val="22"/>
          <w:szCs w:val="22"/>
        </w:rPr>
      </w:pPr>
      <w:r w:rsidRPr="008A4F40">
        <w:rPr>
          <w:color w:val="000000"/>
          <w:sz w:val="22"/>
          <w:szCs w:val="22"/>
        </w:rPr>
        <w:t xml:space="preserve">Die empfohlene Dosierung von Glivec bei </w:t>
      </w:r>
      <w:r w:rsidR="00330D46" w:rsidRPr="008A4F40">
        <w:rPr>
          <w:color w:val="000000"/>
          <w:sz w:val="22"/>
          <w:szCs w:val="22"/>
        </w:rPr>
        <w:t xml:space="preserve">erwachsenen </w:t>
      </w:r>
      <w:r w:rsidRPr="008A4F40">
        <w:rPr>
          <w:color w:val="000000"/>
          <w:sz w:val="22"/>
          <w:szCs w:val="22"/>
        </w:rPr>
        <w:t>Patienten mit nicht resezierbaren und/oder metastasierten malignen GIST beträgt 400 mg/Tag.</w:t>
      </w:r>
    </w:p>
    <w:p w14:paraId="7ADB94DE" w14:textId="77777777" w:rsidR="000742FC" w:rsidRPr="008A4F40" w:rsidRDefault="000742FC" w:rsidP="004E7659">
      <w:pPr>
        <w:rPr>
          <w:color w:val="000000"/>
          <w:sz w:val="22"/>
          <w:szCs w:val="22"/>
        </w:rPr>
      </w:pPr>
    </w:p>
    <w:p w14:paraId="54EB0FD1" w14:textId="68010905" w:rsidR="000742FC" w:rsidRPr="008A4F40" w:rsidRDefault="000742FC" w:rsidP="004E7659">
      <w:pPr>
        <w:rPr>
          <w:color w:val="000000"/>
          <w:sz w:val="22"/>
          <w:szCs w:val="22"/>
        </w:rPr>
      </w:pPr>
      <w:r w:rsidRPr="008A4F40">
        <w:rPr>
          <w:color w:val="000000"/>
          <w:sz w:val="22"/>
          <w:szCs w:val="22"/>
        </w:rPr>
        <w:t>Es liegen nur begrenzte Daten für den Effekt einer Dosiserhöhung von 400 mg auf 600 mg oder 800 mg vor bei Patienten, deren Erkrankung unter der niedrigeren Dosierung fortschreitet (siehe Abschnitt</w:t>
      </w:r>
      <w:ins w:id="11" w:author="Author">
        <w:r w:rsidR="004E7659">
          <w:rPr>
            <w:color w:val="000000"/>
            <w:sz w:val="22"/>
            <w:szCs w:val="22"/>
          </w:rPr>
          <w:t> </w:t>
        </w:r>
      </w:ins>
      <w:del w:id="12" w:author="Author">
        <w:r w:rsidRPr="008A4F40" w:rsidDel="004E7659">
          <w:rPr>
            <w:color w:val="000000"/>
            <w:sz w:val="22"/>
            <w:szCs w:val="22"/>
          </w:rPr>
          <w:delText xml:space="preserve"> </w:delText>
        </w:r>
      </w:del>
      <w:r w:rsidRPr="008A4F40">
        <w:rPr>
          <w:color w:val="000000"/>
          <w:sz w:val="22"/>
          <w:szCs w:val="22"/>
        </w:rPr>
        <w:t>5.1).</w:t>
      </w:r>
    </w:p>
    <w:p w14:paraId="58CAB8D7" w14:textId="77777777" w:rsidR="000742FC" w:rsidRPr="008A4F40" w:rsidRDefault="000742FC" w:rsidP="004E7659">
      <w:pPr>
        <w:pStyle w:val="Header"/>
        <w:tabs>
          <w:tab w:val="clear" w:pos="4320"/>
          <w:tab w:val="clear" w:pos="8640"/>
        </w:tabs>
        <w:rPr>
          <w:color w:val="000000"/>
          <w:szCs w:val="22"/>
        </w:rPr>
      </w:pPr>
    </w:p>
    <w:p w14:paraId="7421E9DE" w14:textId="77777777" w:rsidR="000742FC" w:rsidRPr="00A24EE4" w:rsidRDefault="000742FC" w:rsidP="004E7659">
      <w:pPr>
        <w:rPr>
          <w:sz w:val="22"/>
          <w:szCs w:val="22"/>
        </w:rPr>
      </w:pPr>
      <w:r w:rsidRPr="00A24EE4">
        <w:rPr>
          <w:sz w:val="22"/>
          <w:szCs w:val="22"/>
        </w:rPr>
        <w:t>Dauer der Behandlung: In klinischen Studien bei GIST-Patienten wurde Glivec bis zur Progression der Erkrankung gegeben. Zum Zeitpunkt der Auswertung betrug die mediane Behandlungsdauer 7 Monate (7 Tage bis 13 Monate). Der Effekt eines Behandlungsstopps nach Erreichen einer Remission wurde nicht untersucht.</w:t>
      </w:r>
    </w:p>
    <w:p w14:paraId="5415DAB7" w14:textId="77777777" w:rsidR="000742FC" w:rsidRPr="008A4F40" w:rsidRDefault="000742FC" w:rsidP="004E7659">
      <w:pPr>
        <w:rPr>
          <w:color w:val="000000"/>
          <w:sz w:val="22"/>
          <w:szCs w:val="22"/>
        </w:rPr>
      </w:pPr>
    </w:p>
    <w:p w14:paraId="65747C10" w14:textId="5C3FC41D" w:rsidR="000742FC" w:rsidRPr="008A4F40" w:rsidRDefault="000742FC" w:rsidP="004E7659">
      <w:pPr>
        <w:rPr>
          <w:color w:val="000000"/>
          <w:sz w:val="22"/>
          <w:szCs w:val="22"/>
        </w:rPr>
      </w:pPr>
      <w:r w:rsidRPr="008A4F40">
        <w:rPr>
          <w:color w:val="000000"/>
          <w:sz w:val="22"/>
          <w:szCs w:val="22"/>
        </w:rPr>
        <w:t xml:space="preserve">Die empfohlene Dosierung von Glivec zur adjuvanten Behandlung Erwachsener nach GIST-Resektion beträgt 400 mg/Tag. Die optimale Behandlungsdauer ist noch nicht festgelegt. Die Dauer der Behandlung in der klinischen Studie zur Unterstützung dieser Indikation betrug </w:t>
      </w:r>
      <w:r w:rsidR="00BA680D" w:rsidRPr="008A4F40">
        <w:rPr>
          <w:color w:val="000000"/>
          <w:sz w:val="22"/>
          <w:szCs w:val="22"/>
        </w:rPr>
        <w:t>36</w:t>
      </w:r>
      <w:r w:rsidRPr="008A4F40">
        <w:rPr>
          <w:color w:val="000000"/>
          <w:sz w:val="22"/>
          <w:szCs w:val="22"/>
        </w:rPr>
        <w:t> Monate</w:t>
      </w:r>
      <w:r w:rsidR="00BA680D" w:rsidRPr="008A4F40">
        <w:rPr>
          <w:color w:val="000000"/>
          <w:sz w:val="22"/>
          <w:szCs w:val="22"/>
        </w:rPr>
        <w:t xml:space="preserve"> (siehe Abschnitt</w:t>
      </w:r>
      <w:ins w:id="13" w:author="Author">
        <w:r w:rsidR="00E96CC8">
          <w:rPr>
            <w:color w:val="000000"/>
            <w:sz w:val="22"/>
            <w:szCs w:val="22"/>
          </w:rPr>
          <w:t> </w:t>
        </w:r>
      </w:ins>
      <w:del w:id="14" w:author="Author">
        <w:r w:rsidR="00BA680D" w:rsidRPr="008A4F40" w:rsidDel="00E96CC8">
          <w:rPr>
            <w:color w:val="000000"/>
            <w:sz w:val="22"/>
            <w:szCs w:val="22"/>
          </w:rPr>
          <w:delText xml:space="preserve"> </w:delText>
        </w:r>
      </w:del>
      <w:r w:rsidR="00BA680D" w:rsidRPr="008A4F40">
        <w:rPr>
          <w:color w:val="000000"/>
          <w:sz w:val="22"/>
          <w:szCs w:val="22"/>
        </w:rPr>
        <w:t>5.1)</w:t>
      </w:r>
      <w:r w:rsidRPr="008A4F40">
        <w:rPr>
          <w:color w:val="000000"/>
          <w:sz w:val="22"/>
          <w:szCs w:val="22"/>
        </w:rPr>
        <w:t>.</w:t>
      </w:r>
    </w:p>
    <w:p w14:paraId="40C86CFF" w14:textId="77777777" w:rsidR="000742FC" w:rsidRPr="008A4F40" w:rsidRDefault="000742FC" w:rsidP="004E7659">
      <w:pPr>
        <w:rPr>
          <w:color w:val="000000"/>
          <w:sz w:val="22"/>
          <w:szCs w:val="22"/>
        </w:rPr>
      </w:pPr>
    </w:p>
    <w:p w14:paraId="640A3DCA" w14:textId="18F96521" w:rsidR="000742FC" w:rsidRPr="008A4F40" w:rsidRDefault="000742FC" w:rsidP="004E7659">
      <w:pPr>
        <w:keepNext/>
        <w:rPr>
          <w:color w:val="000000"/>
          <w:sz w:val="22"/>
          <w:szCs w:val="22"/>
          <w:u w:val="single"/>
        </w:rPr>
      </w:pPr>
      <w:r w:rsidRPr="008A4F40">
        <w:rPr>
          <w:color w:val="000000"/>
          <w:sz w:val="22"/>
          <w:szCs w:val="22"/>
          <w:u w:val="single"/>
        </w:rPr>
        <w:t>Dosierung bei DFSP</w:t>
      </w:r>
    </w:p>
    <w:p w14:paraId="32A96514" w14:textId="77777777" w:rsidR="0043305B" w:rsidRPr="008A4F40" w:rsidRDefault="0043305B" w:rsidP="004E7659">
      <w:pPr>
        <w:keepNext/>
        <w:rPr>
          <w:color w:val="000000"/>
          <w:sz w:val="22"/>
          <w:szCs w:val="22"/>
          <w:u w:val="single"/>
        </w:rPr>
      </w:pPr>
    </w:p>
    <w:p w14:paraId="77F14F56" w14:textId="77777777" w:rsidR="000742FC" w:rsidRPr="008A4F40" w:rsidRDefault="000742FC" w:rsidP="004E7659">
      <w:pPr>
        <w:rPr>
          <w:color w:val="000000"/>
          <w:sz w:val="22"/>
          <w:szCs w:val="22"/>
        </w:rPr>
      </w:pPr>
      <w:r w:rsidRPr="008A4F40">
        <w:rPr>
          <w:color w:val="000000"/>
          <w:sz w:val="22"/>
          <w:szCs w:val="22"/>
        </w:rPr>
        <w:t xml:space="preserve">Die empfohlene Dosierung von Glivec bei </w:t>
      </w:r>
      <w:r w:rsidR="00330D46" w:rsidRPr="008A4F40">
        <w:rPr>
          <w:color w:val="000000"/>
          <w:sz w:val="22"/>
          <w:szCs w:val="22"/>
        </w:rPr>
        <w:t xml:space="preserve">erwachsenen </w:t>
      </w:r>
      <w:r w:rsidRPr="008A4F40">
        <w:rPr>
          <w:color w:val="000000"/>
          <w:sz w:val="22"/>
          <w:szCs w:val="22"/>
        </w:rPr>
        <w:t>Patienten mit DFSP beträgt 800 mg/Tag.</w:t>
      </w:r>
    </w:p>
    <w:p w14:paraId="7F7D9817" w14:textId="77777777" w:rsidR="000742FC" w:rsidRPr="008A4F40" w:rsidRDefault="000742FC" w:rsidP="004E7659">
      <w:pPr>
        <w:pStyle w:val="Header"/>
        <w:tabs>
          <w:tab w:val="clear" w:pos="4320"/>
          <w:tab w:val="clear" w:pos="8640"/>
        </w:tabs>
        <w:rPr>
          <w:color w:val="000000"/>
          <w:szCs w:val="22"/>
        </w:rPr>
      </w:pPr>
    </w:p>
    <w:p w14:paraId="1040A252" w14:textId="044AEA73" w:rsidR="000742FC" w:rsidRPr="008A4F40" w:rsidRDefault="000742FC" w:rsidP="004E7659">
      <w:pPr>
        <w:keepNext/>
        <w:rPr>
          <w:color w:val="000000"/>
          <w:sz w:val="22"/>
          <w:szCs w:val="22"/>
          <w:u w:val="single"/>
        </w:rPr>
      </w:pPr>
      <w:r w:rsidRPr="008A4F40">
        <w:rPr>
          <w:color w:val="000000"/>
          <w:sz w:val="22"/>
          <w:szCs w:val="22"/>
          <w:u w:val="single"/>
        </w:rPr>
        <w:t>Dosisanpassung auf Grund von Nebenwirkungen</w:t>
      </w:r>
    </w:p>
    <w:p w14:paraId="491102F0" w14:textId="77777777" w:rsidR="0043305B" w:rsidRPr="008A4F40" w:rsidRDefault="0043305B" w:rsidP="004E7659">
      <w:pPr>
        <w:keepNext/>
        <w:rPr>
          <w:color w:val="000000"/>
          <w:sz w:val="22"/>
          <w:szCs w:val="22"/>
        </w:rPr>
      </w:pPr>
    </w:p>
    <w:p w14:paraId="1A9FCFED" w14:textId="786CF413" w:rsidR="000742FC" w:rsidRPr="008A4F40" w:rsidRDefault="000742FC" w:rsidP="004E7659">
      <w:pPr>
        <w:keepNext/>
        <w:ind w:firstLine="6"/>
        <w:rPr>
          <w:i/>
          <w:color w:val="000000"/>
          <w:sz w:val="22"/>
          <w:szCs w:val="22"/>
          <w:u w:val="single"/>
        </w:rPr>
      </w:pPr>
      <w:r w:rsidRPr="008A4F40">
        <w:rPr>
          <w:i/>
          <w:color w:val="000000"/>
          <w:sz w:val="22"/>
          <w:szCs w:val="22"/>
          <w:u w:val="single"/>
        </w:rPr>
        <w:t>Nicht</w:t>
      </w:r>
      <w:r w:rsidR="00B829AA">
        <w:rPr>
          <w:i/>
          <w:color w:val="000000"/>
          <w:sz w:val="22"/>
          <w:szCs w:val="22"/>
          <w:u w:val="single"/>
        </w:rPr>
        <w:t>-</w:t>
      </w:r>
      <w:r w:rsidRPr="008A4F40">
        <w:rPr>
          <w:i/>
          <w:color w:val="000000"/>
          <w:sz w:val="22"/>
          <w:szCs w:val="22"/>
          <w:u w:val="single"/>
        </w:rPr>
        <w:t>hämatologische Nebenwirkungen</w:t>
      </w:r>
    </w:p>
    <w:p w14:paraId="7FF86A0C" w14:textId="77777777" w:rsidR="000742FC" w:rsidRPr="008A4F40" w:rsidRDefault="000742FC" w:rsidP="004E7659">
      <w:pPr>
        <w:ind w:firstLine="3"/>
        <w:rPr>
          <w:color w:val="000000"/>
          <w:sz w:val="22"/>
          <w:szCs w:val="22"/>
        </w:rPr>
      </w:pPr>
      <w:r w:rsidRPr="008A4F40">
        <w:rPr>
          <w:color w:val="000000"/>
          <w:sz w:val="22"/>
          <w:szCs w:val="22"/>
        </w:rPr>
        <w:t>Wenn sich mit Glivec schwere nicht-hämatologische Nebenwirkungen entwickeln, muss die Behandlung so lange unterbrochen werden, bis das Ereignis abgeklungen ist. Danach kann die Behandlung abhängig von der anfänglichen Stärke der Nebenwirkung wieder aufgenommen werden.</w:t>
      </w:r>
    </w:p>
    <w:p w14:paraId="78093BFA" w14:textId="77777777" w:rsidR="000742FC" w:rsidRPr="008A4F40" w:rsidRDefault="000742FC" w:rsidP="004E7659">
      <w:pPr>
        <w:ind w:firstLine="3"/>
        <w:rPr>
          <w:color w:val="000000"/>
          <w:sz w:val="22"/>
          <w:szCs w:val="22"/>
        </w:rPr>
      </w:pPr>
    </w:p>
    <w:p w14:paraId="154EDC23" w14:textId="77777777" w:rsidR="000742FC" w:rsidRPr="008A4F40" w:rsidRDefault="000742FC" w:rsidP="004E7659">
      <w:pPr>
        <w:ind w:firstLine="3"/>
        <w:rPr>
          <w:color w:val="000000"/>
          <w:sz w:val="22"/>
          <w:szCs w:val="22"/>
        </w:rPr>
      </w:pPr>
      <w:r w:rsidRPr="008A4F40">
        <w:rPr>
          <w:color w:val="000000"/>
          <w:sz w:val="22"/>
          <w:szCs w:val="22"/>
        </w:rPr>
        <w:t>Wenn Bilirubinerhöhungen den laborspezifischen oberen Normwert um mehr als das Dreifache oder wenn Erhöhungen der Lebertransaminasen diesen Wert um mehr als das Fünffache überschreiten, muss Glivec solange abgesetzt werden, bis die Bilirubinwerte auf weniger als das 1,5fache und die Transami</w:t>
      </w:r>
      <w:r w:rsidRPr="008A4F40">
        <w:rPr>
          <w:color w:val="000000"/>
          <w:sz w:val="22"/>
          <w:szCs w:val="22"/>
        </w:rPr>
        <w:softHyphen/>
        <w:t>nasenwerte auf weniger als das 2,5fache der laborspezifischen oberen Normwerte zurückgegangen sind. Danach kann die Behandlung mit Glivec mit einer reduzierten täglichen Dosis fortgeführt werden. Bei Erwachsenen sollte die Dosis von 400 mg auf 300 mg bzw. von 600 mg auf 400 mg bzw. von 800 mg auf 600 mg und bei Kindern von 340 auf 260 mg/m</w:t>
      </w:r>
      <w:r w:rsidRPr="008A4F40">
        <w:rPr>
          <w:color w:val="000000"/>
          <w:sz w:val="22"/>
          <w:szCs w:val="22"/>
          <w:vertAlign w:val="superscript"/>
        </w:rPr>
        <w:t>2</w:t>
      </w:r>
      <w:r w:rsidRPr="008A4F40">
        <w:rPr>
          <w:color w:val="000000"/>
          <w:sz w:val="22"/>
          <w:szCs w:val="22"/>
        </w:rPr>
        <w:t>/Tag redu</w:t>
      </w:r>
      <w:del w:id="15" w:author="Author">
        <w:r w:rsidRPr="008A4F40" w:rsidDel="004E7659">
          <w:rPr>
            <w:color w:val="000000"/>
            <w:sz w:val="22"/>
            <w:szCs w:val="22"/>
          </w:rPr>
          <w:softHyphen/>
        </w:r>
      </w:del>
      <w:r w:rsidRPr="008A4F40">
        <w:rPr>
          <w:color w:val="000000"/>
          <w:sz w:val="22"/>
          <w:szCs w:val="22"/>
        </w:rPr>
        <w:t>ziert werden.</w:t>
      </w:r>
    </w:p>
    <w:p w14:paraId="0D5FD700" w14:textId="77777777" w:rsidR="000742FC" w:rsidRPr="008A4F40" w:rsidRDefault="000742FC" w:rsidP="004E7659">
      <w:pPr>
        <w:ind w:firstLine="3"/>
        <w:rPr>
          <w:color w:val="000000"/>
          <w:sz w:val="22"/>
          <w:szCs w:val="22"/>
        </w:rPr>
      </w:pPr>
    </w:p>
    <w:p w14:paraId="30C7DBE4" w14:textId="77777777" w:rsidR="000742FC" w:rsidRPr="008A4F40" w:rsidRDefault="000742FC" w:rsidP="004E7659">
      <w:pPr>
        <w:keepNext/>
        <w:ind w:firstLine="6"/>
        <w:rPr>
          <w:i/>
          <w:color w:val="000000"/>
          <w:sz w:val="22"/>
          <w:szCs w:val="22"/>
          <w:u w:val="single"/>
        </w:rPr>
      </w:pPr>
      <w:r w:rsidRPr="008A4F40">
        <w:rPr>
          <w:i/>
          <w:color w:val="000000"/>
          <w:sz w:val="22"/>
          <w:szCs w:val="22"/>
          <w:u w:val="single"/>
        </w:rPr>
        <w:t>Hämatologische Nebenwirkungen</w:t>
      </w:r>
    </w:p>
    <w:p w14:paraId="7E4B78D7" w14:textId="77777777" w:rsidR="000742FC" w:rsidRPr="008A4F40" w:rsidRDefault="000742FC" w:rsidP="004E7659">
      <w:pPr>
        <w:keepNext/>
        <w:ind w:firstLine="6"/>
        <w:rPr>
          <w:color w:val="000000"/>
          <w:sz w:val="22"/>
          <w:szCs w:val="22"/>
        </w:rPr>
      </w:pPr>
      <w:r w:rsidRPr="008A4F40">
        <w:rPr>
          <w:color w:val="000000"/>
          <w:sz w:val="22"/>
          <w:szCs w:val="22"/>
        </w:rPr>
        <w:t>Bei schwerer Neutropenie und Thrombozytopenie werden eine Dosisreduktion oder eine Unterbrechung der Behandlung entsprechend folgender Tabelle empfohlen:</w:t>
      </w:r>
    </w:p>
    <w:p w14:paraId="3067C718" w14:textId="77777777" w:rsidR="000742FC" w:rsidRPr="008A4F40" w:rsidRDefault="000742FC" w:rsidP="004E7659">
      <w:pPr>
        <w:keepNext/>
        <w:ind w:firstLine="6"/>
        <w:rPr>
          <w:color w:val="000000"/>
          <w:sz w:val="22"/>
          <w:szCs w:val="22"/>
        </w:rPr>
      </w:pPr>
    </w:p>
    <w:p w14:paraId="184DA848" w14:textId="77777777" w:rsidR="000742FC" w:rsidRPr="008A4F40" w:rsidRDefault="000742FC" w:rsidP="004E7659">
      <w:pPr>
        <w:keepNext/>
        <w:ind w:firstLine="6"/>
        <w:rPr>
          <w:color w:val="000000"/>
          <w:sz w:val="22"/>
          <w:szCs w:val="22"/>
        </w:rPr>
      </w:pPr>
      <w:r w:rsidRPr="008A4F40">
        <w:rPr>
          <w:color w:val="000000"/>
          <w:sz w:val="22"/>
          <w:szCs w:val="22"/>
        </w:rPr>
        <w:t>Dosisanpassung bei Neutropenie oder Thrombozytopenie:</w:t>
      </w:r>
    </w:p>
    <w:p w14:paraId="763D8D59" w14:textId="77777777" w:rsidR="000742FC" w:rsidRPr="008A4F40" w:rsidRDefault="000742FC" w:rsidP="004E7659">
      <w:pPr>
        <w:keepNext/>
        <w:ind w:firstLine="6"/>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118"/>
        <w:gridCol w:w="3969"/>
        <w:gridCol w:w="25"/>
      </w:tblGrid>
      <w:tr w:rsidR="000742FC" w:rsidRPr="008A4F40" w14:paraId="458CDC58" w14:textId="77777777" w:rsidTr="00DA7B0B">
        <w:trPr>
          <w:cantSplit/>
        </w:trPr>
        <w:tc>
          <w:tcPr>
            <w:tcW w:w="2093" w:type="dxa"/>
          </w:tcPr>
          <w:p w14:paraId="32647C34" w14:textId="77777777" w:rsidR="000742FC" w:rsidRPr="008A4F40" w:rsidRDefault="000742FC" w:rsidP="004E7659">
            <w:pPr>
              <w:pStyle w:val="Header"/>
              <w:keepNext/>
              <w:tabs>
                <w:tab w:val="clear" w:pos="4320"/>
                <w:tab w:val="clear" w:pos="8640"/>
              </w:tabs>
              <w:rPr>
                <w:color w:val="000000"/>
                <w:szCs w:val="22"/>
              </w:rPr>
            </w:pPr>
            <w:r w:rsidRPr="008A4F40">
              <w:rPr>
                <w:color w:val="000000"/>
                <w:szCs w:val="22"/>
              </w:rPr>
              <w:t>HES/</w:t>
            </w:r>
            <w:smartTag w:uri="urn:schemas-microsoft-com:office:smarttags" w:element="stockticker">
              <w:r w:rsidRPr="008A4F40">
                <w:rPr>
                  <w:color w:val="000000"/>
                  <w:szCs w:val="22"/>
                </w:rPr>
                <w:t>CEL</w:t>
              </w:r>
            </w:smartTag>
            <w:r w:rsidRPr="008A4F40">
              <w:rPr>
                <w:color w:val="000000"/>
                <w:szCs w:val="22"/>
              </w:rPr>
              <w:t xml:space="preserve"> (Startdosis 100 mg)</w:t>
            </w:r>
          </w:p>
        </w:tc>
        <w:tc>
          <w:tcPr>
            <w:tcW w:w="3118" w:type="dxa"/>
          </w:tcPr>
          <w:p w14:paraId="53FDADE2" w14:textId="77777777" w:rsidR="000742FC" w:rsidRPr="008A4F40" w:rsidRDefault="000742FC" w:rsidP="004E7659">
            <w:pPr>
              <w:keepNext/>
              <w:rPr>
                <w:color w:val="000000"/>
                <w:sz w:val="22"/>
                <w:szCs w:val="22"/>
              </w:rPr>
            </w:pPr>
            <w:r w:rsidRPr="008A4F40">
              <w:rPr>
                <w:color w:val="000000"/>
                <w:sz w:val="22"/>
                <w:szCs w:val="22"/>
              </w:rPr>
              <w:t>Absolute Zahl der neutrophilen Leukozyten (ANC) &lt; 1,0 x 10</w:t>
            </w:r>
            <w:r w:rsidRPr="008A4F40">
              <w:rPr>
                <w:color w:val="000000"/>
                <w:sz w:val="22"/>
                <w:szCs w:val="22"/>
                <w:vertAlign w:val="superscript"/>
              </w:rPr>
              <w:t>9</w:t>
            </w:r>
            <w:r w:rsidRPr="008A4F40">
              <w:rPr>
                <w:color w:val="000000"/>
                <w:sz w:val="22"/>
                <w:szCs w:val="22"/>
              </w:rPr>
              <w:t>/l und / oder</w:t>
            </w:r>
          </w:p>
          <w:p w14:paraId="46048C85" w14:textId="77777777" w:rsidR="000742FC" w:rsidRPr="008A4F40" w:rsidRDefault="000742FC" w:rsidP="004E7659">
            <w:pPr>
              <w:keepNext/>
              <w:rPr>
                <w:color w:val="000000"/>
                <w:sz w:val="22"/>
                <w:szCs w:val="22"/>
              </w:rPr>
            </w:pPr>
            <w:r w:rsidRPr="008A4F40">
              <w:rPr>
                <w:color w:val="000000"/>
                <w:sz w:val="22"/>
                <w:szCs w:val="22"/>
              </w:rPr>
              <w:t>Thrombozyten &lt; 50 x 10</w:t>
            </w:r>
            <w:r w:rsidRPr="008A4F40">
              <w:rPr>
                <w:color w:val="000000"/>
                <w:sz w:val="22"/>
                <w:szCs w:val="22"/>
                <w:vertAlign w:val="superscript"/>
              </w:rPr>
              <w:t>9</w:t>
            </w:r>
            <w:r w:rsidRPr="008A4F40">
              <w:rPr>
                <w:color w:val="000000"/>
                <w:sz w:val="22"/>
                <w:szCs w:val="22"/>
              </w:rPr>
              <w:t>/l</w:t>
            </w:r>
          </w:p>
        </w:tc>
        <w:tc>
          <w:tcPr>
            <w:tcW w:w="3994" w:type="dxa"/>
            <w:gridSpan w:val="2"/>
          </w:tcPr>
          <w:p w14:paraId="378FA6DB" w14:textId="77777777" w:rsidR="000742FC" w:rsidRPr="008A4F40" w:rsidRDefault="000742FC" w:rsidP="004E7659">
            <w:pPr>
              <w:keepNext/>
              <w:ind w:left="361" w:hanging="361"/>
              <w:rPr>
                <w:color w:val="000000"/>
                <w:sz w:val="22"/>
                <w:szCs w:val="22"/>
              </w:rPr>
            </w:pPr>
            <w:r w:rsidRPr="008A4F40">
              <w:rPr>
                <w:color w:val="000000"/>
                <w:sz w:val="22"/>
                <w:szCs w:val="22"/>
              </w:rPr>
              <w:t>1.</w:t>
            </w:r>
            <w:r w:rsidRPr="008A4F40">
              <w:rPr>
                <w:color w:val="000000"/>
                <w:sz w:val="22"/>
                <w:szCs w:val="22"/>
              </w:rPr>
              <w:tab/>
              <w:t>Stopp der Behandlung mit Glivec bis ANC ≥ 1,5 x 10</w:t>
            </w:r>
            <w:r w:rsidRPr="008A4F40">
              <w:rPr>
                <w:color w:val="000000"/>
                <w:sz w:val="22"/>
                <w:szCs w:val="22"/>
                <w:vertAlign w:val="superscript"/>
              </w:rPr>
              <w:t>9</w:t>
            </w:r>
            <w:r w:rsidRPr="008A4F40">
              <w:rPr>
                <w:color w:val="000000"/>
                <w:sz w:val="22"/>
                <w:szCs w:val="22"/>
              </w:rPr>
              <w:t>/l und Thrombozyten ≥ 75 x 10</w:t>
            </w:r>
            <w:r w:rsidRPr="008A4F40">
              <w:rPr>
                <w:color w:val="000000"/>
                <w:sz w:val="22"/>
                <w:szCs w:val="22"/>
                <w:vertAlign w:val="superscript"/>
              </w:rPr>
              <w:t>9</w:t>
            </w:r>
            <w:r w:rsidRPr="008A4F40">
              <w:rPr>
                <w:color w:val="000000"/>
                <w:sz w:val="22"/>
                <w:szCs w:val="22"/>
              </w:rPr>
              <w:t>/l.</w:t>
            </w:r>
          </w:p>
          <w:p w14:paraId="1D00DF8D" w14:textId="77777777" w:rsidR="000742FC" w:rsidRPr="008A4F40" w:rsidRDefault="000742FC" w:rsidP="004E7659">
            <w:pPr>
              <w:keepNext/>
              <w:ind w:left="361" w:hanging="361"/>
              <w:rPr>
                <w:color w:val="000000"/>
                <w:sz w:val="22"/>
                <w:szCs w:val="22"/>
              </w:rPr>
            </w:pPr>
            <w:r w:rsidRPr="008A4F40">
              <w:rPr>
                <w:color w:val="000000"/>
                <w:sz w:val="22"/>
                <w:szCs w:val="22"/>
              </w:rPr>
              <w:t>2.</w:t>
            </w:r>
            <w:r w:rsidRPr="008A4F40">
              <w:rPr>
                <w:color w:val="000000"/>
                <w:sz w:val="22"/>
                <w:szCs w:val="22"/>
              </w:rPr>
              <w:tab/>
              <w:t>Wiederaufnahme der Behandlung mit Glivec in der vorherigen Dosierung (d. h. vor dem Auftreten der schweren Nebenwirkung).</w:t>
            </w:r>
          </w:p>
        </w:tc>
      </w:tr>
      <w:tr w:rsidR="000742FC" w:rsidRPr="008A4F40" w14:paraId="12581B78" w14:textId="77777777" w:rsidTr="00DA7B0B">
        <w:trPr>
          <w:cantSplit/>
        </w:trPr>
        <w:tc>
          <w:tcPr>
            <w:tcW w:w="2093" w:type="dxa"/>
          </w:tcPr>
          <w:p w14:paraId="47EDF7AE"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CML in der chroni</w:t>
            </w:r>
            <w:r w:rsidRPr="008A4F40">
              <w:rPr>
                <w:color w:val="000000"/>
                <w:szCs w:val="22"/>
              </w:rPr>
              <w:softHyphen/>
              <w:t xml:space="preserve">schen Phase, </w:t>
            </w:r>
            <w:smartTag w:uri="urn:schemas-microsoft-com:office:smarttags" w:element="stockticker">
              <w:r w:rsidRPr="008A4F40">
                <w:rPr>
                  <w:color w:val="000000"/>
                  <w:szCs w:val="22"/>
                </w:rPr>
                <w:t>MDS</w:t>
              </w:r>
            </w:smartTag>
            <w:r w:rsidRPr="008A4F40">
              <w:rPr>
                <w:color w:val="000000"/>
                <w:szCs w:val="22"/>
              </w:rPr>
              <w:t>/MPD und GIST (Startdosis 400 mg)</w:t>
            </w:r>
          </w:p>
          <w:p w14:paraId="0F43B4A4"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HES/</w:t>
            </w:r>
            <w:smartTag w:uri="urn:schemas-microsoft-com:office:smarttags" w:element="stockticker">
              <w:r w:rsidRPr="008A4F40">
                <w:rPr>
                  <w:color w:val="000000"/>
                  <w:szCs w:val="22"/>
                </w:rPr>
                <w:t>CEL</w:t>
              </w:r>
            </w:smartTag>
            <w:r w:rsidRPr="008A4F40">
              <w:rPr>
                <w:color w:val="000000"/>
                <w:szCs w:val="22"/>
              </w:rPr>
              <w:t xml:space="preserve"> (bei einer Dosis von 400 mg)</w:t>
            </w:r>
          </w:p>
        </w:tc>
        <w:tc>
          <w:tcPr>
            <w:tcW w:w="3118" w:type="dxa"/>
          </w:tcPr>
          <w:p w14:paraId="3375B6AB" w14:textId="77777777" w:rsidR="000742FC" w:rsidRPr="008A4F40" w:rsidRDefault="000742FC" w:rsidP="004E7659">
            <w:pPr>
              <w:rPr>
                <w:color w:val="000000"/>
                <w:sz w:val="22"/>
                <w:szCs w:val="22"/>
              </w:rPr>
            </w:pPr>
            <w:r w:rsidRPr="008A4F40">
              <w:rPr>
                <w:color w:val="000000"/>
                <w:sz w:val="22"/>
                <w:szCs w:val="22"/>
              </w:rPr>
              <w:t>Absolute Zahl der neutrophilen Leukozyten (ANC) &lt; 1,0 x 10</w:t>
            </w:r>
            <w:r w:rsidRPr="008A4F40">
              <w:rPr>
                <w:color w:val="000000"/>
                <w:sz w:val="22"/>
                <w:szCs w:val="22"/>
                <w:vertAlign w:val="superscript"/>
              </w:rPr>
              <w:t>9</w:t>
            </w:r>
            <w:r w:rsidRPr="008A4F40">
              <w:rPr>
                <w:color w:val="000000"/>
                <w:sz w:val="22"/>
                <w:szCs w:val="22"/>
              </w:rPr>
              <w:t>/l und / oder</w:t>
            </w:r>
          </w:p>
          <w:p w14:paraId="45ED95B6" w14:textId="77777777" w:rsidR="000742FC" w:rsidRPr="008A4F40" w:rsidRDefault="000742FC" w:rsidP="004E7659">
            <w:pPr>
              <w:rPr>
                <w:color w:val="000000"/>
                <w:sz w:val="22"/>
                <w:szCs w:val="22"/>
              </w:rPr>
            </w:pPr>
            <w:r w:rsidRPr="008A4F40">
              <w:rPr>
                <w:color w:val="000000"/>
                <w:sz w:val="22"/>
                <w:szCs w:val="22"/>
              </w:rPr>
              <w:t>Thrombozyten &lt; 50 x 10</w:t>
            </w:r>
            <w:r w:rsidRPr="008A4F40">
              <w:rPr>
                <w:color w:val="000000"/>
                <w:sz w:val="22"/>
                <w:szCs w:val="22"/>
                <w:vertAlign w:val="superscript"/>
              </w:rPr>
              <w:t>9</w:t>
            </w:r>
            <w:r w:rsidRPr="008A4F40">
              <w:rPr>
                <w:color w:val="000000"/>
                <w:sz w:val="22"/>
                <w:szCs w:val="22"/>
              </w:rPr>
              <w:t>/l</w:t>
            </w:r>
          </w:p>
        </w:tc>
        <w:tc>
          <w:tcPr>
            <w:tcW w:w="3994" w:type="dxa"/>
            <w:gridSpan w:val="2"/>
          </w:tcPr>
          <w:p w14:paraId="46954DEB" w14:textId="77777777" w:rsidR="000742FC" w:rsidRPr="008A4F40" w:rsidRDefault="00964770" w:rsidP="004E7659">
            <w:pPr>
              <w:ind w:left="361" w:hanging="361"/>
              <w:rPr>
                <w:color w:val="000000"/>
                <w:sz w:val="22"/>
                <w:szCs w:val="22"/>
              </w:rPr>
            </w:pPr>
            <w:r w:rsidRPr="008A4F40">
              <w:rPr>
                <w:color w:val="000000"/>
                <w:sz w:val="22"/>
                <w:szCs w:val="22"/>
              </w:rPr>
              <w:t>1</w:t>
            </w:r>
            <w:r w:rsidR="000742FC" w:rsidRPr="008A4F40">
              <w:rPr>
                <w:color w:val="000000"/>
                <w:sz w:val="22"/>
                <w:szCs w:val="22"/>
              </w:rPr>
              <w:t>.</w:t>
            </w:r>
            <w:r w:rsidR="000742FC" w:rsidRPr="008A4F40">
              <w:rPr>
                <w:color w:val="000000"/>
                <w:sz w:val="22"/>
                <w:szCs w:val="22"/>
              </w:rPr>
              <w:tab/>
              <w:t>Stopp der Behandlung mit Glivec bis ANC ≥ 1,5 x 10</w:t>
            </w:r>
            <w:r w:rsidR="000742FC" w:rsidRPr="008A4F40">
              <w:rPr>
                <w:color w:val="000000"/>
                <w:sz w:val="22"/>
                <w:szCs w:val="22"/>
                <w:vertAlign w:val="superscript"/>
              </w:rPr>
              <w:t>9</w:t>
            </w:r>
            <w:r w:rsidR="000742FC" w:rsidRPr="008A4F40">
              <w:rPr>
                <w:color w:val="000000"/>
                <w:sz w:val="22"/>
                <w:szCs w:val="22"/>
              </w:rPr>
              <w:t>/l und Thrombozyten ≥ 75 x 10</w:t>
            </w:r>
            <w:r w:rsidR="000742FC" w:rsidRPr="008A4F40">
              <w:rPr>
                <w:color w:val="000000"/>
                <w:sz w:val="22"/>
                <w:szCs w:val="22"/>
                <w:vertAlign w:val="superscript"/>
              </w:rPr>
              <w:t>9</w:t>
            </w:r>
            <w:r w:rsidR="000742FC" w:rsidRPr="008A4F40">
              <w:rPr>
                <w:color w:val="000000"/>
                <w:sz w:val="22"/>
                <w:szCs w:val="22"/>
              </w:rPr>
              <w:t>/l.</w:t>
            </w:r>
          </w:p>
          <w:p w14:paraId="68DB124D" w14:textId="77777777" w:rsidR="000742FC" w:rsidRPr="008A4F40" w:rsidRDefault="00964770" w:rsidP="004E7659">
            <w:pPr>
              <w:ind w:left="361" w:hanging="361"/>
              <w:rPr>
                <w:color w:val="000000"/>
                <w:sz w:val="22"/>
                <w:szCs w:val="22"/>
              </w:rPr>
            </w:pPr>
            <w:r w:rsidRPr="008A4F40">
              <w:rPr>
                <w:color w:val="000000"/>
                <w:sz w:val="22"/>
                <w:szCs w:val="22"/>
              </w:rPr>
              <w:t>2</w:t>
            </w:r>
            <w:r w:rsidR="000742FC" w:rsidRPr="008A4F40">
              <w:rPr>
                <w:color w:val="000000"/>
                <w:sz w:val="22"/>
                <w:szCs w:val="22"/>
              </w:rPr>
              <w:t>.</w:t>
            </w:r>
            <w:r w:rsidR="000742FC" w:rsidRPr="008A4F40">
              <w:rPr>
                <w:color w:val="000000"/>
                <w:sz w:val="22"/>
                <w:szCs w:val="22"/>
              </w:rPr>
              <w:tab/>
              <w:t>Wiederaufnahme der Behandlung mit Glivec in der vorherigen Dosierung (d. h. vor dem Auftreten der schweren Nebenwirkung).</w:t>
            </w:r>
          </w:p>
          <w:p w14:paraId="3759FD53" w14:textId="77777777" w:rsidR="000742FC" w:rsidRPr="008A4F40" w:rsidRDefault="00964770" w:rsidP="004E7659">
            <w:pPr>
              <w:ind w:left="361" w:hanging="361"/>
              <w:rPr>
                <w:color w:val="000000"/>
                <w:sz w:val="22"/>
                <w:szCs w:val="22"/>
              </w:rPr>
            </w:pPr>
            <w:r w:rsidRPr="008A4F40">
              <w:rPr>
                <w:color w:val="000000"/>
                <w:sz w:val="22"/>
                <w:szCs w:val="22"/>
              </w:rPr>
              <w:t>3</w:t>
            </w:r>
            <w:r w:rsidR="000742FC" w:rsidRPr="008A4F40">
              <w:rPr>
                <w:color w:val="000000"/>
                <w:sz w:val="22"/>
                <w:szCs w:val="22"/>
              </w:rPr>
              <w:t>.</w:t>
            </w:r>
            <w:r w:rsidR="000742FC" w:rsidRPr="008A4F40">
              <w:rPr>
                <w:color w:val="000000"/>
                <w:sz w:val="22"/>
                <w:szCs w:val="22"/>
              </w:rPr>
              <w:tab/>
              <w:t>Bei Wiederauftreten von ANC &lt; 1,0 x 10</w:t>
            </w:r>
            <w:r w:rsidR="000742FC" w:rsidRPr="008A4F40">
              <w:rPr>
                <w:color w:val="000000"/>
                <w:sz w:val="22"/>
                <w:szCs w:val="22"/>
                <w:vertAlign w:val="superscript"/>
              </w:rPr>
              <w:t>9</w:t>
            </w:r>
            <w:r w:rsidR="000742FC" w:rsidRPr="008A4F40">
              <w:rPr>
                <w:color w:val="000000"/>
                <w:sz w:val="22"/>
                <w:szCs w:val="22"/>
              </w:rPr>
              <w:t>/l und / oder Thrombozyten &lt; 50 x 10</w:t>
            </w:r>
            <w:r w:rsidR="000742FC" w:rsidRPr="008A4F40">
              <w:rPr>
                <w:color w:val="000000"/>
                <w:sz w:val="22"/>
                <w:szCs w:val="22"/>
                <w:vertAlign w:val="superscript"/>
              </w:rPr>
              <w:t>9</w:t>
            </w:r>
            <w:r w:rsidR="000742FC" w:rsidRPr="008A4F40">
              <w:rPr>
                <w:color w:val="000000"/>
                <w:sz w:val="22"/>
                <w:szCs w:val="22"/>
              </w:rPr>
              <w:t>/l Schritt 1 wiederholen und die Be</w:t>
            </w:r>
            <w:del w:id="16" w:author="Author">
              <w:r w:rsidR="000742FC" w:rsidRPr="008A4F40" w:rsidDel="004E7659">
                <w:rPr>
                  <w:color w:val="000000"/>
                  <w:sz w:val="22"/>
                  <w:szCs w:val="22"/>
                </w:rPr>
                <w:softHyphen/>
              </w:r>
            </w:del>
            <w:r w:rsidR="000742FC" w:rsidRPr="008A4F40">
              <w:rPr>
                <w:color w:val="000000"/>
                <w:sz w:val="22"/>
                <w:szCs w:val="22"/>
              </w:rPr>
              <w:t>handlung mit der reduzierten Dosis von 300 mg Glivec wieder aufnehmen.</w:t>
            </w:r>
          </w:p>
        </w:tc>
      </w:tr>
      <w:tr w:rsidR="000742FC" w:rsidRPr="008A4F40" w14:paraId="003199DB" w14:textId="77777777" w:rsidTr="00DA7B0B">
        <w:trPr>
          <w:gridAfter w:val="1"/>
          <w:wAfter w:w="25" w:type="dxa"/>
          <w:cantSplit/>
        </w:trPr>
        <w:tc>
          <w:tcPr>
            <w:tcW w:w="2093" w:type="dxa"/>
          </w:tcPr>
          <w:p w14:paraId="5922748D"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CML in der chronischen Phase bei Kindern (bei Dosen von 340 mg/m</w:t>
            </w:r>
            <w:r w:rsidRPr="008A4F40">
              <w:rPr>
                <w:color w:val="000000"/>
                <w:szCs w:val="22"/>
                <w:vertAlign w:val="superscript"/>
              </w:rPr>
              <w:t>2</w:t>
            </w:r>
            <w:r w:rsidRPr="008A4F40">
              <w:rPr>
                <w:color w:val="000000"/>
                <w:szCs w:val="22"/>
              </w:rPr>
              <w:t>)</w:t>
            </w:r>
          </w:p>
        </w:tc>
        <w:tc>
          <w:tcPr>
            <w:tcW w:w="3118" w:type="dxa"/>
          </w:tcPr>
          <w:p w14:paraId="19DE3AA3"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ANC &lt; 1,0 x 10</w:t>
            </w:r>
            <w:r w:rsidRPr="008A4F40">
              <w:rPr>
                <w:color w:val="000000"/>
                <w:szCs w:val="22"/>
                <w:vertAlign w:val="superscript"/>
              </w:rPr>
              <w:t>9</w:t>
            </w:r>
            <w:r w:rsidRPr="008A4F40">
              <w:rPr>
                <w:color w:val="000000"/>
                <w:szCs w:val="22"/>
              </w:rPr>
              <w:t>/l</w:t>
            </w:r>
          </w:p>
          <w:p w14:paraId="7D7C4AE4"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und / oder</w:t>
            </w:r>
          </w:p>
          <w:p w14:paraId="2451F834"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Thrombozyten &lt; 50 x 10</w:t>
            </w:r>
            <w:r w:rsidRPr="008A4F40">
              <w:rPr>
                <w:color w:val="000000"/>
                <w:szCs w:val="22"/>
                <w:vertAlign w:val="superscript"/>
              </w:rPr>
              <w:t>9</w:t>
            </w:r>
            <w:r w:rsidRPr="008A4F40">
              <w:rPr>
                <w:color w:val="000000"/>
                <w:szCs w:val="22"/>
              </w:rPr>
              <w:t>/l</w:t>
            </w:r>
          </w:p>
        </w:tc>
        <w:tc>
          <w:tcPr>
            <w:tcW w:w="3969" w:type="dxa"/>
          </w:tcPr>
          <w:p w14:paraId="77ABA19A" w14:textId="77777777" w:rsidR="000742FC" w:rsidRPr="008A4F40" w:rsidRDefault="000742FC" w:rsidP="004E7659">
            <w:pPr>
              <w:ind w:left="361" w:hanging="361"/>
              <w:rPr>
                <w:color w:val="000000"/>
                <w:sz w:val="22"/>
                <w:szCs w:val="22"/>
              </w:rPr>
            </w:pPr>
            <w:r w:rsidRPr="008A4F40">
              <w:rPr>
                <w:color w:val="000000"/>
                <w:sz w:val="22"/>
                <w:szCs w:val="22"/>
              </w:rPr>
              <w:t>1.</w:t>
            </w:r>
            <w:r w:rsidRPr="008A4F40">
              <w:rPr>
                <w:color w:val="000000"/>
                <w:sz w:val="22"/>
                <w:szCs w:val="22"/>
              </w:rPr>
              <w:tab/>
              <w:t>Stopp der Behandlung mit Glivec bis ANC ≥ 1,5 x 10</w:t>
            </w:r>
            <w:r w:rsidRPr="008A4F40">
              <w:rPr>
                <w:color w:val="000000"/>
                <w:sz w:val="22"/>
                <w:szCs w:val="22"/>
                <w:vertAlign w:val="superscript"/>
              </w:rPr>
              <w:t>9</w:t>
            </w:r>
            <w:r w:rsidRPr="008A4F40">
              <w:rPr>
                <w:color w:val="000000"/>
                <w:sz w:val="22"/>
                <w:szCs w:val="22"/>
              </w:rPr>
              <w:t>/l und Thrombozyten ≥ 75 x 10</w:t>
            </w:r>
            <w:r w:rsidRPr="008A4F40">
              <w:rPr>
                <w:color w:val="000000"/>
                <w:sz w:val="22"/>
                <w:szCs w:val="22"/>
                <w:vertAlign w:val="superscript"/>
              </w:rPr>
              <w:t>9</w:t>
            </w:r>
            <w:r w:rsidRPr="008A4F40">
              <w:rPr>
                <w:color w:val="000000"/>
                <w:sz w:val="22"/>
                <w:szCs w:val="22"/>
              </w:rPr>
              <w:t>/l.</w:t>
            </w:r>
          </w:p>
          <w:p w14:paraId="0E63926D" w14:textId="77777777" w:rsidR="000742FC" w:rsidRPr="008A4F40" w:rsidRDefault="000742FC" w:rsidP="004E7659">
            <w:pPr>
              <w:ind w:left="361" w:hanging="361"/>
              <w:rPr>
                <w:color w:val="000000"/>
                <w:sz w:val="22"/>
                <w:szCs w:val="22"/>
              </w:rPr>
            </w:pPr>
            <w:r w:rsidRPr="008A4F40">
              <w:rPr>
                <w:color w:val="000000"/>
                <w:sz w:val="22"/>
                <w:szCs w:val="22"/>
              </w:rPr>
              <w:t>2.</w:t>
            </w:r>
            <w:r w:rsidRPr="008A4F40">
              <w:rPr>
                <w:color w:val="000000"/>
                <w:sz w:val="22"/>
                <w:szCs w:val="22"/>
              </w:rPr>
              <w:tab/>
              <w:t>Wiederaufnahme der Behandlung mit Glivec in der vorherigen Dosierung (d. h. vor dem Auftreten der schweren Nebenwirkung).</w:t>
            </w:r>
          </w:p>
          <w:p w14:paraId="1CF50E48" w14:textId="77777777" w:rsidR="000742FC" w:rsidRPr="008A4F40" w:rsidRDefault="000742FC" w:rsidP="004E7659">
            <w:pPr>
              <w:ind w:left="361" w:hanging="361"/>
              <w:rPr>
                <w:color w:val="000000"/>
                <w:sz w:val="22"/>
                <w:szCs w:val="22"/>
              </w:rPr>
            </w:pPr>
            <w:r w:rsidRPr="008A4F40">
              <w:rPr>
                <w:color w:val="000000"/>
                <w:sz w:val="22"/>
                <w:szCs w:val="22"/>
              </w:rPr>
              <w:t>3.</w:t>
            </w:r>
            <w:r w:rsidRPr="008A4F40">
              <w:rPr>
                <w:color w:val="000000"/>
                <w:sz w:val="22"/>
                <w:szCs w:val="22"/>
              </w:rPr>
              <w:tab/>
              <w:t>Bei Wiederauftreten von ANC &lt; 1,0 x 10</w:t>
            </w:r>
            <w:r w:rsidRPr="008A4F40">
              <w:rPr>
                <w:color w:val="000000"/>
                <w:sz w:val="22"/>
                <w:szCs w:val="22"/>
                <w:vertAlign w:val="superscript"/>
              </w:rPr>
              <w:t>9</w:t>
            </w:r>
            <w:r w:rsidRPr="008A4F40">
              <w:rPr>
                <w:color w:val="000000"/>
                <w:sz w:val="22"/>
                <w:szCs w:val="22"/>
              </w:rPr>
              <w:t>/l und / oder Thrombozyten &lt; 50 x 10</w:t>
            </w:r>
            <w:r w:rsidRPr="008A4F40">
              <w:rPr>
                <w:color w:val="000000"/>
                <w:sz w:val="22"/>
                <w:szCs w:val="22"/>
                <w:vertAlign w:val="superscript"/>
              </w:rPr>
              <w:t>9</w:t>
            </w:r>
            <w:r w:rsidRPr="008A4F40">
              <w:rPr>
                <w:color w:val="000000"/>
                <w:sz w:val="22"/>
                <w:szCs w:val="22"/>
              </w:rPr>
              <w:t>/l Schritt 1 wiederholen und die Be</w:t>
            </w:r>
            <w:del w:id="17" w:author="Author">
              <w:r w:rsidRPr="008A4F40" w:rsidDel="004E7659">
                <w:rPr>
                  <w:color w:val="000000"/>
                  <w:sz w:val="22"/>
                  <w:szCs w:val="22"/>
                </w:rPr>
                <w:softHyphen/>
              </w:r>
            </w:del>
            <w:r w:rsidRPr="008A4F40">
              <w:rPr>
                <w:color w:val="000000"/>
                <w:sz w:val="22"/>
                <w:szCs w:val="22"/>
              </w:rPr>
              <w:t>handlung mit der reduzierten Dosis von 260 mg/m</w:t>
            </w:r>
            <w:r w:rsidRPr="008A4F40">
              <w:rPr>
                <w:color w:val="000000"/>
                <w:sz w:val="22"/>
                <w:szCs w:val="22"/>
                <w:vertAlign w:val="superscript"/>
              </w:rPr>
              <w:t>2</w:t>
            </w:r>
            <w:r w:rsidRPr="008A4F40">
              <w:rPr>
                <w:color w:val="000000"/>
                <w:sz w:val="22"/>
                <w:szCs w:val="22"/>
              </w:rPr>
              <w:t xml:space="preserve"> Glivec wieder aufnehmen.</w:t>
            </w:r>
          </w:p>
        </w:tc>
      </w:tr>
      <w:tr w:rsidR="000742FC" w:rsidRPr="008A4F40" w14:paraId="263F9FEC" w14:textId="77777777" w:rsidTr="00DA7B0B">
        <w:trPr>
          <w:cantSplit/>
        </w:trPr>
        <w:tc>
          <w:tcPr>
            <w:tcW w:w="2093" w:type="dxa"/>
          </w:tcPr>
          <w:p w14:paraId="09E814CB"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CML in der akzele</w:t>
            </w:r>
            <w:r w:rsidRPr="008A4F40">
              <w:rPr>
                <w:color w:val="000000"/>
                <w:szCs w:val="22"/>
              </w:rPr>
              <w:softHyphen/>
              <w:t>rierten Phase und in der Blastenkrise und Ph+ </w:t>
            </w:r>
            <w:smartTag w:uri="urn:schemas-microsoft-com:office:smarttags" w:element="stockticker">
              <w:r w:rsidRPr="008A4F40">
                <w:rPr>
                  <w:color w:val="000000"/>
                  <w:szCs w:val="22"/>
                </w:rPr>
                <w:t>ALL</w:t>
              </w:r>
            </w:smartTag>
            <w:r w:rsidRPr="008A4F40">
              <w:rPr>
                <w:color w:val="000000"/>
                <w:szCs w:val="22"/>
              </w:rPr>
              <w:t xml:space="preserve"> (Startdosis 600 mg)</w:t>
            </w:r>
          </w:p>
        </w:tc>
        <w:tc>
          <w:tcPr>
            <w:tcW w:w="3118" w:type="dxa"/>
          </w:tcPr>
          <w:p w14:paraId="277265FF" w14:textId="77777777" w:rsidR="000742FC" w:rsidRPr="008A4F40" w:rsidRDefault="003D30FF" w:rsidP="004E7659">
            <w:pPr>
              <w:pStyle w:val="Header"/>
              <w:tabs>
                <w:tab w:val="clear" w:pos="4320"/>
                <w:tab w:val="clear" w:pos="8640"/>
              </w:tabs>
              <w:rPr>
                <w:color w:val="000000"/>
                <w:szCs w:val="22"/>
              </w:rPr>
            </w:pPr>
            <w:r w:rsidRPr="008A4F40">
              <w:rPr>
                <w:color w:val="000000"/>
                <w:szCs w:val="22"/>
                <w:vertAlign w:val="superscript"/>
              </w:rPr>
              <w:t>a</w:t>
            </w:r>
            <w:r w:rsidR="000742FC" w:rsidRPr="008A4F40">
              <w:rPr>
                <w:color w:val="000000"/>
                <w:szCs w:val="22"/>
              </w:rPr>
              <w:t>ANC &lt; 0,5 x 10</w:t>
            </w:r>
            <w:r w:rsidR="000742FC" w:rsidRPr="008A4F40">
              <w:rPr>
                <w:color w:val="000000"/>
                <w:szCs w:val="22"/>
                <w:vertAlign w:val="superscript"/>
              </w:rPr>
              <w:t>9</w:t>
            </w:r>
            <w:r w:rsidR="000742FC" w:rsidRPr="008A4F40">
              <w:rPr>
                <w:color w:val="000000"/>
                <w:szCs w:val="22"/>
              </w:rPr>
              <w:t>/l</w:t>
            </w:r>
          </w:p>
          <w:p w14:paraId="6ABFBCF8" w14:textId="77777777" w:rsidR="000742FC" w:rsidRPr="008A4F40" w:rsidRDefault="000742FC" w:rsidP="004E7659">
            <w:pPr>
              <w:rPr>
                <w:color w:val="000000"/>
                <w:sz w:val="22"/>
                <w:szCs w:val="22"/>
              </w:rPr>
            </w:pPr>
            <w:r w:rsidRPr="008A4F40">
              <w:rPr>
                <w:color w:val="000000"/>
                <w:sz w:val="22"/>
                <w:szCs w:val="22"/>
              </w:rPr>
              <w:t>und / oder</w:t>
            </w:r>
          </w:p>
          <w:p w14:paraId="58C162C7" w14:textId="77777777" w:rsidR="000742FC" w:rsidRPr="008A4F40" w:rsidRDefault="000742FC" w:rsidP="004E7659">
            <w:pPr>
              <w:pStyle w:val="Header"/>
              <w:tabs>
                <w:tab w:val="clear" w:pos="4320"/>
                <w:tab w:val="clear" w:pos="8640"/>
              </w:tabs>
              <w:rPr>
                <w:color w:val="000000"/>
                <w:szCs w:val="22"/>
              </w:rPr>
            </w:pPr>
            <w:r w:rsidRPr="008A4F40">
              <w:rPr>
                <w:color w:val="000000"/>
                <w:szCs w:val="22"/>
              </w:rPr>
              <w:t>Thrombozyten &lt; 10 x 10</w:t>
            </w:r>
            <w:r w:rsidRPr="008A4F40">
              <w:rPr>
                <w:color w:val="000000"/>
                <w:szCs w:val="22"/>
                <w:vertAlign w:val="superscript"/>
              </w:rPr>
              <w:t>9</w:t>
            </w:r>
            <w:r w:rsidRPr="008A4F40">
              <w:rPr>
                <w:color w:val="000000"/>
                <w:szCs w:val="22"/>
              </w:rPr>
              <w:t>/l</w:t>
            </w:r>
          </w:p>
        </w:tc>
        <w:tc>
          <w:tcPr>
            <w:tcW w:w="3994" w:type="dxa"/>
            <w:gridSpan w:val="2"/>
          </w:tcPr>
          <w:p w14:paraId="0DF74503" w14:textId="0A90FB83" w:rsidR="000742FC" w:rsidRPr="008A4F40" w:rsidRDefault="000742FC" w:rsidP="004E7659">
            <w:pPr>
              <w:ind w:left="361" w:hanging="361"/>
              <w:rPr>
                <w:color w:val="000000"/>
                <w:sz w:val="22"/>
                <w:szCs w:val="22"/>
              </w:rPr>
            </w:pPr>
            <w:r w:rsidRPr="008A4F40">
              <w:rPr>
                <w:color w:val="000000"/>
                <w:sz w:val="22"/>
                <w:szCs w:val="22"/>
              </w:rPr>
              <w:t>1.</w:t>
            </w:r>
            <w:r w:rsidRPr="008A4F40">
              <w:rPr>
                <w:color w:val="000000"/>
                <w:sz w:val="22"/>
                <w:szCs w:val="22"/>
              </w:rPr>
              <w:tab/>
              <w:t>Überprüfung, ob die Zytopenie im Zu</w:t>
            </w:r>
            <w:r w:rsidRPr="008A4F40">
              <w:rPr>
                <w:color w:val="000000"/>
                <w:sz w:val="22"/>
                <w:szCs w:val="22"/>
              </w:rPr>
              <w:softHyphen/>
              <w:t>sammenhang mit der Leukämie steht (Knochenmarkaspiration oder Bi</w:t>
            </w:r>
            <w:r w:rsidRPr="008A4F40">
              <w:rPr>
                <w:color w:val="000000"/>
                <w:sz w:val="22"/>
                <w:szCs w:val="22"/>
              </w:rPr>
              <w:softHyphen/>
              <w:t>opsie).</w:t>
            </w:r>
          </w:p>
          <w:p w14:paraId="621F39F6" w14:textId="77777777" w:rsidR="000742FC" w:rsidRPr="008A4F40" w:rsidRDefault="000742FC" w:rsidP="004E7659">
            <w:pPr>
              <w:ind w:left="361" w:hanging="361"/>
              <w:rPr>
                <w:color w:val="000000"/>
                <w:sz w:val="22"/>
                <w:szCs w:val="22"/>
              </w:rPr>
            </w:pPr>
            <w:r w:rsidRPr="008A4F40">
              <w:rPr>
                <w:color w:val="000000"/>
                <w:sz w:val="22"/>
                <w:szCs w:val="22"/>
              </w:rPr>
              <w:t>2.</w:t>
            </w:r>
            <w:r w:rsidRPr="008A4F40">
              <w:rPr>
                <w:color w:val="000000"/>
                <w:sz w:val="22"/>
                <w:szCs w:val="22"/>
              </w:rPr>
              <w:tab/>
              <w:t>Wenn kein Zusammenhang zwischen Zytopenie und Leukämie besteht, Re</w:t>
            </w:r>
            <w:r w:rsidRPr="008A4F40">
              <w:rPr>
                <w:color w:val="000000"/>
                <w:sz w:val="22"/>
                <w:szCs w:val="22"/>
              </w:rPr>
              <w:softHyphen/>
              <w:t>duktion der Glivec Dosis auf 400 mg.</w:t>
            </w:r>
          </w:p>
          <w:p w14:paraId="62FF8335" w14:textId="77777777" w:rsidR="000742FC" w:rsidRPr="008A4F40" w:rsidRDefault="000742FC" w:rsidP="004E7659">
            <w:pPr>
              <w:pStyle w:val="BodyText3"/>
              <w:ind w:left="361" w:hanging="361"/>
              <w:rPr>
                <w:color w:val="000000"/>
                <w:szCs w:val="22"/>
              </w:rPr>
            </w:pPr>
            <w:r w:rsidRPr="008A4F40">
              <w:rPr>
                <w:color w:val="000000"/>
                <w:szCs w:val="22"/>
              </w:rPr>
              <w:t>3.</w:t>
            </w:r>
            <w:r w:rsidRPr="008A4F40">
              <w:rPr>
                <w:color w:val="000000"/>
                <w:szCs w:val="22"/>
              </w:rPr>
              <w:tab/>
              <w:t>Bei Andauern der Zytopenie über 2 Wochen weitere Dosisreduktion auf 300 mg.</w:t>
            </w:r>
          </w:p>
          <w:p w14:paraId="7F597738" w14:textId="77777777" w:rsidR="000742FC" w:rsidRPr="008A4F40" w:rsidRDefault="000742FC" w:rsidP="004E7659">
            <w:pPr>
              <w:ind w:left="361" w:hanging="361"/>
              <w:rPr>
                <w:color w:val="000000"/>
                <w:sz w:val="22"/>
                <w:szCs w:val="22"/>
              </w:rPr>
            </w:pPr>
            <w:r w:rsidRPr="008A4F40">
              <w:rPr>
                <w:color w:val="000000"/>
                <w:sz w:val="22"/>
                <w:szCs w:val="22"/>
              </w:rPr>
              <w:t>4.</w:t>
            </w:r>
            <w:r w:rsidRPr="008A4F40">
              <w:rPr>
                <w:color w:val="000000"/>
                <w:sz w:val="22"/>
                <w:szCs w:val="22"/>
              </w:rPr>
              <w:tab/>
              <w:t>Bei Andauern der Zytopenie über 4 Wochen und weiterhin keinem Zu</w:t>
            </w:r>
            <w:r w:rsidRPr="008A4F40">
              <w:rPr>
                <w:color w:val="000000"/>
                <w:sz w:val="22"/>
                <w:szCs w:val="22"/>
              </w:rPr>
              <w:softHyphen/>
              <w:t>sammenhang mit der Leukämie die Behandlung mit Glivec so lange unter</w:t>
            </w:r>
            <w:r w:rsidRPr="008A4F40">
              <w:rPr>
                <w:color w:val="000000"/>
                <w:sz w:val="22"/>
                <w:szCs w:val="22"/>
              </w:rPr>
              <w:softHyphen/>
              <w:t xml:space="preserve">brechen, bis ANC </w:t>
            </w:r>
            <w:r w:rsidRPr="008A4F40">
              <w:rPr>
                <w:rFonts w:ascii="Symbol" w:eastAsia="Symbol" w:hAnsi="Symbol" w:cs="Symbol"/>
                <w:color w:val="000000"/>
                <w:sz w:val="22"/>
                <w:szCs w:val="22"/>
              </w:rPr>
              <w:t>³</w:t>
            </w:r>
            <w:r w:rsidRPr="008A4F40">
              <w:rPr>
                <w:color w:val="000000"/>
                <w:sz w:val="22"/>
                <w:szCs w:val="22"/>
              </w:rPr>
              <w:t> 1 x 10</w:t>
            </w:r>
            <w:r w:rsidRPr="008A4F40">
              <w:rPr>
                <w:color w:val="000000"/>
                <w:sz w:val="22"/>
                <w:szCs w:val="22"/>
                <w:vertAlign w:val="superscript"/>
              </w:rPr>
              <w:t>9</w:t>
            </w:r>
            <w:r w:rsidRPr="008A4F40">
              <w:rPr>
                <w:color w:val="000000"/>
                <w:sz w:val="22"/>
                <w:szCs w:val="22"/>
              </w:rPr>
              <w:t xml:space="preserve">/l und Thrombozyten </w:t>
            </w:r>
            <w:r w:rsidRPr="008A4F40">
              <w:rPr>
                <w:rFonts w:ascii="Symbol" w:eastAsia="Symbol" w:hAnsi="Symbol" w:cs="Symbol"/>
                <w:color w:val="000000"/>
                <w:sz w:val="22"/>
                <w:szCs w:val="22"/>
              </w:rPr>
              <w:t>³</w:t>
            </w:r>
            <w:r w:rsidRPr="008A4F40">
              <w:rPr>
                <w:color w:val="000000"/>
                <w:sz w:val="22"/>
                <w:szCs w:val="22"/>
              </w:rPr>
              <w:t> 20 x 10</w:t>
            </w:r>
            <w:r w:rsidRPr="008A4F40">
              <w:rPr>
                <w:color w:val="000000"/>
                <w:sz w:val="22"/>
                <w:szCs w:val="22"/>
                <w:vertAlign w:val="superscript"/>
              </w:rPr>
              <w:t>9</w:t>
            </w:r>
            <w:r w:rsidRPr="008A4F40">
              <w:rPr>
                <w:color w:val="000000"/>
                <w:sz w:val="22"/>
                <w:szCs w:val="22"/>
              </w:rPr>
              <w:t>/l, und dann die Behandlung mit 300 mg wieder aufnehmen.</w:t>
            </w:r>
          </w:p>
        </w:tc>
      </w:tr>
      <w:tr w:rsidR="000742FC" w:rsidRPr="008A4F40" w14:paraId="0BF69968" w14:textId="77777777" w:rsidTr="00DA7B0B">
        <w:trPr>
          <w:gridAfter w:val="1"/>
          <w:wAfter w:w="25" w:type="dxa"/>
          <w:cantSplit/>
        </w:trPr>
        <w:tc>
          <w:tcPr>
            <w:tcW w:w="2093" w:type="dxa"/>
          </w:tcPr>
          <w:p w14:paraId="71E6EEE2" w14:textId="77777777" w:rsidR="000742FC" w:rsidRPr="008A4F40" w:rsidRDefault="000742FC" w:rsidP="004E7659">
            <w:pPr>
              <w:rPr>
                <w:color w:val="000000"/>
                <w:sz w:val="22"/>
                <w:szCs w:val="22"/>
                <w:vertAlign w:val="superscript"/>
              </w:rPr>
            </w:pPr>
            <w:r w:rsidRPr="008A4F40">
              <w:rPr>
                <w:color w:val="000000"/>
                <w:sz w:val="22"/>
                <w:szCs w:val="22"/>
              </w:rPr>
              <w:t>CML in der akzele</w:t>
            </w:r>
            <w:r w:rsidRPr="008A4F40">
              <w:rPr>
                <w:color w:val="000000"/>
                <w:sz w:val="22"/>
                <w:szCs w:val="22"/>
              </w:rPr>
              <w:softHyphen/>
              <w:t>rierten Phase und in der Blastenkrise bei Kindern (Startdosis 340 mg/m</w:t>
            </w:r>
            <w:r w:rsidRPr="008A4F40">
              <w:rPr>
                <w:color w:val="000000"/>
                <w:sz w:val="22"/>
                <w:szCs w:val="22"/>
                <w:vertAlign w:val="superscript"/>
              </w:rPr>
              <w:t>2</w:t>
            </w:r>
            <w:r w:rsidRPr="008A4F40">
              <w:rPr>
                <w:color w:val="000000"/>
                <w:sz w:val="22"/>
                <w:szCs w:val="22"/>
              </w:rPr>
              <w:t>)</w:t>
            </w:r>
          </w:p>
        </w:tc>
        <w:tc>
          <w:tcPr>
            <w:tcW w:w="3118" w:type="dxa"/>
          </w:tcPr>
          <w:p w14:paraId="43673F40" w14:textId="77777777" w:rsidR="000742FC" w:rsidRPr="008A4F40" w:rsidRDefault="000742FC" w:rsidP="004E7659">
            <w:pPr>
              <w:pStyle w:val="Header"/>
              <w:tabs>
                <w:tab w:val="clear" w:pos="4320"/>
                <w:tab w:val="clear" w:pos="8640"/>
              </w:tabs>
              <w:rPr>
                <w:color w:val="000000"/>
                <w:szCs w:val="22"/>
              </w:rPr>
            </w:pPr>
            <w:r w:rsidRPr="008A4F40">
              <w:rPr>
                <w:color w:val="000000"/>
                <w:szCs w:val="22"/>
                <w:vertAlign w:val="superscript"/>
              </w:rPr>
              <w:t>a</w:t>
            </w:r>
            <w:r w:rsidRPr="008A4F40">
              <w:rPr>
                <w:color w:val="000000"/>
                <w:szCs w:val="22"/>
              </w:rPr>
              <w:t>ANC &lt; 0,5 x 10</w:t>
            </w:r>
            <w:r w:rsidRPr="008A4F40">
              <w:rPr>
                <w:color w:val="000000"/>
                <w:szCs w:val="22"/>
                <w:vertAlign w:val="superscript"/>
              </w:rPr>
              <w:t>9</w:t>
            </w:r>
            <w:r w:rsidRPr="008A4F40">
              <w:rPr>
                <w:color w:val="000000"/>
                <w:szCs w:val="22"/>
              </w:rPr>
              <w:t>/l</w:t>
            </w:r>
          </w:p>
          <w:p w14:paraId="6AF24A7F" w14:textId="77777777" w:rsidR="000742FC" w:rsidRPr="008A4F40" w:rsidRDefault="000742FC" w:rsidP="004E7659">
            <w:pPr>
              <w:rPr>
                <w:color w:val="000000"/>
                <w:sz w:val="22"/>
                <w:szCs w:val="22"/>
              </w:rPr>
            </w:pPr>
            <w:r w:rsidRPr="008A4F40">
              <w:rPr>
                <w:color w:val="000000"/>
                <w:sz w:val="22"/>
                <w:szCs w:val="22"/>
              </w:rPr>
              <w:t>und / oder</w:t>
            </w:r>
          </w:p>
          <w:p w14:paraId="6C20D894" w14:textId="77777777" w:rsidR="000742FC" w:rsidRPr="008A4F40" w:rsidRDefault="000742FC" w:rsidP="004E7659">
            <w:pPr>
              <w:rPr>
                <w:color w:val="000000"/>
                <w:sz w:val="22"/>
                <w:szCs w:val="22"/>
                <w:vertAlign w:val="superscript"/>
              </w:rPr>
            </w:pPr>
            <w:r w:rsidRPr="008A4F40">
              <w:rPr>
                <w:color w:val="000000"/>
                <w:sz w:val="22"/>
                <w:szCs w:val="22"/>
              </w:rPr>
              <w:t>Thrombozyten &lt; 10 x 10</w:t>
            </w:r>
            <w:r w:rsidRPr="008A4F40">
              <w:rPr>
                <w:color w:val="000000"/>
                <w:sz w:val="22"/>
                <w:szCs w:val="22"/>
                <w:vertAlign w:val="superscript"/>
              </w:rPr>
              <w:t>9</w:t>
            </w:r>
            <w:r w:rsidRPr="008A4F40">
              <w:rPr>
                <w:color w:val="000000"/>
                <w:sz w:val="22"/>
                <w:szCs w:val="22"/>
              </w:rPr>
              <w:t>/l</w:t>
            </w:r>
          </w:p>
        </w:tc>
        <w:tc>
          <w:tcPr>
            <w:tcW w:w="3969" w:type="dxa"/>
          </w:tcPr>
          <w:p w14:paraId="43219C14" w14:textId="770D82A4" w:rsidR="000742FC" w:rsidRPr="008A4F40" w:rsidRDefault="000742FC" w:rsidP="004E7659">
            <w:pPr>
              <w:ind w:left="361" w:hanging="361"/>
              <w:rPr>
                <w:color w:val="000000"/>
                <w:sz w:val="22"/>
                <w:szCs w:val="22"/>
              </w:rPr>
            </w:pPr>
            <w:r w:rsidRPr="008A4F40">
              <w:rPr>
                <w:color w:val="000000"/>
                <w:sz w:val="22"/>
                <w:szCs w:val="22"/>
              </w:rPr>
              <w:t>1.</w:t>
            </w:r>
            <w:r w:rsidRPr="008A4F40">
              <w:rPr>
                <w:color w:val="000000"/>
                <w:sz w:val="22"/>
                <w:szCs w:val="22"/>
              </w:rPr>
              <w:tab/>
              <w:t>Überprüfung, ob die Zytopenie im Zu</w:t>
            </w:r>
            <w:r w:rsidRPr="008A4F40">
              <w:rPr>
                <w:color w:val="000000"/>
                <w:sz w:val="22"/>
                <w:szCs w:val="22"/>
              </w:rPr>
              <w:softHyphen/>
              <w:t>sammenhang mit der Leukämie steht (Knochenmarkaspiration oder Bi</w:t>
            </w:r>
            <w:r w:rsidRPr="008A4F40">
              <w:rPr>
                <w:color w:val="000000"/>
                <w:sz w:val="22"/>
                <w:szCs w:val="22"/>
              </w:rPr>
              <w:softHyphen/>
              <w:t>opsie).</w:t>
            </w:r>
          </w:p>
          <w:p w14:paraId="7B6D7DE9" w14:textId="77777777" w:rsidR="000742FC" w:rsidRPr="008A4F40" w:rsidRDefault="000742FC" w:rsidP="004E7659">
            <w:pPr>
              <w:ind w:left="361" w:hanging="361"/>
              <w:rPr>
                <w:color w:val="000000"/>
                <w:sz w:val="22"/>
                <w:szCs w:val="22"/>
              </w:rPr>
            </w:pPr>
            <w:r w:rsidRPr="008A4F40">
              <w:rPr>
                <w:color w:val="000000"/>
                <w:sz w:val="22"/>
                <w:szCs w:val="22"/>
              </w:rPr>
              <w:t>2.</w:t>
            </w:r>
            <w:r w:rsidRPr="008A4F40">
              <w:rPr>
                <w:color w:val="000000"/>
                <w:sz w:val="22"/>
                <w:szCs w:val="22"/>
              </w:rPr>
              <w:tab/>
              <w:t>Wenn kein Zusammenhang zwischen Zytopenie und Leukämie besteht, Re</w:t>
            </w:r>
            <w:r w:rsidRPr="008A4F40">
              <w:rPr>
                <w:color w:val="000000"/>
                <w:sz w:val="22"/>
                <w:szCs w:val="22"/>
              </w:rPr>
              <w:softHyphen/>
              <w:t>duktion der Glivec-Dosis auf 260 mg/m</w:t>
            </w:r>
            <w:r w:rsidRPr="008A4F40">
              <w:rPr>
                <w:color w:val="000000"/>
                <w:sz w:val="22"/>
                <w:szCs w:val="22"/>
                <w:vertAlign w:val="superscript"/>
              </w:rPr>
              <w:t>2</w:t>
            </w:r>
            <w:r w:rsidRPr="008A4F40">
              <w:rPr>
                <w:color w:val="000000"/>
                <w:sz w:val="22"/>
                <w:szCs w:val="22"/>
              </w:rPr>
              <w:t>.</w:t>
            </w:r>
          </w:p>
          <w:p w14:paraId="32843AE6" w14:textId="77777777" w:rsidR="000742FC" w:rsidRPr="008A4F40" w:rsidRDefault="000742FC" w:rsidP="004E7659">
            <w:pPr>
              <w:pStyle w:val="BodyText3"/>
              <w:ind w:left="361" w:hanging="361"/>
              <w:rPr>
                <w:color w:val="000000"/>
                <w:szCs w:val="22"/>
              </w:rPr>
            </w:pPr>
            <w:r w:rsidRPr="008A4F40">
              <w:rPr>
                <w:color w:val="000000"/>
                <w:szCs w:val="22"/>
              </w:rPr>
              <w:t>3.</w:t>
            </w:r>
            <w:r w:rsidRPr="008A4F40">
              <w:rPr>
                <w:color w:val="000000"/>
                <w:szCs w:val="22"/>
              </w:rPr>
              <w:tab/>
              <w:t>Bei Andauern der Zytopenie über 2 Wochen weitere Dosisreduktion auf 200 mg/m</w:t>
            </w:r>
            <w:r w:rsidRPr="008A4F40">
              <w:rPr>
                <w:color w:val="000000"/>
                <w:szCs w:val="22"/>
                <w:vertAlign w:val="superscript"/>
              </w:rPr>
              <w:t>2</w:t>
            </w:r>
            <w:r w:rsidRPr="008A4F40">
              <w:rPr>
                <w:color w:val="000000"/>
                <w:szCs w:val="22"/>
              </w:rPr>
              <w:t>.</w:t>
            </w:r>
          </w:p>
          <w:p w14:paraId="15D448B9" w14:textId="77777777" w:rsidR="000742FC" w:rsidRPr="008A4F40" w:rsidRDefault="000742FC" w:rsidP="004E7659">
            <w:pPr>
              <w:pStyle w:val="BodyText3"/>
              <w:ind w:left="361" w:hanging="361"/>
              <w:rPr>
                <w:color w:val="000000"/>
                <w:szCs w:val="22"/>
                <w:vertAlign w:val="superscript"/>
              </w:rPr>
            </w:pPr>
            <w:r w:rsidRPr="008A4F40">
              <w:rPr>
                <w:color w:val="000000"/>
                <w:szCs w:val="22"/>
              </w:rPr>
              <w:t>4.</w:t>
            </w:r>
            <w:r w:rsidRPr="008A4F40">
              <w:rPr>
                <w:color w:val="000000"/>
                <w:szCs w:val="22"/>
              </w:rPr>
              <w:tab/>
              <w:t>Bei Andauern der Zytopenie über 4 Wochen und weiterhin keinem Zu</w:t>
            </w:r>
            <w:r w:rsidRPr="008A4F40">
              <w:rPr>
                <w:color w:val="000000"/>
                <w:szCs w:val="22"/>
              </w:rPr>
              <w:softHyphen/>
              <w:t>sammenhang mit der Leukämie die Behandlung mit Glivec so lange unter</w:t>
            </w:r>
            <w:del w:id="18" w:author="Author">
              <w:r w:rsidRPr="008A4F40" w:rsidDel="004E7659">
                <w:rPr>
                  <w:color w:val="000000"/>
                  <w:szCs w:val="22"/>
                </w:rPr>
                <w:softHyphen/>
              </w:r>
            </w:del>
            <w:r w:rsidRPr="008A4F40">
              <w:rPr>
                <w:color w:val="000000"/>
                <w:szCs w:val="22"/>
              </w:rPr>
              <w:t xml:space="preserve">brechen, bis ANC </w:t>
            </w:r>
            <w:r w:rsidRPr="008A4F40">
              <w:rPr>
                <w:rFonts w:ascii="Symbol" w:eastAsia="Symbol" w:hAnsi="Symbol" w:cs="Symbol"/>
                <w:color w:val="000000"/>
                <w:szCs w:val="22"/>
              </w:rPr>
              <w:t>³</w:t>
            </w:r>
            <w:r w:rsidRPr="008A4F40">
              <w:rPr>
                <w:color w:val="000000"/>
                <w:szCs w:val="22"/>
              </w:rPr>
              <w:t> 1 x 10</w:t>
            </w:r>
            <w:r w:rsidRPr="008A4F40">
              <w:rPr>
                <w:color w:val="000000"/>
                <w:szCs w:val="22"/>
                <w:vertAlign w:val="superscript"/>
              </w:rPr>
              <w:t>9</w:t>
            </w:r>
            <w:r w:rsidRPr="008A4F40">
              <w:rPr>
                <w:color w:val="000000"/>
                <w:szCs w:val="22"/>
              </w:rPr>
              <w:t xml:space="preserve">/l und Thrombozyten </w:t>
            </w:r>
            <w:r w:rsidRPr="008A4F40">
              <w:rPr>
                <w:rFonts w:ascii="Symbol" w:eastAsia="Symbol" w:hAnsi="Symbol" w:cs="Symbol"/>
                <w:color w:val="000000"/>
                <w:szCs w:val="22"/>
              </w:rPr>
              <w:t>³</w:t>
            </w:r>
            <w:r w:rsidRPr="008A4F40">
              <w:rPr>
                <w:color w:val="000000"/>
                <w:szCs w:val="22"/>
              </w:rPr>
              <w:t> 20 x 10</w:t>
            </w:r>
            <w:r w:rsidRPr="008A4F40">
              <w:rPr>
                <w:color w:val="000000"/>
                <w:szCs w:val="22"/>
                <w:vertAlign w:val="superscript"/>
              </w:rPr>
              <w:t>9</w:t>
            </w:r>
            <w:r w:rsidRPr="008A4F40">
              <w:rPr>
                <w:color w:val="000000"/>
                <w:szCs w:val="22"/>
              </w:rPr>
              <w:t>/l, und dann die Behandlung mit 200 mg/m</w:t>
            </w:r>
            <w:r w:rsidRPr="008A4F40">
              <w:rPr>
                <w:color w:val="000000"/>
                <w:szCs w:val="22"/>
                <w:vertAlign w:val="superscript"/>
              </w:rPr>
              <w:t>2</w:t>
            </w:r>
            <w:r w:rsidRPr="008A4F40">
              <w:rPr>
                <w:color w:val="000000"/>
                <w:szCs w:val="22"/>
              </w:rPr>
              <w:t xml:space="preserve"> wieder aufnehmen.</w:t>
            </w:r>
          </w:p>
        </w:tc>
      </w:tr>
      <w:tr w:rsidR="000742FC" w:rsidRPr="008A4F40" w14:paraId="62457BBF" w14:textId="77777777" w:rsidTr="00DA7B0B">
        <w:trPr>
          <w:cantSplit/>
        </w:trPr>
        <w:tc>
          <w:tcPr>
            <w:tcW w:w="2093" w:type="dxa"/>
          </w:tcPr>
          <w:p w14:paraId="0E67E71A" w14:textId="77777777" w:rsidR="000742FC" w:rsidRPr="008A4F40" w:rsidRDefault="000742FC" w:rsidP="004E7659">
            <w:pPr>
              <w:pStyle w:val="Header"/>
              <w:keepNext/>
              <w:tabs>
                <w:tab w:val="clear" w:pos="4320"/>
                <w:tab w:val="clear" w:pos="8640"/>
              </w:tabs>
              <w:rPr>
                <w:color w:val="000000"/>
                <w:szCs w:val="22"/>
              </w:rPr>
            </w:pPr>
            <w:r w:rsidRPr="008A4F40">
              <w:rPr>
                <w:color w:val="000000"/>
                <w:szCs w:val="22"/>
              </w:rPr>
              <w:t>DFSP (Dosierung 800 mg)</w:t>
            </w:r>
          </w:p>
        </w:tc>
        <w:tc>
          <w:tcPr>
            <w:tcW w:w="3118" w:type="dxa"/>
          </w:tcPr>
          <w:p w14:paraId="43198C63" w14:textId="77777777" w:rsidR="000742FC" w:rsidRPr="008A4F40" w:rsidRDefault="000742FC" w:rsidP="004E7659">
            <w:pPr>
              <w:pStyle w:val="Header"/>
              <w:keepNext/>
              <w:tabs>
                <w:tab w:val="clear" w:pos="4320"/>
                <w:tab w:val="clear" w:pos="8640"/>
              </w:tabs>
              <w:rPr>
                <w:color w:val="000000"/>
                <w:szCs w:val="22"/>
              </w:rPr>
            </w:pPr>
            <w:r w:rsidRPr="008A4F40">
              <w:rPr>
                <w:color w:val="000000"/>
                <w:szCs w:val="22"/>
              </w:rPr>
              <w:t>ANC &lt; 1,0 x 10</w:t>
            </w:r>
            <w:r w:rsidRPr="008A4F40">
              <w:rPr>
                <w:color w:val="000000"/>
                <w:szCs w:val="22"/>
                <w:vertAlign w:val="superscript"/>
              </w:rPr>
              <w:t>9</w:t>
            </w:r>
            <w:r w:rsidRPr="008A4F40">
              <w:rPr>
                <w:color w:val="000000"/>
                <w:szCs w:val="22"/>
              </w:rPr>
              <w:t>/l</w:t>
            </w:r>
          </w:p>
          <w:p w14:paraId="462B97CB" w14:textId="77777777" w:rsidR="000742FC" w:rsidRPr="008A4F40" w:rsidRDefault="000742FC" w:rsidP="004E7659">
            <w:pPr>
              <w:keepNext/>
              <w:rPr>
                <w:color w:val="000000"/>
                <w:sz w:val="22"/>
                <w:szCs w:val="22"/>
              </w:rPr>
            </w:pPr>
            <w:r w:rsidRPr="008A4F40">
              <w:rPr>
                <w:color w:val="000000"/>
                <w:sz w:val="22"/>
                <w:szCs w:val="22"/>
              </w:rPr>
              <w:t>und / oder</w:t>
            </w:r>
          </w:p>
          <w:p w14:paraId="116B1AD2" w14:textId="77777777" w:rsidR="000742FC" w:rsidRPr="008A4F40" w:rsidDel="003474B5" w:rsidRDefault="000742FC" w:rsidP="004E7659">
            <w:pPr>
              <w:pStyle w:val="Header"/>
              <w:keepNext/>
              <w:tabs>
                <w:tab w:val="clear" w:pos="4320"/>
                <w:tab w:val="clear" w:pos="8640"/>
              </w:tabs>
              <w:rPr>
                <w:color w:val="000000"/>
                <w:szCs w:val="22"/>
              </w:rPr>
            </w:pPr>
            <w:r w:rsidRPr="008A4F40">
              <w:rPr>
                <w:color w:val="000000"/>
                <w:szCs w:val="22"/>
              </w:rPr>
              <w:t>Thrombozyten &lt; 50 x 10</w:t>
            </w:r>
            <w:r w:rsidRPr="008A4F40">
              <w:rPr>
                <w:color w:val="000000"/>
                <w:szCs w:val="22"/>
                <w:vertAlign w:val="superscript"/>
              </w:rPr>
              <w:t>9</w:t>
            </w:r>
            <w:r w:rsidRPr="008A4F40">
              <w:rPr>
                <w:color w:val="000000"/>
                <w:szCs w:val="22"/>
              </w:rPr>
              <w:t>/l</w:t>
            </w:r>
          </w:p>
        </w:tc>
        <w:tc>
          <w:tcPr>
            <w:tcW w:w="3994" w:type="dxa"/>
            <w:gridSpan w:val="2"/>
          </w:tcPr>
          <w:p w14:paraId="54F0961F" w14:textId="77777777" w:rsidR="000742FC" w:rsidRPr="008A4F40" w:rsidRDefault="000742FC" w:rsidP="004E7659">
            <w:pPr>
              <w:keepNext/>
              <w:ind w:left="361" w:hanging="361"/>
              <w:rPr>
                <w:color w:val="000000"/>
                <w:sz w:val="22"/>
                <w:szCs w:val="22"/>
              </w:rPr>
            </w:pPr>
            <w:r w:rsidRPr="008A4F40">
              <w:rPr>
                <w:color w:val="000000"/>
                <w:sz w:val="22"/>
                <w:szCs w:val="22"/>
              </w:rPr>
              <w:t>1.</w:t>
            </w:r>
            <w:r w:rsidRPr="008A4F40">
              <w:rPr>
                <w:color w:val="000000"/>
                <w:sz w:val="22"/>
                <w:szCs w:val="22"/>
              </w:rPr>
              <w:tab/>
              <w:t>Stopp der Behandlung mit Glivec bis ANC ≥ 1,5 x 10</w:t>
            </w:r>
            <w:r w:rsidRPr="008A4F40">
              <w:rPr>
                <w:color w:val="000000"/>
                <w:sz w:val="22"/>
                <w:szCs w:val="22"/>
                <w:vertAlign w:val="superscript"/>
              </w:rPr>
              <w:t>9</w:t>
            </w:r>
            <w:r w:rsidRPr="008A4F40">
              <w:rPr>
                <w:color w:val="000000"/>
                <w:sz w:val="22"/>
                <w:szCs w:val="22"/>
              </w:rPr>
              <w:t>/l und Thrombozyten ≥ 75 x 10</w:t>
            </w:r>
            <w:r w:rsidRPr="008A4F40">
              <w:rPr>
                <w:color w:val="000000"/>
                <w:sz w:val="22"/>
                <w:szCs w:val="22"/>
                <w:vertAlign w:val="superscript"/>
              </w:rPr>
              <w:t>9</w:t>
            </w:r>
            <w:r w:rsidRPr="008A4F40">
              <w:rPr>
                <w:color w:val="000000"/>
                <w:sz w:val="22"/>
                <w:szCs w:val="22"/>
              </w:rPr>
              <w:t>/l.</w:t>
            </w:r>
          </w:p>
          <w:p w14:paraId="2CBC0711" w14:textId="77777777" w:rsidR="000742FC" w:rsidRPr="008A4F40" w:rsidRDefault="000742FC" w:rsidP="004E7659">
            <w:pPr>
              <w:keepNext/>
              <w:ind w:left="361" w:hanging="361"/>
              <w:rPr>
                <w:color w:val="000000"/>
                <w:sz w:val="22"/>
                <w:szCs w:val="22"/>
              </w:rPr>
            </w:pPr>
            <w:r w:rsidRPr="008A4F40">
              <w:rPr>
                <w:color w:val="000000"/>
                <w:sz w:val="22"/>
                <w:szCs w:val="22"/>
              </w:rPr>
              <w:t>2.</w:t>
            </w:r>
            <w:r w:rsidRPr="008A4F40">
              <w:rPr>
                <w:color w:val="000000"/>
                <w:sz w:val="22"/>
                <w:szCs w:val="22"/>
              </w:rPr>
              <w:tab/>
              <w:t>Wiederaufnahme der Behandlung mit 600 mg Glivec.</w:t>
            </w:r>
          </w:p>
          <w:p w14:paraId="4467EEEB" w14:textId="77777777" w:rsidR="000742FC" w:rsidRPr="008A4F40" w:rsidRDefault="000742FC" w:rsidP="004E7659">
            <w:pPr>
              <w:keepNext/>
              <w:ind w:left="361" w:hanging="361"/>
              <w:rPr>
                <w:color w:val="000000"/>
                <w:sz w:val="22"/>
                <w:szCs w:val="22"/>
              </w:rPr>
            </w:pPr>
            <w:r w:rsidRPr="008A4F40">
              <w:rPr>
                <w:color w:val="000000"/>
                <w:sz w:val="22"/>
                <w:szCs w:val="22"/>
              </w:rPr>
              <w:t>3.</w:t>
            </w:r>
            <w:r w:rsidRPr="008A4F40">
              <w:rPr>
                <w:color w:val="000000"/>
                <w:sz w:val="22"/>
                <w:szCs w:val="22"/>
              </w:rPr>
              <w:tab/>
              <w:t>Bei Wiederauftreten von ANC &lt; 1,0 x 10</w:t>
            </w:r>
            <w:r w:rsidRPr="008A4F40">
              <w:rPr>
                <w:color w:val="000000"/>
                <w:sz w:val="22"/>
                <w:szCs w:val="22"/>
                <w:vertAlign w:val="superscript"/>
              </w:rPr>
              <w:t>9</w:t>
            </w:r>
            <w:r w:rsidRPr="008A4F40">
              <w:rPr>
                <w:color w:val="000000"/>
                <w:sz w:val="22"/>
                <w:szCs w:val="22"/>
              </w:rPr>
              <w:t>/l und / oder Thrombozyten &lt; 50 x 10</w:t>
            </w:r>
            <w:r w:rsidRPr="008A4F40">
              <w:rPr>
                <w:color w:val="000000"/>
                <w:sz w:val="22"/>
                <w:szCs w:val="22"/>
                <w:vertAlign w:val="superscript"/>
              </w:rPr>
              <w:t>9</w:t>
            </w:r>
            <w:r w:rsidRPr="008A4F40">
              <w:rPr>
                <w:color w:val="000000"/>
                <w:sz w:val="22"/>
                <w:szCs w:val="22"/>
              </w:rPr>
              <w:t>/l Schritt 1 wiederholen und die Be</w:t>
            </w:r>
            <w:del w:id="19" w:author="Author">
              <w:r w:rsidRPr="008A4F40" w:rsidDel="004E7659">
                <w:rPr>
                  <w:color w:val="000000"/>
                  <w:sz w:val="22"/>
                  <w:szCs w:val="22"/>
                </w:rPr>
                <w:softHyphen/>
              </w:r>
            </w:del>
            <w:r w:rsidRPr="008A4F40">
              <w:rPr>
                <w:color w:val="000000"/>
                <w:sz w:val="22"/>
                <w:szCs w:val="22"/>
              </w:rPr>
              <w:t>handlung mit der reduzierten Dosis von 400 mg Glivec wieder aufnehmen.</w:t>
            </w:r>
          </w:p>
        </w:tc>
      </w:tr>
      <w:tr w:rsidR="000742FC" w:rsidRPr="008A4F40" w14:paraId="5A734B00" w14:textId="77777777" w:rsidTr="00DA7B0B">
        <w:trPr>
          <w:cantSplit/>
        </w:trPr>
        <w:tc>
          <w:tcPr>
            <w:tcW w:w="9205" w:type="dxa"/>
            <w:gridSpan w:val="4"/>
          </w:tcPr>
          <w:p w14:paraId="1EA92814" w14:textId="3BD96E64" w:rsidR="000742FC" w:rsidRPr="008A4F40" w:rsidRDefault="000742FC" w:rsidP="004E7659">
            <w:pPr>
              <w:rPr>
                <w:color w:val="000000"/>
                <w:sz w:val="22"/>
                <w:szCs w:val="22"/>
              </w:rPr>
            </w:pPr>
            <w:r w:rsidRPr="00D1077B">
              <w:rPr>
                <w:color w:val="000000"/>
                <w:vertAlign w:val="superscript"/>
                <w:rPrChange w:id="20" w:author="Author">
                  <w:rPr>
                    <w:color w:val="000000"/>
                    <w:sz w:val="22"/>
                    <w:szCs w:val="22"/>
                    <w:vertAlign w:val="superscript"/>
                  </w:rPr>
                </w:rPrChange>
              </w:rPr>
              <w:t>a</w:t>
            </w:r>
            <w:r w:rsidRPr="00D1077B">
              <w:rPr>
                <w:color w:val="000000"/>
                <w:rPrChange w:id="21" w:author="Author">
                  <w:rPr>
                    <w:color w:val="000000"/>
                    <w:sz w:val="22"/>
                    <w:szCs w:val="22"/>
                  </w:rPr>
                </w:rPrChange>
              </w:rPr>
              <w:t xml:space="preserve"> Auftreten nach mindestens 1-monatiger Behandlung</w:t>
            </w:r>
            <w:r w:rsidRPr="00D1077B">
              <w:rPr>
                <w:color w:val="000000"/>
                <w:vertAlign w:val="superscript"/>
                <w:rPrChange w:id="22" w:author="Author">
                  <w:rPr>
                    <w:color w:val="000000"/>
                    <w:sz w:val="22"/>
                    <w:szCs w:val="22"/>
                    <w:vertAlign w:val="superscript"/>
                  </w:rPr>
                </w:rPrChange>
              </w:rPr>
              <w:t xml:space="preserve"> </w:t>
            </w:r>
          </w:p>
        </w:tc>
      </w:tr>
    </w:tbl>
    <w:p w14:paraId="141120A2" w14:textId="77777777" w:rsidR="002C37A4" w:rsidRPr="008A4F40" w:rsidRDefault="002C37A4" w:rsidP="004E7659">
      <w:pPr>
        <w:ind w:firstLine="3"/>
        <w:rPr>
          <w:color w:val="000000"/>
          <w:sz w:val="22"/>
          <w:szCs w:val="22"/>
        </w:rPr>
      </w:pPr>
    </w:p>
    <w:p w14:paraId="701DB453" w14:textId="231F783C" w:rsidR="002C37A4" w:rsidRPr="008A4F40" w:rsidRDefault="002C37A4" w:rsidP="004E7659">
      <w:pPr>
        <w:pStyle w:val="BodyTextIndent2"/>
        <w:keepNext/>
        <w:widowControl/>
        <w:ind w:firstLine="6"/>
        <w:rPr>
          <w:color w:val="000000"/>
          <w:szCs w:val="22"/>
          <w:u w:val="single"/>
        </w:rPr>
      </w:pPr>
      <w:r w:rsidRPr="008A4F40">
        <w:rPr>
          <w:color w:val="000000"/>
          <w:szCs w:val="22"/>
          <w:u w:val="single"/>
        </w:rPr>
        <w:t>Besondere Patientenpopulationen</w:t>
      </w:r>
    </w:p>
    <w:p w14:paraId="09546AC5" w14:textId="77777777" w:rsidR="0043305B" w:rsidRPr="008A4F40" w:rsidRDefault="0043305B" w:rsidP="004E7659">
      <w:pPr>
        <w:pStyle w:val="BodyTextIndent2"/>
        <w:keepNext/>
        <w:widowControl/>
        <w:ind w:firstLine="6"/>
        <w:rPr>
          <w:color w:val="000000"/>
          <w:szCs w:val="22"/>
          <w:u w:val="single"/>
        </w:rPr>
      </w:pPr>
    </w:p>
    <w:p w14:paraId="543A6368" w14:textId="6BB4FA1C" w:rsidR="0043305B" w:rsidRPr="008A4F40" w:rsidRDefault="002C37A4" w:rsidP="004E7659">
      <w:pPr>
        <w:keepNext/>
        <w:ind w:firstLine="6"/>
        <w:rPr>
          <w:color w:val="000000"/>
          <w:sz w:val="22"/>
          <w:szCs w:val="22"/>
          <w:u w:val="single"/>
        </w:rPr>
      </w:pPr>
      <w:r w:rsidRPr="008A4F40">
        <w:rPr>
          <w:i/>
          <w:color w:val="000000"/>
          <w:sz w:val="22"/>
          <w:szCs w:val="22"/>
          <w:u w:val="single"/>
        </w:rPr>
        <w:t>Kinder</w:t>
      </w:r>
      <w:r w:rsidR="0043305B" w:rsidRPr="008A4F40">
        <w:rPr>
          <w:i/>
          <w:color w:val="000000"/>
          <w:sz w:val="22"/>
          <w:szCs w:val="22"/>
          <w:u w:val="single"/>
        </w:rPr>
        <w:t xml:space="preserve"> und Jugendliche</w:t>
      </w:r>
    </w:p>
    <w:p w14:paraId="3E9BCD50" w14:textId="39A6EF62" w:rsidR="00906B6C" w:rsidRPr="008A4F40" w:rsidRDefault="002C37A4" w:rsidP="004E7659">
      <w:pPr>
        <w:ind w:firstLine="3"/>
        <w:rPr>
          <w:color w:val="000000"/>
          <w:sz w:val="22"/>
          <w:szCs w:val="22"/>
        </w:rPr>
      </w:pPr>
      <w:r w:rsidRPr="008A4F40">
        <w:rPr>
          <w:noProof/>
          <w:color w:val="000000"/>
          <w:sz w:val="22"/>
          <w:szCs w:val="22"/>
        </w:rPr>
        <w:t xml:space="preserve">Es gibt keine Erfahrungen bei Kindern unter 2 Jahren mit CML </w:t>
      </w:r>
      <w:r w:rsidR="009F2D90" w:rsidRPr="008A4F40">
        <w:rPr>
          <w:noProof/>
          <w:color w:val="000000"/>
          <w:sz w:val="22"/>
          <w:szCs w:val="22"/>
        </w:rPr>
        <w:t xml:space="preserve">und bei Kindern unter 1 Jahr mit Ph+ ALL </w:t>
      </w:r>
      <w:r w:rsidRPr="008A4F40">
        <w:rPr>
          <w:noProof/>
          <w:color w:val="000000"/>
          <w:sz w:val="22"/>
          <w:szCs w:val="22"/>
        </w:rPr>
        <w:t>(siehe Abschnitt 5.1). Die Erfahrung bei Kindern mit MDS/MPD</w:t>
      </w:r>
      <w:r w:rsidR="00906B6C" w:rsidRPr="008A4F40">
        <w:rPr>
          <w:noProof/>
          <w:color w:val="000000"/>
          <w:sz w:val="22"/>
          <w:szCs w:val="22"/>
        </w:rPr>
        <w:t>,</w:t>
      </w:r>
      <w:r w:rsidRPr="008A4F40">
        <w:rPr>
          <w:noProof/>
          <w:color w:val="000000"/>
          <w:sz w:val="22"/>
          <w:szCs w:val="22"/>
        </w:rPr>
        <w:t xml:space="preserve"> DFSP</w:t>
      </w:r>
      <w:r w:rsidR="00906B6C" w:rsidRPr="008A4F40">
        <w:rPr>
          <w:noProof/>
          <w:color w:val="000000"/>
          <w:sz w:val="22"/>
          <w:szCs w:val="22"/>
        </w:rPr>
        <w:t>, GIST und HES/CEL</w:t>
      </w:r>
      <w:r w:rsidR="009F2D90" w:rsidRPr="008A4F40">
        <w:rPr>
          <w:noProof/>
          <w:color w:val="000000"/>
          <w:sz w:val="22"/>
          <w:szCs w:val="22"/>
        </w:rPr>
        <w:t xml:space="preserve"> ist</w:t>
      </w:r>
      <w:r w:rsidRPr="008A4F40">
        <w:rPr>
          <w:noProof/>
          <w:color w:val="000000"/>
          <w:sz w:val="22"/>
          <w:szCs w:val="22"/>
        </w:rPr>
        <w:t xml:space="preserve"> sehr begrenzt.</w:t>
      </w:r>
    </w:p>
    <w:p w14:paraId="7A2044F5" w14:textId="77777777" w:rsidR="00906B6C" w:rsidRPr="008A4F40" w:rsidRDefault="00906B6C" w:rsidP="004E7659">
      <w:pPr>
        <w:ind w:firstLine="3"/>
        <w:rPr>
          <w:color w:val="000000"/>
          <w:sz w:val="22"/>
          <w:szCs w:val="22"/>
        </w:rPr>
      </w:pPr>
    </w:p>
    <w:p w14:paraId="43027579" w14:textId="0E0230E2" w:rsidR="002C37A4" w:rsidRPr="008A4F40" w:rsidRDefault="00906B6C" w:rsidP="004E7659">
      <w:pPr>
        <w:ind w:firstLine="3"/>
        <w:rPr>
          <w:color w:val="000000"/>
          <w:szCs w:val="22"/>
        </w:rPr>
      </w:pPr>
      <w:r w:rsidRPr="008A4F40">
        <w:rPr>
          <w:color w:val="000000"/>
          <w:sz w:val="22"/>
          <w:szCs w:val="22"/>
        </w:rPr>
        <w:t xml:space="preserve">Die Sicherheit und Wirksamkeit von Imatinib bei Kindern unter 18 Jahren mit MDS/MPD, DFSP, GIST und HES/CEL </w:t>
      </w:r>
      <w:del w:id="23" w:author="Author">
        <w:r w:rsidRPr="008A4F40" w:rsidDel="00886284">
          <w:rPr>
            <w:color w:val="000000"/>
            <w:sz w:val="22"/>
            <w:szCs w:val="22"/>
          </w:rPr>
          <w:delText xml:space="preserve">wurden </w:delText>
        </w:r>
      </w:del>
      <w:ins w:id="24" w:author="Author">
        <w:r w:rsidR="00886284">
          <w:rPr>
            <w:color w:val="000000"/>
            <w:sz w:val="22"/>
            <w:szCs w:val="22"/>
          </w:rPr>
          <w:t>sind</w:t>
        </w:r>
        <w:r w:rsidR="00886284" w:rsidRPr="008A4F40">
          <w:rPr>
            <w:color w:val="000000"/>
            <w:sz w:val="22"/>
            <w:szCs w:val="22"/>
          </w:rPr>
          <w:t xml:space="preserve"> </w:t>
        </w:r>
      </w:ins>
      <w:r w:rsidRPr="008A4F40">
        <w:rPr>
          <w:color w:val="000000"/>
          <w:sz w:val="22"/>
          <w:szCs w:val="22"/>
        </w:rPr>
        <w:t>in klinischen Studien nicht erwiesen. Zurzeit vorliegende, publizierte Daten werden in Abschnitt 5.1 zusammengefasst</w:t>
      </w:r>
      <w:r w:rsidR="00DB0BE6" w:rsidRPr="008A4F40">
        <w:rPr>
          <w:color w:val="000000"/>
          <w:sz w:val="22"/>
          <w:szCs w:val="22"/>
        </w:rPr>
        <w:t>;</w:t>
      </w:r>
      <w:r w:rsidRPr="008A4F40">
        <w:rPr>
          <w:color w:val="000000"/>
          <w:sz w:val="22"/>
          <w:szCs w:val="22"/>
        </w:rPr>
        <w:t xml:space="preserve"> eine Dosierungsempfehlung kann jedoch nicht gegeben werden.</w:t>
      </w:r>
    </w:p>
    <w:p w14:paraId="50617035" w14:textId="77777777" w:rsidR="002C37A4" w:rsidRPr="008A4F40" w:rsidRDefault="002C37A4" w:rsidP="004E7659">
      <w:pPr>
        <w:ind w:firstLine="3"/>
        <w:rPr>
          <w:color w:val="000000"/>
          <w:sz w:val="22"/>
          <w:szCs w:val="22"/>
        </w:rPr>
      </w:pPr>
    </w:p>
    <w:p w14:paraId="1623ABFE" w14:textId="3CB17FAC" w:rsidR="0043305B" w:rsidRPr="008A4F40" w:rsidRDefault="002C37A4" w:rsidP="004E7659">
      <w:pPr>
        <w:keepNext/>
        <w:ind w:firstLine="6"/>
        <w:rPr>
          <w:color w:val="000000"/>
          <w:sz w:val="22"/>
          <w:szCs w:val="22"/>
          <w:u w:val="single"/>
        </w:rPr>
      </w:pPr>
      <w:r w:rsidRPr="008A4F40">
        <w:rPr>
          <w:i/>
          <w:color w:val="000000"/>
          <w:sz w:val="22"/>
          <w:szCs w:val="22"/>
          <w:u w:val="single"/>
        </w:rPr>
        <w:t>Leberinsuffizienz</w:t>
      </w:r>
    </w:p>
    <w:p w14:paraId="451A8582" w14:textId="59BB73F4" w:rsidR="002C37A4" w:rsidRPr="008A4F40" w:rsidRDefault="002C37A4" w:rsidP="004E7659">
      <w:pPr>
        <w:ind w:firstLine="3"/>
        <w:rPr>
          <w:color w:val="000000"/>
          <w:sz w:val="22"/>
          <w:szCs w:val="22"/>
        </w:rPr>
      </w:pPr>
      <w:r w:rsidRPr="008A4F40">
        <w:rPr>
          <w:color w:val="000000"/>
          <w:sz w:val="22"/>
          <w:szCs w:val="22"/>
        </w:rPr>
        <w:t>Imatinib wird hauptsächlich in der Leber metabolisiert. Patienten mit leichten, mäßigen oder schweren Leberfunktionsstörungen sollte die niedrigste empfohlene Dosis von 400 mg täglich gegeben werden. Die Dosis kann reduziert werden, wenn sie nicht vertragen wird (siehe Abschnitte</w:t>
      </w:r>
      <w:ins w:id="25" w:author="Author">
        <w:r w:rsidR="00E96CC8">
          <w:rPr>
            <w:color w:val="000000"/>
            <w:sz w:val="22"/>
            <w:szCs w:val="22"/>
          </w:rPr>
          <w:t> </w:t>
        </w:r>
      </w:ins>
      <w:del w:id="26" w:author="Author">
        <w:r w:rsidRPr="008A4F40" w:rsidDel="00E96CC8">
          <w:rPr>
            <w:color w:val="000000"/>
            <w:sz w:val="22"/>
            <w:szCs w:val="22"/>
          </w:rPr>
          <w:delText xml:space="preserve"> </w:delText>
        </w:r>
      </w:del>
      <w:r w:rsidRPr="008A4F40">
        <w:rPr>
          <w:color w:val="000000"/>
          <w:sz w:val="22"/>
          <w:szCs w:val="22"/>
        </w:rPr>
        <w:t>4.4, 4.8 und 5.2).</w:t>
      </w:r>
    </w:p>
    <w:p w14:paraId="2580A76B" w14:textId="77777777" w:rsidR="002C37A4" w:rsidRPr="008A4F40" w:rsidRDefault="002C37A4" w:rsidP="004E7659">
      <w:pPr>
        <w:ind w:firstLine="3"/>
        <w:rPr>
          <w:color w:val="000000"/>
          <w:sz w:val="22"/>
          <w:szCs w:val="22"/>
        </w:rPr>
      </w:pPr>
    </w:p>
    <w:p w14:paraId="53A36985" w14:textId="77777777" w:rsidR="002C37A4" w:rsidRPr="008A4F40" w:rsidRDefault="002C37A4" w:rsidP="004E7659">
      <w:pPr>
        <w:keepNext/>
        <w:ind w:firstLine="3"/>
        <w:rPr>
          <w:color w:val="000000"/>
          <w:sz w:val="22"/>
          <w:szCs w:val="22"/>
        </w:rPr>
      </w:pPr>
      <w:r w:rsidRPr="008A4F40">
        <w:rPr>
          <w:color w:val="000000"/>
          <w:sz w:val="22"/>
          <w:szCs w:val="22"/>
        </w:rPr>
        <w:t>Klassifizierung der Leberfunktionsstörungen:</w:t>
      </w:r>
    </w:p>
    <w:p w14:paraId="3F13EF41" w14:textId="77777777" w:rsidR="002C37A4" w:rsidRPr="008A4F40" w:rsidRDefault="002C37A4" w:rsidP="004E7659">
      <w:pPr>
        <w:keepNext/>
        <w:ind w:firstLine="3"/>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7"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308"/>
        <w:gridCol w:w="5708"/>
        <w:gridCol w:w="39"/>
        <w:tblGridChange w:id="28">
          <w:tblGrid>
            <w:gridCol w:w="3308"/>
            <w:gridCol w:w="11"/>
            <w:gridCol w:w="5697"/>
            <w:gridCol w:w="39"/>
          </w:tblGrid>
        </w:tblGridChange>
      </w:tblGrid>
      <w:tr w:rsidR="002C37A4" w:rsidRPr="008A4F40" w14:paraId="5728E322" w14:textId="77777777" w:rsidTr="00D1077B">
        <w:trPr>
          <w:cantSplit/>
          <w:trPrChange w:id="29" w:author="Author">
            <w:trPr>
              <w:cantSplit/>
            </w:trPr>
          </w:trPrChange>
        </w:trPr>
        <w:tc>
          <w:tcPr>
            <w:tcW w:w="3319" w:type="dxa"/>
            <w:tcPrChange w:id="30" w:author="Author">
              <w:tcPr>
                <w:tcW w:w="3369" w:type="dxa"/>
                <w:gridSpan w:val="2"/>
              </w:tcPr>
            </w:tcPrChange>
          </w:tcPr>
          <w:p w14:paraId="7ACE6594" w14:textId="77777777" w:rsidR="002C37A4" w:rsidRPr="008A4F40" w:rsidRDefault="002C37A4" w:rsidP="004E7659">
            <w:pPr>
              <w:keepNext/>
              <w:rPr>
                <w:color w:val="000000"/>
                <w:sz w:val="22"/>
                <w:szCs w:val="22"/>
              </w:rPr>
            </w:pPr>
            <w:r w:rsidRPr="008A4F40">
              <w:rPr>
                <w:color w:val="000000"/>
                <w:sz w:val="22"/>
                <w:szCs w:val="22"/>
              </w:rPr>
              <w:t>Leberfunktionsstörung</w:t>
            </w:r>
          </w:p>
        </w:tc>
        <w:tc>
          <w:tcPr>
            <w:tcW w:w="5736" w:type="dxa"/>
            <w:gridSpan w:val="2"/>
            <w:tcPrChange w:id="31" w:author="Author">
              <w:tcPr>
                <w:tcW w:w="5912" w:type="dxa"/>
                <w:gridSpan w:val="2"/>
              </w:tcPr>
            </w:tcPrChange>
          </w:tcPr>
          <w:p w14:paraId="5B1BDE38" w14:textId="77777777" w:rsidR="002C37A4" w:rsidRPr="008A4F40" w:rsidRDefault="002C37A4" w:rsidP="004E7659">
            <w:pPr>
              <w:keepNext/>
              <w:rPr>
                <w:color w:val="000000"/>
                <w:sz w:val="22"/>
                <w:szCs w:val="22"/>
              </w:rPr>
            </w:pPr>
            <w:r w:rsidRPr="008A4F40">
              <w:rPr>
                <w:color w:val="000000"/>
                <w:sz w:val="22"/>
                <w:szCs w:val="22"/>
              </w:rPr>
              <w:t>Leberfunktionstest</w:t>
            </w:r>
          </w:p>
        </w:tc>
      </w:tr>
      <w:tr w:rsidR="002C37A4" w:rsidRPr="008A4F40" w14:paraId="6519BAE7" w14:textId="77777777" w:rsidTr="00D1077B">
        <w:trPr>
          <w:cantSplit/>
          <w:trPrChange w:id="32" w:author="Author">
            <w:trPr>
              <w:cantSplit/>
            </w:trPr>
          </w:trPrChange>
        </w:trPr>
        <w:tc>
          <w:tcPr>
            <w:tcW w:w="3319" w:type="dxa"/>
            <w:tcPrChange w:id="33" w:author="Author">
              <w:tcPr>
                <w:tcW w:w="3369" w:type="dxa"/>
                <w:gridSpan w:val="2"/>
              </w:tcPr>
            </w:tcPrChange>
          </w:tcPr>
          <w:p w14:paraId="569E728E" w14:textId="77777777" w:rsidR="002C37A4" w:rsidRPr="008A4F40" w:rsidRDefault="002C37A4" w:rsidP="004E7659">
            <w:pPr>
              <w:keepNext/>
              <w:rPr>
                <w:color w:val="000000"/>
                <w:sz w:val="22"/>
                <w:szCs w:val="22"/>
              </w:rPr>
            </w:pPr>
            <w:r w:rsidRPr="008A4F40">
              <w:rPr>
                <w:color w:val="000000"/>
                <w:sz w:val="22"/>
                <w:szCs w:val="22"/>
              </w:rPr>
              <w:t>Leicht</w:t>
            </w:r>
          </w:p>
        </w:tc>
        <w:tc>
          <w:tcPr>
            <w:tcW w:w="5736" w:type="dxa"/>
            <w:gridSpan w:val="2"/>
            <w:tcPrChange w:id="34" w:author="Author">
              <w:tcPr>
                <w:tcW w:w="5912" w:type="dxa"/>
                <w:gridSpan w:val="2"/>
              </w:tcPr>
            </w:tcPrChange>
          </w:tcPr>
          <w:p w14:paraId="179D9E4F" w14:textId="21E71CCC" w:rsidR="002C37A4" w:rsidRPr="008A4F40" w:rsidRDefault="002C37A4" w:rsidP="004E7659">
            <w:pPr>
              <w:keepNext/>
              <w:rPr>
                <w:color w:val="000000"/>
                <w:sz w:val="22"/>
                <w:szCs w:val="22"/>
              </w:rPr>
            </w:pPr>
            <w:r w:rsidRPr="008A4F40">
              <w:rPr>
                <w:color w:val="000000"/>
                <w:sz w:val="22"/>
                <w:szCs w:val="22"/>
              </w:rPr>
              <w:t>Gesamtbilirubin</w:t>
            </w:r>
            <w:ins w:id="35" w:author="Author">
              <w:r w:rsidR="00E71F68">
                <w:rPr>
                  <w:color w:val="000000"/>
                  <w:sz w:val="22"/>
                  <w:szCs w:val="22"/>
                </w:rPr>
                <w:t> </w:t>
              </w:r>
            </w:ins>
            <w:del w:id="36" w:author="Author">
              <w:r w:rsidRPr="008A4F40" w:rsidDel="00E71F68">
                <w:rPr>
                  <w:color w:val="000000"/>
                  <w:sz w:val="22"/>
                  <w:szCs w:val="22"/>
                </w:rPr>
                <w:delText xml:space="preserve"> </w:delText>
              </w:r>
            </w:del>
            <w:r w:rsidRPr="008A4F40">
              <w:rPr>
                <w:color w:val="000000"/>
                <w:sz w:val="22"/>
                <w:szCs w:val="22"/>
              </w:rPr>
              <w:t>=</w:t>
            </w:r>
            <w:ins w:id="37" w:author="Author">
              <w:r w:rsidR="00E71F68">
                <w:rPr>
                  <w:color w:val="000000"/>
                  <w:sz w:val="22"/>
                  <w:szCs w:val="22"/>
                </w:rPr>
                <w:t> </w:t>
              </w:r>
            </w:ins>
            <w:del w:id="38" w:author="Author">
              <w:r w:rsidRPr="008A4F40" w:rsidDel="00E71F68">
                <w:rPr>
                  <w:color w:val="000000"/>
                  <w:sz w:val="22"/>
                  <w:szCs w:val="22"/>
                </w:rPr>
                <w:delText xml:space="preserve"> </w:delText>
              </w:r>
            </w:del>
            <w:r w:rsidRPr="008A4F40">
              <w:rPr>
                <w:color w:val="000000"/>
                <w:sz w:val="22"/>
                <w:szCs w:val="22"/>
              </w:rPr>
              <w:t>1,5 ULN</w:t>
            </w:r>
          </w:p>
          <w:p w14:paraId="14CF05AF" w14:textId="77777777" w:rsidR="002C37A4" w:rsidRPr="008A4F40" w:rsidRDefault="002C37A4" w:rsidP="004E7659">
            <w:pPr>
              <w:keepNext/>
              <w:rPr>
                <w:color w:val="000000"/>
                <w:sz w:val="22"/>
                <w:szCs w:val="22"/>
              </w:rPr>
            </w:pPr>
            <w:r w:rsidRPr="008A4F40">
              <w:rPr>
                <w:color w:val="000000"/>
                <w:sz w:val="22"/>
                <w:szCs w:val="22"/>
              </w:rPr>
              <w:t>ASAT &gt; ULN (kann normal oder &lt; ULN sein, wenn Gesamtbilirubin &gt; ULN ist)</w:t>
            </w:r>
          </w:p>
        </w:tc>
      </w:tr>
      <w:tr w:rsidR="002C37A4" w:rsidRPr="008A4F40" w14:paraId="6F8C5CD0" w14:textId="77777777" w:rsidTr="00D1077B">
        <w:trPr>
          <w:cantSplit/>
          <w:trPrChange w:id="39" w:author="Author">
            <w:trPr>
              <w:cantSplit/>
            </w:trPr>
          </w:trPrChange>
        </w:trPr>
        <w:tc>
          <w:tcPr>
            <w:tcW w:w="3319" w:type="dxa"/>
            <w:tcPrChange w:id="40" w:author="Author">
              <w:tcPr>
                <w:tcW w:w="3369" w:type="dxa"/>
                <w:gridSpan w:val="2"/>
              </w:tcPr>
            </w:tcPrChange>
          </w:tcPr>
          <w:p w14:paraId="27240FD4" w14:textId="77777777" w:rsidR="002C37A4" w:rsidRPr="008A4F40" w:rsidRDefault="002C37A4" w:rsidP="004E7659">
            <w:pPr>
              <w:keepNext/>
              <w:rPr>
                <w:color w:val="000000"/>
                <w:sz w:val="22"/>
                <w:szCs w:val="22"/>
              </w:rPr>
            </w:pPr>
            <w:r w:rsidRPr="008A4F40">
              <w:rPr>
                <w:color w:val="000000"/>
                <w:sz w:val="22"/>
                <w:szCs w:val="22"/>
              </w:rPr>
              <w:t>Mäßig</w:t>
            </w:r>
          </w:p>
        </w:tc>
        <w:tc>
          <w:tcPr>
            <w:tcW w:w="5736" w:type="dxa"/>
            <w:gridSpan w:val="2"/>
            <w:tcPrChange w:id="41" w:author="Author">
              <w:tcPr>
                <w:tcW w:w="5912" w:type="dxa"/>
                <w:gridSpan w:val="2"/>
              </w:tcPr>
            </w:tcPrChange>
          </w:tcPr>
          <w:p w14:paraId="2D7FFEAD" w14:textId="77777777" w:rsidR="002C37A4" w:rsidRPr="008A4F40" w:rsidRDefault="002C37A4" w:rsidP="004E7659">
            <w:pPr>
              <w:keepNext/>
              <w:rPr>
                <w:color w:val="000000"/>
                <w:sz w:val="22"/>
                <w:szCs w:val="22"/>
              </w:rPr>
            </w:pPr>
            <w:r w:rsidRPr="008A4F40">
              <w:rPr>
                <w:color w:val="000000"/>
                <w:sz w:val="22"/>
                <w:szCs w:val="22"/>
              </w:rPr>
              <w:t>Gesamtbilirubin &gt; 1,5–3,0 ULN</w:t>
            </w:r>
          </w:p>
          <w:p w14:paraId="2259F157" w14:textId="77777777" w:rsidR="002C37A4" w:rsidRPr="008A4F40" w:rsidRDefault="002C37A4" w:rsidP="004E7659">
            <w:pPr>
              <w:keepNext/>
              <w:rPr>
                <w:color w:val="000000"/>
                <w:sz w:val="22"/>
                <w:szCs w:val="22"/>
              </w:rPr>
            </w:pPr>
            <w:r w:rsidRPr="008A4F40">
              <w:rPr>
                <w:color w:val="000000"/>
                <w:sz w:val="22"/>
                <w:szCs w:val="22"/>
              </w:rPr>
              <w:t>ASAT: beliebig</w:t>
            </w:r>
          </w:p>
        </w:tc>
      </w:tr>
      <w:tr w:rsidR="002C37A4" w:rsidRPr="008A4F40" w14:paraId="61E06EF6" w14:textId="77777777" w:rsidTr="00D1077B">
        <w:trPr>
          <w:cantSplit/>
          <w:trPrChange w:id="42" w:author="Author">
            <w:trPr>
              <w:cantSplit/>
            </w:trPr>
          </w:trPrChange>
        </w:trPr>
        <w:tc>
          <w:tcPr>
            <w:tcW w:w="3319" w:type="dxa"/>
            <w:tcPrChange w:id="43" w:author="Author">
              <w:tcPr>
                <w:tcW w:w="3369" w:type="dxa"/>
                <w:gridSpan w:val="2"/>
              </w:tcPr>
            </w:tcPrChange>
          </w:tcPr>
          <w:p w14:paraId="76D178F7" w14:textId="77777777" w:rsidR="002C37A4" w:rsidRPr="008A4F40" w:rsidRDefault="002C37A4" w:rsidP="004E7659">
            <w:pPr>
              <w:keepNext/>
              <w:rPr>
                <w:color w:val="000000"/>
                <w:sz w:val="22"/>
                <w:szCs w:val="22"/>
              </w:rPr>
            </w:pPr>
            <w:r w:rsidRPr="008A4F40">
              <w:rPr>
                <w:color w:val="000000"/>
                <w:sz w:val="22"/>
                <w:szCs w:val="22"/>
              </w:rPr>
              <w:t>Schwer</w:t>
            </w:r>
          </w:p>
        </w:tc>
        <w:tc>
          <w:tcPr>
            <w:tcW w:w="5736" w:type="dxa"/>
            <w:gridSpan w:val="2"/>
            <w:tcPrChange w:id="44" w:author="Author">
              <w:tcPr>
                <w:tcW w:w="5912" w:type="dxa"/>
                <w:gridSpan w:val="2"/>
              </w:tcPr>
            </w:tcPrChange>
          </w:tcPr>
          <w:p w14:paraId="5D1AA107" w14:textId="77777777" w:rsidR="002C37A4" w:rsidRPr="008A4F40" w:rsidRDefault="002C37A4" w:rsidP="004E7659">
            <w:pPr>
              <w:keepNext/>
              <w:rPr>
                <w:color w:val="000000"/>
                <w:sz w:val="22"/>
                <w:szCs w:val="22"/>
              </w:rPr>
            </w:pPr>
            <w:r w:rsidRPr="008A4F40">
              <w:rPr>
                <w:color w:val="000000"/>
                <w:sz w:val="22"/>
                <w:szCs w:val="22"/>
              </w:rPr>
              <w:t>Gesamtbilirubin &gt; 3–10 ULN</w:t>
            </w:r>
          </w:p>
          <w:p w14:paraId="61A068C6" w14:textId="77777777" w:rsidR="002C37A4" w:rsidRPr="008A4F40" w:rsidRDefault="002C37A4" w:rsidP="004E7659">
            <w:pPr>
              <w:keepNext/>
              <w:rPr>
                <w:color w:val="000000"/>
                <w:sz w:val="22"/>
                <w:szCs w:val="22"/>
              </w:rPr>
            </w:pPr>
            <w:r w:rsidRPr="008A4F40">
              <w:rPr>
                <w:color w:val="000000"/>
                <w:sz w:val="22"/>
                <w:szCs w:val="22"/>
              </w:rPr>
              <w:t>ASAT: beliebig</w:t>
            </w:r>
          </w:p>
        </w:tc>
      </w:tr>
      <w:tr w:rsidR="00E96CC8" w:rsidRPr="00E96CC8" w14:paraId="11BE7B5B" w14:textId="77777777" w:rsidTr="005D2653">
        <w:trPr>
          <w:gridAfter w:val="1"/>
          <w:wAfter w:w="39" w:type="dxa"/>
          <w:cantSplit/>
          <w:ins w:id="45" w:author="Author"/>
        </w:trPr>
        <w:tc>
          <w:tcPr>
            <w:tcW w:w="9055" w:type="dxa"/>
            <w:gridSpan w:val="2"/>
          </w:tcPr>
          <w:p w14:paraId="1140A332" w14:textId="72388B2A" w:rsidR="00E96CC8" w:rsidRPr="007F545D" w:rsidRDefault="00E96CC8" w:rsidP="004E7659">
            <w:pPr>
              <w:keepNext/>
              <w:ind w:firstLine="3"/>
              <w:rPr>
                <w:ins w:id="46" w:author="Author"/>
                <w:color w:val="000000"/>
              </w:rPr>
            </w:pPr>
            <w:ins w:id="47" w:author="Author">
              <w:r w:rsidRPr="007F545D">
                <w:rPr>
                  <w:color w:val="000000"/>
                </w:rPr>
                <w:t>ULN</w:t>
              </w:r>
              <w:r w:rsidR="00976FC2">
                <w:rPr>
                  <w:color w:val="000000"/>
                </w:rPr>
                <w:t> = </w:t>
              </w:r>
              <w:r w:rsidRPr="007F545D">
                <w:rPr>
                  <w:color w:val="000000"/>
                </w:rPr>
                <w:t>Oberer Normwert für das Labor (Upper Limit of Normal)</w:t>
              </w:r>
            </w:ins>
          </w:p>
          <w:p w14:paraId="7D8FD3D5" w14:textId="1C47B564" w:rsidR="00E96CC8" w:rsidRPr="007F545D" w:rsidRDefault="00E96CC8" w:rsidP="004E7659">
            <w:pPr>
              <w:ind w:firstLine="3"/>
              <w:rPr>
                <w:ins w:id="48" w:author="Author"/>
                <w:color w:val="000000"/>
              </w:rPr>
            </w:pPr>
            <w:ins w:id="49" w:author="Author">
              <w:r w:rsidRPr="007F545D">
                <w:rPr>
                  <w:color w:val="000000"/>
                </w:rPr>
                <w:t>ASAT</w:t>
              </w:r>
              <w:r w:rsidR="00976FC2">
                <w:rPr>
                  <w:color w:val="000000"/>
                </w:rPr>
                <w:t> = </w:t>
              </w:r>
              <w:r w:rsidRPr="007F545D">
                <w:rPr>
                  <w:color w:val="000000"/>
                </w:rPr>
                <w:t>Aspartataminotransferase</w:t>
              </w:r>
            </w:ins>
          </w:p>
        </w:tc>
      </w:tr>
    </w:tbl>
    <w:p w14:paraId="7A0DB6F2" w14:textId="4D72D93C" w:rsidR="002C37A4" w:rsidRPr="008A4F40" w:rsidDel="00E96CC8" w:rsidRDefault="002C37A4" w:rsidP="004E7659">
      <w:pPr>
        <w:keepNext/>
        <w:ind w:firstLine="3"/>
        <w:rPr>
          <w:del w:id="50" w:author="Author"/>
          <w:color w:val="000000"/>
          <w:sz w:val="22"/>
          <w:szCs w:val="22"/>
        </w:rPr>
      </w:pPr>
      <w:del w:id="51" w:author="Author">
        <w:r w:rsidRPr="008A4F40" w:rsidDel="00E96CC8">
          <w:rPr>
            <w:color w:val="000000"/>
            <w:sz w:val="22"/>
            <w:szCs w:val="22"/>
          </w:rPr>
          <w:delText>ULN: Oberer Normwert für das Labor (Upper Limit of Normal)</w:delText>
        </w:r>
      </w:del>
    </w:p>
    <w:p w14:paraId="7B304B1C" w14:textId="3253E463" w:rsidR="002C37A4" w:rsidRPr="008A4F40" w:rsidDel="00E96CC8" w:rsidRDefault="002C37A4" w:rsidP="004E7659">
      <w:pPr>
        <w:ind w:firstLine="3"/>
        <w:rPr>
          <w:del w:id="52" w:author="Author"/>
          <w:color w:val="000000"/>
          <w:sz w:val="22"/>
          <w:szCs w:val="22"/>
        </w:rPr>
      </w:pPr>
      <w:del w:id="53" w:author="Author">
        <w:r w:rsidRPr="008A4F40" w:rsidDel="00E96CC8">
          <w:rPr>
            <w:color w:val="000000"/>
            <w:sz w:val="22"/>
            <w:szCs w:val="22"/>
          </w:rPr>
          <w:delText>ASAT: Aspartataminotransferase</w:delText>
        </w:r>
      </w:del>
    </w:p>
    <w:p w14:paraId="06BE7247" w14:textId="77777777" w:rsidR="002C37A4" w:rsidRPr="008A4F40" w:rsidRDefault="002C37A4" w:rsidP="004E7659">
      <w:pPr>
        <w:ind w:firstLine="3"/>
        <w:rPr>
          <w:color w:val="000000"/>
          <w:sz w:val="22"/>
          <w:szCs w:val="22"/>
        </w:rPr>
      </w:pPr>
    </w:p>
    <w:p w14:paraId="4C60FF89" w14:textId="27BED04A" w:rsidR="0043305B" w:rsidRPr="008A4F40" w:rsidRDefault="002C37A4" w:rsidP="004E7659">
      <w:pPr>
        <w:keepNext/>
        <w:ind w:firstLine="6"/>
        <w:rPr>
          <w:color w:val="000000"/>
          <w:sz w:val="22"/>
          <w:szCs w:val="22"/>
          <w:u w:val="single"/>
        </w:rPr>
      </w:pPr>
      <w:r w:rsidRPr="008A4F40">
        <w:rPr>
          <w:i/>
          <w:color w:val="000000"/>
          <w:sz w:val="22"/>
          <w:szCs w:val="22"/>
          <w:u w:val="single"/>
        </w:rPr>
        <w:t>Niereninsuffizienz</w:t>
      </w:r>
    </w:p>
    <w:p w14:paraId="5332C012" w14:textId="21B6D05A" w:rsidR="002C37A4" w:rsidRPr="008A4F40" w:rsidRDefault="002C37A4" w:rsidP="004E7659">
      <w:pPr>
        <w:ind w:firstLine="3"/>
        <w:rPr>
          <w:color w:val="000000"/>
          <w:sz w:val="22"/>
          <w:szCs w:val="22"/>
        </w:rPr>
      </w:pPr>
      <w:r w:rsidRPr="008A4F40">
        <w:rPr>
          <w:color w:val="000000"/>
          <w:sz w:val="22"/>
          <w:szCs w:val="22"/>
        </w:rPr>
        <w:t>Patienten mit Niereninsuffizienz oder dialysepflichtigen Patienten sollte die empfohlene Mindestdosis von 400 mg als Anfangsdosis gegeben werden. Bei diesen Patienten ist jedoch Vorsicht geboten. Die Dosis kann reduziert werden, falls sie nicht vertragen wird. Falls sie vertragen wird, kann die Dosis im Falle fehlender Wirksamkeit erhöht werden (siehe Abschnitte</w:t>
      </w:r>
      <w:ins w:id="54" w:author="Author">
        <w:r w:rsidR="00E96CC8">
          <w:rPr>
            <w:color w:val="000000"/>
            <w:sz w:val="22"/>
            <w:szCs w:val="22"/>
          </w:rPr>
          <w:t> </w:t>
        </w:r>
      </w:ins>
      <w:del w:id="55" w:author="Author">
        <w:r w:rsidRPr="008A4F40" w:rsidDel="00E96CC8">
          <w:rPr>
            <w:color w:val="000000"/>
            <w:sz w:val="22"/>
            <w:szCs w:val="22"/>
          </w:rPr>
          <w:delText xml:space="preserve"> </w:delText>
        </w:r>
      </w:del>
      <w:r w:rsidRPr="008A4F40">
        <w:rPr>
          <w:color w:val="000000"/>
          <w:sz w:val="22"/>
          <w:szCs w:val="22"/>
        </w:rPr>
        <w:t>4.4 und 5.2).</w:t>
      </w:r>
    </w:p>
    <w:p w14:paraId="5CFF47CE" w14:textId="77777777" w:rsidR="002C37A4" w:rsidRPr="008A4F40" w:rsidRDefault="002C37A4" w:rsidP="004E7659">
      <w:pPr>
        <w:ind w:firstLine="3"/>
        <w:rPr>
          <w:color w:val="000000"/>
          <w:sz w:val="22"/>
          <w:szCs w:val="22"/>
        </w:rPr>
      </w:pPr>
    </w:p>
    <w:p w14:paraId="5CAB035B" w14:textId="44469D1B" w:rsidR="0043305B" w:rsidRPr="008A4F40" w:rsidRDefault="002C37A4" w:rsidP="004E7659">
      <w:pPr>
        <w:pStyle w:val="BodyTextIndent2"/>
        <w:keepNext/>
        <w:widowControl/>
        <w:ind w:firstLine="6"/>
        <w:rPr>
          <w:color w:val="000000"/>
          <w:szCs w:val="22"/>
          <w:u w:val="single"/>
        </w:rPr>
      </w:pPr>
      <w:r w:rsidRPr="008A4F40">
        <w:rPr>
          <w:i/>
          <w:color w:val="000000"/>
          <w:szCs w:val="22"/>
          <w:u w:val="single"/>
        </w:rPr>
        <w:t>Ältere P</w:t>
      </w:r>
      <w:r w:rsidR="003D5CBD" w:rsidRPr="008A4F40">
        <w:rPr>
          <w:i/>
          <w:color w:val="000000"/>
          <w:szCs w:val="22"/>
          <w:u w:val="single"/>
        </w:rPr>
        <w:t>ersonen</w:t>
      </w:r>
    </w:p>
    <w:p w14:paraId="48729ECC" w14:textId="7E675168" w:rsidR="002C37A4" w:rsidRPr="008A4F40" w:rsidRDefault="002C37A4" w:rsidP="004E7659">
      <w:pPr>
        <w:pStyle w:val="BodyTextIndent2"/>
        <w:widowControl/>
        <w:rPr>
          <w:color w:val="000000"/>
          <w:szCs w:val="22"/>
        </w:rPr>
      </w:pPr>
      <w:r w:rsidRPr="008A4F40">
        <w:rPr>
          <w:color w:val="000000"/>
          <w:szCs w:val="22"/>
        </w:rPr>
        <w:t>Die Pharmakokinetik von Imatinib wurde bei älteren P</w:t>
      </w:r>
      <w:r w:rsidR="003D5CBD" w:rsidRPr="008A4F40">
        <w:rPr>
          <w:color w:val="000000"/>
          <w:szCs w:val="22"/>
        </w:rPr>
        <w:t>ersonen</w:t>
      </w:r>
      <w:r w:rsidRPr="008A4F40">
        <w:rPr>
          <w:color w:val="000000"/>
          <w:szCs w:val="22"/>
        </w:rPr>
        <w:t xml:space="preserve"> nicht im Einzelnen untersucht. Bei Erwachsenen wurden keine signifikanten altersspezifischen Unterschiede der Pharmakokinetik in klinischen Studien beobachtet, in denen mehr als 20% der Patienten 65 Jahre und älter waren. Bei älteren P</w:t>
      </w:r>
      <w:r w:rsidR="003D5CBD" w:rsidRPr="008A4F40">
        <w:rPr>
          <w:color w:val="000000"/>
          <w:szCs w:val="22"/>
        </w:rPr>
        <w:t>ersonen</w:t>
      </w:r>
      <w:r w:rsidRPr="008A4F40">
        <w:rPr>
          <w:color w:val="000000"/>
          <w:szCs w:val="22"/>
        </w:rPr>
        <w:t xml:space="preserve"> ist keine spezielle Dosisempfehlung notwendig.</w:t>
      </w:r>
    </w:p>
    <w:p w14:paraId="7042E6B3" w14:textId="77777777" w:rsidR="002C37A4" w:rsidRPr="008A4F40" w:rsidRDefault="002C37A4" w:rsidP="004E7659">
      <w:pPr>
        <w:pStyle w:val="Header"/>
        <w:tabs>
          <w:tab w:val="clear" w:pos="4320"/>
          <w:tab w:val="clear" w:pos="8640"/>
        </w:tabs>
        <w:rPr>
          <w:color w:val="000000"/>
          <w:szCs w:val="22"/>
        </w:rPr>
      </w:pPr>
    </w:p>
    <w:p w14:paraId="51996520" w14:textId="77777777" w:rsidR="003A33A6" w:rsidRPr="008A4F40" w:rsidRDefault="003A33A6" w:rsidP="004E7659">
      <w:pPr>
        <w:keepNext/>
        <w:ind w:left="567" w:hanging="567"/>
        <w:rPr>
          <w:color w:val="000000"/>
          <w:sz w:val="22"/>
          <w:szCs w:val="22"/>
        </w:rPr>
      </w:pPr>
      <w:r w:rsidRPr="008A4F40">
        <w:rPr>
          <w:b/>
          <w:color w:val="000000"/>
          <w:sz w:val="22"/>
          <w:szCs w:val="22"/>
        </w:rPr>
        <w:t>4.3</w:t>
      </w:r>
      <w:r w:rsidRPr="008A4F40">
        <w:rPr>
          <w:b/>
          <w:color w:val="000000"/>
          <w:sz w:val="22"/>
          <w:szCs w:val="22"/>
        </w:rPr>
        <w:tab/>
        <w:t>Gegenanzeigen</w:t>
      </w:r>
    </w:p>
    <w:p w14:paraId="04C95F76" w14:textId="77777777" w:rsidR="003A33A6" w:rsidRPr="008A4F40" w:rsidRDefault="003A33A6" w:rsidP="004E7659">
      <w:pPr>
        <w:pStyle w:val="BodyText3"/>
        <w:keepNext/>
        <w:rPr>
          <w:color w:val="000000"/>
          <w:szCs w:val="22"/>
        </w:rPr>
      </w:pPr>
    </w:p>
    <w:p w14:paraId="3C5FD562" w14:textId="34BF50F6" w:rsidR="003A33A6" w:rsidRPr="008A4F40" w:rsidRDefault="003A33A6" w:rsidP="004E7659">
      <w:pPr>
        <w:pStyle w:val="BodyText3"/>
        <w:rPr>
          <w:color w:val="000000"/>
          <w:szCs w:val="22"/>
        </w:rPr>
      </w:pPr>
      <w:r w:rsidRPr="008A4F40">
        <w:rPr>
          <w:color w:val="000000"/>
          <w:szCs w:val="22"/>
        </w:rPr>
        <w:t>Überempfindlichkeit gegen den Wirkstoff oder einen der in Abschnitt</w:t>
      </w:r>
      <w:ins w:id="56" w:author="Author">
        <w:r w:rsidR="00E96CC8">
          <w:rPr>
            <w:color w:val="000000"/>
            <w:szCs w:val="22"/>
          </w:rPr>
          <w:t> </w:t>
        </w:r>
      </w:ins>
      <w:del w:id="57" w:author="Author">
        <w:r w:rsidRPr="008A4F40" w:rsidDel="00E96CC8">
          <w:rPr>
            <w:color w:val="000000"/>
            <w:szCs w:val="22"/>
          </w:rPr>
          <w:delText xml:space="preserve"> </w:delText>
        </w:r>
      </w:del>
      <w:r w:rsidRPr="008A4F40">
        <w:rPr>
          <w:color w:val="000000"/>
          <w:szCs w:val="22"/>
        </w:rPr>
        <w:t>6.1 genannten sonstigen Bestandteile.</w:t>
      </w:r>
    </w:p>
    <w:p w14:paraId="4389EE30" w14:textId="77777777" w:rsidR="003A33A6" w:rsidRPr="008A4F40" w:rsidRDefault="003A33A6" w:rsidP="004E7659">
      <w:pPr>
        <w:rPr>
          <w:color w:val="000000"/>
          <w:sz w:val="22"/>
          <w:szCs w:val="22"/>
        </w:rPr>
      </w:pPr>
    </w:p>
    <w:p w14:paraId="1D837C42" w14:textId="77777777" w:rsidR="003A33A6" w:rsidRPr="008A4F40" w:rsidRDefault="003A33A6" w:rsidP="004E7659">
      <w:pPr>
        <w:keepNext/>
        <w:ind w:left="567" w:hanging="567"/>
        <w:rPr>
          <w:color w:val="000000"/>
          <w:sz w:val="22"/>
          <w:szCs w:val="22"/>
        </w:rPr>
      </w:pPr>
      <w:r w:rsidRPr="008A4F40">
        <w:rPr>
          <w:b/>
          <w:color w:val="000000"/>
          <w:sz w:val="22"/>
          <w:szCs w:val="22"/>
        </w:rPr>
        <w:t>4.4</w:t>
      </w:r>
      <w:r w:rsidRPr="008A4F40">
        <w:rPr>
          <w:b/>
          <w:color w:val="000000"/>
          <w:sz w:val="22"/>
          <w:szCs w:val="22"/>
        </w:rPr>
        <w:tab/>
        <w:t>Besondere Warnhinweise und Vorsichtsmaßnahmen für die Anwendung</w:t>
      </w:r>
    </w:p>
    <w:p w14:paraId="5842BB21" w14:textId="77777777" w:rsidR="003A33A6" w:rsidRPr="008A4F40" w:rsidRDefault="003A33A6" w:rsidP="004E7659">
      <w:pPr>
        <w:keepNext/>
        <w:rPr>
          <w:color w:val="000000"/>
          <w:sz w:val="22"/>
          <w:szCs w:val="22"/>
        </w:rPr>
      </w:pPr>
    </w:p>
    <w:p w14:paraId="1311C1F3" w14:textId="691CC36D" w:rsidR="003A33A6" w:rsidRPr="008A4F40" w:rsidRDefault="003A33A6" w:rsidP="004E7659">
      <w:pPr>
        <w:rPr>
          <w:color w:val="000000"/>
          <w:sz w:val="22"/>
          <w:szCs w:val="22"/>
        </w:rPr>
      </w:pPr>
      <w:r w:rsidRPr="008A4F40">
        <w:rPr>
          <w:color w:val="000000"/>
          <w:sz w:val="22"/>
          <w:szCs w:val="22"/>
        </w:rPr>
        <w:t>Wenn Glivec gemeinsam mit anderen Arzneimitteln gegeben wird, können Wechselwirkungen auftreten. Vorsicht ist geboten bei der Einnahme von Glivec mit Proteaseinhibitoren, Azol-Antimykotika, bestimmten Makroliden (siehe Abschnitt 4.5), Substraten von CYP3A4 mit einer engen therapeutischen Breite (z. B. Ciclosporin, Pimozid, Tacrolimus, Sirolimus, Ergotamin, Diergotamin, Fentanyl, Alfentanil, Terfenadin, Bortezomib, Docetaxel, Chinidin) oder Warfarin und anderen Cumarin-Derivaten</w:t>
      </w:r>
      <w:r w:rsidRPr="008A4F40" w:rsidDel="004A29F3">
        <w:rPr>
          <w:color w:val="000000"/>
          <w:sz w:val="22"/>
          <w:szCs w:val="22"/>
        </w:rPr>
        <w:t xml:space="preserve"> </w:t>
      </w:r>
      <w:r w:rsidRPr="008A4F40">
        <w:rPr>
          <w:color w:val="000000"/>
          <w:sz w:val="22"/>
          <w:szCs w:val="22"/>
        </w:rPr>
        <w:t>(siehe Abschnitt</w:t>
      </w:r>
      <w:ins w:id="58" w:author="Author">
        <w:r w:rsidR="00E96CC8">
          <w:rPr>
            <w:color w:val="000000"/>
            <w:sz w:val="22"/>
            <w:szCs w:val="22"/>
          </w:rPr>
          <w:t> </w:t>
        </w:r>
      </w:ins>
      <w:del w:id="59" w:author="Author">
        <w:r w:rsidRPr="008A4F40" w:rsidDel="00E96CC8">
          <w:rPr>
            <w:color w:val="000000"/>
            <w:sz w:val="22"/>
            <w:szCs w:val="22"/>
          </w:rPr>
          <w:delText xml:space="preserve"> </w:delText>
        </w:r>
      </w:del>
      <w:r w:rsidRPr="008A4F40">
        <w:rPr>
          <w:color w:val="000000"/>
          <w:sz w:val="22"/>
          <w:szCs w:val="22"/>
        </w:rPr>
        <w:t>4.5).</w:t>
      </w:r>
    </w:p>
    <w:p w14:paraId="2B4A3C67" w14:textId="77777777" w:rsidR="003A33A6" w:rsidRPr="008A4F40" w:rsidRDefault="003A33A6" w:rsidP="004E7659">
      <w:pPr>
        <w:rPr>
          <w:color w:val="000000"/>
          <w:sz w:val="22"/>
          <w:szCs w:val="22"/>
        </w:rPr>
      </w:pPr>
    </w:p>
    <w:p w14:paraId="59FC0CF0" w14:textId="772108D4" w:rsidR="003A33A6" w:rsidRPr="008A4F40" w:rsidRDefault="003A33A6" w:rsidP="004E7659">
      <w:pPr>
        <w:rPr>
          <w:color w:val="000000"/>
          <w:sz w:val="22"/>
          <w:szCs w:val="22"/>
        </w:rPr>
      </w:pPr>
      <w:r w:rsidRPr="008A4F40">
        <w:rPr>
          <w:color w:val="000000"/>
          <w:sz w:val="22"/>
          <w:szCs w:val="22"/>
        </w:rPr>
        <w:t>Bei gleichzeitiger Anwendung von Imatinib und Arzneimitteln, die die Aktivität von CYP3A4 induzieren (z. B. Dexamethason, Phenytoin, Carbamazepin, Rifampicin, Phenobarbital oder Johanniskraut), kann die Imatinib-Konzentration signifikant verringert werden. Dadurch kann möglicherweise das Risiko eines Therapieversagens erhöht werden. Daher soll die gleichzeitige Anwendung von starken CYP3A4-Induktoren und Imatinib vermieden werden (siehe Abschnitt</w:t>
      </w:r>
      <w:ins w:id="60" w:author="Author">
        <w:r w:rsidR="00E96CC8">
          <w:rPr>
            <w:color w:val="000000"/>
            <w:sz w:val="22"/>
            <w:szCs w:val="22"/>
          </w:rPr>
          <w:t> </w:t>
        </w:r>
      </w:ins>
      <w:del w:id="61" w:author="Author">
        <w:r w:rsidRPr="008A4F40" w:rsidDel="00E96CC8">
          <w:rPr>
            <w:color w:val="000000"/>
            <w:sz w:val="22"/>
            <w:szCs w:val="22"/>
          </w:rPr>
          <w:delText xml:space="preserve"> </w:delText>
        </w:r>
      </w:del>
      <w:r w:rsidRPr="008A4F40">
        <w:rPr>
          <w:color w:val="000000"/>
          <w:sz w:val="22"/>
          <w:szCs w:val="22"/>
        </w:rPr>
        <w:t>4.5).</w:t>
      </w:r>
    </w:p>
    <w:p w14:paraId="35894501" w14:textId="77777777" w:rsidR="003A33A6" w:rsidRPr="008A4F40" w:rsidRDefault="003A33A6" w:rsidP="004E7659">
      <w:pPr>
        <w:rPr>
          <w:color w:val="000000"/>
          <w:sz w:val="22"/>
          <w:szCs w:val="22"/>
        </w:rPr>
      </w:pPr>
    </w:p>
    <w:p w14:paraId="6E290DD4" w14:textId="0C5B60EF" w:rsidR="003A33A6" w:rsidRPr="008A4F40" w:rsidRDefault="003A33A6" w:rsidP="004E7659">
      <w:pPr>
        <w:keepNext/>
        <w:rPr>
          <w:color w:val="000000"/>
          <w:sz w:val="22"/>
          <w:szCs w:val="22"/>
          <w:u w:val="single"/>
        </w:rPr>
      </w:pPr>
      <w:r w:rsidRPr="008A4F40">
        <w:rPr>
          <w:color w:val="000000"/>
          <w:sz w:val="22"/>
          <w:szCs w:val="22"/>
          <w:u w:val="single"/>
        </w:rPr>
        <w:t>Hypothyreoidismus</w:t>
      </w:r>
    </w:p>
    <w:p w14:paraId="28A264D4" w14:textId="77777777" w:rsidR="0043305B" w:rsidRPr="008A4F40" w:rsidRDefault="0043305B" w:rsidP="004E7659">
      <w:pPr>
        <w:keepNext/>
        <w:rPr>
          <w:color w:val="000000"/>
          <w:sz w:val="22"/>
          <w:szCs w:val="22"/>
          <w:u w:val="single"/>
        </w:rPr>
      </w:pPr>
    </w:p>
    <w:p w14:paraId="38046F62" w14:textId="77777777" w:rsidR="003A33A6" w:rsidRPr="008A4F40" w:rsidRDefault="003A33A6" w:rsidP="004E7659">
      <w:pPr>
        <w:rPr>
          <w:color w:val="000000"/>
          <w:sz w:val="22"/>
          <w:szCs w:val="22"/>
        </w:rPr>
      </w:pPr>
      <w:r w:rsidRPr="008A4F40">
        <w:rPr>
          <w:color w:val="000000"/>
          <w:sz w:val="22"/>
          <w:szCs w:val="22"/>
        </w:rPr>
        <w:t>Es wurden klinische Fälle von Hypothyreoidismus berichtet bei Patienten nach Thyreoidektomie, die während der Behandlung mit Glivec eine Levothyroxin-Ersatztherapie erhielten (siehe Abschnitt 4.5). Bei diesen Patienten sollten die TSH-Werte (Thyreoid-stimulierendes Hormon) engmaschig überwacht werden.</w:t>
      </w:r>
    </w:p>
    <w:p w14:paraId="1D31D5B3" w14:textId="77777777" w:rsidR="003A33A6" w:rsidRPr="008A4F40" w:rsidRDefault="003A33A6" w:rsidP="004E7659">
      <w:pPr>
        <w:rPr>
          <w:color w:val="000000"/>
          <w:sz w:val="22"/>
          <w:szCs w:val="22"/>
        </w:rPr>
      </w:pPr>
    </w:p>
    <w:p w14:paraId="1BDFF85D" w14:textId="48F05574" w:rsidR="003A33A6" w:rsidRPr="008A4F40" w:rsidRDefault="003A33A6" w:rsidP="004E7659">
      <w:pPr>
        <w:keepNext/>
        <w:rPr>
          <w:color w:val="000000"/>
          <w:sz w:val="22"/>
          <w:szCs w:val="22"/>
          <w:u w:val="single"/>
        </w:rPr>
      </w:pPr>
      <w:r w:rsidRPr="008A4F40">
        <w:rPr>
          <w:color w:val="000000"/>
          <w:sz w:val="22"/>
          <w:szCs w:val="22"/>
          <w:u w:val="single"/>
        </w:rPr>
        <w:t>Hepatotoxizität</w:t>
      </w:r>
    </w:p>
    <w:p w14:paraId="470B1137" w14:textId="77777777" w:rsidR="0043305B" w:rsidRPr="008A4F40" w:rsidRDefault="0043305B" w:rsidP="004E7659">
      <w:pPr>
        <w:keepNext/>
        <w:rPr>
          <w:color w:val="000000"/>
          <w:sz w:val="22"/>
          <w:szCs w:val="22"/>
          <w:u w:val="single"/>
        </w:rPr>
      </w:pPr>
    </w:p>
    <w:p w14:paraId="7A47D46F" w14:textId="19F62A44" w:rsidR="003A33A6" w:rsidRPr="008A4F40" w:rsidRDefault="003A33A6" w:rsidP="004E7659">
      <w:pPr>
        <w:rPr>
          <w:color w:val="000000"/>
          <w:sz w:val="22"/>
          <w:szCs w:val="22"/>
        </w:rPr>
      </w:pPr>
      <w:r w:rsidRPr="008A4F40">
        <w:rPr>
          <w:color w:val="000000"/>
          <w:sz w:val="22"/>
          <w:szCs w:val="22"/>
        </w:rPr>
        <w:t>Glivec wird hauptsächlich über die Leber metabolisiert und nur 13% werden über die Nieren ausgeschieden. Bei Patienten mit Leberfunktionsstörungen (leicht, mäßig oder schwer) müssen das periphere Blutbild und die Leberen</w:t>
      </w:r>
      <w:del w:id="62" w:author="Author">
        <w:r w:rsidRPr="008A4F40" w:rsidDel="004E7659">
          <w:rPr>
            <w:color w:val="000000"/>
            <w:sz w:val="22"/>
            <w:szCs w:val="22"/>
          </w:rPr>
          <w:softHyphen/>
        </w:r>
      </w:del>
      <w:r w:rsidRPr="008A4F40">
        <w:rPr>
          <w:color w:val="000000"/>
          <w:sz w:val="22"/>
          <w:szCs w:val="22"/>
        </w:rPr>
        <w:t>zyme sorgfältig überwacht werden (siehe Abschnitte</w:t>
      </w:r>
      <w:ins w:id="63" w:author="Author">
        <w:r w:rsidR="00E96CC8">
          <w:rPr>
            <w:color w:val="000000"/>
            <w:sz w:val="22"/>
            <w:szCs w:val="22"/>
          </w:rPr>
          <w:t> </w:t>
        </w:r>
      </w:ins>
      <w:del w:id="64" w:author="Author">
        <w:r w:rsidRPr="008A4F40" w:rsidDel="00E96CC8">
          <w:rPr>
            <w:color w:val="000000"/>
            <w:sz w:val="22"/>
            <w:szCs w:val="22"/>
          </w:rPr>
          <w:delText xml:space="preserve"> </w:delText>
        </w:r>
      </w:del>
      <w:r w:rsidRPr="008A4F40">
        <w:rPr>
          <w:color w:val="000000"/>
          <w:sz w:val="22"/>
          <w:szCs w:val="22"/>
        </w:rPr>
        <w:t>4.2, 4.8 und 5.2). Es sollte beachtet werden, dass GIST-Patienten Lebermetastasen haben können, die zu einer Funktionseinschränkung der Leber führen können.</w:t>
      </w:r>
    </w:p>
    <w:p w14:paraId="30AD9F8F" w14:textId="77777777" w:rsidR="003A33A6" w:rsidRPr="008A4F40" w:rsidRDefault="003A33A6" w:rsidP="004E7659">
      <w:pPr>
        <w:rPr>
          <w:color w:val="000000"/>
          <w:sz w:val="22"/>
          <w:szCs w:val="22"/>
        </w:rPr>
      </w:pPr>
    </w:p>
    <w:p w14:paraId="0FCF06E5" w14:textId="1387B1B9" w:rsidR="003A33A6" w:rsidRPr="008A4F40" w:rsidRDefault="003A33A6" w:rsidP="004E7659">
      <w:pPr>
        <w:rPr>
          <w:color w:val="000000"/>
          <w:sz w:val="22"/>
          <w:szCs w:val="22"/>
        </w:rPr>
      </w:pPr>
      <w:r w:rsidRPr="008A4F40">
        <w:rPr>
          <w:color w:val="000000"/>
          <w:sz w:val="22"/>
          <w:szCs w:val="22"/>
        </w:rPr>
        <w:t>Es wurden Fälle von Leberschäden, einschließlich Leberversagen und Lebernekrosen berichtet. Bei der Kombination von Imatinib mit hoch dosierten Chemotherapieschemata wurde ein Anstieg an schwerwiegenden Leberreaktionen festgestellt. Die Leberfunktion sollte sorgfältig überwacht werden, wenn Imatinib mit Chemotherapieschemata kombiniert wird, die bekanntermaßen eine Leberfunktionsstörung hervorrufen können (siehe Abschnitte</w:t>
      </w:r>
      <w:ins w:id="65" w:author="Author">
        <w:r w:rsidR="00E96CC8">
          <w:rPr>
            <w:color w:val="000000"/>
            <w:sz w:val="22"/>
            <w:szCs w:val="22"/>
          </w:rPr>
          <w:t> </w:t>
        </w:r>
      </w:ins>
      <w:del w:id="66" w:author="Author">
        <w:r w:rsidRPr="008A4F40" w:rsidDel="00E96CC8">
          <w:rPr>
            <w:color w:val="000000"/>
            <w:sz w:val="22"/>
            <w:szCs w:val="22"/>
          </w:rPr>
          <w:delText xml:space="preserve"> </w:delText>
        </w:r>
      </w:del>
      <w:r w:rsidRPr="008A4F40">
        <w:rPr>
          <w:color w:val="000000"/>
          <w:sz w:val="22"/>
          <w:szCs w:val="22"/>
        </w:rPr>
        <w:t>4.5 und 4.8).</w:t>
      </w:r>
    </w:p>
    <w:p w14:paraId="14483FC8" w14:textId="77777777" w:rsidR="003A33A6" w:rsidRPr="008A4F40" w:rsidRDefault="003A33A6" w:rsidP="004E7659">
      <w:pPr>
        <w:rPr>
          <w:color w:val="000000"/>
          <w:sz w:val="22"/>
          <w:szCs w:val="22"/>
        </w:rPr>
      </w:pPr>
    </w:p>
    <w:p w14:paraId="32C3A529" w14:textId="352C763D" w:rsidR="003A33A6" w:rsidRPr="008A4F40" w:rsidRDefault="003A33A6" w:rsidP="004E7659">
      <w:pPr>
        <w:keepNext/>
        <w:rPr>
          <w:color w:val="000000"/>
          <w:sz w:val="22"/>
          <w:szCs w:val="22"/>
          <w:u w:val="single"/>
        </w:rPr>
      </w:pPr>
      <w:r w:rsidRPr="008A4F40">
        <w:rPr>
          <w:color w:val="000000"/>
          <w:sz w:val="22"/>
          <w:szCs w:val="22"/>
          <w:u w:val="single"/>
        </w:rPr>
        <w:t>Flüssigkeitsretention</w:t>
      </w:r>
    </w:p>
    <w:p w14:paraId="05C0CBAB" w14:textId="77777777" w:rsidR="0043305B" w:rsidRPr="008A4F40" w:rsidRDefault="0043305B" w:rsidP="004E7659">
      <w:pPr>
        <w:keepNext/>
        <w:rPr>
          <w:color w:val="000000"/>
          <w:sz w:val="22"/>
          <w:szCs w:val="22"/>
          <w:u w:val="single"/>
        </w:rPr>
      </w:pPr>
    </w:p>
    <w:p w14:paraId="16A3F701" w14:textId="77777777" w:rsidR="003A33A6" w:rsidRPr="008A4F40" w:rsidRDefault="003A33A6" w:rsidP="004E7659">
      <w:pPr>
        <w:rPr>
          <w:color w:val="000000"/>
          <w:sz w:val="22"/>
          <w:szCs w:val="22"/>
        </w:rPr>
      </w:pPr>
      <w:r w:rsidRPr="008A4F40">
        <w:rPr>
          <w:color w:val="000000"/>
          <w:sz w:val="22"/>
          <w:szCs w:val="22"/>
        </w:rPr>
        <w:t>Bei etwa 2,5% der Patienten mit neu diagnostizierter CML wurde nach Einnahme von Glivec über das Auftreten einer schweren Flüssigkeitsretention (Pleuraerguss, Ödem, Lungenödem, Aszites, oberflächliches Ödem) berichtet. Es wird daher das regelmä</w:t>
      </w:r>
      <w:del w:id="67" w:author="Author">
        <w:r w:rsidRPr="008A4F40" w:rsidDel="004E7659">
          <w:rPr>
            <w:color w:val="000000"/>
            <w:sz w:val="22"/>
            <w:szCs w:val="22"/>
          </w:rPr>
          <w:softHyphen/>
        </w:r>
      </w:del>
      <w:r w:rsidRPr="008A4F40">
        <w:rPr>
          <w:color w:val="000000"/>
          <w:sz w:val="22"/>
          <w:szCs w:val="22"/>
        </w:rPr>
        <w:t>ßige Wiegen der Patienten dringend empfohlen. Eine unerwartete schnelle Gewichtszunahme muss sorg</w:t>
      </w:r>
      <w:del w:id="68" w:author="Author">
        <w:r w:rsidRPr="008A4F40" w:rsidDel="004E7659">
          <w:rPr>
            <w:color w:val="000000"/>
            <w:sz w:val="22"/>
            <w:szCs w:val="22"/>
          </w:rPr>
          <w:softHyphen/>
        </w:r>
      </w:del>
      <w:r w:rsidRPr="008A4F40">
        <w:rPr>
          <w:color w:val="000000"/>
          <w:sz w:val="22"/>
          <w:szCs w:val="22"/>
        </w:rPr>
        <w:t>fältig untersucht und soweit erforderlich müssen eine geeignete unterstützende Behandlung und thera</w:t>
      </w:r>
      <w:del w:id="69" w:author="Author">
        <w:r w:rsidRPr="008A4F40" w:rsidDel="004E7659">
          <w:rPr>
            <w:color w:val="000000"/>
            <w:sz w:val="22"/>
            <w:szCs w:val="22"/>
          </w:rPr>
          <w:softHyphen/>
        </w:r>
      </w:del>
      <w:r w:rsidRPr="008A4F40">
        <w:rPr>
          <w:color w:val="000000"/>
          <w:sz w:val="22"/>
          <w:szCs w:val="22"/>
        </w:rPr>
        <w:t>peutische Maßnahmen eingeleitet werden. In klinischen Studien war die Häufigkeit dieser Ereignisse bei älteren Personen und bei Patienten mit Herzerkrankungen in der Vorgeschichte erhöht. Daher ist bei Patienten mit kardialen Funktionsstörungen Vorsicht angezeigt.</w:t>
      </w:r>
    </w:p>
    <w:p w14:paraId="2B47A46D" w14:textId="77777777" w:rsidR="003A33A6" w:rsidRPr="008A4F40" w:rsidRDefault="003A33A6" w:rsidP="004E7659">
      <w:pPr>
        <w:rPr>
          <w:color w:val="000000"/>
          <w:sz w:val="22"/>
          <w:szCs w:val="22"/>
        </w:rPr>
      </w:pPr>
    </w:p>
    <w:p w14:paraId="767BB2E0" w14:textId="27026F55" w:rsidR="003A33A6" w:rsidRPr="008A4F40" w:rsidRDefault="003A33A6" w:rsidP="004E7659">
      <w:pPr>
        <w:keepNext/>
        <w:rPr>
          <w:color w:val="000000"/>
          <w:sz w:val="22"/>
          <w:szCs w:val="22"/>
          <w:u w:val="single"/>
        </w:rPr>
      </w:pPr>
      <w:r w:rsidRPr="008A4F40">
        <w:rPr>
          <w:color w:val="000000"/>
          <w:sz w:val="22"/>
          <w:szCs w:val="22"/>
          <w:u w:val="single"/>
        </w:rPr>
        <w:t>Patienten mit Herzerkrankungen</w:t>
      </w:r>
    </w:p>
    <w:p w14:paraId="2375E0CE" w14:textId="77777777" w:rsidR="0043305B" w:rsidRPr="008A4F40" w:rsidRDefault="0043305B" w:rsidP="004E7659">
      <w:pPr>
        <w:keepNext/>
        <w:rPr>
          <w:color w:val="000000"/>
          <w:sz w:val="22"/>
          <w:szCs w:val="22"/>
          <w:u w:val="single"/>
        </w:rPr>
      </w:pPr>
    </w:p>
    <w:p w14:paraId="028A2DF2" w14:textId="0B32E8F6" w:rsidR="003A33A6" w:rsidRPr="008A4F40" w:rsidRDefault="003A33A6" w:rsidP="004E7659">
      <w:pPr>
        <w:rPr>
          <w:color w:val="000000"/>
          <w:sz w:val="22"/>
          <w:szCs w:val="22"/>
        </w:rPr>
      </w:pPr>
      <w:r w:rsidRPr="008A4F40">
        <w:rPr>
          <w:color w:val="000000"/>
          <w:sz w:val="22"/>
          <w:szCs w:val="22"/>
        </w:rPr>
        <w:t>Patienten mit Herzerkrankungen, Risikofaktoren für eine Herzinsuffizienz oder mit Niereninsuffizienz in der Vorgeschichte sollten sorgfältig überwacht werden. Alle Patienten mit Anzeichen oder Symptomen, die auf eine Herz-</w:t>
      </w:r>
      <w:r w:rsidR="00781F7F">
        <w:rPr>
          <w:color w:val="000000"/>
          <w:sz w:val="22"/>
          <w:szCs w:val="22"/>
        </w:rPr>
        <w:t xml:space="preserve"> </w:t>
      </w:r>
      <w:r w:rsidRPr="008A4F40">
        <w:rPr>
          <w:color w:val="000000"/>
          <w:sz w:val="22"/>
          <w:szCs w:val="22"/>
        </w:rPr>
        <w:t>oder Niereninsuffizienz hindeuten, sollten untersucht und entsprechend behandelt werden.</w:t>
      </w:r>
    </w:p>
    <w:p w14:paraId="0A11460E" w14:textId="77777777" w:rsidR="003A33A6" w:rsidRPr="008A4F40" w:rsidRDefault="003A33A6" w:rsidP="004E7659">
      <w:pPr>
        <w:rPr>
          <w:color w:val="000000"/>
          <w:sz w:val="22"/>
          <w:szCs w:val="22"/>
        </w:rPr>
      </w:pPr>
    </w:p>
    <w:p w14:paraId="53B92FD9" w14:textId="77777777" w:rsidR="003A33A6" w:rsidRPr="008A4F40" w:rsidRDefault="003A33A6" w:rsidP="004E7659">
      <w:pPr>
        <w:rPr>
          <w:color w:val="000000"/>
          <w:sz w:val="22"/>
          <w:szCs w:val="22"/>
        </w:rPr>
      </w:pPr>
      <w:r w:rsidRPr="008A4F40">
        <w:rPr>
          <w:color w:val="000000"/>
          <w:sz w:val="22"/>
          <w:szCs w:val="22"/>
        </w:rPr>
        <w:t>Bei Patienten mit hypereosinophilem Syndrom (HES) mit okkulter Infiltration von HES-Zellen innerhalb des Myokards wurden Einzelfälle von kardiogenem Schock/Linksherzinsuffizienz mit einer HES-Zelldegranulation nach dem Beginn der Imatinib-Therapie in Verbindung gebracht. Es wurde berichtet, dass der Zustand durch Gabe systemischer Steroide, kreislaufstützende Maßnahmen und vorübergehendes Absetzen von Imatinib reversibel war. Da gelegentlich kardiale Nebenwirkungen im Zusammenhang mit Imatinib berichtet wurden, sollte bei HES/</w:t>
      </w:r>
      <w:smartTag w:uri="urn:schemas-microsoft-com:office:smarttags" w:element="stockticker">
        <w:r w:rsidRPr="008A4F40">
          <w:rPr>
            <w:color w:val="000000"/>
            <w:sz w:val="22"/>
            <w:szCs w:val="22"/>
          </w:rPr>
          <w:t>CEL</w:t>
        </w:r>
      </w:smartTag>
      <w:r w:rsidRPr="008A4F40">
        <w:rPr>
          <w:color w:val="000000"/>
          <w:sz w:val="22"/>
          <w:szCs w:val="22"/>
        </w:rPr>
        <w:t>-Patienten vor Beginn der Behandlung eine sorgfältige Nutzen-Risiko-Abschätzung erwogen werden.</w:t>
      </w:r>
    </w:p>
    <w:p w14:paraId="026D817A" w14:textId="77777777" w:rsidR="003A33A6" w:rsidRPr="008A4F40" w:rsidRDefault="003A33A6" w:rsidP="004E7659">
      <w:pPr>
        <w:rPr>
          <w:color w:val="000000"/>
          <w:sz w:val="22"/>
          <w:szCs w:val="22"/>
        </w:rPr>
      </w:pPr>
    </w:p>
    <w:p w14:paraId="3E0CCDDB" w14:textId="78663E68" w:rsidR="003A33A6" w:rsidRPr="008A4F40" w:rsidRDefault="003A33A6" w:rsidP="004E7659">
      <w:pPr>
        <w:rPr>
          <w:color w:val="000000"/>
          <w:sz w:val="22"/>
          <w:szCs w:val="22"/>
        </w:rPr>
      </w:pPr>
      <w:r w:rsidRPr="008A4F40">
        <w:rPr>
          <w:color w:val="000000"/>
          <w:sz w:val="22"/>
          <w:szCs w:val="22"/>
        </w:rPr>
        <w:t>Myelodysplastische/myeloproliferative Erkrankungen mit PDGFR-Genumlagerungen können von hohen Werten eosinophiler Granulozyten begleitet sein. Daher sollten vor der Gabe von Imatinib die Untersuchung durch einen Kardiologen, die Aufnahme eines Echokardiogramms und die Bestimmung von Serum-Troponin bei Patienten mit HES/</w:t>
      </w:r>
      <w:smartTag w:uri="urn:schemas-microsoft-com:office:smarttags" w:element="stockticker">
        <w:r w:rsidRPr="008A4F40">
          <w:rPr>
            <w:color w:val="000000"/>
            <w:sz w:val="22"/>
            <w:szCs w:val="22"/>
          </w:rPr>
          <w:t>CEL</w:t>
        </w:r>
      </w:smartTag>
      <w:r w:rsidRPr="008A4F40">
        <w:rPr>
          <w:color w:val="000000"/>
          <w:sz w:val="22"/>
          <w:szCs w:val="22"/>
        </w:rPr>
        <w:t xml:space="preserve"> sowie mit </w:t>
      </w:r>
      <w:smartTag w:uri="urn:schemas-microsoft-com:office:smarttags" w:element="stockticker">
        <w:r w:rsidRPr="008A4F40">
          <w:rPr>
            <w:color w:val="000000"/>
            <w:sz w:val="22"/>
            <w:szCs w:val="22"/>
          </w:rPr>
          <w:t>MDS</w:t>
        </w:r>
      </w:smartTag>
      <w:r w:rsidRPr="008A4F40">
        <w:rPr>
          <w:color w:val="000000"/>
          <w:sz w:val="22"/>
          <w:szCs w:val="22"/>
        </w:rPr>
        <w:t>/MPD in Verbindung mit hohen Eosinophilen-Werten erwogen werden. Wenn einer der Befunde anormal ist, sollten eine weitere Untersuchung durch einen Kardiologen sowie zu Beginn der Therapie prophylaktisch die gleichzeitige Gabe von systemischen Steroiden (1</w:t>
      </w:r>
      <w:ins w:id="70" w:author="Author">
        <w:r w:rsidR="00A17709" w:rsidRPr="008A4F40">
          <w:rPr>
            <w:color w:val="000000"/>
            <w:sz w:val="22"/>
            <w:szCs w:val="22"/>
          </w:rPr>
          <w:t>–</w:t>
        </w:r>
      </w:ins>
      <w:del w:id="71" w:author="Author">
        <w:r w:rsidRPr="008A4F40" w:rsidDel="00A17709">
          <w:rPr>
            <w:color w:val="000000"/>
            <w:sz w:val="22"/>
            <w:szCs w:val="22"/>
          </w:rPr>
          <w:noBreakHyphen/>
        </w:r>
      </w:del>
      <w:r w:rsidRPr="008A4F40">
        <w:rPr>
          <w:color w:val="000000"/>
          <w:sz w:val="22"/>
          <w:szCs w:val="22"/>
        </w:rPr>
        <w:t>2 mg/kg) über ein bis zwei Wochen gemeinsam mit Imatinib erwogen werden.</w:t>
      </w:r>
    </w:p>
    <w:p w14:paraId="0C422EAB" w14:textId="77777777" w:rsidR="003A33A6" w:rsidRPr="008A4F40" w:rsidRDefault="003A33A6" w:rsidP="004E7659">
      <w:pPr>
        <w:rPr>
          <w:color w:val="000000"/>
          <w:sz w:val="22"/>
          <w:szCs w:val="22"/>
        </w:rPr>
      </w:pPr>
    </w:p>
    <w:p w14:paraId="62051403" w14:textId="3335B228" w:rsidR="003A33A6" w:rsidRPr="008A4F40" w:rsidRDefault="003A33A6" w:rsidP="004E7659">
      <w:pPr>
        <w:keepNext/>
        <w:rPr>
          <w:color w:val="000000"/>
          <w:sz w:val="22"/>
          <w:szCs w:val="22"/>
          <w:u w:val="single"/>
        </w:rPr>
      </w:pPr>
      <w:r w:rsidRPr="008A4F40">
        <w:rPr>
          <w:color w:val="000000"/>
          <w:sz w:val="22"/>
          <w:szCs w:val="22"/>
          <w:u w:val="single"/>
        </w:rPr>
        <w:t>Gastrointestinale Blutungen</w:t>
      </w:r>
    </w:p>
    <w:p w14:paraId="2E0064DA" w14:textId="77777777" w:rsidR="0043305B" w:rsidRPr="008A4F40" w:rsidRDefault="0043305B" w:rsidP="004E7659">
      <w:pPr>
        <w:keepNext/>
        <w:rPr>
          <w:color w:val="000000"/>
          <w:sz w:val="22"/>
          <w:szCs w:val="22"/>
          <w:u w:val="single"/>
        </w:rPr>
      </w:pPr>
    </w:p>
    <w:p w14:paraId="77DD9246" w14:textId="2F76AFDD" w:rsidR="003A33A6" w:rsidRPr="008A4F40" w:rsidRDefault="003A33A6" w:rsidP="004E7659">
      <w:pPr>
        <w:rPr>
          <w:color w:val="000000"/>
          <w:sz w:val="22"/>
          <w:szCs w:val="22"/>
        </w:rPr>
      </w:pPr>
      <w:r w:rsidRPr="008A4F40">
        <w:rPr>
          <w:color w:val="000000"/>
          <w:sz w:val="22"/>
          <w:szCs w:val="22"/>
        </w:rPr>
        <w:t>In der Studie an Patienten mit nicht-resezierbaren und/oder metastasierten GIST wurden sowohl gastrointestinale als auch intratumorale Blutungen beobachtet (siehe Abschnitt</w:t>
      </w:r>
      <w:ins w:id="72" w:author="Author">
        <w:r w:rsidR="00E96CC8">
          <w:rPr>
            <w:color w:val="000000"/>
            <w:sz w:val="22"/>
            <w:szCs w:val="22"/>
          </w:rPr>
          <w:t> </w:t>
        </w:r>
      </w:ins>
      <w:del w:id="73" w:author="Author">
        <w:r w:rsidRPr="008A4F40" w:rsidDel="00E96CC8">
          <w:rPr>
            <w:color w:val="000000"/>
            <w:sz w:val="22"/>
            <w:szCs w:val="22"/>
          </w:rPr>
          <w:delText xml:space="preserve"> </w:delText>
        </w:r>
      </w:del>
      <w:r w:rsidRPr="008A4F40">
        <w:rPr>
          <w:color w:val="000000"/>
          <w:sz w:val="22"/>
          <w:szCs w:val="22"/>
        </w:rPr>
        <w:t>4.8). Ausgehend von den verfügbaren Daten wurden keine Risikofaktoren (z. B. Tumorgröße, Tumorlokalisation, Gerinnungsstörungen) dafür gefunden, dass Patienten mit GIST einem höheren Risiko für eine der beiden Blutungsarten ausgesetzt sind. Da eine erhöhte Gefäßversor</w:t>
      </w:r>
      <w:del w:id="74" w:author="Author">
        <w:r w:rsidRPr="008A4F40" w:rsidDel="004E7659">
          <w:rPr>
            <w:color w:val="000000"/>
            <w:sz w:val="22"/>
            <w:szCs w:val="22"/>
          </w:rPr>
          <w:softHyphen/>
        </w:r>
      </w:del>
      <w:r w:rsidRPr="008A4F40">
        <w:rPr>
          <w:color w:val="000000"/>
          <w:sz w:val="22"/>
          <w:szCs w:val="22"/>
        </w:rPr>
        <w:t>gung und Blutungswahrscheinlichkeit Teil der Eigenschaften und des klinischen Verlaufs von GIST sind, sollten bei allen Patienten Standardvorgehensweisen und Maßnahmen für die Überwachung und Behandlung von Blutungen angewendet werden.</w:t>
      </w:r>
    </w:p>
    <w:p w14:paraId="0A4189CF" w14:textId="77777777" w:rsidR="006E656A" w:rsidRPr="008A4F40" w:rsidRDefault="006E656A" w:rsidP="004E7659">
      <w:pPr>
        <w:rPr>
          <w:color w:val="000000"/>
          <w:sz w:val="22"/>
          <w:szCs w:val="22"/>
        </w:rPr>
      </w:pPr>
    </w:p>
    <w:p w14:paraId="0F507FC7" w14:textId="2260563B" w:rsidR="006E656A" w:rsidRPr="008A4F40" w:rsidRDefault="006E656A" w:rsidP="004E7659">
      <w:pPr>
        <w:rPr>
          <w:color w:val="000000"/>
          <w:sz w:val="22"/>
          <w:szCs w:val="22"/>
        </w:rPr>
      </w:pPr>
      <w:r w:rsidRPr="008A4F40">
        <w:rPr>
          <w:color w:val="000000"/>
          <w:sz w:val="22"/>
          <w:szCs w:val="22"/>
        </w:rPr>
        <w:t>Zusätzlich wurde aufgrund von Erfahrungen nach Markteinführung über gastral-antrale vaskuläre Ektasie (GAVE), eine seltene Ursache für gastrointestinale Blutungen, bei Patienten mit CML, ALL und anderen Erkrankungen berichtet (siehe Abschnitt</w:t>
      </w:r>
      <w:ins w:id="75" w:author="Author">
        <w:r w:rsidR="00E96CC8">
          <w:rPr>
            <w:color w:val="000000"/>
            <w:sz w:val="22"/>
            <w:szCs w:val="22"/>
          </w:rPr>
          <w:t> </w:t>
        </w:r>
      </w:ins>
      <w:del w:id="76" w:author="Author">
        <w:r w:rsidRPr="008A4F40" w:rsidDel="00E96CC8">
          <w:rPr>
            <w:color w:val="000000"/>
            <w:sz w:val="22"/>
            <w:szCs w:val="22"/>
          </w:rPr>
          <w:delText xml:space="preserve"> </w:delText>
        </w:r>
      </w:del>
      <w:r w:rsidRPr="008A4F40">
        <w:rPr>
          <w:color w:val="000000"/>
          <w:sz w:val="22"/>
          <w:szCs w:val="22"/>
        </w:rPr>
        <w:t>4.8).</w:t>
      </w:r>
      <w:r w:rsidR="00781F7F">
        <w:rPr>
          <w:color w:val="000000"/>
          <w:sz w:val="22"/>
          <w:szCs w:val="22"/>
        </w:rPr>
        <w:t xml:space="preserve"> </w:t>
      </w:r>
      <w:r w:rsidRPr="008A4F40">
        <w:rPr>
          <w:color w:val="000000"/>
          <w:sz w:val="22"/>
          <w:szCs w:val="22"/>
        </w:rPr>
        <w:t>Falls notwendig, kann ein Abbruch der Behandlung mit Glivec in Betracht gezogen werden.</w:t>
      </w:r>
    </w:p>
    <w:p w14:paraId="1E42A3E7" w14:textId="77777777" w:rsidR="003A33A6" w:rsidRPr="008A4F40" w:rsidRDefault="003A33A6" w:rsidP="004E7659">
      <w:pPr>
        <w:rPr>
          <w:color w:val="000000"/>
          <w:sz w:val="22"/>
          <w:szCs w:val="22"/>
        </w:rPr>
      </w:pPr>
    </w:p>
    <w:p w14:paraId="7D9687A4" w14:textId="576304CC" w:rsidR="003A33A6" w:rsidRPr="008A4F40" w:rsidRDefault="003A33A6" w:rsidP="004E7659">
      <w:pPr>
        <w:keepNext/>
        <w:rPr>
          <w:color w:val="000000"/>
          <w:sz w:val="22"/>
          <w:szCs w:val="22"/>
          <w:u w:val="single"/>
        </w:rPr>
      </w:pPr>
      <w:r w:rsidRPr="008A4F40">
        <w:rPr>
          <w:color w:val="000000"/>
          <w:sz w:val="22"/>
          <w:szCs w:val="22"/>
          <w:u w:val="single"/>
        </w:rPr>
        <w:t>Tumor-Lyse-Syndrom</w:t>
      </w:r>
    </w:p>
    <w:p w14:paraId="0CBBFAA0" w14:textId="77777777" w:rsidR="0043305B" w:rsidRPr="008A4F40" w:rsidRDefault="0043305B" w:rsidP="004E7659">
      <w:pPr>
        <w:keepNext/>
        <w:rPr>
          <w:color w:val="000000"/>
          <w:sz w:val="22"/>
          <w:szCs w:val="22"/>
          <w:u w:val="single"/>
        </w:rPr>
      </w:pPr>
    </w:p>
    <w:p w14:paraId="12DE9DA9" w14:textId="72F3F25C" w:rsidR="003A33A6" w:rsidRPr="008A4F40" w:rsidRDefault="003A33A6" w:rsidP="004E7659">
      <w:pPr>
        <w:rPr>
          <w:color w:val="000000"/>
          <w:sz w:val="22"/>
          <w:szCs w:val="22"/>
        </w:rPr>
      </w:pPr>
      <w:r w:rsidRPr="008A4F40">
        <w:rPr>
          <w:color w:val="000000"/>
          <w:sz w:val="22"/>
          <w:szCs w:val="22"/>
        </w:rPr>
        <w:t>Wegen des möglichen Auftretens eines Tumor-Lyse-Syndroms (TLS) wird vor dem Therapiebeginn mit Glivec die Korrektur einer klinisch relevanten Dehydratation und die Behandlung hoher Harnsäurespiegel empfohlen (siehe Abschnitt</w:t>
      </w:r>
      <w:ins w:id="77" w:author="Author">
        <w:r w:rsidR="00E96CC8">
          <w:rPr>
            <w:color w:val="000000"/>
            <w:sz w:val="22"/>
            <w:szCs w:val="22"/>
          </w:rPr>
          <w:t> </w:t>
        </w:r>
      </w:ins>
      <w:del w:id="78" w:author="Author">
        <w:r w:rsidRPr="008A4F40" w:rsidDel="00E96CC8">
          <w:rPr>
            <w:color w:val="000000"/>
            <w:sz w:val="22"/>
            <w:szCs w:val="22"/>
          </w:rPr>
          <w:delText xml:space="preserve"> </w:delText>
        </w:r>
      </w:del>
      <w:r w:rsidRPr="008A4F40">
        <w:rPr>
          <w:color w:val="000000"/>
          <w:sz w:val="22"/>
          <w:szCs w:val="22"/>
        </w:rPr>
        <w:t>4.8).</w:t>
      </w:r>
    </w:p>
    <w:p w14:paraId="01531246" w14:textId="77777777" w:rsidR="003A33A6" w:rsidRPr="008A4F40" w:rsidRDefault="003A33A6" w:rsidP="004E7659">
      <w:pPr>
        <w:rPr>
          <w:color w:val="000000"/>
          <w:sz w:val="22"/>
          <w:szCs w:val="22"/>
        </w:rPr>
      </w:pPr>
    </w:p>
    <w:p w14:paraId="6AF0AB8B" w14:textId="7E268D27" w:rsidR="00777B24" w:rsidRPr="008A4F40" w:rsidRDefault="00777B24" w:rsidP="004E7659">
      <w:pPr>
        <w:keepNext/>
        <w:rPr>
          <w:color w:val="000000"/>
          <w:sz w:val="22"/>
          <w:szCs w:val="22"/>
          <w:u w:val="single"/>
        </w:rPr>
      </w:pPr>
      <w:r w:rsidRPr="008A4F40">
        <w:rPr>
          <w:color w:val="000000"/>
          <w:sz w:val="22"/>
          <w:szCs w:val="22"/>
          <w:u w:val="single"/>
        </w:rPr>
        <w:t>Hepatitis-B-Reaktivierung</w:t>
      </w:r>
    </w:p>
    <w:p w14:paraId="280217E4" w14:textId="77777777" w:rsidR="0043305B" w:rsidRPr="008A4F40" w:rsidRDefault="0043305B" w:rsidP="004E7659">
      <w:pPr>
        <w:keepNext/>
        <w:rPr>
          <w:color w:val="000000"/>
          <w:sz w:val="22"/>
          <w:szCs w:val="22"/>
          <w:u w:val="single"/>
        </w:rPr>
      </w:pPr>
    </w:p>
    <w:p w14:paraId="2DF1E278" w14:textId="77777777" w:rsidR="00777B24" w:rsidRPr="008A4F40" w:rsidRDefault="00777B24" w:rsidP="004E7659">
      <w:pPr>
        <w:rPr>
          <w:color w:val="000000"/>
          <w:sz w:val="22"/>
          <w:szCs w:val="22"/>
        </w:rPr>
      </w:pPr>
      <w:r w:rsidRPr="008A4F40">
        <w:rPr>
          <w:color w:val="000000"/>
          <w:sz w:val="22"/>
          <w:szCs w:val="22"/>
        </w:rPr>
        <w:t>Bei Patienten, die chronische Träger dieses Virus sind, ist eine Hepatitis-B-Reaktivierung aufgetreten, nachdem sie BCR-ABL-Tyrosinkinase-Inhibitoren erhalten hatten. Einige Fälle führten zu akutem Leberversagen oder zu fulminanter Hepatitis, die eine Lebertransplantation notwendig machten oder zum Tod führten.</w:t>
      </w:r>
    </w:p>
    <w:p w14:paraId="3389D50F" w14:textId="77777777" w:rsidR="00777B24" w:rsidRPr="008A4F40" w:rsidRDefault="00777B24" w:rsidP="004E7659">
      <w:pPr>
        <w:rPr>
          <w:color w:val="000000"/>
          <w:sz w:val="22"/>
          <w:szCs w:val="22"/>
        </w:rPr>
      </w:pPr>
    </w:p>
    <w:p w14:paraId="49BF7485" w14:textId="77777777" w:rsidR="00777B24" w:rsidRPr="008A4F40" w:rsidRDefault="00777B24" w:rsidP="004E7659">
      <w:pPr>
        <w:rPr>
          <w:color w:val="000000"/>
          <w:sz w:val="22"/>
          <w:szCs w:val="22"/>
        </w:rPr>
      </w:pPr>
      <w:r w:rsidRPr="008A4F40">
        <w:rPr>
          <w:color w:val="000000"/>
          <w:sz w:val="22"/>
          <w:szCs w:val="22"/>
        </w:rPr>
        <w:t>Patienten sollten vor Beginn der Behandlung mit Glivec auf eine HBV-Infektion hin untersucht werden. Vor Einleitung der Behandlung bei Patienten mit positiver Hepatitis-B-Serologie (einschließlich jener mit aktiver Erkrankung) sollten Experten für Lebererkrankungen und für die Behandlung von Hepatitis B zurate gezogen werden; dies sollte auch bei Patienten erfolgen, die während der Behandlung positiv auf eine HBV-Infektion getestet werden. HBV-Träger, die mit Glivec behandelt werden, sollten während der Behandlung und über einige Monate nach Ende der Therapie engmaschig bezüglich der Anzeichen und Symptome einer aktiven HBV-Infektion überwacht werden (siehe Abschnitt</w:t>
      </w:r>
      <w:r w:rsidR="00EB60E4" w:rsidRPr="008A4F40">
        <w:rPr>
          <w:color w:val="000000"/>
          <w:sz w:val="22"/>
          <w:szCs w:val="22"/>
        </w:rPr>
        <w:t> </w:t>
      </w:r>
      <w:r w:rsidRPr="008A4F40">
        <w:rPr>
          <w:color w:val="000000"/>
          <w:sz w:val="22"/>
          <w:szCs w:val="22"/>
        </w:rPr>
        <w:t>4.8).</w:t>
      </w:r>
    </w:p>
    <w:p w14:paraId="50E5E483" w14:textId="77777777" w:rsidR="00244DD2" w:rsidRPr="008A4F40" w:rsidRDefault="00244DD2" w:rsidP="004E7659">
      <w:pPr>
        <w:rPr>
          <w:sz w:val="22"/>
          <w:szCs w:val="22"/>
        </w:rPr>
      </w:pPr>
    </w:p>
    <w:p w14:paraId="1E7C5966" w14:textId="61B85BB9" w:rsidR="00547136" w:rsidRPr="00A24EE4" w:rsidRDefault="00547136" w:rsidP="004E7659">
      <w:pPr>
        <w:keepNext/>
        <w:rPr>
          <w:sz w:val="22"/>
          <w:szCs w:val="22"/>
          <w:u w:val="single"/>
        </w:rPr>
      </w:pPr>
      <w:r w:rsidRPr="00A24EE4">
        <w:rPr>
          <w:sz w:val="22"/>
          <w:szCs w:val="22"/>
          <w:u w:val="single"/>
        </w:rPr>
        <w:t>Phototoxizität</w:t>
      </w:r>
    </w:p>
    <w:p w14:paraId="78A3B8AC" w14:textId="77777777" w:rsidR="0043305B" w:rsidRPr="00A24EE4" w:rsidRDefault="0043305B" w:rsidP="004E7659">
      <w:pPr>
        <w:keepNext/>
        <w:rPr>
          <w:sz w:val="22"/>
          <w:szCs w:val="22"/>
        </w:rPr>
      </w:pPr>
    </w:p>
    <w:p w14:paraId="237E4F6F" w14:textId="77777777" w:rsidR="00547136" w:rsidRPr="008A4F40" w:rsidRDefault="00547136" w:rsidP="004E7659">
      <w:pPr>
        <w:rPr>
          <w:sz w:val="22"/>
          <w:szCs w:val="22"/>
        </w:rPr>
      </w:pPr>
      <w:r w:rsidRPr="008A4F40">
        <w:rPr>
          <w:sz w:val="22"/>
          <w:szCs w:val="22"/>
        </w:rPr>
        <w:t>Die Exposition gegenüber direktem Sonnenlicht sollte vermieden oder auf ein Minimum reduziert werden, da das Risiko einer Phototoxizität im Zusammenhang mit der Imatinib-Behandlung besteht. Patienten sollten angewiesen werden, Maßnahmen zu ergreifen, wie das Tragen vor Sonnenlicht schützender Kleidung und die Verwendung eines Sonnenschutzmittels mit hohem Lichtschutzfaktor (LSF).</w:t>
      </w:r>
    </w:p>
    <w:p w14:paraId="3FBA23B3" w14:textId="77777777" w:rsidR="006B3D38" w:rsidRPr="008A4F40" w:rsidRDefault="006B3D38" w:rsidP="004E7659">
      <w:pPr>
        <w:rPr>
          <w:sz w:val="22"/>
          <w:szCs w:val="22"/>
        </w:rPr>
      </w:pPr>
    </w:p>
    <w:p w14:paraId="62F863B7" w14:textId="3F9F944C" w:rsidR="006B3D38" w:rsidRPr="00A24EE4" w:rsidRDefault="006B3D38" w:rsidP="004E7659">
      <w:pPr>
        <w:keepNext/>
        <w:rPr>
          <w:sz w:val="22"/>
          <w:szCs w:val="22"/>
          <w:u w:val="single"/>
        </w:rPr>
      </w:pPr>
      <w:r w:rsidRPr="00A24EE4">
        <w:rPr>
          <w:sz w:val="22"/>
          <w:szCs w:val="22"/>
          <w:u w:val="single"/>
        </w:rPr>
        <w:t>Thrombotische Mikroangiopathie</w:t>
      </w:r>
    </w:p>
    <w:p w14:paraId="6808FB3A" w14:textId="77777777" w:rsidR="0043305B" w:rsidRPr="00A24EE4" w:rsidRDefault="0043305B" w:rsidP="004E7659">
      <w:pPr>
        <w:keepNext/>
        <w:rPr>
          <w:sz w:val="22"/>
          <w:szCs w:val="22"/>
        </w:rPr>
      </w:pPr>
    </w:p>
    <w:p w14:paraId="6E164D94" w14:textId="77777777" w:rsidR="000E22AA" w:rsidRPr="008A4F40" w:rsidRDefault="000E22AA" w:rsidP="004E7659">
      <w:pPr>
        <w:rPr>
          <w:sz w:val="22"/>
          <w:szCs w:val="22"/>
        </w:rPr>
      </w:pPr>
      <w:r w:rsidRPr="008A4F40">
        <w:rPr>
          <w:color w:val="000000"/>
          <w:sz w:val="22"/>
          <w:szCs w:val="22"/>
        </w:rPr>
        <w:t xml:space="preserve">BCR-ABL-Tyrosinkinase-Inhibitoren </w:t>
      </w:r>
      <w:r w:rsidRPr="008A4F40">
        <w:rPr>
          <w:sz w:val="22"/>
          <w:szCs w:val="22"/>
        </w:rPr>
        <w:t>(TKIs) wurden mit der thrombotischen Mikroangiopathie (TMA) in Zusammenhang gebracht, unter anderem in Einzelfallberichten zu Glivec (siehe Abschnitt 4.8). Treten bei einem Patienten, der Glivec einnimmt, Labor- oder klinische Befunde auf, die mit TMA zusammenhängen, sollte die Behandlung abgebrochen und eine gründliche Untersuchung auf TMA, einschließlich der Bestimmung der ADAMTS13-Aktivität und von Anti</w:t>
      </w:r>
      <w:r w:rsidRPr="008A4F40">
        <w:rPr>
          <w:sz w:val="22"/>
          <w:szCs w:val="22"/>
        </w:rPr>
        <w:noBreakHyphen/>
        <w:t>ADAMTS13-Antikörper</w:t>
      </w:r>
      <w:r w:rsidR="00A14A5C" w:rsidRPr="008A4F40">
        <w:rPr>
          <w:sz w:val="22"/>
          <w:szCs w:val="22"/>
        </w:rPr>
        <w:t>n</w:t>
      </w:r>
      <w:r w:rsidRPr="008A4F40">
        <w:rPr>
          <w:sz w:val="22"/>
          <w:szCs w:val="22"/>
        </w:rPr>
        <w:t>, durchgeführt werden. Wenn Anti</w:t>
      </w:r>
      <w:r w:rsidRPr="008A4F40">
        <w:rPr>
          <w:sz w:val="22"/>
          <w:szCs w:val="22"/>
        </w:rPr>
        <w:noBreakHyphen/>
        <w:t>ADAMTS13-Antikörper in Verbindung mit einer geringen ADAMTS13-Aktivität erhöht sind, sollte die Behandlung mit Glivec nicht wieder aufgenommen werden.</w:t>
      </w:r>
    </w:p>
    <w:p w14:paraId="68AB0865" w14:textId="77777777" w:rsidR="00777B24" w:rsidRPr="008A4F40" w:rsidRDefault="00777B24" w:rsidP="004E7659">
      <w:pPr>
        <w:rPr>
          <w:color w:val="000000"/>
          <w:sz w:val="22"/>
          <w:szCs w:val="22"/>
        </w:rPr>
      </w:pPr>
    </w:p>
    <w:p w14:paraId="046DFE9C" w14:textId="03BFAF18" w:rsidR="003A33A6" w:rsidRPr="00A24EE4" w:rsidRDefault="003A33A6" w:rsidP="004E7659">
      <w:pPr>
        <w:keepNext/>
        <w:rPr>
          <w:sz w:val="22"/>
          <w:szCs w:val="22"/>
          <w:u w:val="single"/>
        </w:rPr>
      </w:pPr>
      <w:r w:rsidRPr="00A24EE4">
        <w:rPr>
          <w:sz w:val="22"/>
          <w:szCs w:val="22"/>
          <w:u w:val="single"/>
        </w:rPr>
        <w:t>Laboruntersuchungen</w:t>
      </w:r>
    </w:p>
    <w:p w14:paraId="6BACE94F" w14:textId="77777777" w:rsidR="0043305B" w:rsidRPr="00A24EE4" w:rsidRDefault="0043305B" w:rsidP="004E7659">
      <w:pPr>
        <w:keepNext/>
        <w:rPr>
          <w:sz w:val="22"/>
          <w:szCs w:val="22"/>
        </w:rPr>
      </w:pPr>
    </w:p>
    <w:p w14:paraId="0ACD5A14" w14:textId="6077A487" w:rsidR="003A33A6" w:rsidRPr="008A4F40" w:rsidRDefault="003A33A6" w:rsidP="004E7659">
      <w:pPr>
        <w:rPr>
          <w:color w:val="000000"/>
          <w:sz w:val="22"/>
          <w:szCs w:val="22"/>
        </w:rPr>
      </w:pPr>
      <w:r w:rsidRPr="008A4F40">
        <w:rPr>
          <w:color w:val="000000"/>
          <w:sz w:val="22"/>
          <w:szCs w:val="22"/>
        </w:rPr>
        <w:t>Ein vollständiges Blutbild muss während der Therapie mit Glivec regelmäßig durchgeführt werden. Bei der Behandlung von Patienten mit einer CML mit Glivec können eine Neutropenie oder eine Thrombo</w:t>
      </w:r>
      <w:del w:id="79" w:author="Author">
        <w:r w:rsidRPr="008A4F40" w:rsidDel="004E7659">
          <w:rPr>
            <w:color w:val="000000"/>
            <w:sz w:val="22"/>
            <w:szCs w:val="22"/>
          </w:rPr>
          <w:softHyphen/>
        </w:r>
      </w:del>
      <w:r w:rsidRPr="008A4F40">
        <w:rPr>
          <w:color w:val="000000"/>
          <w:sz w:val="22"/>
          <w:szCs w:val="22"/>
        </w:rPr>
        <w:t>zytopenie auftreten. Das Auftreten dieser Zytopenien im Blut ist jedoch wahrscheinlich vom Stadium der behandelten Erkrankung abhängig und trat häufiger bei Patienten in der akzelerierten Phase der CML oder der Blastenkrise auf als bei Patienten in der chronischen Phase der CML. Wie in Abschnitt</w:t>
      </w:r>
      <w:ins w:id="80" w:author="Author">
        <w:r w:rsidR="00E96CC8">
          <w:rPr>
            <w:color w:val="000000"/>
            <w:sz w:val="22"/>
            <w:szCs w:val="22"/>
          </w:rPr>
          <w:t> </w:t>
        </w:r>
      </w:ins>
      <w:del w:id="81" w:author="Author">
        <w:r w:rsidRPr="008A4F40" w:rsidDel="00E96CC8">
          <w:rPr>
            <w:color w:val="000000"/>
            <w:sz w:val="22"/>
            <w:szCs w:val="22"/>
          </w:rPr>
          <w:delText xml:space="preserve"> </w:delText>
        </w:r>
      </w:del>
      <w:r w:rsidRPr="008A4F40">
        <w:rPr>
          <w:color w:val="000000"/>
          <w:sz w:val="22"/>
          <w:szCs w:val="22"/>
        </w:rPr>
        <w:t>4.2 empfohlen, kann die Behandlung mit Glivec unterbro</w:t>
      </w:r>
      <w:r w:rsidRPr="008A4F40">
        <w:rPr>
          <w:color w:val="000000"/>
          <w:sz w:val="22"/>
          <w:szCs w:val="22"/>
        </w:rPr>
        <w:softHyphen/>
        <w:t>chen oder die Dosis reduziert werden.</w:t>
      </w:r>
    </w:p>
    <w:p w14:paraId="0305559C" w14:textId="77777777" w:rsidR="003A33A6" w:rsidRPr="008A4F40" w:rsidRDefault="003A33A6" w:rsidP="004E7659">
      <w:pPr>
        <w:rPr>
          <w:color w:val="000000"/>
          <w:sz w:val="22"/>
          <w:szCs w:val="22"/>
        </w:rPr>
      </w:pPr>
    </w:p>
    <w:p w14:paraId="7EB1F8D1" w14:textId="77777777" w:rsidR="003A33A6" w:rsidRPr="008A4F40" w:rsidRDefault="003A33A6" w:rsidP="004E7659">
      <w:pPr>
        <w:rPr>
          <w:color w:val="000000"/>
          <w:sz w:val="22"/>
          <w:szCs w:val="22"/>
        </w:rPr>
      </w:pPr>
      <w:r w:rsidRPr="008A4F40">
        <w:rPr>
          <w:color w:val="000000"/>
          <w:sz w:val="22"/>
          <w:szCs w:val="22"/>
        </w:rPr>
        <w:t>Bei Patienten, die Glivec erhalten, muss die Leberfunktion (Transaminasen, Bilirubin, alkalische Phosphatase) in regelmäßigen Abständen untersucht werden.</w:t>
      </w:r>
    </w:p>
    <w:p w14:paraId="0CA35E25" w14:textId="77777777" w:rsidR="003A33A6" w:rsidRPr="008A4F40" w:rsidRDefault="003A33A6" w:rsidP="004E7659">
      <w:pPr>
        <w:rPr>
          <w:color w:val="000000"/>
          <w:sz w:val="22"/>
          <w:szCs w:val="22"/>
        </w:rPr>
      </w:pPr>
    </w:p>
    <w:p w14:paraId="725F715A" w14:textId="7D572373" w:rsidR="003A33A6" w:rsidRPr="008A4F40" w:rsidRDefault="003A33A6" w:rsidP="004E7659">
      <w:pPr>
        <w:rPr>
          <w:color w:val="000000"/>
          <w:sz w:val="22"/>
          <w:szCs w:val="22"/>
        </w:rPr>
      </w:pPr>
      <w:r w:rsidRPr="008A4F40">
        <w:rPr>
          <w:color w:val="000000"/>
          <w:sz w:val="22"/>
          <w:szCs w:val="22"/>
        </w:rPr>
        <w:t>Bei Patienten mit beeinträchtigter Nierenfunktion scheint die Plasmaexposition von Imatinib höher zu sein als bei Patienten mit normaler Nierenfunktion, möglicherweise auf Grund eines erhöhten Plasmaspiegels von alphasaurem Glycoprotein (AGP), einem Imatinib-bindenden Protein, bei diesen Patienten. Patienten mit Niereninsuffizienz sollten die minimale Anfangsdosis erhalten. Patienten mit schwerer Niereninsuffizienz sollten mit Vorsicht behandelt werden. Die Dosis kann bei Unverträglichkeit reduziert werden (siehe Abschnitte</w:t>
      </w:r>
      <w:ins w:id="82" w:author="Author">
        <w:r w:rsidR="00E96CC8">
          <w:rPr>
            <w:color w:val="000000"/>
            <w:sz w:val="22"/>
            <w:szCs w:val="22"/>
          </w:rPr>
          <w:t> </w:t>
        </w:r>
      </w:ins>
      <w:del w:id="83" w:author="Author">
        <w:r w:rsidRPr="008A4F40" w:rsidDel="00E96CC8">
          <w:rPr>
            <w:color w:val="000000"/>
            <w:sz w:val="22"/>
            <w:szCs w:val="22"/>
          </w:rPr>
          <w:delText xml:space="preserve"> </w:delText>
        </w:r>
      </w:del>
      <w:r w:rsidRPr="008A4F40">
        <w:rPr>
          <w:color w:val="000000"/>
          <w:sz w:val="22"/>
          <w:szCs w:val="22"/>
        </w:rPr>
        <w:t>4.2 und 5.2).</w:t>
      </w:r>
    </w:p>
    <w:p w14:paraId="528C8793" w14:textId="77777777" w:rsidR="0016334E" w:rsidRPr="008A4F40" w:rsidRDefault="0016334E" w:rsidP="004E7659">
      <w:pPr>
        <w:rPr>
          <w:color w:val="000000"/>
          <w:sz w:val="22"/>
          <w:szCs w:val="22"/>
        </w:rPr>
      </w:pPr>
    </w:p>
    <w:p w14:paraId="7439F23C" w14:textId="77777777" w:rsidR="0016334E" w:rsidRPr="008A4F40" w:rsidRDefault="009F44AC" w:rsidP="004E7659">
      <w:pPr>
        <w:rPr>
          <w:color w:val="000000"/>
          <w:sz w:val="22"/>
          <w:szCs w:val="22"/>
        </w:rPr>
      </w:pPr>
      <w:r w:rsidRPr="008A4F40">
        <w:rPr>
          <w:color w:val="000000"/>
          <w:sz w:val="22"/>
          <w:szCs w:val="22"/>
        </w:rPr>
        <w:t>Eine Langzeitbehandlung mit Imatinib kann mit einer klinisch signifikanten Verschlechterung der Nierenfunktion einhergehen. Die Nierenfunktion sollte daher vor Beginn der Imatinib-Therapie bestimmt und während der Therapie engmaschig überwacht werden, wobei besonders auf Patienten geachtet werden muss, die Risikofaktoren für eine Niereninsuffizienz aufweisen. Wird eine Niereninsuffizienz festgestellt, sollten entsprechend der standardisierten Leitlinien geeignete Maßnahmen ergriffen und eine geeignete Behandlung eingeleitet werden.</w:t>
      </w:r>
    </w:p>
    <w:p w14:paraId="6E0ECDD9" w14:textId="77777777" w:rsidR="003A33A6" w:rsidRPr="008A4F40" w:rsidRDefault="003A33A6" w:rsidP="004E7659">
      <w:pPr>
        <w:rPr>
          <w:color w:val="000000"/>
          <w:sz w:val="22"/>
          <w:szCs w:val="22"/>
        </w:rPr>
      </w:pPr>
    </w:p>
    <w:p w14:paraId="48FBE6F5" w14:textId="3A6BC218" w:rsidR="003A33A6" w:rsidRPr="008A4F40" w:rsidRDefault="003A33A6" w:rsidP="004E7659">
      <w:pPr>
        <w:keepNext/>
        <w:rPr>
          <w:color w:val="000000"/>
          <w:sz w:val="22"/>
          <w:szCs w:val="22"/>
          <w:u w:val="single"/>
        </w:rPr>
      </w:pPr>
      <w:r w:rsidRPr="008A4F40">
        <w:rPr>
          <w:color w:val="000000"/>
          <w:sz w:val="22"/>
          <w:szCs w:val="22"/>
          <w:u w:val="single"/>
        </w:rPr>
        <w:t>Kinder und Jugendliche</w:t>
      </w:r>
    </w:p>
    <w:p w14:paraId="5301EAE9" w14:textId="77777777" w:rsidR="0043305B" w:rsidRPr="008A4F40" w:rsidRDefault="0043305B" w:rsidP="004E7659">
      <w:pPr>
        <w:keepNext/>
        <w:rPr>
          <w:color w:val="000000"/>
          <w:sz w:val="22"/>
          <w:szCs w:val="22"/>
          <w:u w:val="single"/>
        </w:rPr>
      </w:pPr>
    </w:p>
    <w:p w14:paraId="02D818DA" w14:textId="0464253F" w:rsidR="003A33A6" w:rsidRPr="008A4F40" w:rsidRDefault="003A33A6" w:rsidP="004E7659">
      <w:pPr>
        <w:rPr>
          <w:color w:val="000000"/>
          <w:sz w:val="22"/>
          <w:szCs w:val="22"/>
        </w:rPr>
      </w:pPr>
      <w:r w:rsidRPr="008A4F40">
        <w:rPr>
          <w:color w:val="000000"/>
          <w:sz w:val="22"/>
          <w:szCs w:val="22"/>
        </w:rPr>
        <w:t xml:space="preserve">Es gibt Fallberichte über Wachstumsverzögerung bei Kindern und Jugendlichen vor der Pubertät unter Imatinib. </w:t>
      </w:r>
      <w:r w:rsidR="00EE08FE" w:rsidRPr="008A4F40">
        <w:rPr>
          <w:color w:val="000000"/>
          <w:sz w:val="22"/>
          <w:szCs w:val="22"/>
        </w:rPr>
        <w:t xml:space="preserve">In einer Beobachtungsstudie bei Kindern und Jugendlichen mit CML wurde </w:t>
      </w:r>
      <w:r w:rsidR="00442653" w:rsidRPr="008A4F40">
        <w:rPr>
          <w:color w:val="000000"/>
          <w:sz w:val="22"/>
          <w:szCs w:val="22"/>
        </w:rPr>
        <w:t>ein statistisch signifikanter Rückgang (jedoch mit un</w:t>
      </w:r>
      <w:r w:rsidR="00094B8D" w:rsidRPr="008A4F40">
        <w:rPr>
          <w:color w:val="000000"/>
          <w:sz w:val="22"/>
          <w:szCs w:val="22"/>
        </w:rPr>
        <w:t>klarer</w:t>
      </w:r>
      <w:r w:rsidR="00442653" w:rsidRPr="008A4F40">
        <w:rPr>
          <w:color w:val="000000"/>
          <w:sz w:val="22"/>
          <w:szCs w:val="22"/>
        </w:rPr>
        <w:t xml:space="preserve"> klinischer Relevanz) </w:t>
      </w:r>
      <w:r w:rsidR="00C92052" w:rsidRPr="008A4F40">
        <w:rPr>
          <w:color w:val="000000"/>
          <w:sz w:val="22"/>
          <w:szCs w:val="22"/>
        </w:rPr>
        <w:t>der SDS-Werte</w:t>
      </w:r>
      <w:r w:rsidR="00EE08FE" w:rsidRPr="008A4F40">
        <w:rPr>
          <w:color w:val="000000"/>
          <w:sz w:val="22"/>
          <w:szCs w:val="22"/>
        </w:rPr>
        <w:t xml:space="preserve"> (</w:t>
      </w:r>
      <w:r w:rsidR="00EE08FE" w:rsidRPr="008A4F40">
        <w:rPr>
          <w:i/>
          <w:color w:val="000000"/>
          <w:sz w:val="22"/>
          <w:szCs w:val="22"/>
        </w:rPr>
        <w:t>standard deviation scores</w:t>
      </w:r>
      <w:r w:rsidR="00EE08FE" w:rsidRPr="008A4F40">
        <w:rPr>
          <w:color w:val="000000"/>
          <w:sz w:val="22"/>
          <w:szCs w:val="22"/>
        </w:rPr>
        <w:t xml:space="preserve">) der medianen Körpergröße nach 12 und 24 Behandlungsmonaten für zwei kleine Untergruppen unabhängig vom Pubertätsstatus oder Geschlecht berichtet. </w:t>
      </w:r>
      <w:r w:rsidR="002672C4" w:rsidRPr="006F2763">
        <w:rPr>
          <w:color w:val="000000"/>
          <w:sz w:val="22"/>
          <w:szCs w:val="22"/>
        </w:rPr>
        <w:t xml:space="preserve">Ähnliche Ergebnisse wurden in einer Beobachtungsstudie </w:t>
      </w:r>
      <w:r w:rsidR="002672C4" w:rsidRPr="008A4F40">
        <w:rPr>
          <w:color w:val="000000"/>
          <w:sz w:val="22"/>
          <w:szCs w:val="22"/>
        </w:rPr>
        <w:t>bei Kindern und Jugendlichen mit</w:t>
      </w:r>
      <w:r w:rsidR="002672C4">
        <w:rPr>
          <w:color w:val="000000"/>
          <w:sz w:val="22"/>
          <w:szCs w:val="22"/>
        </w:rPr>
        <w:t xml:space="preserve"> ALL</w:t>
      </w:r>
      <w:r w:rsidR="002672C4" w:rsidRPr="006F2763">
        <w:rPr>
          <w:color w:val="000000"/>
          <w:sz w:val="22"/>
          <w:szCs w:val="22"/>
        </w:rPr>
        <w:t xml:space="preserve"> beobachtet.</w:t>
      </w:r>
      <w:r w:rsidR="002672C4">
        <w:rPr>
          <w:color w:val="000000"/>
          <w:sz w:val="22"/>
          <w:szCs w:val="22"/>
        </w:rPr>
        <w:t xml:space="preserve"> </w:t>
      </w:r>
      <w:r w:rsidR="00EE08FE" w:rsidRPr="008A4F40">
        <w:rPr>
          <w:color w:val="000000"/>
          <w:sz w:val="22"/>
          <w:szCs w:val="22"/>
        </w:rPr>
        <w:t>E</w:t>
      </w:r>
      <w:r w:rsidRPr="008A4F40">
        <w:rPr>
          <w:color w:val="000000"/>
          <w:sz w:val="22"/>
          <w:szCs w:val="22"/>
        </w:rPr>
        <w:t xml:space="preserve">ine enge Überwachung des Wachstums bei Kindern während der Imatinib-Behandlung </w:t>
      </w:r>
      <w:r w:rsidR="00EE08FE" w:rsidRPr="008A4F40">
        <w:rPr>
          <w:color w:val="000000"/>
          <w:sz w:val="22"/>
          <w:szCs w:val="22"/>
        </w:rPr>
        <w:t xml:space="preserve">wird </w:t>
      </w:r>
      <w:r w:rsidRPr="008A4F40">
        <w:rPr>
          <w:color w:val="000000"/>
          <w:sz w:val="22"/>
          <w:szCs w:val="22"/>
        </w:rPr>
        <w:t>empfohlen (siehe Abschnitt</w:t>
      </w:r>
      <w:r w:rsidR="00BD34DB">
        <w:rPr>
          <w:color w:val="000000"/>
          <w:sz w:val="22"/>
          <w:szCs w:val="22"/>
        </w:rPr>
        <w:t> </w:t>
      </w:r>
      <w:r w:rsidRPr="008A4F40">
        <w:rPr>
          <w:color w:val="000000"/>
          <w:sz w:val="22"/>
          <w:szCs w:val="22"/>
        </w:rPr>
        <w:t>4.8).</w:t>
      </w:r>
    </w:p>
    <w:p w14:paraId="373E207D" w14:textId="77777777" w:rsidR="003A33A6" w:rsidRPr="008A4F40" w:rsidRDefault="003A33A6" w:rsidP="004E7659">
      <w:pPr>
        <w:pStyle w:val="Header"/>
        <w:tabs>
          <w:tab w:val="clear" w:pos="4320"/>
          <w:tab w:val="clear" w:pos="8640"/>
        </w:tabs>
        <w:rPr>
          <w:color w:val="000000"/>
          <w:szCs w:val="22"/>
        </w:rPr>
      </w:pPr>
    </w:p>
    <w:p w14:paraId="65712537" w14:textId="77777777" w:rsidR="003A33A6" w:rsidRPr="008A4F40" w:rsidRDefault="003A33A6" w:rsidP="004E7659">
      <w:pPr>
        <w:keepNext/>
        <w:ind w:left="567" w:hanging="567"/>
        <w:rPr>
          <w:b/>
          <w:color w:val="000000"/>
          <w:sz w:val="22"/>
          <w:szCs w:val="22"/>
        </w:rPr>
      </w:pPr>
      <w:r w:rsidRPr="008A4F40">
        <w:rPr>
          <w:b/>
          <w:color w:val="000000"/>
          <w:sz w:val="22"/>
          <w:szCs w:val="22"/>
        </w:rPr>
        <w:t>4.5</w:t>
      </w:r>
      <w:r w:rsidRPr="008A4F40">
        <w:rPr>
          <w:b/>
          <w:color w:val="000000"/>
          <w:sz w:val="22"/>
          <w:szCs w:val="22"/>
        </w:rPr>
        <w:tab/>
        <w:t>Wechselwirkungen mit anderen Arzneimitteln und sonstige Wechselwirkungen</w:t>
      </w:r>
    </w:p>
    <w:p w14:paraId="40AD9C9A" w14:textId="77777777" w:rsidR="003A33A6" w:rsidRPr="008A4F40" w:rsidRDefault="003A33A6" w:rsidP="004E7659">
      <w:pPr>
        <w:pStyle w:val="Header"/>
        <w:keepNext/>
        <w:tabs>
          <w:tab w:val="clear" w:pos="4320"/>
          <w:tab w:val="clear" w:pos="8640"/>
        </w:tabs>
        <w:rPr>
          <w:color w:val="000000"/>
          <w:szCs w:val="22"/>
        </w:rPr>
      </w:pPr>
    </w:p>
    <w:p w14:paraId="5F5D8FD1" w14:textId="6405ECEC" w:rsidR="003A33A6" w:rsidRPr="008A4F40" w:rsidRDefault="003A33A6" w:rsidP="004E7659">
      <w:pPr>
        <w:keepNext/>
        <w:rPr>
          <w:color w:val="000000"/>
          <w:sz w:val="22"/>
          <w:szCs w:val="22"/>
          <w:u w:val="single"/>
        </w:rPr>
      </w:pPr>
      <w:r w:rsidRPr="008A4F40">
        <w:rPr>
          <w:color w:val="000000"/>
          <w:sz w:val="22"/>
          <w:szCs w:val="22"/>
          <w:u w:val="single"/>
        </w:rPr>
        <w:t xml:space="preserve">Wirkstoffe, welche die Plasmakonzentrationen von Imatinib </w:t>
      </w:r>
      <w:r w:rsidRPr="008A4F40">
        <w:rPr>
          <w:b/>
          <w:color w:val="000000"/>
          <w:sz w:val="22"/>
          <w:szCs w:val="22"/>
          <w:u w:val="single"/>
        </w:rPr>
        <w:t xml:space="preserve">erhöhen </w:t>
      </w:r>
      <w:r w:rsidRPr="008A4F40">
        <w:rPr>
          <w:color w:val="000000"/>
          <w:sz w:val="22"/>
          <w:szCs w:val="22"/>
          <w:u w:val="single"/>
        </w:rPr>
        <w:t>können</w:t>
      </w:r>
    </w:p>
    <w:p w14:paraId="7485DEAC" w14:textId="77777777" w:rsidR="0043305B" w:rsidRPr="008A4F40" w:rsidRDefault="0043305B" w:rsidP="004E7659">
      <w:pPr>
        <w:keepNext/>
        <w:rPr>
          <w:color w:val="000000"/>
          <w:sz w:val="22"/>
          <w:szCs w:val="22"/>
          <w:u w:val="single"/>
        </w:rPr>
      </w:pPr>
    </w:p>
    <w:p w14:paraId="236336E5" w14:textId="54A58F8E" w:rsidR="003A33A6" w:rsidRPr="008A4F40" w:rsidRDefault="003A33A6" w:rsidP="004E7659">
      <w:pPr>
        <w:rPr>
          <w:color w:val="000000"/>
          <w:sz w:val="22"/>
          <w:szCs w:val="22"/>
        </w:rPr>
      </w:pPr>
      <w:r w:rsidRPr="008A4F40">
        <w:rPr>
          <w:color w:val="000000"/>
          <w:sz w:val="22"/>
          <w:szCs w:val="22"/>
        </w:rPr>
        <w:t>Substanzen, welche die Aktivität des Cytochrom-P450-Isoenzyms CYP3A4 hemmen (z. B. Proteaseinhibitoren wie Indinavir, Lopinavir/Ritonavir, Ritonavir, Saquinavir, Telaprevir, Nelfinavir, Boceprevir; Azol-Antimykotika einschließlich Ketoconazol, Itraconazol, Posaconazol, Voriconazol; bestimmte Makrolide wie Erythromycin, Clarithromycin und Telithromycin), können den Metabolismus von Imatinib vermindern und die Konzentrationen von Imatinib erhöhen. Bei gleichzeitiger Einmalgabe von Ketoconazol (ein CYP3A4-Inhibitor) zeigte sich bei Probanden eine signifikante Erhöhung der Imatinib-Konzentration (Zunahme der mittleren C</w:t>
      </w:r>
      <w:r w:rsidRPr="008A4F40">
        <w:rPr>
          <w:color w:val="000000"/>
          <w:sz w:val="22"/>
          <w:szCs w:val="22"/>
          <w:vertAlign w:val="subscript"/>
        </w:rPr>
        <w:t>max</w:t>
      </w:r>
      <w:r w:rsidRPr="008A4F40">
        <w:rPr>
          <w:color w:val="000000"/>
          <w:sz w:val="22"/>
          <w:szCs w:val="22"/>
        </w:rPr>
        <w:t xml:space="preserve"> und AUC [Area Under the Curve</w:t>
      </w:r>
      <w:ins w:id="84" w:author="Author">
        <w:r w:rsidR="00E71F68">
          <w:rPr>
            <w:color w:val="000000"/>
            <w:sz w:val="22"/>
            <w:szCs w:val="22"/>
          </w:rPr>
          <w:t> </w:t>
        </w:r>
      </w:ins>
      <w:del w:id="85" w:author="Author">
        <w:r w:rsidRPr="008A4F40" w:rsidDel="00E71F68">
          <w:rPr>
            <w:color w:val="000000"/>
            <w:sz w:val="22"/>
            <w:szCs w:val="22"/>
          </w:rPr>
          <w:delText xml:space="preserve"> </w:delText>
        </w:r>
      </w:del>
      <w:r w:rsidRPr="008A4F40">
        <w:rPr>
          <w:color w:val="000000"/>
          <w:sz w:val="22"/>
          <w:szCs w:val="22"/>
        </w:rPr>
        <w:t>=</w:t>
      </w:r>
      <w:ins w:id="86" w:author="Author">
        <w:r w:rsidR="00CD0876">
          <w:rPr>
            <w:color w:val="000000"/>
            <w:sz w:val="22"/>
            <w:szCs w:val="22"/>
          </w:rPr>
          <w:t> </w:t>
        </w:r>
      </w:ins>
      <w:del w:id="87" w:author="Author">
        <w:r w:rsidRPr="008A4F40" w:rsidDel="00E71F68">
          <w:rPr>
            <w:color w:val="000000"/>
            <w:sz w:val="22"/>
            <w:szCs w:val="22"/>
          </w:rPr>
          <w:delText xml:space="preserve"> </w:delText>
        </w:r>
      </w:del>
      <w:r w:rsidRPr="008A4F40">
        <w:rPr>
          <w:color w:val="000000"/>
          <w:sz w:val="22"/>
          <w:szCs w:val="22"/>
        </w:rPr>
        <w:t>Fläche unter der Kurve] von Imatinib um 26% bzw. 40%). Vorsicht ist geboten bei gleichzeitiger Gabe von Glivec mit Inhibitoren der CYP3A4-Fami</w:t>
      </w:r>
      <w:del w:id="88" w:author="Author">
        <w:r w:rsidRPr="008A4F40" w:rsidDel="004E7659">
          <w:rPr>
            <w:color w:val="000000"/>
            <w:sz w:val="22"/>
            <w:szCs w:val="22"/>
          </w:rPr>
          <w:softHyphen/>
        </w:r>
      </w:del>
      <w:r w:rsidRPr="008A4F40">
        <w:rPr>
          <w:color w:val="000000"/>
          <w:sz w:val="22"/>
          <w:szCs w:val="22"/>
        </w:rPr>
        <w:t>lie.</w:t>
      </w:r>
    </w:p>
    <w:p w14:paraId="303DAD3C" w14:textId="77777777" w:rsidR="003A33A6" w:rsidRPr="008A4F40" w:rsidRDefault="003A33A6" w:rsidP="004E7659">
      <w:pPr>
        <w:rPr>
          <w:color w:val="000000"/>
          <w:sz w:val="22"/>
          <w:szCs w:val="22"/>
          <w:u w:val="single"/>
        </w:rPr>
      </w:pPr>
    </w:p>
    <w:p w14:paraId="492B998F" w14:textId="525F0AF3" w:rsidR="003A33A6" w:rsidRPr="008A4F40" w:rsidRDefault="003A33A6" w:rsidP="004E7659">
      <w:pPr>
        <w:keepNext/>
        <w:rPr>
          <w:color w:val="000000"/>
          <w:sz w:val="22"/>
          <w:szCs w:val="22"/>
          <w:u w:val="single"/>
        </w:rPr>
      </w:pPr>
      <w:r w:rsidRPr="008A4F40">
        <w:rPr>
          <w:color w:val="000000"/>
          <w:sz w:val="22"/>
          <w:szCs w:val="22"/>
          <w:u w:val="single"/>
        </w:rPr>
        <w:t xml:space="preserve">Wirkstoffe, welche die Plasmakonzentrationen von Imatinib </w:t>
      </w:r>
      <w:r w:rsidRPr="008A4F40">
        <w:rPr>
          <w:b/>
          <w:color w:val="000000"/>
          <w:sz w:val="22"/>
          <w:szCs w:val="22"/>
          <w:u w:val="single"/>
        </w:rPr>
        <w:t xml:space="preserve">vermindern </w:t>
      </w:r>
      <w:r w:rsidRPr="008A4F40">
        <w:rPr>
          <w:color w:val="000000"/>
          <w:sz w:val="22"/>
          <w:szCs w:val="22"/>
          <w:u w:val="single"/>
        </w:rPr>
        <w:t>können</w:t>
      </w:r>
    </w:p>
    <w:p w14:paraId="380844AB" w14:textId="77777777" w:rsidR="0043305B" w:rsidRPr="008A4F40" w:rsidRDefault="0043305B" w:rsidP="004E7659">
      <w:pPr>
        <w:keepNext/>
        <w:rPr>
          <w:color w:val="000000"/>
          <w:sz w:val="22"/>
          <w:szCs w:val="22"/>
          <w:u w:val="single"/>
        </w:rPr>
      </w:pPr>
    </w:p>
    <w:p w14:paraId="28AED6B9"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Substanzen, welche die Cytochrom-CYP3A4-Aktivität induzieren (z. B. Dexamethason, Phenytoin, Carbamazepin, Rifampicin, Phenobarbital, Fosphenytoin, Primidon oder Johannis</w:t>
      </w:r>
      <w:del w:id="89" w:author="Author">
        <w:r w:rsidRPr="008A4F40" w:rsidDel="004E7659">
          <w:rPr>
            <w:rFonts w:ascii="Times New Roman" w:hAnsi="Times New Roman"/>
            <w:color w:val="000000"/>
            <w:szCs w:val="22"/>
          </w:rPr>
          <w:softHyphen/>
        </w:r>
      </w:del>
      <w:r w:rsidRPr="008A4F40">
        <w:rPr>
          <w:rFonts w:ascii="Times New Roman" w:hAnsi="Times New Roman"/>
          <w:color w:val="000000"/>
          <w:szCs w:val="22"/>
        </w:rPr>
        <w:t>kraut), können die Imatinib-Konzentration signifikant vermindern. Dadurch kann möglicherweise das Risiko eines Therapieversagens erhöht werden. Die Vorbehandlung mit Mehrfachdosen von 600 mg Rifampicin, gefolgt von einer Einzeldo</w:t>
      </w:r>
      <w:del w:id="90" w:author="Author">
        <w:r w:rsidRPr="008A4F40" w:rsidDel="004E7659">
          <w:rPr>
            <w:rFonts w:ascii="Times New Roman" w:hAnsi="Times New Roman"/>
            <w:color w:val="000000"/>
            <w:szCs w:val="22"/>
          </w:rPr>
          <w:softHyphen/>
        </w:r>
      </w:del>
      <w:r w:rsidRPr="008A4F40">
        <w:rPr>
          <w:rFonts w:ascii="Times New Roman" w:hAnsi="Times New Roman"/>
          <w:color w:val="000000"/>
          <w:szCs w:val="22"/>
        </w:rPr>
        <w:t>sis von 400 mg Glivec, führte zu einer Abnahme von C</w:t>
      </w:r>
      <w:r w:rsidRPr="008A4F40">
        <w:rPr>
          <w:rFonts w:ascii="Times New Roman" w:hAnsi="Times New Roman"/>
          <w:color w:val="000000"/>
          <w:szCs w:val="22"/>
          <w:vertAlign w:val="subscript"/>
        </w:rPr>
        <w:t>max</w:t>
      </w:r>
      <w:r w:rsidRPr="008A4F40">
        <w:rPr>
          <w:rFonts w:ascii="Times New Roman" w:hAnsi="Times New Roman"/>
          <w:color w:val="000000"/>
          <w:szCs w:val="22"/>
        </w:rPr>
        <w:t xml:space="preserve"> und AUC</w:t>
      </w:r>
      <w:r w:rsidRPr="008A4F40">
        <w:rPr>
          <w:rFonts w:ascii="Times New Roman" w:hAnsi="Times New Roman"/>
          <w:color w:val="000000"/>
          <w:szCs w:val="22"/>
          <w:vertAlign w:val="subscript"/>
        </w:rPr>
        <w:t>(0-∞)</w:t>
      </w:r>
      <w:r w:rsidRPr="008A4F40">
        <w:rPr>
          <w:rFonts w:ascii="Times New Roman" w:hAnsi="Times New Roman"/>
          <w:color w:val="000000"/>
          <w:szCs w:val="22"/>
        </w:rPr>
        <w:t xml:space="preserve"> um mindestens 54% und 74% der entsprechenden Werte ohne Rifampicin-Behandlung. Vergleichbare Ergebnisse wurden bei Patienten mit malignen Gliomen beobachtet, die während der Glivec-Behandlung enzyminduzierende antiepileptische Substanzen (EIAEDs) wie Carbamazepin, Oxcarbazepin und Phenytoin angewendet haben. Die AUC von Imatinib im Plasma nahm im Vergleich mit Patienten, die nicht mit EIAEDs behandelt wurden, um 73% ab. Die gleichzeitige Anwendung von Rifampicin oder anderen starken CYP3A4-Induktoren und Imatinib sollte vermieden werden.</w:t>
      </w:r>
    </w:p>
    <w:p w14:paraId="56702D87" w14:textId="77777777" w:rsidR="003A33A6" w:rsidRPr="008A4F40" w:rsidRDefault="003A33A6" w:rsidP="004E7659">
      <w:pPr>
        <w:pStyle w:val="BodyTextIndent3"/>
        <w:widowControl/>
        <w:ind w:left="0"/>
        <w:rPr>
          <w:rFonts w:ascii="Times New Roman" w:hAnsi="Times New Roman"/>
          <w:color w:val="000000"/>
          <w:szCs w:val="22"/>
        </w:rPr>
      </w:pPr>
    </w:p>
    <w:p w14:paraId="288F8855" w14:textId="53EF2D37" w:rsidR="003A33A6" w:rsidRPr="008A4F40" w:rsidRDefault="003A33A6" w:rsidP="004E7659">
      <w:pPr>
        <w:pStyle w:val="BodyTextIndent3"/>
        <w:keepNext/>
        <w:widowControl/>
        <w:ind w:left="0"/>
        <w:rPr>
          <w:rFonts w:ascii="Times New Roman" w:hAnsi="Times New Roman"/>
          <w:color w:val="000000"/>
          <w:szCs w:val="22"/>
          <w:u w:val="single"/>
        </w:rPr>
      </w:pPr>
      <w:r w:rsidRPr="008A4F40">
        <w:rPr>
          <w:rFonts w:ascii="Times New Roman" w:hAnsi="Times New Roman"/>
          <w:color w:val="000000"/>
          <w:szCs w:val="22"/>
          <w:u w:val="single"/>
        </w:rPr>
        <w:t>Wirkstoffe, deren Plasmakonzentrationen durch Glivec verändert werden können</w:t>
      </w:r>
    </w:p>
    <w:p w14:paraId="19A6820E" w14:textId="77777777" w:rsidR="0020092F" w:rsidRPr="008A4F40" w:rsidRDefault="0020092F" w:rsidP="004E7659">
      <w:pPr>
        <w:pStyle w:val="BodyTextIndent3"/>
        <w:keepNext/>
        <w:widowControl/>
        <w:ind w:left="0"/>
        <w:rPr>
          <w:rFonts w:ascii="Times New Roman" w:hAnsi="Times New Roman"/>
          <w:color w:val="000000"/>
          <w:szCs w:val="22"/>
          <w:u w:val="single"/>
        </w:rPr>
      </w:pPr>
    </w:p>
    <w:p w14:paraId="256DFB20"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Imatinib erhöht die mittlere C</w:t>
      </w:r>
      <w:r w:rsidRPr="008A4F40">
        <w:rPr>
          <w:rFonts w:ascii="Times New Roman" w:hAnsi="Times New Roman"/>
          <w:color w:val="000000"/>
          <w:szCs w:val="22"/>
          <w:vertAlign w:val="subscript"/>
        </w:rPr>
        <w:t>max</w:t>
      </w:r>
      <w:r w:rsidRPr="008A4F40">
        <w:rPr>
          <w:rFonts w:ascii="Times New Roman" w:hAnsi="Times New Roman"/>
          <w:color w:val="000000"/>
          <w:szCs w:val="22"/>
        </w:rPr>
        <w:t xml:space="preserve"> und AUC von Simvastatin (CYP3A4-Substrat) 2- bzw. 3,5fach, ein Hinweis auf die Inhibition von CYP3A4 durch Imatinib. Die Anwendung von Glivec mit CYP3A4-Sub</w:t>
      </w:r>
      <w:del w:id="91" w:author="Author">
        <w:r w:rsidRPr="008A4F40" w:rsidDel="004E7659">
          <w:rPr>
            <w:rFonts w:ascii="Times New Roman" w:hAnsi="Times New Roman"/>
            <w:color w:val="000000"/>
            <w:szCs w:val="22"/>
          </w:rPr>
          <w:softHyphen/>
        </w:r>
      </w:del>
      <w:r w:rsidRPr="008A4F40">
        <w:rPr>
          <w:rFonts w:ascii="Times New Roman" w:hAnsi="Times New Roman"/>
          <w:color w:val="000000"/>
          <w:szCs w:val="22"/>
        </w:rPr>
        <w:t>straten mit einer engen therapeutischen Breite (z. B. Ciclosporin, Pimozid, Tacrolimus, Sirolimus, Ergotamin, Diergotamin, Fentanyl, Alfentanil, Terfenadin, Bortezomib, Docetaxel und Chinidin) muss daher mit Vorsicht erfolgen. Glivec kann die Plasmakonzentration von anderen Substanzen, die über CYP3A4 metaboli</w:t>
      </w:r>
      <w:del w:id="92" w:author="Author">
        <w:r w:rsidRPr="008A4F40" w:rsidDel="004E7659">
          <w:rPr>
            <w:rFonts w:ascii="Times New Roman" w:hAnsi="Times New Roman"/>
            <w:color w:val="000000"/>
            <w:szCs w:val="22"/>
          </w:rPr>
          <w:softHyphen/>
        </w:r>
      </w:del>
      <w:r w:rsidRPr="008A4F40">
        <w:rPr>
          <w:rFonts w:ascii="Times New Roman" w:hAnsi="Times New Roman"/>
          <w:color w:val="000000"/>
          <w:szCs w:val="22"/>
        </w:rPr>
        <w:t>siert werden, erhöhen (z. B. Triazol-Benzodiazepine, Kalziumkanalblocker vom Dihydropyridintyp, be</w:t>
      </w:r>
      <w:del w:id="93" w:author="Author">
        <w:r w:rsidRPr="008A4F40" w:rsidDel="004E7659">
          <w:rPr>
            <w:rFonts w:ascii="Times New Roman" w:hAnsi="Times New Roman"/>
            <w:color w:val="000000"/>
            <w:szCs w:val="22"/>
          </w:rPr>
          <w:softHyphen/>
        </w:r>
      </w:del>
      <w:r w:rsidRPr="008A4F40">
        <w:rPr>
          <w:rFonts w:ascii="Times New Roman" w:hAnsi="Times New Roman"/>
          <w:color w:val="000000"/>
          <w:szCs w:val="22"/>
        </w:rPr>
        <w:t xml:space="preserve">stimmte </w:t>
      </w:r>
      <w:smartTag w:uri="urn:schemas-microsoft-com:office:smarttags" w:element="stockticker">
        <w:r w:rsidRPr="008A4F40">
          <w:rPr>
            <w:rFonts w:ascii="Times New Roman" w:hAnsi="Times New Roman"/>
            <w:color w:val="000000"/>
            <w:szCs w:val="22"/>
          </w:rPr>
          <w:t>HMG</w:t>
        </w:r>
      </w:smartTag>
      <w:r w:rsidRPr="008A4F40">
        <w:rPr>
          <w:rFonts w:ascii="Times New Roman" w:hAnsi="Times New Roman"/>
          <w:color w:val="000000"/>
          <w:szCs w:val="22"/>
        </w:rPr>
        <w:t>-CoA-Reduktase-Inhibitoren wie die Statine etc.).</w:t>
      </w:r>
    </w:p>
    <w:p w14:paraId="0747B0BA" w14:textId="77777777" w:rsidR="003A33A6" w:rsidRPr="008A4F40" w:rsidRDefault="003A33A6" w:rsidP="004E7659">
      <w:pPr>
        <w:pStyle w:val="BodyTextIndent3"/>
        <w:widowControl/>
        <w:ind w:left="0"/>
        <w:rPr>
          <w:rFonts w:ascii="Times New Roman" w:hAnsi="Times New Roman"/>
          <w:color w:val="000000"/>
          <w:szCs w:val="22"/>
        </w:rPr>
      </w:pPr>
    </w:p>
    <w:p w14:paraId="64538897"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Aufgrund des bekannten erhöhten Risikos für Blutungen in Verbindung mit der Anwendung von Imatinib (z. B. Hämorrhagie) sollten Patienten, die eine Antikoagulation benötigen, niedermolekulares oder Standardheparin anstelle von Cumarin-Derivaten wie Warfarin erhalten.</w:t>
      </w:r>
    </w:p>
    <w:p w14:paraId="73ABEB75" w14:textId="77777777" w:rsidR="003A33A6" w:rsidRPr="008A4F40" w:rsidRDefault="003A33A6" w:rsidP="004E7659">
      <w:pPr>
        <w:pStyle w:val="BodyTextIndent3"/>
        <w:widowControl/>
        <w:ind w:left="0"/>
        <w:rPr>
          <w:rFonts w:ascii="Times New Roman" w:hAnsi="Times New Roman"/>
          <w:color w:val="000000"/>
          <w:szCs w:val="22"/>
        </w:rPr>
      </w:pPr>
    </w:p>
    <w:p w14:paraId="2574E935"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i/>
          <w:color w:val="000000"/>
          <w:szCs w:val="22"/>
        </w:rPr>
        <w:t>In vitro</w:t>
      </w:r>
      <w:r w:rsidRPr="008A4F40">
        <w:rPr>
          <w:rFonts w:ascii="Times New Roman" w:hAnsi="Times New Roman"/>
          <w:color w:val="000000"/>
          <w:szCs w:val="22"/>
        </w:rPr>
        <w:t xml:space="preserve"> inhibiert Glivec die Aktivität des Cytochrom-P450-Isoenzyms CYP2D6 bei den gleichen Konzentrationen, die auch die CYP3A4-Aktivität hemmen. Imatinib in einer Dosierung von zweimal täglich 400 mg hatte einen inhibitorischen Effekt auf die CYP2D6-vermittelte Metabolisierung von Metoprolol, wobei C</w:t>
      </w:r>
      <w:r w:rsidRPr="008A4F40">
        <w:rPr>
          <w:rFonts w:ascii="Times New Roman" w:hAnsi="Times New Roman"/>
          <w:color w:val="000000"/>
          <w:szCs w:val="22"/>
          <w:vertAlign w:val="subscript"/>
        </w:rPr>
        <w:t>max</w:t>
      </w:r>
      <w:r w:rsidRPr="008A4F40">
        <w:rPr>
          <w:rFonts w:ascii="Times New Roman" w:hAnsi="Times New Roman"/>
          <w:color w:val="000000"/>
          <w:szCs w:val="22"/>
        </w:rPr>
        <w:t xml:space="preserve"> und AUC von Metoprolol um etwa 23% (90% Konfidenzintervall [1,16</w:t>
      </w:r>
      <w:r w:rsidRPr="008A4F40">
        <w:rPr>
          <w:rFonts w:ascii="Times New Roman" w:hAnsi="Times New Roman"/>
          <w:color w:val="000000"/>
          <w:szCs w:val="22"/>
        </w:rPr>
        <w:noBreakHyphen/>
        <w:t>1,30]) angehoben wurden. Dosisanpassungen scheinen nicht erforderlich zu sein, wenn Imatinib gleichzeitig mit CYP2D6-Substraten verabreicht wird. Bei CYP2D6-Substraten mit engem therapeutischem Fenster wie Metoprolol ist jedoch Vorsicht geboten. Bei Patienten, die mit Metoprolol behandelt werden, sollte eine klinische Überwachung in Erwägung gezogen werden.</w:t>
      </w:r>
    </w:p>
    <w:p w14:paraId="112359EB" w14:textId="77777777" w:rsidR="003A33A6" w:rsidRPr="008A4F40" w:rsidRDefault="003A33A6" w:rsidP="004E7659">
      <w:pPr>
        <w:pStyle w:val="BodyTextIndent3"/>
        <w:widowControl/>
        <w:ind w:left="0"/>
        <w:rPr>
          <w:rFonts w:ascii="Times New Roman" w:hAnsi="Times New Roman"/>
          <w:color w:val="000000"/>
          <w:szCs w:val="22"/>
        </w:rPr>
      </w:pPr>
    </w:p>
    <w:p w14:paraId="143D40AD" w14:textId="1366AFE8"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i/>
          <w:color w:val="000000"/>
          <w:szCs w:val="22"/>
        </w:rPr>
        <w:t>In vitro</w:t>
      </w:r>
      <w:r w:rsidRPr="008A4F40">
        <w:rPr>
          <w:rFonts w:ascii="Times New Roman" w:hAnsi="Times New Roman"/>
          <w:color w:val="000000"/>
          <w:szCs w:val="22"/>
        </w:rPr>
        <w:t xml:space="preserve"> inhibiert Glivec die O-Glukuronidierung von Paracetamol mit einem K</w:t>
      </w:r>
      <w:r w:rsidRPr="008A4F40">
        <w:rPr>
          <w:rFonts w:ascii="Times New Roman" w:hAnsi="Times New Roman"/>
          <w:color w:val="000000"/>
          <w:szCs w:val="22"/>
          <w:vertAlign w:val="subscript"/>
        </w:rPr>
        <w:t>i</w:t>
      </w:r>
      <w:r w:rsidRPr="008A4F40">
        <w:rPr>
          <w:rFonts w:ascii="Times New Roman" w:hAnsi="Times New Roman"/>
          <w:color w:val="000000"/>
          <w:szCs w:val="22"/>
        </w:rPr>
        <w:t xml:space="preserve">-Wert von 58,5 Mikromol/l. </w:t>
      </w:r>
      <w:r w:rsidRPr="008A4F40">
        <w:rPr>
          <w:rFonts w:ascii="Times New Roman" w:hAnsi="Times New Roman"/>
          <w:i/>
          <w:color w:val="000000"/>
          <w:szCs w:val="22"/>
        </w:rPr>
        <w:t>In vivo</w:t>
      </w:r>
      <w:r w:rsidRPr="008A4F40">
        <w:rPr>
          <w:rFonts w:ascii="Times New Roman" w:hAnsi="Times New Roman"/>
          <w:color w:val="000000"/>
          <w:szCs w:val="22"/>
        </w:rPr>
        <w:t xml:space="preserve"> wurde diese Hemmung nach der Anwendung von 400 mg Glivec und 1</w:t>
      </w:r>
      <w:ins w:id="94" w:author="Author">
        <w:r w:rsidR="00A742BE">
          <w:rPr>
            <w:rFonts w:ascii="Times New Roman" w:hAnsi="Times New Roman"/>
            <w:color w:val="000000"/>
            <w:szCs w:val="22"/>
          </w:rPr>
          <w:t> </w:t>
        </w:r>
      </w:ins>
      <w:r w:rsidRPr="008A4F40">
        <w:rPr>
          <w:rFonts w:ascii="Times New Roman" w:hAnsi="Times New Roman"/>
          <w:color w:val="000000"/>
          <w:szCs w:val="22"/>
        </w:rPr>
        <w:t>000 mg Paracetamol nicht beobachtet. Höhere Dosen von Glivec und Paracetamol wurden nicht untersucht.</w:t>
      </w:r>
    </w:p>
    <w:p w14:paraId="0CE6D816" w14:textId="77777777" w:rsidR="003A33A6" w:rsidRPr="008A4F40" w:rsidRDefault="003A33A6" w:rsidP="004E7659">
      <w:pPr>
        <w:pStyle w:val="BodyTextIndent3"/>
        <w:widowControl/>
        <w:ind w:left="0"/>
        <w:rPr>
          <w:rFonts w:ascii="Times New Roman" w:hAnsi="Times New Roman"/>
          <w:color w:val="000000"/>
          <w:szCs w:val="22"/>
        </w:rPr>
      </w:pPr>
    </w:p>
    <w:p w14:paraId="0EFC700E"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Daher ist Vorsicht geboten, wenn Glivec und Paracetamol gleichzeitig in hohen Dosen gegeben werden.</w:t>
      </w:r>
    </w:p>
    <w:p w14:paraId="05637513" w14:textId="77777777" w:rsidR="003A33A6" w:rsidRPr="008A4F40" w:rsidRDefault="003A33A6" w:rsidP="004E7659">
      <w:pPr>
        <w:pStyle w:val="BodyTextIndent3"/>
        <w:widowControl/>
        <w:ind w:left="0"/>
        <w:rPr>
          <w:rFonts w:ascii="Times New Roman" w:hAnsi="Times New Roman"/>
          <w:color w:val="000000"/>
          <w:szCs w:val="22"/>
        </w:rPr>
      </w:pPr>
    </w:p>
    <w:p w14:paraId="538EFEEB" w14:textId="509FC847" w:rsidR="003A33A6" w:rsidRPr="008A4F40" w:rsidRDefault="003A33A6" w:rsidP="004E7659">
      <w:pPr>
        <w:rPr>
          <w:color w:val="000000"/>
          <w:sz w:val="22"/>
          <w:szCs w:val="22"/>
        </w:rPr>
      </w:pPr>
      <w:r w:rsidRPr="008A4F40">
        <w:rPr>
          <w:color w:val="000000"/>
          <w:sz w:val="22"/>
          <w:szCs w:val="22"/>
        </w:rPr>
        <w:t>Bei Patienten, die nach Thyreoidektomie Levothyroxin erhalten, kann die Plasmakonzentration von Levothyroxin bei gleichzeitiger Gabe von Glivec herabgesetzt sein (siehe Abschnitt</w:t>
      </w:r>
      <w:ins w:id="95" w:author="Author">
        <w:r w:rsidR="00E96CC8">
          <w:rPr>
            <w:color w:val="000000"/>
            <w:sz w:val="22"/>
            <w:szCs w:val="22"/>
          </w:rPr>
          <w:t> </w:t>
        </w:r>
      </w:ins>
      <w:del w:id="96" w:author="Author">
        <w:r w:rsidRPr="008A4F40" w:rsidDel="00E96CC8">
          <w:rPr>
            <w:color w:val="000000"/>
            <w:sz w:val="22"/>
            <w:szCs w:val="22"/>
          </w:rPr>
          <w:delText xml:space="preserve"> </w:delText>
        </w:r>
      </w:del>
      <w:r w:rsidRPr="008A4F40">
        <w:rPr>
          <w:color w:val="000000"/>
          <w:sz w:val="22"/>
          <w:szCs w:val="22"/>
        </w:rPr>
        <w:t>4.4). Daher ist Vorsicht geboten. Der Mechanismus dieser beobachteten Wechselwirkung ist jedoch gegenwärtig nicht bekannt.</w:t>
      </w:r>
    </w:p>
    <w:p w14:paraId="2FD64CDF" w14:textId="77777777" w:rsidR="003A33A6" w:rsidRPr="008A4F40" w:rsidRDefault="003A33A6" w:rsidP="004E7659">
      <w:pPr>
        <w:pStyle w:val="BodyTextIndent3"/>
        <w:widowControl/>
        <w:ind w:left="0"/>
        <w:rPr>
          <w:rFonts w:ascii="Times New Roman" w:hAnsi="Times New Roman"/>
          <w:color w:val="000000"/>
          <w:szCs w:val="22"/>
        </w:rPr>
      </w:pPr>
    </w:p>
    <w:p w14:paraId="4B4FD623" w14:textId="54D7A51E"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Bei Patienten mit Ph+ </w:t>
      </w:r>
      <w:smartTag w:uri="urn:schemas-microsoft-com:office:smarttags" w:element="stockticker">
        <w:r w:rsidRPr="008A4F40">
          <w:rPr>
            <w:rFonts w:ascii="Times New Roman" w:hAnsi="Times New Roman"/>
            <w:color w:val="000000"/>
            <w:szCs w:val="22"/>
          </w:rPr>
          <w:t>ALL</w:t>
        </w:r>
      </w:smartTag>
      <w:r w:rsidRPr="008A4F40">
        <w:rPr>
          <w:rFonts w:ascii="Times New Roman" w:hAnsi="Times New Roman"/>
          <w:color w:val="000000"/>
          <w:szCs w:val="22"/>
        </w:rPr>
        <w:t xml:space="preserve"> liegen klinische Erfahrungen mit der gleichzeitigen Gabe von Glivec und Chemotherapeutika vor (siehe Abschnitt</w:t>
      </w:r>
      <w:ins w:id="97" w:author="Author">
        <w:r w:rsidR="00E96CC8">
          <w:rPr>
            <w:rFonts w:ascii="Times New Roman" w:hAnsi="Times New Roman"/>
            <w:color w:val="000000"/>
            <w:szCs w:val="22"/>
          </w:rPr>
          <w:t> </w:t>
        </w:r>
      </w:ins>
      <w:del w:id="98" w:author="Author">
        <w:r w:rsidRPr="008A4F40" w:rsidDel="00E96CC8">
          <w:rPr>
            <w:rFonts w:ascii="Times New Roman" w:hAnsi="Times New Roman"/>
            <w:color w:val="000000"/>
            <w:szCs w:val="22"/>
          </w:rPr>
          <w:delText xml:space="preserve"> </w:delText>
        </w:r>
      </w:del>
      <w:r w:rsidRPr="008A4F40">
        <w:rPr>
          <w:rFonts w:ascii="Times New Roman" w:hAnsi="Times New Roman"/>
          <w:color w:val="000000"/>
          <w:szCs w:val="22"/>
        </w:rPr>
        <w:t>5.1), jedoch sind Arzneimittelwechselwirkungen zwischen Imatinib und Chemotherapie-Schemata nicht gut beschrieben. Unerwünschte Wirkungen von Imatinib, d. h. Hepatotoxizität, Myelosuppression oder andere Nebenwirkungen, können verstärkt werden. Es wurde berichtet, dass die gleichzeitige Anwendung von L-Asparaginase mit einer erhöhten Lebertoxizität verbunden sein kann (siehe Abschnitt</w:t>
      </w:r>
      <w:ins w:id="99" w:author="Author">
        <w:r w:rsidR="00E96CC8">
          <w:rPr>
            <w:rFonts w:ascii="Times New Roman" w:hAnsi="Times New Roman"/>
            <w:color w:val="000000"/>
            <w:szCs w:val="22"/>
          </w:rPr>
          <w:t> </w:t>
        </w:r>
      </w:ins>
      <w:del w:id="100" w:author="Author">
        <w:r w:rsidRPr="008A4F40" w:rsidDel="00E96CC8">
          <w:rPr>
            <w:rFonts w:ascii="Times New Roman" w:hAnsi="Times New Roman"/>
            <w:color w:val="000000"/>
            <w:szCs w:val="22"/>
          </w:rPr>
          <w:delText xml:space="preserve"> </w:delText>
        </w:r>
      </w:del>
      <w:r w:rsidRPr="008A4F40">
        <w:rPr>
          <w:rFonts w:ascii="Times New Roman" w:hAnsi="Times New Roman"/>
          <w:color w:val="000000"/>
          <w:szCs w:val="22"/>
        </w:rPr>
        <w:t>4.8). Daher erfordert die Anwendung von Glivec in Kombinationen besondere Vorsicht.</w:t>
      </w:r>
    </w:p>
    <w:p w14:paraId="50D6CF5C" w14:textId="77777777" w:rsidR="003A33A6" w:rsidRDefault="003A33A6" w:rsidP="004E7659">
      <w:pPr>
        <w:rPr>
          <w:ins w:id="101" w:author="Author"/>
          <w:color w:val="000000"/>
          <w:sz w:val="22"/>
          <w:szCs w:val="22"/>
        </w:rPr>
      </w:pPr>
    </w:p>
    <w:p w14:paraId="038992E1" w14:textId="2A3B23AB" w:rsidR="00C85770" w:rsidRPr="00D6696F" w:rsidRDefault="00C85770" w:rsidP="004E7659">
      <w:pPr>
        <w:rPr>
          <w:ins w:id="102" w:author="Author"/>
          <w:color w:val="000000"/>
          <w:sz w:val="22"/>
          <w:szCs w:val="22"/>
        </w:rPr>
      </w:pPr>
      <w:ins w:id="103" w:author="Author">
        <w:r w:rsidRPr="004B79F6">
          <w:rPr>
            <w:color w:val="000000"/>
            <w:sz w:val="22"/>
            <w:szCs w:val="22"/>
            <w:rPrChange w:id="104" w:author="Author">
              <w:rPr>
                <w:color w:val="000000"/>
                <w:sz w:val="22"/>
                <w:szCs w:val="22"/>
                <w:u w:val="single"/>
              </w:rPr>
            </w:rPrChange>
          </w:rPr>
          <w:t>Imatinib kann möglicherweise die Clearance von Methotrexat verzögern, insbesondere wenn Methotrexat in hohen Dosen (&gt; 500 mg/m</w:t>
        </w:r>
        <w:r w:rsidRPr="004B79F6">
          <w:rPr>
            <w:color w:val="000000"/>
            <w:sz w:val="22"/>
            <w:szCs w:val="22"/>
            <w:vertAlign w:val="superscript"/>
            <w:rPrChange w:id="105" w:author="Author">
              <w:rPr>
                <w:color w:val="000000"/>
                <w:sz w:val="22"/>
                <w:szCs w:val="22"/>
                <w:u w:val="single"/>
                <w:vertAlign w:val="superscript"/>
              </w:rPr>
            </w:rPrChange>
          </w:rPr>
          <w:t>2</w:t>
        </w:r>
        <w:r w:rsidRPr="004B79F6">
          <w:rPr>
            <w:color w:val="000000"/>
            <w:sz w:val="22"/>
            <w:szCs w:val="22"/>
            <w:rPrChange w:id="106" w:author="Author">
              <w:rPr>
                <w:color w:val="000000"/>
                <w:sz w:val="22"/>
                <w:szCs w:val="22"/>
                <w:u w:val="single"/>
              </w:rPr>
            </w:rPrChange>
          </w:rPr>
          <w:t>) angewendet wird. Bei gleichzeitiger Gabe von Glivec und Methotrexat ist Vorsicht geboten.</w:t>
        </w:r>
      </w:ins>
    </w:p>
    <w:p w14:paraId="0D5AF4C1" w14:textId="77777777" w:rsidR="00C85770" w:rsidRPr="008A4F40" w:rsidRDefault="00C85770" w:rsidP="004E7659">
      <w:pPr>
        <w:rPr>
          <w:color w:val="000000"/>
          <w:sz w:val="22"/>
          <w:szCs w:val="22"/>
        </w:rPr>
      </w:pPr>
    </w:p>
    <w:p w14:paraId="5BDDE3AC" w14:textId="77777777" w:rsidR="003A33A6" w:rsidRPr="008A4F40" w:rsidRDefault="003A33A6" w:rsidP="004E7659">
      <w:pPr>
        <w:keepNext/>
        <w:ind w:left="567" w:hanging="567"/>
        <w:rPr>
          <w:color w:val="000000"/>
          <w:sz w:val="22"/>
          <w:szCs w:val="22"/>
        </w:rPr>
      </w:pPr>
      <w:r w:rsidRPr="008A4F40">
        <w:rPr>
          <w:b/>
          <w:color w:val="000000"/>
          <w:sz w:val="22"/>
          <w:szCs w:val="22"/>
        </w:rPr>
        <w:t>4.6</w:t>
      </w:r>
      <w:r w:rsidRPr="008A4F40">
        <w:rPr>
          <w:b/>
          <w:color w:val="000000"/>
          <w:sz w:val="22"/>
          <w:szCs w:val="22"/>
        </w:rPr>
        <w:tab/>
        <w:t>Fertilität, Schwangerschaft und Stillzeit</w:t>
      </w:r>
    </w:p>
    <w:p w14:paraId="6A7422DC" w14:textId="77777777" w:rsidR="003A33A6" w:rsidRPr="008A4F40" w:rsidRDefault="003A33A6" w:rsidP="004E7659">
      <w:pPr>
        <w:keepNext/>
        <w:rPr>
          <w:color w:val="000000"/>
          <w:sz w:val="22"/>
          <w:szCs w:val="22"/>
          <w:u w:val="single"/>
        </w:rPr>
      </w:pPr>
    </w:p>
    <w:p w14:paraId="046A48E9" w14:textId="253144F6" w:rsidR="003A33A6" w:rsidRPr="008A4F40" w:rsidRDefault="003A33A6" w:rsidP="004E7659">
      <w:pPr>
        <w:pStyle w:val="Text"/>
        <w:keepNext/>
        <w:spacing w:before="0"/>
        <w:jc w:val="left"/>
        <w:rPr>
          <w:sz w:val="22"/>
          <w:szCs w:val="22"/>
          <w:u w:val="single"/>
          <w:lang w:val="de-DE"/>
        </w:rPr>
      </w:pPr>
      <w:r w:rsidRPr="008A4F40">
        <w:rPr>
          <w:sz w:val="22"/>
          <w:szCs w:val="22"/>
          <w:u w:val="single"/>
          <w:lang w:val="de-DE"/>
        </w:rPr>
        <w:t>Frauen im gebärfähigen Alter</w:t>
      </w:r>
    </w:p>
    <w:p w14:paraId="6E2F67AF" w14:textId="77777777" w:rsidR="00194823" w:rsidRPr="008A4F40" w:rsidRDefault="00194823" w:rsidP="004E7659">
      <w:pPr>
        <w:pStyle w:val="Text"/>
        <w:keepNext/>
        <w:spacing w:before="0"/>
        <w:jc w:val="left"/>
        <w:rPr>
          <w:sz w:val="22"/>
          <w:szCs w:val="22"/>
          <w:u w:val="single"/>
          <w:lang w:val="de-DE"/>
        </w:rPr>
      </w:pPr>
    </w:p>
    <w:p w14:paraId="7C7BD733" w14:textId="043AB44A" w:rsidR="003A33A6" w:rsidRPr="008A4F40" w:rsidRDefault="003A33A6" w:rsidP="004E7659">
      <w:pPr>
        <w:pStyle w:val="Text"/>
        <w:spacing w:before="0"/>
        <w:jc w:val="left"/>
        <w:rPr>
          <w:sz w:val="22"/>
          <w:szCs w:val="22"/>
          <w:lang w:val="de-DE"/>
        </w:rPr>
      </w:pPr>
      <w:r w:rsidRPr="008A4F40">
        <w:rPr>
          <w:sz w:val="22"/>
          <w:szCs w:val="22"/>
          <w:lang w:val="de-DE"/>
        </w:rPr>
        <w:t xml:space="preserve">Frauen im gebärfähigen Alter müssen darüber aufgeklärt werden, während der Behandlung </w:t>
      </w:r>
      <w:r w:rsidR="007E0152" w:rsidRPr="008A4F40">
        <w:rPr>
          <w:sz w:val="22"/>
          <w:szCs w:val="22"/>
          <w:lang w:val="de-DE"/>
        </w:rPr>
        <w:t>und für mindestens 15</w:t>
      </w:r>
      <w:r w:rsidR="003B3786" w:rsidRPr="008A4F40">
        <w:rPr>
          <w:sz w:val="22"/>
          <w:szCs w:val="22"/>
          <w:lang w:val="de-DE"/>
        </w:rPr>
        <w:t> </w:t>
      </w:r>
      <w:r w:rsidR="007E0152" w:rsidRPr="008A4F40">
        <w:rPr>
          <w:sz w:val="22"/>
          <w:szCs w:val="22"/>
          <w:lang w:val="de-DE"/>
        </w:rPr>
        <w:t xml:space="preserve">Tage nach Beendigung der Behandlung mit Glivec </w:t>
      </w:r>
      <w:r w:rsidRPr="008A4F40">
        <w:rPr>
          <w:sz w:val="22"/>
          <w:szCs w:val="22"/>
          <w:lang w:val="de-DE"/>
        </w:rPr>
        <w:t>eine zuverlässige Verhütungsmethode anzuwenden.</w:t>
      </w:r>
    </w:p>
    <w:p w14:paraId="35FBC773" w14:textId="77777777" w:rsidR="003A33A6" w:rsidRPr="008A4F40" w:rsidRDefault="003A33A6" w:rsidP="004E7659">
      <w:pPr>
        <w:rPr>
          <w:color w:val="000000"/>
          <w:sz w:val="22"/>
          <w:szCs w:val="22"/>
          <w:u w:val="single"/>
        </w:rPr>
      </w:pPr>
    </w:p>
    <w:p w14:paraId="171F4D70" w14:textId="1D669EB9" w:rsidR="003A33A6" w:rsidRPr="008A4F40" w:rsidRDefault="003A33A6" w:rsidP="004E7659">
      <w:pPr>
        <w:keepNext/>
        <w:rPr>
          <w:color w:val="000000"/>
          <w:sz w:val="22"/>
          <w:szCs w:val="22"/>
          <w:u w:val="single"/>
        </w:rPr>
      </w:pPr>
      <w:r w:rsidRPr="008A4F40">
        <w:rPr>
          <w:color w:val="000000"/>
          <w:sz w:val="22"/>
          <w:szCs w:val="22"/>
          <w:u w:val="single"/>
        </w:rPr>
        <w:t>Schwangerschaft</w:t>
      </w:r>
    </w:p>
    <w:p w14:paraId="04E3EB30" w14:textId="77777777" w:rsidR="00194823" w:rsidRPr="008A4F40" w:rsidRDefault="00194823" w:rsidP="004E7659">
      <w:pPr>
        <w:keepNext/>
        <w:rPr>
          <w:color w:val="000000"/>
          <w:sz w:val="22"/>
          <w:szCs w:val="22"/>
          <w:u w:val="single"/>
        </w:rPr>
      </w:pPr>
    </w:p>
    <w:p w14:paraId="26EA802E" w14:textId="128B9CE6" w:rsidR="003A33A6" w:rsidRPr="008A4F40" w:rsidRDefault="003A33A6" w:rsidP="004E7659">
      <w:pPr>
        <w:rPr>
          <w:color w:val="000000"/>
          <w:sz w:val="22"/>
          <w:szCs w:val="22"/>
        </w:rPr>
      </w:pPr>
      <w:del w:id="107" w:author="Author">
        <w:r w:rsidRPr="008A4F40" w:rsidDel="00507BDC">
          <w:rPr>
            <w:color w:val="000000"/>
            <w:sz w:val="22"/>
            <w:szCs w:val="22"/>
          </w:rPr>
          <w:delText xml:space="preserve">Es </w:delText>
        </w:r>
      </w:del>
      <w:ins w:id="108" w:author="Author">
        <w:r w:rsidR="00507BDC">
          <w:rPr>
            <w:color w:val="000000"/>
            <w:sz w:val="22"/>
            <w:szCs w:val="22"/>
          </w:rPr>
          <w:t>Bisher</w:t>
        </w:r>
        <w:r w:rsidR="00507BDC" w:rsidRPr="008A4F40">
          <w:rPr>
            <w:color w:val="000000"/>
            <w:sz w:val="22"/>
            <w:szCs w:val="22"/>
          </w:rPr>
          <w:t xml:space="preserve"> </w:t>
        </w:r>
      </w:ins>
      <w:r w:rsidRPr="008A4F40">
        <w:rPr>
          <w:color w:val="000000"/>
          <w:sz w:val="22"/>
          <w:szCs w:val="22"/>
        </w:rPr>
        <w:t xml:space="preserve">liegen </w:t>
      </w:r>
      <w:ins w:id="109" w:author="Author">
        <w:r w:rsidR="00507BDC">
          <w:rPr>
            <w:color w:val="000000"/>
            <w:sz w:val="22"/>
            <w:szCs w:val="22"/>
          </w:rPr>
          <w:t xml:space="preserve">nur sehr </w:t>
        </w:r>
      </w:ins>
      <w:r w:rsidRPr="008A4F40">
        <w:rPr>
          <w:color w:val="000000"/>
          <w:sz w:val="22"/>
          <w:szCs w:val="22"/>
        </w:rPr>
        <w:t xml:space="preserve">begrenzte </w:t>
      </w:r>
      <w:del w:id="110" w:author="Author">
        <w:r w:rsidRPr="008A4F40" w:rsidDel="00507BDC">
          <w:rPr>
            <w:color w:val="000000"/>
            <w:sz w:val="22"/>
            <w:szCs w:val="22"/>
          </w:rPr>
          <w:delText xml:space="preserve">Daten </w:delText>
        </w:r>
      </w:del>
      <w:ins w:id="111" w:author="Author">
        <w:r w:rsidR="00507BDC">
          <w:rPr>
            <w:color w:val="000000"/>
            <w:sz w:val="22"/>
            <w:szCs w:val="22"/>
          </w:rPr>
          <w:t>Erfahrungen mit der Anwendung</w:t>
        </w:r>
      </w:ins>
      <w:del w:id="112" w:author="Author">
        <w:r w:rsidRPr="008A4F40" w:rsidDel="00507BDC">
          <w:rPr>
            <w:color w:val="000000"/>
            <w:sz w:val="22"/>
            <w:szCs w:val="22"/>
          </w:rPr>
          <w:delText>für die Verwendung</w:delText>
        </w:r>
      </w:del>
      <w:r w:rsidRPr="008A4F40">
        <w:rPr>
          <w:color w:val="000000"/>
          <w:sz w:val="22"/>
          <w:szCs w:val="22"/>
        </w:rPr>
        <w:t xml:space="preserve"> von Imatinib bei Schwangeren vor. </w:t>
      </w:r>
      <w:r w:rsidR="00C36708" w:rsidRPr="008A4F40">
        <w:rPr>
          <w:color w:val="000000"/>
          <w:sz w:val="22"/>
          <w:szCs w:val="22"/>
        </w:rPr>
        <w:t xml:space="preserve">Wie Berichte nach Markteinführung zeigten, kann Imatinib Fehlgeburten oder Geburtsfehler verursachen, wenn es bei schwangeren Frauen angewendet wird. </w:t>
      </w:r>
      <w:r w:rsidRPr="008A4F40">
        <w:rPr>
          <w:color w:val="000000"/>
          <w:sz w:val="22"/>
          <w:szCs w:val="22"/>
        </w:rPr>
        <w:t>Tierexperimentelle Studien haben jedoch eine Reproduktionstoxizität gezeigt (siehe Abschnitt</w:t>
      </w:r>
      <w:ins w:id="113" w:author="Author">
        <w:r w:rsidR="00E96CC8">
          <w:rPr>
            <w:color w:val="000000"/>
            <w:sz w:val="22"/>
            <w:szCs w:val="22"/>
          </w:rPr>
          <w:t> </w:t>
        </w:r>
      </w:ins>
      <w:del w:id="114" w:author="Author">
        <w:r w:rsidRPr="008A4F40" w:rsidDel="00E96CC8">
          <w:rPr>
            <w:color w:val="000000"/>
            <w:sz w:val="22"/>
            <w:szCs w:val="22"/>
          </w:rPr>
          <w:delText xml:space="preserve"> </w:delText>
        </w:r>
      </w:del>
      <w:r w:rsidRPr="008A4F40">
        <w:rPr>
          <w:color w:val="000000"/>
          <w:sz w:val="22"/>
          <w:szCs w:val="22"/>
        </w:rPr>
        <w:t>5.3) und das potenzielle Risiko für den Fetus ist nicht bekannt. Glivec darf während der Schwangerschaft nicht angewendet werden, es sei denn, dies ist eindeutig erforderlich. Wenn es während einer Schwangerschaft angewendet wird, muss die Patientin über ein mögliches Risiko für den Fetus informiert werden.</w:t>
      </w:r>
    </w:p>
    <w:p w14:paraId="0D442AEC" w14:textId="77777777" w:rsidR="003A33A6" w:rsidRPr="008A4F40" w:rsidRDefault="003A33A6" w:rsidP="004E7659">
      <w:pPr>
        <w:pStyle w:val="Header"/>
        <w:tabs>
          <w:tab w:val="clear" w:pos="4320"/>
          <w:tab w:val="clear" w:pos="8640"/>
        </w:tabs>
        <w:rPr>
          <w:color w:val="000000"/>
          <w:szCs w:val="22"/>
        </w:rPr>
      </w:pPr>
    </w:p>
    <w:p w14:paraId="0B2F5AC8" w14:textId="354B2553" w:rsidR="003A33A6" w:rsidRPr="008A4F40" w:rsidRDefault="003A33A6" w:rsidP="004E7659">
      <w:pPr>
        <w:keepNext/>
        <w:rPr>
          <w:color w:val="000000"/>
          <w:sz w:val="22"/>
          <w:szCs w:val="22"/>
          <w:u w:val="single"/>
        </w:rPr>
      </w:pPr>
      <w:r w:rsidRPr="008A4F40">
        <w:rPr>
          <w:color w:val="000000"/>
          <w:sz w:val="22"/>
          <w:szCs w:val="22"/>
          <w:u w:val="single"/>
        </w:rPr>
        <w:t>Stillzeit</w:t>
      </w:r>
    </w:p>
    <w:p w14:paraId="1EE3A364" w14:textId="77777777" w:rsidR="00194823" w:rsidRPr="008A4F40" w:rsidRDefault="00194823" w:rsidP="004E7659">
      <w:pPr>
        <w:keepNext/>
        <w:rPr>
          <w:color w:val="000000"/>
          <w:sz w:val="22"/>
          <w:szCs w:val="22"/>
          <w:u w:val="single"/>
        </w:rPr>
      </w:pPr>
    </w:p>
    <w:p w14:paraId="32BA633A" w14:textId="0321202B" w:rsidR="003A33A6" w:rsidRPr="008A4F40" w:rsidRDefault="003A33A6" w:rsidP="004E7659">
      <w:pPr>
        <w:rPr>
          <w:color w:val="000000"/>
          <w:sz w:val="22"/>
          <w:szCs w:val="22"/>
        </w:rPr>
      </w:pPr>
      <w:r w:rsidRPr="008A4F40">
        <w:rPr>
          <w:color w:val="000000"/>
          <w:sz w:val="22"/>
          <w:szCs w:val="22"/>
        </w:rPr>
        <w:t>Es liegen begrenzte Informationen zum Übergang von Imatinib in die Muttermilch vor. Studien mit zwei stillenden Frauen haben gezeigt, dass sowohl Imatinib als auch sein aktiver Metabolit in die Muttermilch übergehen können. Der Milch-Plasma-Quotient für Imatinib wurde bei einer einzelnen Patientin mit 0,5 und für den Metaboliten mit 0,9 bestimmt, was auf eine größere Verteilung des Metaboliten in die Muttermilch schließen lässt. Bezüglich der Gesamtkonzentration von Imatinib und dem Metaboliten sowie der maximalen täglichen Milchaufnahme von Kindern kann von einer geringen Gesamtexposition ausgegangen werden (</w:t>
      </w:r>
      <w:r w:rsidRPr="008A4F40">
        <w:rPr>
          <w:rFonts w:ascii="Symbol" w:eastAsia="Symbol" w:hAnsi="Symbol" w:cs="Symbol"/>
          <w:color w:val="000000"/>
          <w:sz w:val="22"/>
          <w:szCs w:val="22"/>
        </w:rPr>
        <w:t>~</w:t>
      </w:r>
      <w:ins w:id="115" w:author="Author">
        <w:r w:rsidR="00665BF5">
          <w:rPr>
            <w:color w:val="000000"/>
            <w:szCs w:val="22"/>
          </w:rPr>
          <w:t> </w:t>
        </w:r>
      </w:ins>
      <w:r w:rsidRPr="008A4F40">
        <w:rPr>
          <w:color w:val="000000"/>
          <w:sz w:val="22"/>
          <w:szCs w:val="22"/>
        </w:rPr>
        <w:t xml:space="preserve">10% einer therapeutischen Dosis). Da allerdings die Wirkungen einer niedrig dosierten Exposition eines Kindes mit Imatinib nicht bekannt sind, dürfen Frauen </w:t>
      </w:r>
      <w:r w:rsidR="007E0152" w:rsidRPr="008A4F40">
        <w:rPr>
          <w:sz w:val="22"/>
          <w:szCs w:val="22"/>
        </w:rPr>
        <w:t xml:space="preserve">während der Behandlung und für mindestens 15 Tage nach Beendigung der Behandlung mit Glivec </w:t>
      </w:r>
      <w:r w:rsidRPr="008A4F40">
        <w:rPr>
          <w:color w:val="000000"/>
          <w:sz w:val="22"/>
          <w:szCs w:val="22"/>
        </w:rPr>
        <w:t>nicht stillen.</w:t>
      </w:r>
    </w:p>
    <w:p w14:paraId="337D873B" w14:textId="77777777" w:rsidR="003A33A6" w:rsidRPr="008A4F40" w:rsidRDefault="003A33A6" w:rsidP="004E7659">
      <w:pPr>
        <w:rPr>
          <w:color w:val="000000"/>
          <w:sz w:val="22"/>
          <w:szCs w:val="22"/>
        </w:rPr>
      </w:pPr>
    </w:p>
    <w:p w14:paraId="71B9B022" w14:textId="266D9067" w:rsidR="003A33A6" w:rsidRPr="008A4F40" w:rsidRDefault="003A33A6" w:rsidP="004E7659">
      <w:pPr>
        <w:keepNext/>
        <w:rPr>
          <w:color w:val="000000"/>
          <w:sz w:val="22"/>
          <w:szCs w:val="22"/>
          <w:u w:val="single"/>
        </w:rPr>
      </w:pPr>
      <w:r w:rsidRPr="008A4F40">
        <w:rPr>
          <w:color w:val="000000"/>
          <w:sz w:val="22"/>
          <w:szCs w:val="22"/>
          <w:u w:val="single"/>
        </w:rPr>
        <w:t>Fertilität</w:t>
      </w:r>
    </w:p>
    <w:p w14:paraId="54498EC4" w14:textId="77777777" w:rsidR="00194823" w:rsidRPr="008A4F40" w:rsidRDefault="00194823" w:rsidP="004E7659">
      <w:pPr>
        <w:keepNext/>
        <w:rPr>
          <w:color w:val="000000"/>
          <w:sz w:val="22"/>
          <w:szCs w:val="22"/>
          <w:u w:val="single"/>
        </w:rPr>
      </w:pPr>
    </w:p>
    <w:p w14:paraId="7BA6F00D" w14:textId="2D73D314" w:rsidR="003A33A6" w:rsidRPr="008A4F40" w:rsidRDefault="003A33A6" w:rsidP="004E7659">
      <w:pPr>
        <w:pStyle w:val="Header"/>
        <w:tabs>
          <w:tab w:val="clear" w:pos="4320"/>
          <w:tab w:val="clear" w:pos="8640"/>
        </w:tabs>
        <w:rPr>
          <w:color w:val="000000"/>
          <w:szCs w:val="22"/>
        </w:rPr>
      </w:pPr>
      <w:r w:rsidRPr="008A4F40">
        <w:rPr>
          <w:color w:val="000000"/>
          <w:szCs w:val="22"/>
        </w:rPr>
        <w:t>In nicht-klinischen Studien war die Fertilität von männlichen und weiblichen Ratten nicht beeinträchtigt</w:t>
      </w:r>
      <w:r w:rsidR="007E0152" w:rsidRPr="008A4F40">
        <w:rPr>
          <w:color w:val="000000"/>
          <w:szCs w:val="22"/>
        </w:rPr>
        <w:t>,</w:t>
      </w:r>
      <w:r w:rsidR="007E0152" w:rsidRPr="008A4F40">
        <w:t xml:space="preserve"> </w:t>
      </w:r>
      <w:r w:rsidR="007E0152" w:rsidRPr="008A4F40">
        <w:rPr>
          <w:color w:val="000000"/>
          <w:szCs w:val="22"/>
        </w:rPr>
        <w:t>wobei jedoch Auswirkungen auf die Reproduktionsparameter beobachtet wurden</w:t>
      </w:r>
      <w:r w:rsidRPr="008A4F40">
        <w:rPr>
          <w:color w:val="000000"/>
          <w:szCs w:val="22"/>
        </w:rPr>
        <w:t xml:space="preserve"> (siehe Abschnitt</w:t>
      </w:r>
      <w:ins w:id="116" w:author="Author">
        <w:r w:rsidR="00E96CC8">
          <w:rPr>
            <w:color w:val="000000"/>
            <w:szCs w:val="22"/>
          </w:rPr>
          <w:t> </w:t>
        </w:r>
      </w:ins>
      <w:del w:id="117" w:author="Author">
        <w:r w:rsidRPr="008A4F40" w:rsidDel="00E96CC8">
          <w:rPr>
            <w:color w:val="000000"/>
            <w:szCs w:val="22"/>
          </w:rPr>
          <w:delText xml:space="preserve"> </w:delText>
        </w:r>
      </w:del>
      <w:r w:rsidRPr="008A4F40">
        <w:rPr>
          <w:color w:val="000000"/>
          <w:szCs w:val="22"/>
        </w:rPr>
        <w:t>5.3). Studien mit Patienten, die Glivec erhalten, und die den Effekt auf die Fertilität und die Gametogenese untersuchen, wurden nicht durchgeführt. Patienten, die während der Behandlung mit Glivec um ihre Fertilität besorgt sind, sollten dies mit ihrem Arzt besprechen.</w:t>
      </w:r>
    </w:p>
    <w:p w14:paraId="4E540B8C" w14:textId="77777777" w:rsidR="003A33A6" w:rsidRPr="008A4F40" w:rsidRDefault="003A33A6" w:rsidP="004E7659">
      <w:pPr>
        <w:pStyle w:val="Header"/>
        <w:tabs>
          <w:tab w:val="clear" w:pos="4320"/>
          <w:tab w:val="clear" w:pos="8640"/>
        </w:tabs>
        <w:rPr>
          <w:color w:val="000000"/>
          <w:szCs w:val="22"/>
        </w:rPr>
      </w:pPr>
    </w:p>
    <w:p w14:paraId="094BD833" w14:textId="77777777" w:rsidR="003A33A6" w:rsidRPr="008A4F40" w:rsidRDefault="003A33A6" w:rsidP="004E7659">
      <w:pPr>
        <w:keepNext/>
        <w:keepLines/>
        <w:ind w:left="567" w:hanging="567"/>
        <w:rPr>
          <w:color w:val="000000"/>
          <w:sz w:val="22"/>
          <w:szCs w:val="22"/>
        </w:rPr>
      </w:pPr>
      <w:r w:rsidRPr="008A4F40">
        <w:rPr>
          <w:b/>
          <w:color w:val="000000"/>
          <w:sz w:val="22"/>
          <w:szCs w:val="22"/>
        </w:rPr>
        <w:t>4.7</w:t>
      </w:r>
      <w:r w:rsidRPr="008A4F40">
        <w:rPr>
          <w:b/>
          <w:color w:val="000000"/>
          <w:sz w:val="22"/>
          <w:szCs w:val="22"/>
        </w:rPr>
        <w:tab/>
        <w:t>Auswirkungen auf die Verkehrstüchtigkeit und die Fähigkeit zum Bedienen von Maschinen</w:t>
      </w:r>
    </w:p>
    <w:p w14:paraId="3DB1C3F1" w14:textId="77777777" w:rsidR="003A33A6" w:rsidRPr="008A4F40" w:rsidRDefault="003A33A6" w:rsidP="004E7659">
      <w:pPr>
        <w:keepNext/>
        <w:rPr>
          <w:color w:val="000000"/>
          <w:sz w:val="22"/>
          <w:szCs w:val="22"/>
        </w:rPr>
      </w:pPr>
    </w:p>
    <w:p w14:paraId="67B6BCDB" w14:textId="77777777" w:rsidR="003A33A6" w:rsidRPr="008A4F40" w:rsidRDefault="003A33A6" w:rsidP="004E7659">
      <w:pPr>
        <w:rPr>
          <w:color w:val="000000"/>
          <w:sz w:val="22"/>
          <w:szCs w:val="22"/>
        </w:rPr>
      </w:pPr>
      <w:r w:rsidRPr="008A4F40">
        <w:rPr>
          <w:snapToGrid w:val="0"/>
          <w:color w:val="000000"/>
          <w:sz w:val="22"/>
          <w:szCs w:val="22"/>
        </w:rPr>
        <w:t>Patienten müssen darüber informiert werden, dass bei ih</w:t>
      </w:r>
      <w:del w:id="118" w:author="Author">
        <w:r w:rsidRPr="008A4F40" w:rsidDel="004E7659">
          <w:rPr>
            <w:snapToGrid w:val="0"/>
            <w:color w:val="000000"/>
            <w:sz w:val="22"/>
            <w:szCs w:val="22"/>
          </w:rPr>
          <w:softHyphen/>
        </w:r>
      </w:del>
      <w:r w:rsidRPr="008A4F40">
        <w:rPr>
          <w:snapToGrid w:val="0"/>
          <w:color w:val="000000"/>
          <w:sz w:val="22"/>
          <w:szCs w:val="22"/>
        </w:rPr>
        <w:t>nen unerwünschte Wirkungen wie Schwindel, verschwommenes Sehen oder Schläfrigkeit während der Behandlung mit Imatinib auftreten können. Daher sollte das Autofahren oder das Bedienen von Maschinen mit Vorsicht erfolgen.</w:t>
      </w:r>
    </w:p>
    <w:p w14:paraId="68780243" w14:textId="77777777" w:rsidR="003A33A6" w:rsidRPr="008A4F40" w:rsidRDefault="003A33A6" w:rsidP="004E7659">
      <w:pPr>
        <w:rPr>
          <w:color w:val="000000"/>
          <w:sz w:val="22"/>
          <w:szCs w:val="22"/>
        </w:rPr>
      </w:pPr>
    </w:p>
    <w:p w14:paraId="5EFBA2F9" w14:textId="77777777" w:rsidR="003A33A6" w:rsidRPr="008A4F40" w:rsidRDefault="003A33A6" w:rsidP="004E7659">
      <w:pPr>
        <w:keepNext/>
        <w:ind w:left="567" w:hanging="567"/>
        <w:rPr>
          <w:b/>
          <w:color w:val="000000"/>
          <w:sz w:val="22"/>
          <w:szCs w:val="22"/>
        </w:rPr>
      </w:pPr>
      <w:r w:rsidRPr="008A4F40">
        <w:rPr>
          <w:b/>
          <w:color w:val="000000"/>
          <w:sz w:val="22"/>
          <w:szCs w:val="22"/>
        </w:rPr>
        <w:t>4.8</w:t>
      </w:r>
      <w:r w:rsidRPr="008A4F40">
        <w:rPr>
          <w:b/>
          <w:color w:val="000000"/>
          <w:sz w:val="22"/>
          <w:szCs w:val="22"/>
        </w:rPr>
        <w:tab/>
        <w:t>Nebenwirkungen</w:t>
      </w:r>
    </w:p>
    <w:p w14:paraId="76A8141A" w14:textId="77777777" w:rsidR="003A33A6" w:rsidRPr="008A4F40" w:rsidRDefault="003A33A6" w:rsidP="004E7659">
      <w:pPr>
        <w:keepNext/>
        <w:rPr>
          <w:color w:val="000000"/>
          <w:sz w:val="22"/>
          <w:szCs w:val="22"/>
        </w:rPr>
      </w:pPr>
    </w:p>
    <w:p w14:paraId="29182DFF" w14:textId="77777777" w:rsidR="003A33A6" w:rsidRPr="008A4F40" w:rsidRDefault="003A33A6" w:rsidP="004E7659">
      <w:pPr>
        <w:rPr>
          <w:color w:val="000000"/>
          <w:sz w:val="22"/>
          <w:szCs w:val="22"/>
        </w:rPr>
      </w:pPr>
      <w:r w:rsidRPr="008A4F40">
        <w:rPr>
          <w:color w:val="000000"/>
          <w:sz w:val="22"/>
          <w:szCs w:val="22"/>
        </w:rPr>
        <w:t>Patienten im fortgeschrittenen Stadium maligner Erkrankungen können zahlreiche und teilweise überlappende medizinische Befunde aufweisen, die eine Kausalitätsbewertung unerwünschter Er</w:t>
      </w:r>
      <w:r w:rsidRPr="008A4F40">
        <w:rPr>
          <w:color w:val="000000"/>
          <w:sz w:val="22"/>
          <w:szCs w:val="22"/>
        </w:rPr>
        <w:softHyphen/>
        <w:t>eignisse wegen der Symptomvielfalt der Grunderkrankung, deren Progression und der gleichzeitigen Gabe zahlreicher anderer Arzneimittel erschweren.</w:t>
      </w:r>
    </w:p>
    <w:p w14:paraId="1FA94F8E" w14:textId="77777777" w:rsidR="003A33A6" w:rsidRPr="008A4F40" w:rsidRDefault="003A33A6" w:rsidP="004E7659">
      <w:pPr>
        <w:rPr>
          <w:color w:val="000000"/>
          <w:sz w:val="22"/>
          <w:szCs w:val="22"/>
        </w:rPr>
      </w:pPr>
    </w:p>
    <w:p w14:paraId="3D5DABBD" w14:textId="77777777" w:rsidR="003A33A6" w:rsidRPr="008A4F40" w:rsidRDefault="003A33A6" w:rsidP="004E7659">
      <w:pPr>
        <w:rPr>
          <w:color w:val="000000"/>
          <w:sz w:val="22"/>
          <w:szCs w:val="22"/>
        </w:rPr>
      </w:pPr>
      <w:r w:rsidRPr="008A4F40">
        <w:rPr>
          <w:color w:val="000000"/>
          <w:sz w:val="22"/>
          <w:szCs w:val="22"/>
        </w:rPr>
        <w:t>In den klinischen Studien bei CML wurde ein Behandlungsabbruch auf Grund arzneimittelbedingter Nebenwirkungen bei 2,4% der neu diagnostizierten Patienten, bei 4% der Patienten in der späten chronischen Phase nach Versagen von Interferon, bei 4% der Patienten in der akzelerierten Phase nach Versagen von Interferon und bei 5% der Patienten in der Blastenkrise nach Versagen von Interferon beobachtet. Bei GIST wurde die Gabe der Studien</w:t>
      </w:r>
      <w:del w:id="119" w:author="Author">
        <w:r w:rsidRPr="008A4F40" w:rsidDel="004E7659">
          <w:rPr>
            <w:color w:val="000000"/>
            <w:sz w:val="22"/>
            <w:szCs w:val="22"/>
          </w:rPr>
          <w:softHyphen/>
        </w:r>
      </w:del>
      <w:r w:rsidRPr="008A4F40">
        <w:rPr>
          <w:color w:val="000000"/>
          <w:sz w:val="22"/>
          <w:szCs w:val="22"/>
        </w:rPr>
        <w:t>medikation bei 4% der Patienten auf Grund von arzneimittelbedingten Nebenwirkungen unterbro</w:t>
      </w:r>
      <w:del w:id="120" w:author="Author">
        <w:r w:rsidRPr="008A4F40" w:rsidDel="004E7659">
          <w:rPr>
            <w:color w:val="000000"/>
            <w:sz w:val="22"/>
            <w:szCs w:val="22"/>
          </w:rPr>
          <w:softHyphen/>
        </w:r>
      </w:del>
      <w:r w:rsidRPr="008A4F40">
        <w:rPr>
          <w:color w:val="000000"/>
          <w:sz w:val="22"/>
          <w:szCs w:val="22"/>
        </w:rPr>
        <w:t>chen.</w:t>
      </w:r>
    </w:p>
    <w:p w14:paraId="4D92517E" w14:textId="77777777" w:rsidR="003A33A6" w:rsidRPr="008A4F40" w:rsidRDefault="003A33A6" w:rsidP="004E7659">
      <w:pPr>
        <w:rPr>
          <w:color w:val="000000"/>
          <w:sz w:val="22"/>
          <w:szCs w:val="22"/>
        </w:rPr>
      </w:pPr>
    </w:p>
    <w:p w14:paraId="014D34D4" w14:textId="53DB181A" w:rsidR="003A33A6" w:rsidRPr="008A4F40" w:rsidRDefault="003A33A6" w:rsidP="004E7659">
      <w:pPr>
        <w:rPr>
          <w:color w:val="000000"/>
          <w:sz w:val="22"/>
          <w:szCs w:val="22"/>
        </w:rPr>
      </w:pPr>
      <w:r w:rsidRPr="008A4F40">
        <w:rPr>
          <w:color w:val="000000"/>
          <w:sz w:val="22"/>
          <w:szCs w:val="22"/>
        </w:rPr>
        <w:t>Die Nebenwirkungen waren bei allen Indikationen mit zwei Ausnahmen vergleichbar. Myelo</w:t>
      </w:r>
      <w:r w:rsidRPr="008A4F40">
        <w:rPr>
          <w:color w:val="000000"/>
          <w:sz w:val="22"/>
          <w:szCs w:val="22"/>
        </w:rPr>
        <w:softHyphen/>
        <w:t>suppression trat bei CML-Patienten häufiger auf als bei GIST. Dies ist wahrscheinlich auf die Grund</w:t>
      </w:r>
      <w:r w:rsidRPr="008A4F40">
        <w:rPr>
          <w:color w:val="000000"/>
          <w:sz w:val="22"/>
          <w:szCs w:val="22"/>
        </w:rPr>
        <w:softHyphen/>
        <w:t xml:space="preserve">erkrankung zurückzuführen. In der Studie an Patienten mit nicht-resezierbaren und/oder metastasierten GIST wiesen 7 Patienten (5%) Blutungen auf, davon 3 Patienten GI-Blutungen Grad 3/4 nach </w:t>
      </w:r>
      <w:smartTag w:uri="urn:schemas-microsoft-com:office:smarttags" w:element="stockticker">
        <w:r w:rsidRPr="008A4F40">
          <w:rPr>
            <w:color w:val="000000"/>
            <w:sz w:val="22"/>
            <w:szCs w:val="22"/>
          </w:rPr>
          <w:t>CTC</w:t>
        </w:r>
      </w:smartTag>
      <w:r w:rsidRPr="008A4F40">
        <w:rPr>
          <w:color w:val="000000"/>
          <w:sz w:val="22"/>
          <w:szCs w:val="22"/>
        </w:rPr>
        <w:t xml:space="preserve"> (Common Toxicity Criteria), 3 Patienten intratu</w:t>
      </w:r>
      <w:del w:id="121" w:author="Author">
        <w:r w:rsidRPr="008A4F40" w:rsidDel="004E7659">
          <w:rPr>
            <w:color w:val="000000"/>
            <w:sz w:val="22"/>
            <w:szCs w:val="22"/>
          </w:rPr>
          <w:softHyphen/>
        </w:r>
      </w:del>
      <w:r w:rsidRPr="008A4F40">
        <w:rPr>
          <w:color w:val="000000"/>
          <w:sz w:val="22"/>
          <w:szCs w:val="22"/>
        </w:rPr>
        <w:t>morale Blutungen und 1 Patient beide Blutungsarten. GI-Tumoren können auch die Ursache für GI-Blutungen gewesen sein (siehe Abschnitt</w:t>
      </w:r>
      <w:ins w:id="122" w:author="Author">
        <w:r w:rsidR="00E96CC8">
          <w:rPr>
            <w:color w:val="000000"/>
            <w:sz w:val="22"/>
            <w:szCs w:val="22"/>
          </w:rPr>
          <w:t> </w:t>
        </w:r>
      </w:ins>
      <w:del w:id="123" w:author="Author">
        <w:r w:rsidRPr="008A4F40" w:rsidDel="00E96CC8">
          <w:rPr>
            <w:color w:val="000000"/>
            <w:sz w:val="22"/>
            <w:szCs w:val="22"/>
          </w:rPr>
          <w:delText xml:space="preserve"> </w:delText>
        </w:r>
      </w:del>
      <w:r w:rsidRPr="008A4F40">
        <w:rPr>
          <w:color w:val="000000"/>
          <w:sz w:val="22"/>
          <w:szCs w:val="22"/>
        </w:rPr>
        <w:t>4.4). GI- und Tumorblutungen können schwerwiegend sein und manchmal tödlich verlaufen. Die am häufigsten berichteten behandlungsbedingten Nebenwirkungen (</w:t>
      </w:r>
      <w:r w:rsidRPr="008A4F40">
        <w:rPr>
          <w:rFonts w:ascii="Symbol" w:eastAsia="Symbol" w:hAnsi="Symbol" w:cs="Symbol"/>
          <w:color w:val="000000"/>
          <w:sz w:val="22"/>
          <w:szCs w:val="22"/>
        </w:rPr>
        <w:t>³</w:t>
      </w:r>
      <w:r w:rsidRPr="008A4F40">
        <w:rPr>
          <w:color w:val="000000"/>
          <w:sz w:val="22"/>
          <w:szCs w:val="22"/>
        </w:rPr>
        <w:t> 10%) in beiden Indikationen waren leichte Übelkeit, Erbrechen, Durchfall, Abdominalschmerzen, Ermüdung, Myalgie, Muskelkrämpfe und Hautrötung. Oberflächenödeme wurden in allen Studien ge</w:t>
      </w:r>
      <w:del w:id="124" w:author="Author">
        <w:r w:rsidRPr="008A4F40" w:rsidDel="004E7659">
          <w:rPr>
            <w:color w:val="000000"/>
            <w:sz w:val="22"/>
            <w:szCs w:val="22"/>
          </w:rPr>
          <w:softHyphen/>
        </w:r>
      </w:del>
      <w:r w:rsidRPr="008A4F40">
        <w:rPr>
          <w:color w:val="000000"/>
          <w:sz w:val="22"/>
          <w:szCs w:val="22"/>
        </w:rPr>
        <w:t>funden und wurden vorwiegend als periorbitale Ödeme oder Ödeme der unteren Gliedmaßen beschrie</w:t>
      </w:r>
      <w:del w:id="125" w:author="Author">
        <w:r w:rsidRPr="008A4F40" w:rsidDel="004E7659">
          <w:rPr>
            <w:color w:val="000000"/>
            <w:sz w:val="22"/>
            <w:szCs w:val="22"/>
          </w:rPr>
          <w:softHyphen/>
        </w:r>
      </w:del>
      <w:r w:rsidRPr="008A4F40">
        <w:rPr>
          <w:color w:val="000000"/>
          <w:sz w:val="22"/>
          <w:szCs w:val="22"/>
        </w:rPr>
        <w:t>ben. Diese Ödeme waren jedoch selten schwer und können mit Diuretika, anderen supportiven Maß</w:t>
      </w:r>
      <w:del w:id="126" w:author="Author">
        <w:r w:rsidRPr="008A4F40" w:rsidDel="004E7659">
          <w:rPr>
            <w:color w:val="000000"/>
            <w:sz w:val="22"/>
            <w:szCs w:val="22"/>
          </w:rPr>
          <w:softHyphen/>
        </w:r>
      </w:del>
      <w:r w:rsidRPr="008A4F40">
        <w:rPr>
          <w:color w:val="000000"/>
          <w:sz w:val="22"/>
          <w:szCs w:val="22"/>
        </w:rPr>
        <w:t>nahmen oder durch Reduktion der Glivec-Dosis beherrscht werden.</w:t>
      </w:r>
    </w:p>
    <w:p w14:paraId="09F06BA1" w14:textId="77777777" w:rsidR="003A33A6" w:rsidRPr="008A4F40" w:rsidRDefault="003A33A6" w:rsidP="004E7659">
      <w:pPr>
        <w:rPr>
          <w:color w:val="000000"/>
          <w:sz w:val="22"/>
          <w:szCs w:val="22"/>
        </w:rPr>
      </w:pPr>
    </w:p>
    <w:p w14:paraId="675DC552" w14:textId="5C59B44E" w:rsidR="003A33A6" w:rsidRPr="008A4F40" w:rsidRDefault="003A33A6" w:rsidP="004E7659">
      <w:pPr>
        <w:rPr>
          <w:color w:val="000000"/>
          <w:sz w:val="22"/>
          <w:szCs w:val="22"/>
        </w:rPr>
      </w:pPr>
      <w:r w:rsidRPr="008A4F40">
        <w:rPr>
          <w:color w:val="000000"/>
          <w:sz w:val="22"/>
          <w:szCs w:val="22"/>
        </w:rPr>
        <w:t>Im Rahmen der Kombinationstherapie von Imatinib mit Hochdosis-Chemotherapie wurde bei Ph+ </w:t>
      </w:r>
      <w:smartTag w:uri="urn:schemas-microsoft-com:office:smarttags" w:element="stockticker">
        <w:r w:rsidRPr="008A4F40">
          <w:rPr>
            <w:color w:val="000000"/>
            <w:sz w:val="22"/>
            <w:szCs w:val="22"/>
          </w:rPr>
          <w:t>ALL</w:t>
        </w:r>
      </w:smartTag>
      <w:r w:rsidRPr="008A4F40">
        <w:rPr>
          <w:color w:val="000000"/>
          <w:sz w:val="22"/>
          <w:szCs w:val="22"/>
        </w:rPr>
        <w:t>-Patienten eine vorübergehende Lebertoxizität in Form erhöhter Transaminasenwerte und einer Bilirubinämie beobachtet. In Anbetracht der begrenzten Sicherheitsdaten sind die bisher berichteten Nebenwirkungen bei Kindern konsistent mit dem bekannten Sicherheitsprofil bei Erwachsenen mit Ph+ ALL. In der Sicherheitsdatenbank sind die Informationen für Kinder mit P</w:t>
      </w:r>
      <w:r w:rsidR="00781F7F">
        <w:rPr>
          <w:color w:val="000000"/>
          <w:sz w:val="22"/>
          <w:szCs w:val="22"/>
        </w:rPr>
        <w:t>h</w:t>
      </w:r>
      <w:r w:rsidRPr="008A4F40">
        <w:rPr>
          <w:color w:val="000000"/>
          <w:sz w:val="22"/>
          <w:szCs w:val="22"/>
        </w:rPr>
        <w:t>+ ALL sehr begrenzt und es wurden keine neuen Sicherheitsbedenken gefunden.</w:t>
      </w:r>
    </w:p>
    <w:p w14:paraId="1367CB39" w14:textId="77777777" w:rsidR="003A33A6" w:rsidRPr="008A4F40" w:rsidRDefault="003A33A6" w:rsidP="004E7659">
      <w:pPr>
        <w:rPr>
          <w:color w:val="000000"/>
          <w:sz w:val="22"/>
          <w:szCs w:val="22"/>
        </w:rPr>
      </w:pPr>
    </w:p>
    <w:p w14:paraId="0FEBFF36" w14:textId="77777777" w:rsidR="003A33A6" w:rsidRPr="008A4F40" w:rsidRDefault="003A33A6" w:rsidP="004E7659">
      <w:pPr>
        <w:rPr>
          <w:color w:val="000000"/>
          <w:sz w:val="22"/>
          <w:szCs w:val="22"/>
        </w:rPr>
      </w:pPr>
      <w:r w:rsidRPr="008A4F40">
        <w:rPr>
          <w:color w:val="000000"/>
          <w:sz w:val="22"/>
          <w:szCs w:val="22"/>
        </w:rPr>
        <w:t>Verschiedene andere Nebenwirkungen wie Pleuraerguss, Aszites, Lungenödem und schnelle Gewichts</w:t>
      </w:r>
      <w:del w:id="127" w:author="Author">
        <w:r w:rsidRPr="008A4F40" w:rsidDel="004E7659">
          <w:rPr>
            <w:color w:val="000000"/>
            <w:sz w:val="22"/>
            <w:szCs w:val="22"/>
          </w:rPr>
          <w:softHyphen/>
        </w:r>
      </w:del>
      <w:r w:rsidRPr="008A4F40">
        <w:rPr>
          <w:color w:val="000000"/>
          <w:sz w:val="22"/>
          <w:szCs w:val="22"/>
        </w:rPr>
        <w:t>zunahme mit oder ohne Oberflächenödeme können unter dem Begriff „Flüssigkeitsretention“ zusam</w:t>
      </w:r>
      <w:del w:id="128" w:author="Author">
        <w:r w:rsidRPr="008A4F40" w:rsidDel="004E7659">
          <w:rPr>
            <w:color w:val="000000"/>
            <w:sz w:val="22"/>
            <w:szCs w:val="22"/>
          </w:rPr>
          <w:softHyphen/>
        </w:r>
      </w:del>
      <w:r w:rsidRPr="008A4F40">
        <w:rPr>
          <w:color w:val="000000"/>
          <w:sz w:val="22"/>
          <w:szCs w:val="22"/>
        </w:rPr>
        <w:t>mengefasst werden. Diese Nebenwirkungen können im Allgemeinen durch ein zeitlich befristetes Absetzen von Glivec und durch Diuretika und andere geeignete supportive Maßnahmen beherrscht wer</w:t>
      </w:r>
      <w:del w:id="129" w:author="Author">
        <w:r w:rsidRPr="008A4F40" w:rsidDel="004E7659">
          <w:rPr>
            <w:color w:val="000000"/>
            <w:sz w:val="22"/>
            <w:szCs w:val="22"/>
          </w:rPr>
          <w:softHyphen/>
        </w:r>
      </w:del>
      <w:r w:rsidRPr="008A4F40">
        <w:rPr>
          <w:color w:val="000000"/>
          <w:sz w:val="22"/>
          <w:szCs w:val="22"/>
        </w:rPr>
        <w:t>den. Einige dieser Befunde können jedoch schwer oder lebensbedrohend sein und mehrere Patienten in der Blastenkrise verstarben nach einer komplizierten Krankengeschichte mit Pleuraerguss, Stauungsherzinsuf</w:t>
      </w:r>
      <w:del w:id="130" w:author="Author">
        <w:r w:rsidRPr="008A4F40" w:rsidDel="004E7659">
          <w:rPr>
            <w:color w:val="000000"/>
            <w:sz w:val="22"/>
            <w:szCs w:val="22"/>
          </w:rPr>
          <w:softHyphen/>
        </w:r>
      </w:del>
      <w:r w:rsidRPr="008A4F40">
        <w:rPr>
          <w:color w:val="000000"/>
          <w:sz w:val="22"/>
          <w:szCs w:val="22"/>
        </w:rPr>
        <w:t>fizienz und Nierenversagen. Es gab keine speziellen sicherheitsrelevanten Befunde in den klinischen Studien bei Kindern.</w:t>
      </w:r>
    </w:p>
    <w:p w14:paraId="6BAA6240" w14:textId="77777777" w:rsidR="003A33A6" w:rsidRPr="008A4F40" w:rsidRDefault="003A33A6" w:rsidP="004E7659">
      <w:pPr>
        <w:rPr>
          <w:color w:val="000000"/>
          <w:sz w:val="22"/>
          <w:szCs w:val="22"/>
        </w:rPr>
      </w:pPr>
    </w:p>
    <w:p w14:paraId="028834D4" w14:textId="4C6249B0" w:rsidR="003A33A6" w:rsidRPr="008A4F40" w:rsidRDefault="003A33A6" w:rsidP="004E7659">
      <w:pPr>
        <w:keepNext/>
        <w:rPr>
          <w:color w:val="000000"/>
          <w:sz w:val="22"/>
          <w:szCs w:val="22"/>
          <w:u w:val="single"/>
        </w:rPr>
      </w:pPr>
      <w:r w:rsidRPr="008A4F40">
        <w:rPr>
          <w:color w:val="000000"/>
          <w:sz w:val="22"/>
          <w:szCs w:val="22"/>
          <w:u w:val="single"/>
        </w:rPr>
        <w:t>Nebenwirkungen</w:t>
      </w:r>
    </w:p>
    <w:p w14:paraId="71B1CB5D" w14:textId="77777777" w:rsidR="00194823" w:rsidRPr="008A4F40" w:rsidRDefault="00194823" w:rsidP="004E7659">
      <w:pPr>
        <w:keepNext/>
        <w:rPr>
          <w:color w:val="000000"/>
          <w:sz w:val="22"/>
          <w:szCs w:val="22"/>
          <w:u w:val="single"/>
        </w:rPr>
      </w:pPr>
    </w:p>
    <w:p w14:paraId="3E5F5AFE" w14:textId="5EA639DD" w:rsidR="003A33A6" w:rsidRPr="008A4F40" w:rsidRDefault="003A33A6" w:rsidP="004E7659">
      <w:pPr>
        <w:pStyle w:val="BodyText"/>
        <w:keepNext w:val="0"/>
        <w:spacing w:line="240" w:lineRule="auto"/>
        <w:jc w:val="left"/>
        <w:rPr>
          <w:color w:val="000000"/>
          <w:szCs w:val="22"/>
        </w:rPr>
      </w:pPr>
      <w:r w:rsidRPr="008A4F40">
        <w:rPr>
          <w:color w:val="000000"/>
          <w:szCs w:val="22"/>
        </w:rPr>
        <w:t>Diejenigen Nebenwirkungen, die häufiger als nur in Einzelfällen auftraten, werden im Folgenden geglie</w:t>
      </w:r>
      <w:del w:id="131" w:author="Author">
        <w:r w:rsidRPr="008A4F40" w:rsidDel="004E7659">
          <w:rPr>
            <w:color w:val="000000"/>
            <w:szCs w:val="22"/>
          </w:rPr>
          <w:softHyphen/>
        </w:r>
      </w:del>
      <w:r w:rsidRPr="008A4F40">
        <w:rPr>
          <w:color w:val="000000"/>
          <w:szCs w:val="22"/>
        </w:rPr>
        <w:t>dert nach Organsystemen und nach Häufigkeitsgruppen aufgelistet. Die Häufigkeitsgruppen sind fol</w:t>
      </w:r>
      <w:del w:id="132" w:author="Author">
        <w:r w:rsidRPr="008A4F40" w:rsidDel="004E7659">
          <w:rPr>
            <w:color w:val="000000"/>
            <w:szCs w:val="22"/>
          </w:rPr>
          <w:softHyphen/>
        </w:r>
      </w:del>
      <w:r w:rsidRPr="008A4F40">
        <w:rPr>
          <w:color w:val="000000"/>
          <w:szCs w:val="22"/>
        </w:rPr>
        <w:t>gendermaßen definiert: Sehr häufig (≥</w:t>
      </w:r>
      <w:ins w:id="133" w:author="Author">
        <w:r w:rsidR="00001E34">
          <w:rPr>
            <w:color w:val="000000"/>
            <w:szCs w:val="22"/>
          </w:rPr>
          <w:t> </w:t>
        </w:r>
      </w:ins>
      <w:r w:rsidRPr="008A4F40">
        <w:rPr>
          <w:color w:val="000000"/>
          <w:szCs w:val="22"/>
        </w:rPr>
        <w:t>1/10), häufig (≥</w:t>
      </w:r>
      <w:ins w:id="134" w:author="Author">
        <w:r w:rsidR="00E5008D">
          <w:rPr>
            <w:color w:val="000000"/>
            <w:szCs w:val="22"/>
          </w:rPr>
          <w:t> </w:t>
        </w:r>
      </w:ins>
      <w:r w:rsidRPr="008A4F40">
        <w:rPr>
          <w:color w:val="000000"/>
          <w:szCs w:val="22"/>
        </w:rPr>
        <w:t>1/100, &lt;</w:t>
      </w:r>
      <w:ins w:id="135" w:author="Author">
        <w:r w:rsidR="00001E34">
          <w:rPr>
            <w:color w:val="000000"/>
            <w:szCs w:val="22"/>
          </w:rPr>
          <w:t> </w:t>
        </w:r>
      </w:ins>
      <w:r w:rsidRPr="008A4F40">
        <w:rPr>
          <w:color w:val="000000"/>
          <w:szCs w:val="22"/>
        </w:rPr>
        <w:t>1/10), gelegentlich (≥</w:t>
      </w:r>
      <w:ins w:id="136" w:author="Author">
        <w:r w:rsidR="00001E34">
          <w:rPr>
            <w:color w:val="000000"/>
            <w:szCs w:val="22"/>
          </w:rPr>
          <w:t> </w:t>
        </w:r>
      </w:ins>
      <w:r w:rsidRPr="008A4F40">
        <w:rPr>
          <w:color w:val="000000"/>
          <w:szCs w:val="22"/>
        </w:rPr>
        <w:t>1/1</w:t>
      </w:r>
      <w:ins w:id="137" w:author="Author">
        <w:r w:rsidR="00A742BE">
          <w:rPr>
            <w:color w:val="000000"/>
            <w:szCs w:val="22"/>
          </w:rPr>
          <w:t> </w:t>
        </w:r>
      </w:ins>
      <w:del w:id="138" w:author="Author">
        <w:r w:rsidRPr="008A4F40" w:rsidDel="00A742BE">
          <w:rPr>
            <w:color w:val="000000"/>
            <w:szCs w:val="22"/>
          </w:rPr>
          <w:delText>.</w:delText>
        </w:r>
      </w:del>
      <w:r w:rsidRPr="008A4F40">
        <w:rPr>
          <w:color w:val="000000"/>
          <w:szCs w:val="22"/>
        </w:rPr>
        <w:t>000, &lt;</w:t>
      </w:r>
      <w:ins w:id="139" w:author="Author">
        <w:r w:rsidR="00001E34">
          <w:rPr>
            <w:color w:val="000000"/>
            <w:szCs w:val="22"/>
          </w:rPr>
          <w:t> </w:t>
        </w:r>
      </w:ins>
      <w:r w:rsidRPr="008A4F40">
        <w:rPr>
          <w:color w:val="000000"/>
          <w:szCs w:val="22"/>
        </w:rPr>
        <w:t>1/100), selten (≥</w:t>
      </w:r>
      <w:ins w:id="140" w:author="Author">
        <w:r w:rsidR="00001E34">
          <w:rPr>
            <w:color w:val="000000"/>
            <w:szCs w:val="22"/>
          </w:rPr>
          <w:t> </w:t>
        </w:r>
      </w:ins>
      <w:r w:rsidRPr="008A4F40">
        <w:rPr>
          <w:color w:val="000000"/>
          <w:szCs w:val="22"/>
        </w:rPr>
        <w:t>1/10</w:t>
      </w:r>
      <w:ins w:id="141" w:author="Author">
        <w:r w:rsidR="00A742BE">
          <w:rPr>
            <w:color w:val="000000"/>
            <w:szCs w:val="22"/>
          </w:rPr>
          <w:t> </w:t>
        </w:r>
      </w:ins>
      <w:del w:id="142" w:author="Author">
        <w:r w:rsidRPr="008A4F40" w:rsidDel="00A742BE">
          <w:rPr>
            <w:color w:val="000000"/>
            <w:szCs w:val="22"/>
          </w:rPr>
          <w:delText>.</w:delText>
        </w:r>
      </w:del>
      <w:r w:rsidRPr="008A4F40">
        <w:rPr>
          <w:color w:val="000000"/>
          <w:szCs w:val="22"/>
        </w:rPr>
        <w:t>000, &lt;</w:t>
      </w:r>
      <w:ins w:id="143" w:author="Author">
        <w:r w:rsidR="00001E34">
          <w:rPr>
            <w:color w:val="000000"/>
            <w:szCs w:val="22"/>
          </w:rPr>
          <w:t> </w:t>
        </w:r>
      </w:ins>
      <w:r w:rsidRPr="008A4F40">
        <w:rPr>
          <w:color w:val="000000"/>
          <w:szCs w:val="22"/>
        </w:rPr>
        <w:t>1/1</w:t>
      </w:r>
      <w:ins w:id="144" w:author="Author">
        <w:r w:rsidR="00C85770">
          <w:rPr>
            <w:color w:val="000000"/>
            <w:szCs w:val="22"/>
          </w:rPr>
          <w:t> </w:t>
        </w:r>
      </w:ins>
      <w:del w:id="145" w:author="Author">
        <w:r w:rsidRPr="008A4F40" w:rsidDel="00C85770">
          <w:rPr>
            <w:color w:val="000000"/>
            <w:szCs w:val="22"/>
          </w:rPr>
          <w:delText>.</w:delText>
        </w:r>
      </w:del>
      <w:r w:rsidRPr="008A4F40">
        <w:rPr>
          <w:color w:val="000000"/>
          <w:szCs w:val="22"/>
        </w:rPr>
        <w:t>000), sehr selten (&lt;</w:t>
      </w:r>
      <w:ins w:id="146" w:author="Author">
        <w:r w:rsidR="00001E34">
          <w:rPr>
            <w:color w:val="000000"/>
            <w:szCs w:val="22"/>
          </w:rPr>
          <w:t> </w:t>
        </w:r>
      </w:ins>
      <w:r w:rsidRPr="008A4F40">
        <w:rPr>
          <w:color w:val="000000"/>
          <w:szCs w:val="22"/>
        </w:rPr>
        <w:t>1/10</w:t>
      </w:r>
      <w:ins w:id="147" w:author="Author">
        <w:r w:rsidR="00C85770">
          <w:rPr>
            <w:color w:val="000000"/>
            <w:szCs w:val="22"/>
          </w:rPr>
          <w:t> </w:t>
        </w:r>
      </w:ins>
      <w:del w:id="148" w:author="Author">
        <w:r w:rsidRPr="008A4F40" w:rsidDel="00C85770">
          <w:rPr>
            <w:color w:val="000000"/>
            <w:szCs w:val="22"/>
          </w:rPr>
          <w:delText>.</w:delText>
        </w:r>
      </w:del>
      <w:r w:rsidRPr="008A4F40">
        <w:rPr>
          <w:color w:val="000000"/>
          <w:szCs w:val="22"/>
        </w:rPr>
        <w:t>000), nicht bekannt (Häufigkeit auf Grundlage der verfügbaren Daten nicht abschätzbar).</w:t>
      </w:r>
    </w:p>
    <w:p w14:paraId="6B32A208" w14:textId="77777777" w:rsidR="003A33A6" w:rsidRPr="008A4F40" w:rsidRDefault="003A33A6" w:rsidP="004E7659">
      <w:pPr>
        <w:pStyle w:val="BodyText"/>
        <w:keepNext w:val="0"/>
        <w:spacing w:line="240" w:lineRule="auto"/>
        <w:jc w:val="left"/>
        <w:rPr>
          <w:color w:val="000000"/>
          <w:szCs w:val="22"/>
        </w:rPr>
      </w:pPr>
    </w:p>
    <w:p w14:paraId="107F02FF" w14:textId="77777777" w:rsidR="003A33A6" w:rsidRPr="008A4F40" w:rsidRDefault="003A33A6" w:rsidP="004E7659">
      <w:pPr>
        <w:pStyle w:val="BodyText"/>
        <w:keepNext w:val="0"/>
        <w:spacing w:line="240" w:lineRule="auto"/>
        <w:jc w:val="left"/>
        <w:rPr>
          <w:color w:val="000000"/>
          <w:szCs w:val="22"/>
        </w:rPr>
      </w:pPr>
      <w:r w:rsidRPr="008A4F40">
        <w:rPr>
          <w:color w:val="000000"/>
          <w:szCs w:val="22"/>
        </w:rPr>
        <w:t>Innerhalb jeder Häufigkeitsgruppe werden die Nebenwirkungen nach ihrer Häufigkeit angegeben, die häufigsten zuerst.</w:t>
      </w:r>
    </w:p>
    <w:p w14:paraId="73A2AE4D" w14:textId="77777777" w:rsidR="003A33A6" w:rsidRPr="008A4F40" w:rsidRDefault="003A33A6" w:rsidP="004E7659">
      <w:pPr>
        <w:pStyle w:val="Header"/>
        <w:tabs>
          <w:tab w:val="clear" w:pos="4320"/>
          <w:tab w:val="clear" w:pos="8640"/>
        </w:tabs>
        <w:rPr>
          <w:color w:val="000000"/>
          <w:szCs w:val="22"/>
        </w:rPr>
      </w:pPr>
    </w:p>
    <w:p w14:paraId="4305AC9E" w14:textId="77777777" w:rsidR="006E656A" w:rsidRPr="008A4F40" w:rsidRDefault="003A33A6" w:rsidP="004E7659">
      <w:pPr>
        <w:pStyle w:val="BodyText"/>
        <w:spacing w:line="240" w:lineRule="auto"/>
        <w:jc w:val="left"/>
        <w:rPr>
          <w:color w:val="000000"/>
          <w:szCs w:val="22"/>
        </w:rPr>
      </w:pPr>
      <w:r w:rsidRPr="008A4F40">
        <w:rPr>
          <w:color w:val="000000"/>
          <w:szCs w:val="22"/>
        </w:rPr>
        <w:t xml:space="preserve">Die Nebenwirkungen und ihre Häufigkeitsangaben </w:t>
      </w:r>
      <w:r w:rsidR="006E656A" w:rsidRPr="008A4F40">
        <w:rPr>
          <w:color w:val="000000"/>
          <w:szCs w:val="22"/>
        </w:rPr>
        <w:t xml:space="preserve">sind </w:t>
      </w:r>
      <w:r w:rsidRPr="008A4F40">
        <w:rPr>
          <w:color w:val="000000"/>
          <w:szCs w:val="22"/>
        </w:rPr>
        <w:t xml:space="preserve">in Tabelle 1 </w:t>
      </w:r>
      <w:r w:rsidR="006E656A" w:rsidRPr="008A4F40">
        <w:rPr>
          <w:color w:val="000000"/>
          <w:szCs w:val="22"/>
        </w:rPr>
        <w:t>dargestellt.</w:t>
      </w:r>
    </w:p>
    <w:p w14:paraId="4BBC11EC" w14:textId="77777777" w:rsidR="003A33A6" w:rsidRPr="008A4F40" w:rsidRDefault="003A33A6" w:rsidP="004E7659">
      <w:pPr>
        <w:pStyle w:val="BodyText"/>
        <w:spacing w:line="240" w:lineRule="auto"/>
        <w:jc w:val="left"/>
        <w:rPr>
          <w:color w:val="000000"/>
          <w:szCs w:val="22"/>
        </w:rPr>
      </w:pPr>
    </w:p>
    <w:p w14:paraId="0908737D" w14:textId="77777777" w:rsidR="003A33A6" w:rsidRPr="008A4F40" w:rsidRDefault="003A33A6" w:rsidP="004E7659">
      <w:pPr>
        <w:keepNext/>
        <w:tabs>
          <w:tab w:val="left" w:pos="1134"/>
        </w:tabs>
        <w:rPr>
          <w:b/>
          <w:sz w:val="22"/>
          <w:szCs w:val="22"/>
        </w:rPr>
      </w:pPr>
      <w:r w:rsidRPr="008A4F40">
        <w:rPr>
          <w:b/>
          <w:sz w:val="22"/>
          <w:szCs w:val="22"/>
        </w:rPr>
        <w:t>Tabelle 1</w:t>
      </w:r>
      <w:r w:rsidRPr="008A4F40">
        <w:rPr>
          <w:b/>
          <w:sz w:val="22"/>
          <w:szCs w:val="22"/>
        </w:rPr>
        <w:tab/>
      </w:r>
      <w:r w:rsidR="006E656A" w:rsidRPr="008A4F40">
        <w:rPr>
          <w:b/>
          <w:sz w:val="22"/>
          <w:szCs w:val="22"/>
        </w:rPr>
        <w:t xml:space="preserve">Tabellarische Zusammenfassung der </w:t>
      </w:r>
      <w:r w:rsidRPr="008A4F40">
        <w:rPr>
          <w:b/>
          <w:sz w:val="22"/>
          <w:szCs w:val="22"/>
        </w:rPr>
        <w:t>Nebenwirkungen</w:t>
      </w:r>
    </w:p>
    <w:p w14:paraId="24433357" w14:textId="77777777" w:rsidR="003A33A6" w:rsidRPr="008A4F40" w:rsidRDefault="003A33A6" w:rsidP="004E7659">
      <w:pPr>
        <w:keepNext/>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3A33A6" w:rsidRPr="008A4F40" w14:paraId="6B6562D2" w14:textId="77777777" w:rsidTr="00DA7B0B">
        <w:trPr>
          <w:cantSplit/>
        </w:trPr>
        <w:tc>
          <w:tcPr>
            <w:tcW w:w="9322" w:type="dxa"/>
            <w:gridSpan w:val="2"/>
          </w:tcPr>
          <w:p w14:paraId="41155B89" w14:textId="77777777" w:rsidR="003A33A6" w:rsidRPr="008A4F40" w:rsidRDefault="003A33A6" w:rsidP="004E7659">
            <w:pPr>
              <w:keepNext/>
              <w:rPr>
                <w:b/>
                <w:color w:val="000000"/>
                <w:sz w:val="22"/>
                <w:szCs w:val="22"/>
                <w:lang w:val="pt-PT"/>
              </w:rPr>
            </w:pPr>
            <w:r w:rsidRPr="008A4F40">
              <w:rPr>
                <w:b/>
                <w:color w:val="000000"/>
                <w:sz w:val="22"/>
                <w:szCs w:val="22"/>
              </w:rPr>
              <w:t>Infektionen und parasitäre Erkrankungen</w:t>
            </w:r>
          </w:p>
        </w:tc>
      </w:tr>
      <w:tr w:rsidR="003A33A6" w:rsidRPr="008A4F40" w14:paraId="70E26914" w14:textId="77777777" w:rsidTr="00DA7B0B">
        <w:trPr>
          <w:cantSplit/>
        </w:trPr>
        <w:tc>
          <w:tcPr>
            <w:tcW w:w="2235" w:type="dxa"/>
          </w:tcPr>
          <w:p w14:paraId="2B8CFA24" w14:textId="77777777" w:rsidR="003A33A6" w:rsidRPr="008A4F40" w:rsidRDefault="003A33A6" w:rsidP="004E7659">
            <w:pPr>
              <w:keepNext/>
              <w:rPr>
                <w:i/>
                <w:color w:val="000000"/>
                <w:sz w:val="22"/>
                <w:szCs w:val="22"/>
              </w:rPr>
            </w:pPr>
            <w:r w:rsidRPr="008A4F40">
              <w:rPr>
                <w:i/>
                <w:color w:val="000000"/>
                <w:sz w:val="22"/>
                <w:szCs w:val="22"/>
              </w:rPr>
              <w:t>Gelegentlich:</w:t>
            </w:r>
          </w:p>
        </w:tc>
        <w:tc>
          <w:tcPr>
            <w:tcW w:w="7087" w:type="dxa"/>
          </w:tcPr>
          <w:p w14:paraId="5A6507A0" w14:textId="77777777" w:rsidR="003A33A6" w:rsidRPr="008A4F40" w:rsidRDefault="003A33A6" w:rsidP="004E7659">
            <w:pPr>
              <w:keepNext/>
              <w:rPr>
                <w:color w:val="000000"/>
                <w:sz w:val="22"/>
                <w:szCs w:val="22"/>
              </w:rPr>
            </w:pPr>
            <w:r w:rsidRPr="008A4F40">
              <w:rPr>
                <w:color w:val="000000"/>
                <w:sz w:val="22"/>
                <w:szCs w:val="22"/>
              </w:rPr>
              <w:t>Herpes zoster, Herpes simplex, Nasopharyngitis, Pneumonie</w:t>
            </w:r>
            <w:r w:rsidRPr="008A4F40">
              <w:rPr>
                <w:color w:val="000000"/>
                <w:sz w:val="22"/>
                <w:szCs w:val="22"/>
                <w:vertAlign w:val="superscript"/>
              </w:rPr>
              <w:t>1</w:t>
            </w:r>
            <w:r w:rsidRPr="008A4F40">
              <w:rPr>
                <w:color w:val="000000"/>
                <w:sz w:val="22"/>
                <w:szCs w:val="22"/>
              </w:rPr>
              <w:t>, Sinusitis, Zellulitis, Infektionen der oberen Atem</w:t>
            </w:r>
            <w:del w:id="149" w:author="Author">
              <w:r w:rsidRPr="008A4F40" w:rsidDel="004E7659">
                <w:rPr>
                  <w:color w:val="000000"/>
                  <w:sz w:val="22"/>
                  <w:szCs w:val="22"/>
                </w:rPr>
                <w:softHyphen/>
              </w:r>
            </w:del>
            <w:r w:rsidRPr="008A4F40">
              <w:rPr>
                <w:color w:val="000000"/>
                <w:sz w:val="22"/>
                <w:szCs w:val="22"/>
              </w:rPr>
              <w:t>wege, Influenza, Harnwegsinfektionen, Gastroenteritis, Sepsis</w:t>
            </w:r>
          </w:p>
        </w:tc>
      </w:tr>
      <w:tr w:rsidR="003A33A6" w:rsidRPr="008A4F40" w14:paraId="7BA039AA" w14:textId="77777777" w:rsidTr="00DA7B0B">
        <w:trPr>
          <w:cantSplit/>
        </w:trPr>
        <w:tc>
          <w:tcPr>
            <w:tcW w:w="2235" w:type="dxa"/>
          </w:tcPr>
          <w:p w14:paraId="38E609F2" w14:textId="77777777" w:rsidR="003A33A6" w:rsidRPr="008A4F40" w:rsidRDefault="003A33A6" w:rsidP="004E7659">
            <w:pPr>
              <w:keepNext/>
              <w:rPr>
                <w:i/>
                <w:color w:val="000000"/>
                <w:sz w:val="22"/>
                <w:szCs w:val="22"/>
              </w:rPr>
            </w:pPr>
            <w:r w:rsidRPr="008A4F40">
              <w:rPr>
                <w:i/>
                <w:color w:val="000000"/>
                <w:sz w:val="22"/>
                <w:szCs w:val="22"/>
              </w:rPr>
              <w:t>Selten:</w:t>
            </w:r>
          </w:p>
        </w:tc>
        <w:tc>
          <w:tcPr>
            <w:tcW w:w="7087" w:type="dxa"/>
          </w:tcPr>
          <w:p w14:paraId="6C184F1F" w14:textId="77777777" w:rsidR="003A33A6" w:rsidRPr="008A4F40" w:rsidRDefault="003A33A6" w:rsidP="004E7659">
            <w:pPr>
              <w:keepNext/>
              <w:rPr>
                <w:color w:val="000000"/>
                <w:sz w:val="22"/>
                <w:szCs w:val="22"/>
              </w:rPr>
            </w:pPr>
            <w:r w:rsidRPr="008A4F40">
              <w:rPr>
                <w:color w:val="000000"/>
                <w:sz w:val="22"/>
                <w:szCs w:val="22"/>
              </w:rPr>
              <w:t>Pilzinfektionen</w:t>
            </w:r>
          </w:p>
        </w:tc>
      </w:tr>
      <w:tr w:rsidR="00DD06FA" w:rsidRPr="008A4F40" w14:paraId="37FF0A75" w14:textId="77777777" w:rsidTr="00DA7B0B">
        <w:trPr>
          <w:cantSplit/>
        </w:trPr>
        <w:tc>
          <w:tcPr>
            <w:tcW w:w="2235" w:type="dxa"/>
          </w:tcPr>
          <w:p w14:paraId="4CD1340E" w14:textId="77777777" w:rsidR="00DD06FA" w:rsidRPr="008A4F40" w:rsidRDefault="00DD06FA" w:rsidP="004E7659">
            <w:pPr>
              <w:rPr>
                <w:i/>
                <w:color w:val="000000"/>
                <w:sz w:val="22"/>
                <w:szCs w:val="22"/>
              </w:rPr>
            </w:pPr>
            <w:r w:rsidRPr="008A4F40">
              <w:rPr>
                <w:i/>
                <w:color w:val="000000"/>
                <w:sz w:val="22"/>
                <w:szCs w:val="22"/>
              </w:rPr>
              <w:t>Nicht bekannt:</w:t>
            </w:r>
          </w:p>
        </w:tc>
        <w:tc>
          <w:tcPr>
            <w:tcW w:w="7087" w:type="dxa"/>
          </w:tcPr>
          <w:p w14:paraId="10C6DC53" w14:textId="77777777" w:rsidR="00DD06FA" w:rsidRPr="008A4F40" w:rsidRDefault="00DD06FA" w:rsidP="004E7659">
            <w:pPr>
              <w:rPr>
                <w:color w:val="000000"/>
                <w:sz w:val="22"/>
                <w:szCs w:val="22"/>
              </w:rPr>
            </w:pPr>
            <w:r w:rsidRPr="008A4F40">
              <w:rPr>
                <w:color w:val="000000"/>
                <w:sz w:val="22"/>
                <w:szCs w:val="22"/>
              </w:rPr>
              <w:t>Hepatitis-B-Reaktivierung*</w:t>
            </w:r>
          </w:p>
        </w:tc>
      </w:tr>
      <w:tr w:rsidR="003A33A6" w:rsidRPr="008A4F40" w14:paraId="30C624D4" w14:textId="77777777" w:rsidTr="00DA7B0B">
        <w:trPr>
          <w:cantSplit/>
        </w:trPr>
        <w:tc>
          <w:tcPr>
            <w:tcW w:w="9322" w:type="dxa"/>
            <w:gridSpan w:val="2"/>
          </w:tcPr>
          <w:p w14:paraId="4E410E15" w14:textId="10F59032" w:rsidR="003A33A6" w:rsidRPr="008A4F40" w:rsidRDefault="003A33A6" w:rsidP="004E7659">
            <w:pPr>
              <w:keepNext/>
              <w:rPr>
                <w:b/>
                <w:color w:val="000000"/>
                <w:szCs w:val="22"/>
              </w:rPr>
            </w:pPr>
            <w:r w:rsidRPr="008A4F40">
              <w:rPr>
                <w:b/>
                <w:noProof/>
                <w:sz w:val="22"/>
              </w:rPr>
              <w:t xml:space="preserve">Gutartige, bösartige und </w:t>
            </w:r>
            <w:r w:rsidR="006C6E1B" w:rsidRPr="00253A3F">
              <w:rPr>
                <w:b/>
                <w:noProof/>
                <w:sz w:val="22"/>
              </w:rPr>
              <w:t xml:space="preserve">nicht spezifizierte </w:t>
            </w:r>
            <w:r w:rsidRPr="008A4F40">
              <w:rPr>
                <w:b/>
                <w:noProof/>
                <w:sz w:val="22"/>
              </w:rPr>
              <w:t>Neubildungen (einschl. Zysten und Polypen)</w:t>
            </w:r>
          </w:p>
        </w:tc>
      </w:tr>
      <w:tr w:rsidR="003A33A6" w:rsidRPr="008A4F40" w14:paraId="00D5A084" w14:textId="77777777" w:rsidTr="00DA7B0B">
        <w:trPr>
          <w:cantSplit/>
        </w:trPr>
        <w:tc>
          <w:tcPr>
            <w:tcW w:w="2235" w:type="dxa"/>
          </w:tcPr>
          <w:p w14:paraId="3C7FB3C1" w14:textId="77777777" w:rsidR="003A33A6" w:rsidRPr="008A4F40" w:rsidRDefault="003A33A6" w:rsidP="004E7659">
            <w:pPr>
              <w:keepNext/>
              <w:rPr>
                <w:i/>
                <w:color w:val="000000"/>
                <w:sz w:val="22"/>
                <w:szCs w:val="22"/>
              </w:rPr>
            </w:pPr>
            <w:r w:rsidRPr="008A4F40">
              <w:rPr>
                <w:i/>
                <w:color w:val="000000"/>
                <w:sz w:val="22"/>
                <w:szCs w:val="22"/>
              </w:rPr>
              <w:t>Selten:</w:t>
            </w:r>
          </w:p>
        </w:tc>
        <w:tc>
          <w:tcPr>
            <w:tcW w:w="7087" w:type="dxa"/>
          </w:tcPr>
          <w:p w14:paraId="0A1FCBAF" w14:textId="77777777" w:rsidR="003A33A6" w:rsidRPr="008A4F40" w:rsidRDefault="003A33A6" w:rsidP="004E7659">
            <w:pPr>
              <w:keepNext/>
              <w:rPr>
                <w:color w:val="000000"/>
                <w:sz w:val="22"/>
                <w:szCs w:val="22"/>
              </w:rPr>
            </w:pPr>
            <w:r w:rsidRPr="008A4F40">
              <w:rPr>
                <w:color w:val="000000"/>
                <w:sz w:val="22"/>
                <w:szCs w:val="22"/>
              </w:rPr>
              <w:t>Tumor-Lyse-Syndrom</w:t>
            </w:r>
          </w:p>
        </w:tc>
      </w:tr>
      <w:tr w:rsidR="002E518F" w:rsidRPr="008A4F40" w14:paraId="37928C21" w14:textId="77777777" w:rsidTr="00DA7B0B">
        <w:trPr>
          <w:cantSplit/>
        </w:trPr>
        <w:tc>
          <w:tcPr>
            <w:tcW w:w="2235" w:type="dxa"/>
          </w:tcPr>
          <w:p w14:paraId="1E7B9450" w14:textId="77777777" w:rsidR="002E518F" w:rsidRPr="008A4F40" w:rsidRDefault="002E518F" w:rsidP="004E7659">
            <w:pPr>
              <w:rPr>
                <w:i/>
                <w:color w:val="000000"/>
                <w:sz w:val="22"/>
                <w:szCs w:val="22"/>
              </w:rPr>
            </w:pPr>
            <w:r w:rsidRPr="008A4F40">
              <w:rPr>
                <w:i/>
                <w:color w:val="000000"/>
                <w:sz w:val="22"/>
                <w:szCs w:val="22"/>
              </w:rPr>
              <w:t>Nicht bekannt</w:t>
            </w:r>
            <w:r w:rsidR="00A157A0" w:rsidRPr="008A4F40">
              <w:rPr>
                <w:i/>
                <w:color w:val="000000"/>
                <w:sz w:val="22"/>
                <w:szCs w:val="22"/>
              </w:rPr>
              <w:t>:</w:t>
            </w:r>
          </w:p>
        </w:tc>
        <w:tc>
          <w:tcPr>
            <w:tcW w:w="7087" w:type="dxa"/>
          </w:tcPr>
          <w:p w14:paraId="05F588EC" w14:textId="77777777" w:rsidR="002E518F" w:rsidRPr="008A4F40" w:rsidRDefault="002E518F" w:rsidP="004E7659">
            <w:pPr>
              <w:rPr>
                <w:color w:val="000000"/>
                <w:sz w:val="22"/>
                <w:szCs w:val="22"/>
              </w:rPr>
            </w:pPr>
            <w:r w:rsidRPr="008A4F40">
              <w:rPr>
                <w:color w:val="000000"/>
                <w:sz w:val="22"/>
                <w:szCs w:val="22"/>
              </w:rPr>
              <w:t>Tumorblutungen/Tumornekrose*</w:t>
            </w:r>
          </w:p>
        </w:tc>
      </w:tr>
      <w:tr w:rsidR="00A92F40" w:rsidRPr="008A4F40" w14:paraId="5D1007B3" w14:textId="77777777" w:rsidTr="00DA7B0B">
        <w:trPr>
          <w:cantSplit/>
        </w:trPr>
        <w:tc>
          <w:tcPr>
            <w:tcW w:w="9322" w:type="dxa"/>
            <w:gridSpan w:val="2"/>
          </w:tcPr>
          <w:p w14:paraId="0C16ADA3" w14:textId="77777777" w:rsidR="00A92F40" w:rsidRPr="008A4F40" w:rsidRDefault="00A92F40" w:rsidP="004E7659">
            <w:pPr>
              <w:keepNext/>
              <w:rPr>
                <w:color w:val="000000"/>
                <w:sz w:val="22"/>
                <w:szCs w:val="22"/>
              </w:rPr>
            </w:pPr>
            <w:r w:rsidRPr="008A4F40">
              <w:rPr>
                <w:b/>
                <w:noProof/>
                <w:sz w:val="22"/>
                <w:szCs w:val="22"/>
              </w:rPr>
              <w:t>Erkrankungen des Immunsystems</w:t>
            </w:r>
          </w:p>
        </w:tc>
      </w:tr>
      <w:tr w:rsidR="00A92F40" w:rsidRPr="008A4F40" w14:paraId="2430F9FA" w14:textId="77777777" w:rsidTr="00DA7B0B">
        <w:trPr>
          <w:cantSplit/>
        </w:trPr>
        <w:tc>
          <w:tcPr>
            <w:tcW w:w="2235" w:type="dxa"/>
          </w:tcPr>
          <w:p w14:paraId="4B0454CA" w14:textId="77777777" w:rsidR="00A92F40" w:rsidRPr="008A4F40" w:rsidRDefault="00A92F40" w:rsidP="004E7659">
            <w:pPr>
              <w:rPr>
                <w:i/>
                <w:color w:val="000000"/>
                <w:sz w:val="22"/>
                <w:szCs w:val="22"/>
              </w:rPr>
            </w:pPr>
            <w:r w:rsidRPr="008A4F40">
              <w:rPr>
                <w:i/>
                <w:color w:val="000000"/>
                <w:sz w:val="22"/>
                <w:szCs w:val="22"/>
              </w:rPr>
              <w:t>Nicht bekannt:</w:t>
            </w:r>
          </w:p>
        </w:tc>
        <w:tc>
          <w:tcPr>
            <w:tcW w:w="7087" w:type="dxa"/>
          </w:tcPr>
          <w:p w14:paraId="00359F68" w14:textId="77777777" w:rsidR="00A92F40" w:rsidRPr="008A4F40" w:rsidRDefault="00A92F40" w:rsidP="004E7659">
            <w:pPr>
              <w:rPr>
                <w:color w:val="000000"/>
                <w:sz w:val="22"/>
                <w:szCs w:val="22"/>
              </w:rPr>
            </w:pPr>
            <w:r w:rsidRPr="008A4F40">
              <w:rPr>
                <w:color w:val="000000"/>
                <w:sz w:val="22"/>
                <w:szCs w:val="22"/>
              </w:rPr>
              <w:t>Anaphylaktischer Schock*</w:t>
            </w:r>
          </w:p>
        </w:tc>
      </w:tr>
      <w:tr w:rsidR="003A33A6" w:rsidRPr="008A4F40" w14:paraId="4A8507C2" w14:textId="77777777" w:rsidTr="00DA7B0B">
        <w:trPr>
          <w:cantSplit/>
        </w:trPr>
        <w:tc>
          <w:tcPr>
            <w:tcW w:w="9322" w:type="dxa"/>
            <w:gridSpan w:val="2"/>
          </w:tcPr>
          <w:p w14:paraId="05F2B136" w14:textId="77777777" w:rsidR="003A33A6" w:rsidRPr="008A4F40" w:rsidRDefault="003A33A6" w:rsidP="004E7659">
            <w:pPr>
              <w:keepNext/>
              <w:rPr>
                <w:b/>
                <w:sz w:val="22"/>
                <w:szCs w:val="22"/>
              </w:rPr>
            </w:pPr>
            <w:r w:rsidRPr="008A4F40">
              <w:rPr>
                <w:b/>
                <w:color w:val="000000"/>
                <w:sz w:val="22"/>
                <w:szCs w:val="22"/>
              </w:rPr>
              <w:t>Erkrankungen des Blutes und des Lymphsystems</w:t>
            </w:r>
          </w:p>
        </w:tc>
      </w:tr>
      <w:tr w:rsidR="003A33A6" w:rsidRPr="008A4F40" w14:paraId="726527F0" w14:textId="77777777" w:rsidTr="00DA7B0B">
        <w:trPr>
          <w:cantSplit/>
        </w:trPr>
        <w:tc>
          <w:tcPr>
            <w:tcW w:w="2235" w:type="dxa"/>
          </w:tcPr>
          <w:p w14:paraId="6C877E95" w14:textId="77777777" w:rsidR="003A33A6" w:rsidRPr="008A4F40" w:rsidRDefault="003A33A6" w:rsidP="004E7659">
            <w:pPr>
              <w:keepNext/>
              <w:rPr>
                <w:sz w:val="22"/>
                <w:szCs w:val="22"/>
              </w:rPr>
            </w:pPr>
            <w:r w:rsidRPr="008A4F40">
              <w:rPr>
                <w:i/>
                <w:color w:val="000000"/>
                <w:sz w:val="22"/>
                <w:szCs w:val="22"/>
              </w:rPr>
              <w:t>Sehr häufig:</w:t>
            </w:r>
          </w:p>
        </w:tc>
        <w:tc>
          <w:tcPr>
            <w:tcW w:w="7087" w:type="dxa"/>
          </w:tcPr>
          <w:p w14:paraId="2510038E" w14:textId="77777777" w:rsidR="003A33A6" w:rsidRPr="008A4F40" w:rsidRDefault="003A33A6" w:rsidP="004E7659">
            <w:pPr>
              <w:keepNext/>
              <w:rPr>
                <w:sz w:val="22"/>
                <w:szCs w:val="22"/>
              </w:rPr>
            </w:pPr>
            <w:r w:rsidRPr="008A4F40">
              <w:rPr>
                <w:color w:val="000000"/>
                <w:sz w:val="22"/>
                <w:szCs w:val="22"/>
              </w:rPr>
              <w:t>Neutrozytopenie, Thrombozytopenie, Anämie</w:t>
            </w:r>
          </w:p>
        </w:tc>
      </w:tr>
      <w:tr w:rsidR="003A33A6" w:rsidRPr="008A4F40" w14:paraId="6E8450DC" w14:textId="77777777" w:rsidTr="00DA7B0B">
        <w:trPr>
          <w:cantSplit/>
        </w:trPr>
        <w:tc>
          <w:tcPr>
            <w:tcW w:w="2235" w:type="dxa"/>
          </w:tcPr>
          <w:p w14:paraId="2DBA1BB9" w14:textId="77777777" w:rsidR="003A33A6" w:rsidRPr="008A4F40" w:rsidRDefault="003A33A6" w:rsidP="004E7659">
            <w:pPr>
              <w:keepNext/>
              <w:rPr>
                <w:sz w:val="22"/>
                <w:szCs w:val="22"/>
              </w:rPr>
            </w:pPr>
            <w:r w:rsidRPr="008A4F40">
              <w:rPr>
                <w:i/>
                <w:color w:val="000000"/>
                <w:sz w:val="22"/>
                <w:szCs w:val="22"/>
              </w:rPr>
              <w:t>Häufig:</w:t>
            </w:r>
          </w:p>
        </w:tc>
        <w:tc>
          <w:tcPr>
            <w:tcW w:w="7087" w:type="dxa"/>
          </w:tcPr>
          <w:p w14:paraId="57C653A9" w14:textId="77777777" w:rsidR="003A33A6" w:rsidRPr="008A4F40" w:rsidRDefault="003A33A6" w:rsidP="004E7659">
            <w:pPr>
              <w:keepNext/>
              <w:rPr>
                <w:sz w:val="22"/>
                <w:szCs w:val="22"/>
              </w:rPr>
            </w:pPr>
            <w:r w:rsidRPr="008A4F40">
              <w:rPr>
                <w:color w:val="000000"/>
                <w:sz w:val="22"/>
                <w:szCs w:val="22"/>
              </w:rPr>
              <w:t>Panzytopenie, fiebrige Neutrozytopenie</w:t>
            </w:r>
          </w:p>
        </w:tc>
      </w:tr>
      <w:tr w:rsidR="003A33A6" w:rsidRPr="008A4F40" w14:paraId="099E8786" w14:textId="77777777" w:rsidTr="00DA7B0B">
        <w:trPr>
          <w:cantSplit/>
        </w:trPr>
        <w:tc>
          <w:tcPr>
            <w:tcW w:w="2235" w:type="dxa"/>
          </w:tcPr>
          <w:p w14:paraId="651EF949"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704E5EFA" w14:textId="77777777" w:rsidR="003A33A6" w:rsidRPr="008A4F40" w:rsidRDefault="003A33A6" w:rsidP="004E7659">
            <w:pPr>
              <w:keepNext/>
              <w:rPr>
                <w:sz w:val="22"/>
                <w:szCs w:val="22"/>
              </w:rPr>
            </w:pPr>
            <w:r w:rsidRPr="008A4F40">
              <w:rPr>
                <w:color w:val="000000"/>
                <w:sz w:val="22"/>
                <w:szCs w:val="22"/>
              </w:rPr>
              <w:t>Thrombozythämie, Lymphozytopenie, Knochenmarkdepression, Eosinophilie, Lymphadenopathie</w:t>
            </w:r>
          </w:p>
        </w:tc>
      </w:tr>
      <w:tr w:rsidR="003A33A6" w:rsidRPr="008A4F40" w14:paraId="72571285" w14:textId="77777777" w:rsidTr="00DA7B0B">
        <w:trPr>
          <w:cantSplit/>
        </w:trPr>
        <w:tc>
          <w:tcPr>
            <w:tcW w:w="2235" w:type="dxa"/>
          </w:tcPr>
          <w:p w14:paraId="21C1C5F8" w14:textId="77777777" w:rsidR="003A33A6" w:rsidRPr="008A4F40" w:rsidRDefault="003A33A6" w:rsidP="004E7659">
            <w:pPr>
              <w:rPr>
                <w:i/>
                <w:sz w:val="22"/>
                <w:szCs w:val="22"/>
              </w:rPr>
            </w:pPr>
            <w:r w:rsidRPr="008A4F40">
              <w:rPr>
                <w:i/>
                <w:sz w:val="22"/>
                <w:szCs w:val="22"/>
              </w:rPr>
              <w:t>Selten:</w:t>
            </w:r>
          </w:p>
        </w:tc>
        <w:tc>
          <w:tcPr>
            <w:tcW w:w="7087" w:type="dxa"/>
          </w:tcPr>
          <w:p w14:paraId="21D48DF7" w14:textId="77777777" w:rsidR="003A33A6" w:rsidRPr="008A4F40" w:rsidRDefault="003A33A6" w:rsidP="004E7659">
            <w:pPr>
              <w:rPr>
                <w:sz w:val="22"/>
                <w:szCs w:val="22"/>
              </w:rPr>
            </w:pPr>
            <w:r w:rsidRPr="008A4F40">
              <w:rPr>
                <w:sz w:val="22"/>
                <w:szCs w:val="22"/>
              </w:rPr>
              <w:t>Hämolytische Anämie</w:t>
            </w:r>
            <w:r w:rsidR="006B3D38" w:rsidRPr="008A4F40">
              <w:rPr>
                <w:sz w:val="22"/>
                <w:szCs w:val="22"/>
              </w:rPr>
              <w:t>, thrombotische Mikroangiopathie</w:t>
            </w:r>
          </w:p>
        </w:tc>
      </w:tr>
      <w:tr w:rsidR="003A33A6" w:rsidRPr="008A4F40" w14:paraId="55F2B969" w14:textId="77777777" w:rsidTr="00DA7B0B">
        <w:trPr>
          <w:cantSplit/>
        </w:trPr>
        <w:tc>
          <w:tcPr>
            <w:tcW w:w="9322" w:type="dxa"/>
            <w:gridSpan w:val="2"/>
          </w:tcPr>
          <w:p w14:paraId="116E77B3" w14:textId="77777777" w:rsidR="003A33A6" w:rsidRPr="008A4F40" w:rsidRDefault="003A33A6" w:rsidP="004E7659">
            <w:pPr>
              <w:keepNext/>
              <w:rPr>
                <w:b/>
                <w:color w:val="000000"/>
                <w:sz w:val="22"/>
                <w:szCs w:val="22"/>
              </w:rPr>
            </w:pPr>
            <w:r w:rsidRPr="008A4F40">
              <w:rPr>
                <w:b/>
                <w:color w:val="000000"/>
                <w:sz w:val="22"/>
                <w:szCs w:val="22"/>
              </w:rPr>
              <w:t>Stoffwechsel- und Ernährungsstörungen</w:t>
            </w:r>
          </w:p>
        </w:tc>
      </w:tr>
      <w:tr w:rsidR="003A33A6" w:rsidRPr="008A4F40" w14:paraId="5038F538" w14:textId="77777777" w:rsidTr="00DA7B0B">
        <w:trPr>
          <w:cantSplit/>
        </w:trPr>
        <w:tc>
          <w:tcPr>
            <w:tcW w:w="2235" w:type="dxa"/>
          </w:tcPr>
          <w:p w14:paraId="5BBFD180" w14:textId="77777777" w:rsidR="003A33A6" w:rsidRPr="008A4F40" w:rsidRDefault="003A33A6" w:rsidP="004E7659">
            <w:pPr>
              <w:keepNext/>
              <w:rPr>
                <w:i/>
                <w:color w:val="000000"/>
                <w:sz w:val="22"/>
                <w:szCs w:val="22"/>
              </w:rPr>
            </w:pPr>
            <w:r w:rsidRPr="008A4F40">
              <w:rPr>
                <w:i/>
                <w:color w:val="000000"/>
                <w:sz w:val="22"/>
                <w:szCs w:val="22"/>
              </w:rPr>
              <w:t>Häufig:</w:t>
            </w:r>
          </w:p>
        </w:tc>
        <w:tc>
          <w:tcPr>
            <w:tcW w:w="7087" w:type="dxa"/>
          </w:tcPr>
          <w:p w14:paraId="68D50BF7" w14:textId="77777777" w:rsidR="003A33A6" w:rsidRPr="008A4F40" w:rsidRDefault="003A33A6" w:rsidP="004E7659">
            <w:pPr>
              <w:keepNext/>
              <w:rPr>
                <w:color w:val="000000"/>
                <w:sz w:val="22"/>
                <w:szCs w:val="22"/>
              </w:rPr>
            </w:pPr>
            <w:r w:rsidRPr="008A4F40">
              <w:rPr>
                <w:color w:val="000000"/>
                <w:sz w:val="22"/>
                <w:szCs w:val="22"/>
              </w:rPr>
              <w:t>Appetitlosigkeit</w:t>
            </w:r>
          </w:p>
        </w:tc>
      </w:tr>
      <w:tr w:rsidR="003A33A6" w:rsidRPr="008A4F40" w14:paraId="3504AD2A" w14:textId="77777777" w:rsidTr="00DA7B0B">
        <w:trPr>
          <w:cantSplit/>
        </w:trPr>
        <w:tc>
          <w:tcPr>
            <w:tcW w:w="2235" w:type="dxa"/>
          </w:tcPr>
          <w:p w14:paraId="3424542A" w14:textId="77777777" w:rsidR="003A33A6" w:rsidRPr="008A4F40" w:rsidRDefault="003A33A6" w:rsidP="004E7659">
            <w:pPr>
              <w:keepNext/>
              <w:rPr>
                <w:i/>
                <w:color w:val="000000"/>
                <w:sz w:val="22"/>
                <w:szCs w:val="22"/>
              </w:rPr>
            </w:pPr>
            <w:r w:rsidRPr="008A4F40">
              <w:rPr>
                <w:i/>
                <w:color w:val="000000"/>
                <w:sz w:val="22"/>
                <w:szCs w:val="22"/>
              </w:rPr>
              <w:t>Gelegentlich:</w:t>
            </w:r>
          </w:p>
        </w:tc>
        <w:tc>
          <w:tcPr>
            <w:tcW w:w="7087" w:type="dxa"/>
          </w:tcPr>
          <w:p w14:paraId="70BD9B88" w14:textId="77777777" w:rsidR="003A33A6" w:rsidRPr="008A4F40" w:rsidRDefault="003A33A6" w:rsidP="004E7659">
            <w:pPr>
              <w:keepNext/>
              <w:rPr>
                <w:color w:val="000000"/>
                <w:sz w:val="22"/>
                <w:szCs w:val="22"/>
              </w:rPr>
            </w:pPr>
            <w:r w:rsidRPr="008A4F40">
              <w:rPr>
                <w:color w:val="000000"/>
                <w:sz w:val="22"/>
                <w:szCs w:val="22"/>
              </w:rPr>
              <w:t>Hypokaliämie, verstärkter Appetit, Hypophosphatämie, verminderter Appetit, Dehydration, Gicht, Hyperurikämie, Hyperkalzämie, Hyperglykämie, Hyponatriämie</w:t>
            </w:r>
          </w:p>
        </w:tc>
      </w:tr>
      <w:tr w:rsidR="003A33A6" w:rsidRPr="008A4F40" w14:paraId="40628F36" w14:textId="77777777" w:rsidTr="00DA7B0B">
        <w:trPr>
          <w:cantSplit/>
        </w:trPr>
        <w:tc>
          <w:tcPr>
            <w:tcW w:w="2235" w:type="dxa"/>
          </w:tcPr>
          <w:p w14:paraId="0F73E85F" w14:textId="77777777" w:rsidR="003A33A6" w:rsidRPr="008A4F40" w:rsidRDefault="003A33A6" w:rsidP="004E7659">
            <w:pPr>
              <w:rPr>
                <w:i/>
                <w:color w:val="000000"/>
                <w:sz w:val="22"/>
                <w:szCs w:val="22"/>
              </w:rPr>
            </w:pPr>
            <w:r w:rsidRPr="008A4F40">
              <w:rPr>
                <w:i/>
                <w:color w:val="000000"/>
                <w:sz w:val="22"/>
                <w:szCs w:val="22"/>
              </w:rPr>
              <w:t>Selten:</w:t>
            </w:r>
          </w:p>
        </w:tc>
        <w:tc>
          <w:tcPr>
            <w:tcW w:w="7087" w:type="dxa"/>
          </w:tcPr>
          <w:p w14:paraId="6CA63C42" w14:textId="77777777" w:rsidR="003A33A6" w:rsidRPr="008A4F40" w:rsidRDefault="003A33A6" w:rsidP="004E7659">
            <w:pPr>
              <w:rPr>
                <w:color w:val="000000"/>
                <w:sz w:val="22"/>
                <w:szCs w:val="22"/>
                <w:lang w:val="pt-PT"/>
              </w:rPr>
            </w:pPr>
            <w:r w:rsidRPr="008A4F40">
              <w:rPr>
                <w:color w:val="000000"/>
                <w:sz w:val="22"/>
                <w:szCs w:val="22"/>
              </w:rPr>
              <w:t>Hyperkaliämie, Hypomagnesiämie</w:t>
            </w:r>
          </w:p>
        </w:tc>
      </w:tr>
      <w:tr w:rsidR="003A33A6" w:rsidRPr="008A4F40" w14:paraId="0EB1B6F9" w14:textId="77777777" w:rsidTr="00DA7B0B">
        <w:trPr>
          <w:cantSplit/>
        </w:trPr>
        <w:tc>
          <w:tcPr>
            <w:tcW w:w="9322" w:type="dxa"/>
            <w:gridSpan w:val="2"/>
          </w:tcPr>
          <w:p w14:paraId="201CDF5D" w14:textId="77777777" w:rsidR="003A33A6" w:rsidRPr="008A4F40" w:rsidRDefault="003A33A6" w:rsidP="004E7659">
            <w:pPr>
              <w:keepNext/>
              <w:rPr>
                <w:b/>
                <w:color w:val="000000"/>
                <w:sz w:val="22"/>
                <w:szCs w:val="22"/>
              </w:rPr>
            </w:pPr>
            <w:r w:rsidRPr="008A4F40">
              <w:rPr>
                <w:b/>
                <w:color w:val="000000"/>
                <w:sz w:val="22"/>
                <w:szCs w:val="22"/>
              </w:rPr>
              <w:t>Psychiatrische Erkrankungen</w:t>
            </w:r>
          </w:p>
        </w:tc>
      </w:tr>
      <w:tr w:rsidR="003A33A6" w:rsidRPr="008A4F40" w14:paraId="763CB01F" w14:textId="77777777" w:rsidTr="00DA7B0B">
        <w:trPr>
          <w:cantSplit/>
        </w:trPr>
        <w:tc>
          <w:tcPr>
            <w:tcW w:w="2235" w:type="dxa"/>
          </w:tcPr>
          <w:p w14:paraId="52C52D2C" w14:textId="77777777" w:rsidR="003A33A6" w:rsidRPr="008A4F40" w:rsidRDefault="003A33A6" w:rsidP="004E7659">
            <w:pPr>
              <w:keepNext/>
              <w:rPr>
                <w:i/>
                <w:color w:val="000000"/>
                <w:sz w:val="22"/>
                <w:szCs w:val="22"/>
              </w:rPr>
            </w:pPr>
            <w:r w:rsidRPr="008A4F40">
              <w:rPr>
                <w:i/>
                <w:color w:val="000000"/>
                <w:sz w:val="22"/>
                <w:szCs w:val="22"/>
              </w:rPr>
              <w:t>Häufig:</w:t>
            </w:r>
          </w:p>
        </w:tc>
        <w:tc>
          <w:tcPr>
            <w:tcW w:w="7087" w:type="dxa"/>
          </w:tcPr>
          <w:p w14:paraId="7162CC18" w14:textId="77777777" w:rsidR="003A33A6" w:rsidRPr="008A4F40" w:rsidRDefault="003A33A6" w:rsidP="004E7659">
            <w:pPr>
              <w:keepNext/>
              <w:rPr>
                <w:color w:val="000000"/>
                <w:sz w:val="22"/>
                <w:szCs w:val="22"/>
              </w:rPr>
            </w:pPr>
            <w:r w:rsidRPr="008A4F40">
              <w:rPr>
                <w:color w:val="000000"/>
                <w:sz w:val="22"/>
                <w:szCs w:val="22"/>
              </w:rPr>
              <w:t>Schlaflosigkeit</w:t>
            </w:r>
          </w:p>
        </w:tc>
      </w:tr>
      <w:tr w:rsidR="003A33A6" w:rsidRPr="008A4F40" w14:paraId="5C6E60FE" w14:textId="77777777" w:rsidTr="00DA7B0B">
        <w:trPr>
          <w:cantSplit/>
        </w:trPr>
        <w:tc>
          <w:tcPr>
            <w:tcW w:w="2235" w:type="dxa"/>
          </w:tcPr>
          <w:p w14:paraId="113D9BC3" w14:textId="77777777" w:rsidR="003A33A6" w:rsidRPr="008A4F40" w:rsidRDefault="003A33A6" w:rsidP="004E7659">
            <w:pPr>
              <w:keepNext/>
              <w:rPr>
                <w:i/>
                <w:color w:val="000000"/>
                <w:sz w:val="22"/>
                <w:szCs w:val="22"/>
              </w:rPr>
            </w:pPr>
            <w:r w:rsidRPr="008A4F40">
              <w:rPr>
                <w:i/>
                <w:color w:val="000000"/>
                <w:sz w:val="22"/>
                <w:szCs w:val="22"/>
              </w:rPr>
              <w:t>Gelegentlich:</w:t>
            </w:r>
          </w:p>
        </w:tc>
        <w:tc>
          <w:tcPr>
            <w:tcW w:w="7087" w:type="dxa"/>
          </w:tcPr>
          <w:p w14:paraId="038D3D1E" w14:textId="77777777" w:rsidR="003A33A6" w:rsidRPr="008A4F40" w:rsidRDefault="003A33A6" w:rsidP="004E7659">
            <w:pPr>
              <w:keepNext/>
              <w:rPr>
                <w:color w:val="000000"/>
                <w:sz w:val="22"/>
                <w:szCs w:val="22"/>
              </w:rPr>
            </w:pPr>
            <w:r w:rsidRPr="008A4F40">
              <w:rPr>
                <w:color w:val="000000"/>
                <w:sz w:val="22"/>
                <w:szCs w:val="22"/>
              </w:rPr>
              <w:t>Depression, verminderte Libido, Angstzustände</w:t>
            </w:r>
          </w:p>
        </w:tc>
      </w:tr>
      <w:tr w:rsidR="003A33A6" w:rsidRPr="008A4F40" w14:paraId="233383AF" w14:textId="77777777" w:rsidTr="00DA7B0B">
        <w:trPr>
          <w:cantSplit/>
        </w:trPr>
        <w:tc>
          <w:tcPr>
            <w:tcW w:w="2235" w:type="dxa"/>
          </w:tcPr>
          <w:p w14:paraId="118BD9DA" w14:textId="77777777" w:rsidR="003A33A6" w:rsidRPr="008A4F40" w:rsidRDefault="003A33A6" w:rsidP="004E7659">
            <w:pPr>
              <w:rPr>
                <w:i/>
                <w:color w:val="000000"/>
                <w:sz w:val="22"/>
                <w:szCs w:val="22"/>
              </w:rPr>
            </w:pPr>
            <w:r w:rsidRPr="008A4F40">
              <w:rPr>
                <w:i/>
                <w:color w:val="000000"/>
                <w:sz w:val="22"/>
                <w:szCs w:val="22"/>
              </w:rPr>
              <w:t>Selten:</w:t>
            </w:r>
          </w:p>
        </w:tc>
        <w:tc>
          <w:tcPr>
            <w:tcW w:w="7087" w:type="dxa"/>
          </w:tcPr>
          <w:p w14:paraId="3D31310D" w14:textId="77777777" w:rsidR="003A33A6" w:rsidRPr="008A4F40" w:rsidRDefault="003A33A6" w:rsidP="004E7659">
            <w:pPr>
              <w:rPr>
                <w:color w:val="000000"/>
                <w:sz w:val="22"/>
                <w:szCs w:val="22"/>
              </w:rPr>
            </w:pPr>
            <w:r w:rsidRPr="008A4F40">
              <w:rPr>
                <w:color w:val="000000"/>
                <w:sz w:val="22"/>
                <w:szCs w:val="22"/>
              </w:rPr>
              <w:t>Verwirrtheitszustände</w:t>
            </w:r>
          </w:p>
        </w:tc>
      </w:tr>
      <w:tr w:rsidR="003A33A6" w:rsidRPr="008A4F40" w14:paraId="2BD6A6DD" w14:textId="77777777" w:rsidTr="00DA7B0B">
        <w:trPr>
          <w:cantSplit/>
        </w:trPr>
        <w:tc>
          <w:tcPr>
            <w:tcW w:w="9322" w:type="dxa"/>
            <w:gridSpan w:val="2"/>
          </w:tcPr>
          <w:p w14:paraId="0A4FA0C0" w14:textId="77777777" w:rsidR="003A33A6" w:rsidRPr="008A4F40" w:rsidRDefault="003A33A6" w:rsidP="004E7659">
            <w:pPr>
              <w:keepNext/>
              <w:rPr>
                <w:b/>
                <w:sz w:val="22"/>
                <w:szCs w:val="22"/>
              </w:rPr>
            </w:pPr>
            <w:r w:rsidRPr="008A4F40">
              <w:rPr>
                <w:b/>
                <w:color w:val="000000"/>
                <w:sz w:val="22"/>
                <w:szCs w:val="22"/>
              </w:rPr>
              <w:t>Erkrankungen des Nervensystems</w:t>
            </w:r>
          </w:p>
        </w:tc>
      </w:tr>
      <w:tr w:rsidR="003A33A6" w:rsidRPr="008A4F40" w14:paraId="34228EA3" w14:textId="77777777" w:rsidTr="00DA7B0B">
        <w:trPr>
          <w:cantSplit/>
        </w:trPr>
        <w:tc>
          <w:tcPr>
            <w:tcW w:w="2235" w:type="dxa"/>
          </w:tcPr>
          <w:p w14:paraId="64CC4034" w14:textId="77777777" w:rsidR="003A33A6" w:rsidRPr="008A4F40" w:rsidRDefault="003A33A6" w:rsidP="004E7659">
            <w:pPr>
              <w:keepNext/>
              <w:rPr>
                <w:sz w:val="22"/>
                <w:szCs w:val="22"/>
              </w:rPr>
            </w:pPr>
            <w:r w:rsidRPr="008A4F40">
              <w:rPr>
                <w:i/>
                <w:color w:val="000000"/>
                <w:sz w:val="22"/>
                <w:szCs w:val="22"/>
              </w:rPr>
              <w:t>Sehr häufig:</w:t>
            </w:r>
          </w:p>
        </w:tc>
        <w:tc>
          <w:tcPr>
            <w:tcW w:w="7087" w:type="dxa"/>
          </w:tcPr>
          <w:p w14:paraId="0AC7F584" w14:textId="77777777" w:rsidR="003A33A6" w:rsidRPr="008A4F40" w:rsidRDefault="003A33A6" w:rsidP="004E7659">
            <w:pPr>
              <w:keepNext/>
              <w:rPr>
                <w:sz w:val="22"/>
                <w:szCs w:val="22"/>
              </w:rPr>
            </w:pPr>
            <w:r w:rsidRPr="008A4F40">
              <w:rPr>
                <w:color w:val="000000"/>
                <w:sz w:val="22"/>
                <w:szCs w:val="22"/>
              </w:rPr>
              <w:t>Kopfschmerzen</w:t>
            </w:r>
            <w:r w:rsidRPr="008A4F40">
              <w:rPr>
                <w:color w:val="000000"/>
                <w:sz w:val="22"/>
                <w:szCs w:val="22"/>
                <w:vertAlign w:val="superscript"/>
              </w:rPr>
              <w:t>2</w:t>
            </w:r>
          </w:p>
        </w:tc>
      </w:tr>
      <w:tr w:rsidR="003A33A6" w:rsidRPr="008A4F40" w14:paraId="2429BB06" w14:textId="77777777" w:rsidTr="00DA7B0B">
        <w:trPr>
          <w:cantSplit/>
          <w:trHeight w:val="374"/>
        </w:trPr>
        <w:tc>
          <w:tcPr>
            <w:tcW w:w="2235" w:type="dxa"/>
          </w:tcPr>
          <w:p w14:paraId="2CC6DA35" w14:textId="77777777" w:rsidR="003A33A6" w:rsidRPr="008A4F40" w:rsidRDefault="003A33A6" w:rsidP="004E7659">
            <w:pPr>
              <w:keepNext/>
              <w:rPr>
                <w:sz w:val="22"/>
                <w:szCs w:val="22"/>
              </w:rPr>
            </w:pPr>
            <w:r w:rsidRPr="008A4F40">
              <w:rPr>
                <w:i/>
                <w:color w:val="000000"/>
                <w:sz w:val="22"/>
                <w:szCs w:val="22"/>
              </w:rPr>
              <w:t>Häufig:</w:t>
            </w:r>
          </w:p>
        </w:tc>
        <w:tc>
          <w:tcPr>
            <w:tcW w:w="7087" w:type="dxa"/>
          </w:tcPr>
          <w:p w14:paraId="63ADF8AC" w14:textId="77777777" w:rsidR="003A33A6" w:rsidRPr="008A4F40" w:rsidRDefault="003A33A6" w:rsidP="004E7659">
            <w:pPr>
              <w:keepNext/>
              <w:rPr>
                <w:color w:val="000000"/>
                <w:sz w:val="22"/>
                <w:szCs w:val="22"/>
              </w:rPr>
            </w:pPr>
            <w:r w:rsidRPr="008A4F40">
              <w:rPr>
                <w:color w:val="000000"/>
                <w:sz w:val="22"/>
                <w:szCs w:val="22"/>
              </w:rPr>
              <w:t>Schwindel, Pa</w:t>
            </w:r>
            <w:del w:id="150" w:author="Author">
              <w:r w:rsidRPr="008A4F40" w:rsidDel="004E7659">
                <w:rPr>
                  <w:color w:val="000000"/>
                  <w:sz w:val="22"/>
                  <w:szCs w:val="22"/>
                </w:rPr>
                <w:softHyphen/>
              </w:r>
            </w:del>
            <w:r w:rsidRPr="008A4F40">
              <w:rPr>
                <w:color w:val="000000"/>
                <w:sz w:val="22"/>
                <w:szCs w:val="22"/>
              </w:rPr>
              <w:t>rästhesie, Geschmacksstörungen, Hypästhesie</w:t>
            </w:r>
          </w:p>
        </w:tc>
      </w:tr>
      <w:tr w:rsidR="003A33A6" w:rsidRPr="008A4F40" w14:paraId="6A22F498" w14:textId="77777777" w:rsidTr="00DA7B0B">
        <w:trPr>
          <w:cantSplit/>
        </w:trPr>
        <w:tc>
          <w:tcPr>
            <w:tcW w:w="2235" w:type="dxa"/>
          </w:tcPr>
          <w:p w14:paraId="6FF8952A"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2E7F711B" w14:textId="77777777" w:rsidR="003A33A6" w:rsidRPr="008A4F40" w:rsidRDefault="003A33A6" w:rsidP="004E7659">
            <w:pPr>
              <w:keepNext/>
              <w:rPr>
                <w:sz w:val="22"/>
                <w:szCs w:val="22"/>
              </w:rPr>
            </w:pPr>
            <w:r w:rsidRPr="008A4F40">
              <w:rPr>
                <w:color w:val="000000"/>
                <w:sz w:val="22"/>
                <w:szCs w:val="22"/>
              </w:rPr>
              <w:t>Migräne, Schläfrigkeit, Synkope, periphere Neuropathie, Gedächtnisschwäche, Ischiasbeschwerden, „Restless-Legs-Syndrom“, Tremor, Hirnblutung</w:t>
            </w:r>
          </w:p>
        </w:tc>
      </w:tr>
      <w:tr w:rsidR="003A33A6" w:rsidRPr="008A4F40" w14:paraId="52FFCE1D" w14:textId="77777777" w:rsidTr="00DA7B0B">
        <w:trPr>
          <w:cantSplit/>
        </w:trPr>
        <w:tc>
          <w:tcPr>
            <w:tcW w:w="2235" w:type="dxa"/>
          </w:tcPr>
          <w:p w14:paraId="5A0E589D" w14:textId="77777777" w:rsidR="003A33A6" w:rsidRPr="008A4F40" w:rsidRDefault="003A33A6" w:rsidP="004E7659">
            <w:pPr>
              <w:keepNext/>
              <w:rPr>
                <w:sz w:val="22"/>
                <w:szCs w:val="22"/>
              </w:rPr>
            </w:pPr>
            <w:r w:rsidRPr="008A4F40">
              <w:rPr>
                <w:i/>
                <w:color w:val="000000"/>
                <w:sz w:val="22"/>
                <w:szCs w:val="22"/>
              </w:rPr>
              <w:t>Selten:</w:t>
            </w:r>
          </w:p>
        </w:tc>
        <w:tc>
          <w:tcPr>
            <w:tcW w:w="7087" w:type="dxa"/>
          </w:tcPr>
          <w:p w14:paraId="736A605D" w14:textId="77777777" w:rsidR="003A33A6" w:rsidRPr="008A4F40" w:rsidRDefault="003A33A6" w:rsidP="004E7659">
            <w:pPr>
              <w:keepNext/>
              <w:rPr>
                <w:color w:val="000000"/>
                <w:sz w:val="22"/>
                <w:szCs w:val="22"/>
              </w:rPr>
            </w:pPr>
            <w:r w:rsidRPr="008A4F40">
              <w:rPr>
                <w:color w:val="000000"/>
                <w:sz w:val="22"/>
                <w:szCs w:val="22"/>
              </w:rPr>
              <w:t>Erhöhter intrakra</w:t>
            </w:r>
            <w:del w:id="151" w:author="Author">
              <w:r w:rsidRPr="008A4F40" w:rsidDel="004E7659">
                <w:rPr>
                  <w:color w:val="000000"/>
                  <w:sz w:val="22"/>
                  <w:szCs w:val="22"/>
                </w:rPr>
                <w:softHyphen/>
              </w:r>
            </w:del>
            <w:r w:rsidRPr="008A4F40">
              <w:rPr>
                <w:color w:val="000000"/>
                <w:sz w:val="22"/>
                <w:szCs w:val="22"/>
              </w:rPr>
              <w:t>nieller Druck, Konvulsionen, Sehnervenentzündung</w:t>
            </w:r>
          </w:p>
        </w:tc>
      </w:tr>
      <w:tr w:rsidR="006E656A" w:rsidRPr="008A4F40" w14:paraId="2349F241" w14:textId="77777777" w:rsidTr="00DA7B0B">
        <w:trPr>
          <w:cantSplit/>
        </w:trPr>
        <w:tc>
          <w:tcPr>
            <w:tcW w:w="2235" w:type="dxa"/>
          </w:tcPr>
          <w:p w14:paraId="3A9311F7" w14:textId="77777777" w:rsidR="006E656A" w:rsidRPr="008A4F40" w:rsidRDefault="006E656A" w:rsidP="004E7659">
            <w:pPr>
              <w:rPr>
                <w:i/>
                <w:color w:val="000000"/>
                <w:sz w:val="22"/>
                <w:szCs w:val="22"/>
              </w:rPr>
            </w:pPr>
            <w:r w:rsidRPr="008A4F40">
              <w:rPr>
                <w:i/>
                <w:color w:val="000000"/>
                <w:sz w:val="22"/>
                <w:szCs w:val="22"/>
              </w:rPr>
              <w:t>Nicht bekannt:</w:t>
            </w:r>
          </w:p>
        </w:tc>
        <w:tc>
          <w:tcPr>
            <w:tcW w:w="7087" w:type="dxa"/>
          </w:tcPr>
          <w:p w14:paraId="37250BFE" w14:textId="77777777" w:rsidR="006E656A" w:rsidRPr="008A4F40" w:rsidRDefault="006E656A" w:rsidP="004E7659">
            <w:pPr>
              <w:rPr>
                <w:color w:val="000000"/>
                <w:sz w:val="22"/>
                <w:szCs w:val="22"/>
              </w:rPr>
            </w:pPr>
            <w:r w:rsidRPr="008A4F40">
              <w:rPr>
                <w:color w:val="000000"/>
                <w:sz w:val="22"/>
                <w:szCs w:val="22"/>
              </w:rPr>
              <w:t>Hirnödem*</w:t>
            </w:r>
          </w:p>
        </w:tc>
      </w:tr>
      <w:tr w:rsidR="003A33A6" w:rsidRPr="008A4F40" w14:paraId="2728744E" w14:textId="77777777" w:rsidTr="00DA7B0B">
        <w:trPr>
          <w:cantSplit/>
        </w:trPr>
        <w:tc>
          <w:tcPr>
            <w:tcW w:w="9322" w:type="dxa"/>
            <w:gridSpan w:val="2"/>
          </w:tcPr>
          <w:p w14:paraId="66DF7F6D" w14:textId="77777777" w:rsidR="003A33A6" w:rsidRPr="008A4F40" w:rsidRDefault="003A33A6" w:rsidP="004E7659">
            <w:pPr>
              <w:keepNext/>
              <w:rPr>
                <w:b/>
                <w:sz w:val="22"/>
                <w:szCs w:val="22"/>
              </w:rPr>
            </w:pPr>
            <w:r w:rsidRPr="008A4F40">
              <w:rPr>
                <w:b/>
                <w:color w:val="000000"/>
                <w:sz w:val="22"/>
                <w:szCs w:val="22"/>
              </w:rPr>
              <w:t>Augenerkrankungen</w:t>
            </w:r>
          </w:p>
        </w:tc>
      </w:tr>
      <w:tr w:rsidR="003A33A6" w:rsidRPr="008A4F40" w14:paraId="1F6BF371" w14:textId="77777777" w:rsidTr="00DA7B0B">
        <w:trPr>
          <w:cantSplit/>
        </w:trPr>
        <w:tc>
          <w:tcPr>
            <w:tcW w:w="2235" w:type="dxa"/>
          </w:tcPr>
          <w:p w14:paraId="5602A9E7" w14:textId="77777777" w:rsidR="003A33A6" w:rsidRPr="008A4F40" w:rsidRDefault="003A33A6" w:rsidP="004E7659">
            <w:pPr>
              <w:keepNext/>
              <w:rPr>
                <w:sz w:val="22"/>
                <w:szCs w:val="22"/>
              </w:rPr>
            </w:pPr>
            <w:r w:rsidRPr="008A4F40">
              <w:rPr>
                <w:i/>
                <w:color w:val="000000"/>
                <w:sz w:val="22"/>
                <w:szCs w:val="22"/>
              </w:rPr>
              <w:t>Häufig:</w:t>
            </w:r>
          </w:p>
        </w:tc>
        <w:tc>
          <w:tcPr>
            <w:tcW w:w="7087" w:type="dxa"/>
          </w:tcPr>
          <w:p w14:paraId="3F3CED64" w14:textId="77777777" w:rsidR="003A33A6" w:rsidRPr="008A4F40" w:rsidRDefault="003A33A6" w:rsidP="004E7659">
            <w:pPr>
              <w:keepNext/>
              <w:rPr>
                <w:sz w:val="22"/>
                <w:szCs w:val="22"/>
              </w:rPr>
            </w:pPr>
            <w:r w:rsidRPr="008A4F40">
              <w:rPr>
                <w:color w:val="000000"/>
                <w:sz w:val="22"/>
                <w:szCs w:val="22"/>
              </w:rPr>
              <w:t>Augenlidödem, vermehrter Trä</w:t>
            </w:r>
            <w:del w:id="152" w:author="Author">
              <w:r w:rsidRPr="008A4F40" w:rsidDel="004E7659">
                <w:rPr>
                  <w:color w:val="000000"/>
                  <w:sz w:val="22"/>
                  <w:szCs w:val="22"/>
                </w:rPr>
                <w:softHyphen/>
              </w:r>
            </w:del>
            <w:r w:rsidRPr="008A4F40">
              <w:rPr>
                <w:color w:val="000000"/>
                <w:sz w:val="22"/>
                <w:szCs w:val="22"/>
              </w:rPr>
              <w:t>nenfluss, Bindehautblutung, Konjunktivitis, trockene Augen, verschwommenes Sehen</w:t>
            </w:r>
          </w:p>
        </w:tc>
      </w:tr>
      <w:tr w:rsidR="003A33A6" w:rsidRPr="008A4F40" w14:paraId="26915B00" w14:textId="77777777" w:rsidTr="00DA7B0B">
        <w:trPr>
          <w:cantSplit/>
        </w:trPr>
        <w:tc>
          <w:tcPr>
            <w:tcW w:w="2235" w:type="dxa"/>
          </w:tcPr>
          <w:p w14:paraId="0B66EEED"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06E8A868" w14:textId="77777777" w:rsidR="003A33A6" w:rsidRPr="008A4F40" w:rsidRDefault="003A33A6" w:rsidP="004E7659">
            <w:pPr>
              <w:keepNext/>
              <w:rPr>
                <w:sz w:val="22"/>
                <w:szCs w:val="22"/>
              </w:rPr>
            </w:pPr>
            <w:r w:rsidRPr="008A4F40">
              <w:rPr>
                <w:color w:val="000000"/>
                <w:sz w:val="22"/>
                <w:szCs w:val="22"/>
              </w:rPr>
              <w:t>Augenreizung, Augenschmerzen, Augenhöhlenödem, Glaskörperhä</w:t>
            </w:r>
            <w:r w:rsidRPr="008A4F40">
              <w:rPr>
                <w:color w:val="000000"/>
                <w:sz w:val="22"/>
                <w:szCs w:val="22"/>
              </w:rPr>
              <w:softHyphen/>
              <w:t>morrha</w:t>
            </w:r>
            <w:r w:rsidRPr="008A4F40">
              <w:rPr>
                <w:color w:val="000000"/>
                <w:sz w:val="22"/>
                <w:szCs w:val="22"/>
              </w:rPr>
              <w:softHyphen/>
              <w:t>gie, Retinablutungen, Blepharitis, Makulaödem</w:t>
            </w:r>
          </w:p>
        </w:tc>
      </w:tr>
      <w:tr w:rsidR="003A33A6" w:rsidRPr="008A4F40" w14:paraId="5CA61C3F" w14:textId="77777777" w:rsidTr="00DA7B0B">
        <w:trPr>
          <w:cantSplit/>
        </w:trPr>
        <w:tc>
          <w:tcPr>
            <w:tcW w:w="2235" w:type="dxa"/>
          </w:tcPr>
          <w:p w14:paraId="315CD1D6" w14:textId="77777777" w:rsidR="003A33A6" w:rsidRPr="008A4F40" w:rsidRDefault="003A33A6" w:rsidP="004E7659">
            <w:pPr>
              <w:keepNext/>
              <w:rPr>
                <w:sz w:val="22"/>
                <w:szCs w:val="22"/>
              </w:rPr>
            </w:pPr>
            <w:r w:rsidRPr="008A4F40">
              <w:rPr>
                <w:i/>
                <w:color w:val="000000"/>
                <w:sz w:val="22"/>
                <w:szCs w:val="22"/>
              </w:rPr>
              <w:t>Selten:</w:t>
            </w:r>
          </w:p>
        </w:tc>
        <w:tc>
          <w:tcPr>
            <w:tcW w:w="7087" w:type="dxa"/>
          </w:tcPr>
          <w:p w14:paraId="50EAD97B" w14:textId="77777777" w:rsidR="003A33A6" w:rsidRPr="008A4F40" w:rsidRDefault="003A33A6" w:rsidP="004E7659">
            <w:pPr>
              <w:keepNext/>
              <w:rPr>
                <w:sz w:val="22"/>
                <w:szCs w:val="22"/>
              </w:rPr>
            </w:pPr>
            <w:r w:rsidRPr="008A4F40">
              <w:rPr>
                <w:color w:val="000000"/>
                <w:sz w:val="22"/>
                <w:szCs w:val="22"/>
              </w:rPr>
              <w:t>Katarakt, Glaukom, Papillenödem</w:t>
            </w:r>
          </w:p>
        </w:tc>
      </w:tr>
      <w:tr w:rsidR="006E656A" w:rsidRPr="008A4F40" w14:paraId="51DD2BC5" w14:textId="77777777" w:rsidTr="00DA7B0B">
        <w:trPr>
          <w:cantSplit/>
        </w:trPr>
        <w:tc>
          <w:tcPr>
            <w:tcW w:w="2235" w:type="dxa"/>
          </w:tcPr>
          <w:p w14:paraId="6B96918C" w14:textId="77777777" w:rsidR="006E656A" w:rsidRPr="008A4F40" w:rsidRDefault="006E656A" w:rsidP="004E7659">
            <w:pPr>
              <w:rPr>
                <w:i/>
                <w:color w:val="000000"/>
                <w:sz w:val="22"/>
                <w:szCs w:val="22"/>
              </w:rPr>
            </w:pPr>
            <w:r w:rsidRPr="008A4F40">
              <w:rPr>
                <w:i/>
                <w:color w:val="000000"/>
                <w:sz w:val="22"/>
                <w:szCs w:val="22"/>
              </w:rPr>
              <w:t>Nicht bekannt:</w:t>
            </w:r>
          </w:p>
        </w:tc>
        <w:tc>
          <w:tcPr>
            <w:tcW w:w="7087" w:type="dxa"/>
          </w:tcPr>
          <w:p w14:paraId="0A5AA0F2" w14:textId="77777777" w:rsidR="006E656A" w:rsidRPr="008A4F40" w:rsidRDefault="006E656A" w:rsidP="004E7659">
            <w:pPr>
              <w:rPr>
                <w:color w:val="000000"/>
                <w:sz w:val="22"/>
                <w:szCs w:val="22"/>
              </w:rPr>
            </w:pPr>
            <w:r w:rsidRPr="008A4F40">
              <w:rPr>
                <w:color w:val="000000"/>
                <w:sz w:val="22"/>
                <w:szCs w:val="22"/>
              </w:rPr>
              <w:t>Glaskörperhämorrhagie*</w:t>
            </w:r>
          </w:p>
        </w:tc>
      </w:tr>
      <w:tr w:rsidR="003A33A6" w:rsidRPr="008A4F40" w14:paraId="691D40A6" w14:textId="77777777" w:rsidTr="00DA7B0B">
        <w:trPr>
          <w:cantSplit/>
        </w:trPr>
        <w:tc>
          <w:tcPr>
            <w:tcW w:w="9322" w:type="dxa"/>
            <w:gridSpan w:val="2"/>
          </w:tcPr>
          <w:p w14:paraId="2CE505D3" w14:textId="77777777" w:rsidR="003A33A6" w:rsidRPr="008A4F40" w:rsidRDefault="003A33A6" w:rsidP="004E7659">
            <w:pPr>
              <w:keepNext/>
              <w:rPr>
                <w:b/>
                <w:sz w:val="22"/>
                <w:szCs w:val="22"/>
              </w:rPr>
            </w:pPr>
            <w:r w:rsidRPr="008A4F40">
              <w:rPr>
                <w:b/>
                <w:color w:val="000000"/>
                <w:sz w:val="22"/>
                <w:szCs w:val="22"/>
              </w:rPr>
              <w:t>Erkrankungen des Ohrs und des Labyrinths</w:t>
            </w:r>
          </w:p>
        </w:tc>
      </w:tr>
      <w:tr w:rsidR="003A33A6" w:rsidRPr="008A4F40" w14:paraId="3AD72323" w14:textId="77777777" w:rsidTr="00DA7B0B">
        <w:trPr>
          <w:cantSplit/>
        </w:trPr>
        <w:tc>
          <w:tcPr>
            <w:tcW w:w="2235" w:type="dxa"/>
          </w:tcPr>
          <w:p w14:paraId="224607B5" w14:textId="77777777" w:rsidR="003A33A6" w:rsidRPr="008A4F40" w:rsidRDefault="003A33A6" w:rsidP="004E7659">
            <w:pPr>
              <w:rPr>
                <w:sz w:val="22"/>
                <w:szCs w:val="22"/>
              </w:rPr>
            </w:pPr>
            <w:r w:rsidRPr="008A4F40">
              <w:rPr>
                <w:i/>
                <w:color w:val="000000"/>
                <w:sz w:val="22"/>
                <w:szCs w:val="22"/>
              </w:rPr>
              <w:t>Gelegentlich:</w:t>
            </w:r>
          </w:p>
        </w:tc>
        <w:tc>
          <w:tcPr>
            <w:tcW w:w="7087" w:type="dxa"/>
          </w:tcPr>
          <w:p w14:paraId="73A277B4" w14:textId="77777777" w:rsidR="003A33A6" w:rsidRPr="008A4F40" w:rsidRDefault="003A33A6" w:rsidP="004E7659">
            <w:pPr>
              <w:rPr>
                <w:sz w:val="22"/>
                <w:szCs w:val="22"/>
              </w:rPr>
            </w:pPr>
            <w:r w:rsidRPr="008A4F40">
              <w:rPr>
                <w:color w:val="000000"/>
                <w:sz w:val="22"/>
                <w:szCs w:val="22"/>
              </w:rPr>
              <w:t>Schwindel, Tinnitus</w:t>
            </w:r>
            <w:r w:rsidRPr="008A4F40">
              <w:rPr>
                <w:color w:val="000000"/>
                <w:sz w:val="22"/>
                <w:szCs w:val="22"/>
                <w:lang w:val="it-IT"/>
              </w:rPr>
              <w:t>, Hörverlust</w:t>
            </w:r>
          </w:p>
        </w:tc>
      </w:tr>
      <w:tr w:rsidR="003A33A6" w:rsidRPr="008A4F40" w14:paraId="41F86F6F" w14:textId="77777777" w:rsidTr="00DA7B0B">
        <w:trPr>
          <w:cantSplit/>
        </w:trPr>
        <w:tc>
          <w:tcPr>
            <w:tcW w:w="9322" w:type="dxa"/>
            <w:gridSpan w:val="2"/>
          </w:tcPr>
          <w:p w14:paraId="6A6BBB2C" w14:textId="77777777" w:rsidR="003A33A6" w:rsidRPr="008A4F40" w:rsidRDefault="003A33A6" w:rsidP="004E7659">
            <w:pPr>
              <w:keepNext/>
              <w:rPr>
                <w:b/>
                <w:sz w:val="22"/>
                <w:szCs w:val="22"/>
              </w:rPr>
            </w:pPr>
            <w:r w:rsidRPr="008A4F40">
              <w:rPr>
                <w:b/>
                <w:color w:val="000000"/>
                <w:sz w:val="22"/>
                <w:szCs w:val="22"/>
              </w:rPr>
              <w:t>Herzerkrankungen</w:t>
            </w:r>
          </w:p>
        </w:tc>
      </w:tr>
      <w:tr w:rsidR="003A33A6" w:rsidRPr="008A4F40" w14:paraId="60B60F42" w14:textId="77777777" w:rsidTr="00DA7B0B">
        <w:trPr>
          <w:cantSplit/>
        </w:trPr>
        <w:tc>
          <w:tcPr>
            <w:tcW w:w="2235" w:type="dxa"/>
          </w:tcPr>
          <w:p w14:paraId="72D7D71A"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5D640238" w14:textId="77777777" w:rsidR="003A33A6" w:rsidRPr="008A4F40" w:rsidRDefault="003A33A6" w:rsidP="004E7659">
            <w:pPr>
              <w:keepNext/>
              <w:rPr>
                <w:sz w:val="22"/>
                <w:szCs w:val="22"/>
              </w:rPr>
            </w:pPr>
            <w:r w:rsidRPr="008A4F40">
              <w:rPr>
                <w:color w:val="000000"/>
                <w:sz w:val="22"/>
                <w:szCs w:val="22"/>
              </w:rPr>
              <w:t>Palpitationen, Tachykardie, Stauungsherzinsuffizienz</w:t>
            </w:r>
            <w:r w:rsidRPr="008A4F40">
              <w:rPr>
                <w:color w:val="000000"/>
                <w:sz w:val="22"/>
                <w:szCs w:val="22"/>
                <w:vertAlign w:val="superscript"/>
              </w:rPr>
              <w:t>3</w:t>
            </w:r>
            <w:r w:rsidRPr="008A4F40">
              <w:rPr>
                <w:color w:val="000000"/>
                <w:sz w:val="22"/>
                <w:szCs w:val="22"/>
              </w:rPr>
              <w:t>, Lungenödem</w:t>
            </w:r>
          </w:p>
        </w:tc>
      </w:tr>
      <w:tr w:rsidR="003A33A6" w:rsidRPr="008A4F40" w14:paraId="1E2D4AF9" w14:textId="77777777" w:rsidTr="00DA7B0B">
        <w:trPr>
          <w:cantSplit/>
        </w:trPr>
        <w:tc>
          <w:tcPr>
            <w:tcW w:w="2235" w:type="dxa"/>
          </w:tcPr>
          <w:p w14:paraId="43744CEA" w14:textId="77777777" w:rsidR="003A33A6" w:rsidRPr="008A4F40" w:rsidRDefault="003A33A6" w:rsidP="004E7659">
            <w:pPr>
              <w:keepNext/>
              <w:rPr>
                <w:sz w:val="22"/>
                <w:szCs w:val="22"/>
              </w:rPr>
            </w:pPr>
            <w:r w:rsidRPr="008A4F40">
              <w:rPr>
                <w:i/>
                <w:color w:val="000000"/>
                <w:sz w:val="22"/>
                <w:szCs w:val="22"/>
              </w:rPr>
              <w:t>Selten:</w:t>
            </w:r>
          </w:p>
        </w:tc>
        <w:tc>
          <w:tcPr>
            <w:tcW w:w="7087" w:type="dxa"/>
          </w:tcPr>
          <w:p w14:paraId="5FB78319" w14:textId="77777777" w:rsidR="003A33A6" w:rsidRPr="008A4F40" w:rsidRDefault="003A33A6" w:rsidP="004E7659">
            <w:pPr>
              <w:keepNext/>
              <w:rPr>
                <w:sz w:val="22"/>
                <w:szCs w:val="22"/>
              </w:rPr>
            </w:pPr>
            <w:r w:rsidRPr="008A4F40">
              <w:rPr>
                <w:color w:val="000000"/>
                <w:sz w:val="22"/>
                <w:szCs w:val="22"/>
              </w:rPr>
              <w:t>Arrhythmie, Vorhofflimmern, Herzstillstand, Myokardinfarkt, Angina pectoris, Perikarderguss</w:t>
            </w:r>
          </w:p>
        </w:tc>
      </w:tr>
      <w:tr w:rsidR="006E656A" w:rsidRPr="008A4F40" w14:paraId="70A0A468" w14:textId="77777777" w:rsidTr="00DA7B0B">
        <w:trPr>
          <w:cantSplit/>
        </w:trPr>
        <w:tc>
          <w:tcPr>
            <w:tcW w:w="2235" w:type="dxa"/>
          </w:tcPr>
          <w:p w14:paraId="4AA1F3B8" w14:textId="77777777" w:rsidR="006E656A" w:rsidRPr="008A4F40" w:rsidRDefault="006E656A" w:rsidP="004E7659">
            <w:pPr>
              <w:rPr>
                <w:i/>
                <w:color w:val="000000"/>
                <w:sz w:val="22"/>
                <w:szCs w:val="22"/>
              </w:rPr>
            </w:pPr>
            <w:r w:rsidRPr="008A4F40">
              <w:rPr>
                <w:i/>
                <w:color w:val="000000"/>
                <w:sz w:val="22"/>
                <w:szCs w:val="22"/>
              </w:rPr>
              <w:t>Nicht bekannt:</w:t>
            </w:r>
          </w:p>
        </w:tc>
        <w:tc>
          <w:tcPr>
            <w:tcW w:w="7087" w:type="dxa"/>
          </w:tcPr>
          <w:p w14:paraId="420FBBB3" w14:textId="77777777" w:rsidR="006E656A" w:rsidRPr="008A4F40" w:rsidRDefault="006E656A" w:rsidP="004E7659">
            <w:pPr>
              <w:rPr>
                <w:color w:val="000000"/>
                <w:sz w:val="22"/>
                <w:szCs w:val="22"/>
              </w:rPr>
            </w:pPr>
            <w:r w:rsidRPr="008A4F40">
              <w:rPr>
                <w:color w:val="000000"/>
                <w:sz w:val="22"/>
                <w:szCs w:val="22"/>
              </w:rPr>
              <w:t>Perikarditis*, Herztamponade*</w:t>
            </w:r>
          </w:p>
        </w:tc>
      </w:tr>
      <w:tr w:rsidR="003A33A6" w:rsidRPr="008A4F40" w14:paraId="12FEFBB8" w14:textId="77777777" w:rsidTr="00DA7B0B">
        <w:trPr>
          <w:cantSplit/>
        </w:trPr>
        <w:tc>
          <w:tcPr>
            <w:tcW w:w="9322" w:type="dxa"/>
            <w:gridSpan w:val="2"/>
          </w:tcPr>
          <w:p w14:paraId="5DD01693" w14:textId="77777777" w:rsidR="003A33A6" w:rsidRPr="008A4F40" w:rsidRDefault="003A33A6" w:rsidP="004E7659">
            <w:pPr>
              <w:keepNext/>
              <w:rPr>
                <w:color w:val="000000"/>
                <w:sz w:val="22"/>
                <w:szCs w:val="22"/>
              </w:rPr>
            </w:pPr>
            <w:r w:rsidRPr="008A4F40">
              <w:rPr>
                <w:b/>
                <w:color w:val="000000"/>
                <w:sz w:val="22"/>
                <w:szCs w:val="22"/>
              </w:rPr>
              <w:t>Gefäßerkrankungen</w:t>
            </w:r>
            <w:r w:rsidRPr="008A4F40">
              <w:rPr>
                <w:color w:val="000000"/>
                <w:sz w:val="22"/>
                <w:szCs w:val="22"/>
                <w:vertAlign w:val="superscript"/>
              </w:rPr>
              <w:t xml:space="preserve"> 4</w:t>
            </w:r>
          </w:p>
        </w:tc>
      </w:tr>
      <w:tr w:rsidR="003A33A6" w:rsidRPr="008A4F40" w14:paraId="20F114DD" w14:textId="77777777" w:rsidTr="00DA7B0B">
        <w:trPr>
          <w:cantSplit/>
        </w:trPr>
        <w:tc>
          <w:tcPr>
            <w:tcW w:w="2235" w:type="dxa"/>
          </w:tcPr>
          <w:p w14:paraId="5B0B6E0D" w14:textId="77777777" w:rsidR="003A33A6" w:rsidRPr="008A4F40" w:rsidRDefault="003A33A6" w:rsidP="004E7659">
            <w:pPr>
              <w:keepNext/>
              <w:rPr>
                <w:i/>
                <w:color w:val="000000"/>
                <w:sz w:val="22"/>
                <w:szCs w:val="22"/>
              </w:rPr>
            </w:pPr>
            <w:r w:rsidRPr="008A4F40">
              <w:rPr>
                <w:i/>
                <w:color w:val="000000"/>
                <w:sz w:val="22"/>
                <w:szCs w:val="22"/>
              </w:rPr>
              <w:t>Häufig:</w:t>
            </w:r>
          </w:p>
        </w:tc>
        <w:tc>
          <w:tcPr>
            <w:tcW w:w="7087" w:type="dxa"/>
          </w:tcPr>
          <w:p w14:paraId="6089C901" w14:textId="77777777" w:rsidR="003A33A6" w:rsidRPr="008A4F40" w:rsidRDefault="003A33A6" w:rsidP="004E7659">
            <w:pPr>
              <w:keepNext/>
              <w:rPr>
                <w:color w:val="000000"/>
                <w:sz w:val="22"/>
                <w:szCs w:val="22"/>
              </w:rPr>
            </w:pPr>
            <w:r w:rsidRPr="008A4F40">
              <w:rPr>
                <w:color w:val="000000"/>
                <w:sz w:val="22"/>
                <w:szCs w:val="22"/>
              </w:rPr>
              <w:t>Plötzliche Hautrötung („Flushes“), Hämorrhagie</w:t>
            </w:r>
          </w:p>
        </w:tc>
      </w:tr>
      <w:tr w:rsidR="003A33A6" w:rsidRPr="008A4F40" w:rsidDel="00655175" w14:paraId="321C6FFF" w14:textId="77777777" w:rsidTr="00DA7B0B">
        <w:trPr>
          <w:cantSplit/>
        </w:trPr>
        <w:tc>
          <w:tcPr>
            <w:tcW w:w="2235" w:type="dxa"/>
          </w:tcPr>
          <w:p w14:paraId="5BBA3288" w14:textId="77777777" w:rsidR="003A33A6" w:rsidRPr="008A4F40" w:rsidDel="00655175" w:rsidRDefault="003A33A6" w:rsidP="004E7659">
            <w:pPr>
              <w:keepNext/>
              <w:rPr>
                <w:i/>
                <w:color w:val="000000"/>
                <w:sz w:val="22"/>
                <w:szCs w:val="22"/>
              </w:rPr>
            </w:pPr>
            <w:r w:rsidRPr="008A4F40">
              <w:rPr>
                <w:i/>
                <w:color w:val="000000"/>
                <w:sz w:val="22"/>
                <w:szCs w:val="22"/>
              </w:rPr>
              <w:t>Gelegentlich:</w:t>
            </w:r>
          </w:p>
        </w:tc>
        <w:tc>
          <w:tcPr>
            <w:tcW w:w="7087" w:type="dxa"/>
          </w:tcPr>
          <w:p w14:paraId="113179DB" w14:textId="77777777" w:rsidR="003A33A6" w:rsidRPr="008A4F40" w:rsidDel="00655175" w:rsidRDefault="003A33A6" w:rsidP="004E7659">
            <w:pPr>
              <w:keepNext/>
              <w:rPr>
                <w:color w:val="000000"/>
                <w:sz w:val="22"/>
                <w:szCs w:val="22"/>
              </w:rPr>
            </w:pPr>
            <w:r w:rsidRPr="008A4F40">
              <w:rPr>
                <w:color w:val="000000"/>
                <w:sz w:val="22"/>
                <w:szCs w:val="22"/>
              </w:rPr>
              <w:t>Hypertonie, Hämatom, subdurales Hämatom, periphe</w:t>
            </w:r>
            <w:r w:rsidRPr="008A4F40">
              <w:rPr>
                <w:color w:val="000000"/>
                <w:sz w:val="22"/>
                <w:szCs w:val="22"/>
              </w:rPr>
              <w:softHyphen/>
              <w:t>res Kältegefühl, Hypotonie, Raynaud-Syndrom</w:t>
            </w:r>
          </w:p>
        </w:tc>
      </w:tr>
      <w:tr w:rsidR="00646EB3" w:rsidRPr="008A4F40" w:rsidDel="00655175" w14:paraId="578BAA9B" w14:textId="77777777" w:rsidTr="00DA7B0B">
        <w:trPr>
          <w:cantSplit/>
        </w:trPr>
        <w:tc>
          <w:tcPr>
            <w:tcW w:w="2235" w:type="dxa"/>
          </w:tcPr>
          <w:p w14:paraId="08014E46" w14:textId="77777777" w:rsidR="00646EB3" w:rsidRPr="008A4F40" w:rsidRDefault="00646EB3" w:rsidP="004E7659">
            <w:pPr>
              <w:rPr>
                <w:i/>
                <w:color w:val="000000"/>
                <w:sz w:val="22"/>
                <w:szCs w:val="22"/>
              </w:rPr>
            </w:pPr>
            <w:r w:rsidRPr="008A4F40">
              <w:rPr>
                <w:i/>
                <w:color w:val="000000"/>
                <w:sz w:val="22"/>
                <w:szCs w:val="22"/>
              </w:rPr>
              <w:t>Nicht bekannt:</w:t>
            </w:r>
          </w:p>
        </w:tc>
        <w:tc>
          <w:tcPr>
            <w:tcW w:w="7087" w:type="dxa"/>
          </w:tcPr>
          <w:p w14:paraId="35249598" w14:textId="77777777" w:rsidR="00646EB3" w:rsidRPr="008A4F40" w:rsidRDefault="00646EB3" w:rsidP="004E7659">
            <w:pPr>
              <w:rPr>
                <w:color w:val="000000"/>
                <w:sz w:val="22"/>
                <w:szCs w:val="22"/>
              </w:rPr>
            </w:pPr>
            <w:r w:rsidRPr="008A4F40">
              <w:rPr>
                <w:color w:val="000000"/>
                <w:sz w:val="22"/>
                <w:szCs w:val="22"/>
              </w:rPr>
              <w:t>Thrombose/Embolie*</w:t>
            </w:r>
          </w:p>
        </w:tc>
      </w:tr>
      <w:tr w:rsidR="003A33A6" w:rsidRPr="008A4F40" w14:paraId="00EE85E1" w14:textId="77777777" w:rsidTr="00DA7B0B">
        <w:trPr>
          <w:cantSplit/>
        </w:trPr>
        <w:tc>
          <w:tcPr>
            <w:tcW w:w="9322" w:type="dxa"/>
            <w:gridSpan w:val="2"/>
          </w:tcPr>
          <w:p w14:paraId="241CD39A" w14:textId="77777777" w:rsidR="003A33A6" w:rsidRPr="008A4F40" w:rsidRDefault="003A33A6" w:rsidP="004E7659">
            <w:pPr>
              <w:keepNext/>
              <w:rPr>
                <w:b/>
                <w:color w:val="000000"/>
                <w:sz w:val="22"/>
                <w:szCs w:val="22"/>
              </w:rPr>
            </w:pPr>
            <w:r w:rsidRPr="008A4F40">
              <w:rPr>
                <w:b/>
                <w:noProof/>
                <w:color w:val="000000"/>
                <w:sz w:val="22"/>
                <w:szCs w:val="22"/>
              </w:rPr>
              <w:t>Erkrankungen der Atemwege, des Brustraums und Mediastinums</w:t>
            </w:r>
          </w:p>
        </w:tc>
      </w:tr>
      <w:tr w:rsidR="003A33A6" w:rsidRPr="008A4F40" w14:paraId="3C6BDEA4" w14:textId="77777777" w:rsidTr="00DA7B0B">
        <w:trPr>
          <w:cantSplit/>
        </w:trPr>
        <w:tc>
          <w:tcPr>
            <w:tcW w:w="2235" w:type="dxa"/>
          </w:tcPr>
          <w:p w14:paraId="5992AE6D" w14:textId="77777777" w:rsidR="003A33A6" w:rsidRPr="008A4F40" w:rsidRDefault="003A33A6" w:rsidP="004E7659">
            <w:pPr>
              <w:keepNext/>
              <w:rPr>
                <w:sz w:val="22"/>
                <w:szCs w:val="22"/>
              </w:rPr>
            </w:pPr>
            <w:r w:rsidRPr="008A4F40">
              <w:rPr>
                <w:i/>
                <w:color w:val="000000"/>
                <w:sz w:val="22"/>
                <w:szCs w:val="22"/>
              </w:rPr>
              <w:t>Häufig:</w:t>
            </w:r>
          </w:p>
        </w:tc>
        <w:tc>
          <w:tcPr>
            <w:tcW w:w="7087" w:type="dxa"/>
          </w:tcPr>
          <w:p w14:paraId="6B3A7372" w14:textId="77777777" w:rsidR="003A33A6" w:rsidRPr="008A4F40" w:rsidRDefault="003A33A6" w:rsidP="004E7659">
            <w:pPr>
              <w:keepNext/>
              <w:rPr>
                <w:sz w:val="22"/>
                <w:szCs w:val="22"/>
              </w:rPr>
            </w:pPr>
            <w:proofErr w:type="spellStart"/>
            <w:r w:rsidRPr="008A4F40">
              <w:rPr>
                <w:color w:val="000000"/>
                <w:sz w:val="22"/>
                <w:szCs w:val="22"/>
                <w:lang w:val="fr-FR"/>
              </w:rPr>
              <w:t>Dyspnoe</w:t>
            </w:r>
            <w:proofErr w:type="spellEnd"/>
            <w:r w:rsidRPr="008A4F40">
              <w:rPr>
                <w:color w:val="000000"/>
                <w:sz w:val="22"/>
                <w:szCs w:val="22"/>
                <w:lang w:val="fr-FR"/>
              </w:rPr>
              <w:t xml:space="preserve">, Epistaxis, </w:t>
            </w:r>
            <w:proofErr w:type="spellStart"/>
            <w:r w:rsidRPr="008A4F40">
              <w:rPr>
                <w:color w:val="000000"/>
                <w:sz w:val="22"/>
                <w:szCs w:val="22"/>
                <w:lang w:val="fr-FR"/>
              </w:rPr>
              <w:t>Husten</w:t>
            </w:r>
            <w:proofErr w:type="spellEnd"/>
          </w:p>
        </w:tc>
      </w:tr>
      <w:tr w:rsidR="003A33A6" w:rsidRPr="008A4F40" w14:paraId="3C7743F1" w14:textId="77777777" w:rsidTr="00DA7B0B">
        <w:trPr>
          <w:cantSplit/>
        </w:trPr>
        <w:tc>
          <w:tcPr>
            <w:tcW w:w="2235" w:type="dxa"/>
          </w:tcPr>
          <w:p w14:paraId="114907BB"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39BA55B8" w14:textId="77777777" w:rsidR="003A33A6" w:rsidRPr="008A4F40" w:rsidRDefault="003A33A6" w:rsidP="004E7659">
            <w:pPr>
              <w:keepNext/>
              <w:rPr>
                <w:sz w:val="22"/>
                <w:szCs w:val="22"/>
              </w:rPr>
            </w:pPr>
            <w:r w:rsidRPr="008A4F40">
              <w:rPr>
                <w:color w:val="000000"/>
                <w:sz w:val="22"/>
                <w:szCs w:val="22"/>
              </w:rPr>
              <w:t>Pleuraerguss</w:t>
            </w:r>
            <w:r w:rsidRPr="008A4F40">
              <w:rPr>
                <w:color w:val="000000"/>
                <w:sz w:val="22"/>
                <w:szCs w:val="22"/>
                <w:vertAlign w:val="superscript"/>
              </w:rPr>
              <w:t>5</w:t>
            </w:r>
            <w:r w:rsidRPr="008A4F40">
              <w:rPr>
                <w:color w:val="000000"/>
                <w:sz w:val="22"/>
                <w:szCs w:val="22"/>
              </w:rPr>
              <w:t>, Rachen- und Kehlkopfschmerzen, Pharyngitis</w:t>
            </w:r>
          </w:p>
        </w:tc>
      </w:tr>
      <w:tr w:rsidR="003A33A6" w:rsidRPr="008A4F40" w14:paraId="47AEBDA9" w14:textId="77777777" w:rsidTr="00DA7B0B">
        <w:trPr>
          <w:cantSplit/>
        </w:trPr>
        <w:tc>
          <w:tcPr>
            <w:tcW w:w="2235" w:type="dxa"/>
          </w:tcPr>
          <w:p w14:paraId="4676550F" w14:textId="77777777" w:rsidR="003A33A6" w:rsidRPr="008A4F40" w:rsidRDefault="003A33A6" w:rsidP="004E7659">
            <w:pPr>
              <w:keepNext/>
              <w:rPr>
                <w:sz w:val="22"/>
                <w:szCs w:val="22"/>
              </w:rPr>
            </w:pPr>
            <w:r w:rsidRPr="008A4F40">
              <w:rPr>
                <w:i/>
                <w:color w:val="000000"/>
                <w:sz w:val="22"/>
                <w:szCs w:val="22"/>
              </w:rPr>
              <w:t>Selten:</w:t>
            </w:r>
          </w:p>
        </w:tc>
        <w:tc>
          <w:tcPr>
            <w:tcW w:w="7087" w:type="dxa"/>
          </w:tcPr>
          <w:p w14:paraId="44A9F87D" w14:textId="77777777" w:rsidR="003A33A6" w:rsidRPr="008A4F40" w:rsidRDefault="003A33A6" w:rsidP="004E7659">
            <w:pPr>
              <w:keepNext/>
              <w:rPr>
                <w:sz w:val="22"/>
                <w:szCs w:val="22"/>
              </w:rPr>
            </w:pPr>
            <w:r w:rsidRPr="008A4F40">
              <w:rPr>
                <w:color w:val="000000"/>
                <w:sz w:val="22"/>
                <w:szCs w:val="22"/>
              </w:rPr>
              <w:t>Rippenfellschmerzen, Lungenfibrose, pulmonale Hypertonie, Lungenblutung</w:t>
            </w:r>
          </w:p>
        </w:tc>
      </w:tr>
      <w:tr w:rsidR="00646EB3" w:rsidRPr="008A4F40" w14:paraId="51F93A41" w14:textId="77777777" w:rsidTr="00DA7B0B">
        <w:trPr>
          <w:cantSplit/>
        </w:trPr>
        <w:tc>
          <w:tcPr>
            <w:tcW w:w="2235" w:type="dxa"/>
          </w:tcPr>
          <w:p w14:paraId="15AEC59A" w14:textId="77777777" w:rsidR="00646EB3" w:rsidRPr="008A4F40" w:rsidRDefault="00646EB3" w:rsidP="004E7659">
            <w:pPr>
              <w:rPr>
                <w:i/>
                <w:color w:val="000000"/>
                <w:sz w:val="22"/>
                <w:szCs w:val="22"/>
              </w:rPr>
            </w:pPr>
            <w:r w:rsidRPr="008A4F40">
              <w:rPr>
                <w:i/>
                <w:color w:val="000000"/>
                <w:sz w:val="22"/>
                <w:szCs w:val="22"/>
              </w:rPr>
              <w:t>Nicht bekannt:</w:t>
            </w:r>
          </w:p>
        </w:tc>
        <w:tc>
          <w:tcPr>
            <w:tcW w:w="7087" w:type="dxa"/>
          </w:tcPr>
          <w:p w14:paraId="6CDF6A2D" w14:textId="77777777" w:rsidR="00646EB3" w:rsidRPr="008A4F40" w:rsidRDefault="00646EB3" w:rsidP="004E7659">
            <w:pPr>
              <w:rPr>
                <w:color w:val="000000"/>
                <w:sz w:val="22"/>
                <w:szCs w:val="22"/>
              </w:rPr>
            </w:pPr>
            <w:r w:rsidRPr="008A4F40">
              <w:rPr>
                <w:color w:val="000000"/>
                <w:sz w:val="22"/>
                <w:szCs w:val="22"/>
              </w:rPr>
              <w:t>Akute respiratorische Insuffizienz</w:t>
            </w:r>
            <w:r w:rsidR="004E0971" w:rsidRPr="008A4F40">
              <w:rPr>
                <w:color w:val="000000"/>
                <w:sz w:val="22"/>
                <w:szCs w:val="22"/>
                <w:vertAlign w:val="superscript"/>
              </w:rPr>
              <w:t>11</w:t>
            </w:r>
            <w:r w:rsidRPr="008A4F40">
              <w:rPr>
                <w:color w:val="000000"/>
                <w:sz w:val="22"/>
                <w:szCs w:val="22"/>
              </w:rPr>
              <w:t>*, interstitielle Lungenerkrankung*</w:t>
            </w:r>
          </w:p>
        </w:tc>
      </w:tr>
      <w:tr w:rsidR="003A33A6" w:rsidRPr="008A4F40" w14:paraId="724B75A2" w14:textId="77777777" w:rsidTr="00DA7B0B">
        <w:trPr>
          <w:cantSplit/>
        </w:trPr>
        <w:tc>
          <w:tcPr>
            <w:tcW w:w="9322" w:type="dxa"/>
            <w:gridSpan w:val="2"/>
          </w:tcPr>
          <w:p w14:paraId="613CBDD5" w14:textId="77777777" w:rsidR="003A33A6" w:rsidRPr="008A4F40" w:rsidRDefault="003A33A6" w:rsidP="004E7659">
            <w:pPr>
              <w:keepNext/>
              <w:rPr>
                <w:b/>
                <w:sz w:val="22"/>
                <w:szCs w:val="22"/>
                <w:lang w:val="fr-FR"/>
              </w:rPr>
            </w:pPr>
            <w:r w:rsidRPr="008A4F40">
              <w:rPr>
                <w:b/>
                <w:noProof/>
                <w:color w:val="000000"/>
                <w:sz w:val="22"/>
                <w:szCs w:val="22"/>
              </w:rPr>
              <w:t>Erkrankungen des Gastrointestinaltrakts</w:t>
            </w:r>
          </w:p>
        </w:tc>
      </w:tr>
      <w:tr w:rsidR="003A33A6" w:rsidRPr="008A4F40" w14:paraId="3E7006A4" w14:textId="77777777" w:rsidTr="00DA7B0B">
        <w:trPr>
          <w:cantSplit/>
        </w:trPr>
        <w:tc>
          <w:tcPr>
            <w:tcW w:w="2235" w:type="dxa"/>
          </w:tcPr>
          <w:p w14:paraId="53ECBF36" w14:textId="77777777" w:rsidR="003A33A6" w:rsidRPr="008A4F40" w:rsidRDefault="003A33A6" w:rsidP="004E7659">
            <w:pPr>
              <w:keepNext/>
              <w:rPr>
                <w:sz w:val="22"/>
                <w:szCs w:val="22"/>
              </w:rPr>
            </w:pPr>
            <w:r w:rsidRPr="008A4F40">
              <w:rPr>
                <w:i/>
                <w:color w:val="000000"/>
                <w:sz w:val="22"/>
                <w:szCs w:val="22"/>
              </w:rPr>
              <w:t>Sehr häufig:</w:t>
            </w:r>
          </w:p>
        </w:tc>
        <w:tc>
          <w:tcPr>
            <w:tcW w:w="7087" w:type="dxa"/>
          </w:tcPr>
          <w:p w14:paraId="3C706218" w14:textId="77777777" w:rsidR="003A33A6" w:rsidRPr="008A4F40" w:rsidRDefault="003A33A6" w:rsidP="004E7659">
            <w:pPr>
              <w:keepNext/>
              <w:rPr>
                <w:sz w:val="22"/>
                <w:szCs w:val="22"/>
              </w:rPr>
            </w:pPr>
            <w:r w:rsidRPr="008A4F40">
              <w:rPr>
                <w:color w:val="000000"/>
                <w:sz w:val="22"/>
                <w:szCs w:val="22"/>
              </w:rPr>
              <w:t>Übelkeit, Durchfall, Erbrechen, Dyspepsie, Abdominalschmerzen</w:t>
            </w:r>
            <w:r w:rsidRPr="008A4F40">
              <w:rPr>
                <w:color w:val="000000"/>
                <w:sz w:val="22"/>
                <w:szCs w:val="22"/>
                <w:vertAlign w:val="superscript"/>
              </w:rPr>
              <w:t>6</w:t>
            </w:r>
          </w:p>
        </w:tc>
      </w:tr>
      <w:tr w:rsidR="003A33A6" w:rsidRPr="008A4F40" w14:paraId="217D7260" w14:textId="77777777" w:rsidTr="00DA7B0B">
        <w:trPr>
          <w:cantSplit/>
        </w:trPr>
        <w:tc>
          <w:tcPr>
            <w:tcW w:w="2235" w:type="dxa"/>
          </w:tcPr>
          <w:p w14:paraId="6ABB85D6" w14:textId="77777777" w:rsidR="003A33A6" w:rsidRPr="008A4F40" w:rsidRDefault="003A33A6" w:rsidP="004E7659">
            <w:pPr>
              <w:keepNext/>
              <w:rPr>
                <w:sz w:val="22"/>
                <w:szCs w:val="22"/>
              </w:rPr>
            </w:pPr>
            <w:r w:rsidRPr="008A4F40">
              <w:rPr>
                <w:i/>
                <w:color w:val="000000"/>
                <w:sz w:val="22"/>
                <w:szCs w:val="22"/>
              </w:rPr>
              <w:t>Häufig:</w:t>
            </w:r>
          </w:p>
        </w:tc>
        <w:tc>
          <w:tcPr>
            <w:tcW w:w="7087" w:type="dxa"/>
          </w:tcPr>
          <w:p w14:paraId="370A4ECA" w14:textId="77777777" w:rsidR="003A33A6" w:rsidRPr="008A4F40" w:rsidRDefault="003A33A6" w:rsidP="004E7659">
            <w:pPr>
              <w:keepNext/>
              <w:rPr>
                <w:sz w:val="22"/>
                <w:szCs w:val="22"/>
              </w:rPr>
            </w:pPr>
            <w:r w:rsidRPr="008A4F40">
              <w:rPr>
                <w:color w:val="000000"/>
                <w:sz w:val="22"/>
                <w:szCs w:val="22"/>
              </w:rPr>
              <w:t>Flatulenz, geblähter Bauch, Magen- und Speiseröhrenreflux, Verstopfung, Mundtrockenheit, Gastritis</w:t>
            </w:r>
          </w:p>
        </w:tc>
      </w:tr>
      <w:tr w:rsidR="003A33A6" w:rsidRPr="008A4F40" w14:paraId="4DDC2602" w14:textId="77777777" w:rsidTr="00DA7B0B">
        <w:trPr>
          <w:cantSplit/>
        </w:trPr>
        <w:tc>
          <w:tcPr>
            <w:tcW w:w="2235" w:type="dxa"/>
          </w:tcPr>
          <w:p w14:paraId="6499A24B"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74F3F3C8" w14:textId="77777777" w:rsidR="003A33A6" w:rsidRPr="008A4F40" w:rsidRDefault="003A33A6" w:rsidP="004E7659">
            <w:pPr>
              <w:keepNext/>
              <w:rPr>
                <w:sz w:val="22"/>
                <w:szCs w:val="22"/>
              </w:rPr>
            </w:pPr>
            <w:r w:rsidRPr="008A4F40">
              <w:rPr>
                <w:color w:val="000000"/>
                <w:sz w:val="22"/>
                <w:szCs w:val="22"/>
              </w:rPr>
              <w:t>Stomatitis, Mundulzera, Blutungen im Gastrointestinaltrakt</w:t>
            </w:r>
            <w:r w:rsidRPr="008A4F40">
              <w:rPr>
                <w:color w:val="000000"/>
                <w:sz w:val="22"/>
                <w:szCs w:val="22"/>
                <w:vertAlign w:val="superscript"/>
              </w:rPr>
              <w:t xml:space="preserve"> 7</w:t>
            </w:r>
            <w:r w:rsidRPr="008A4F40">
              <w:rPr>
                <w:color w:val="000000"/>
                <w:sz w:val="22"/>
                <w:szCs w:val="22"/>
              </w:rPr>
              <w:t xml:space="preserve">, </w:t>
            </w:r>
            <w:del w:id="153" w:author="Author">
              <w:r w:rsidRPr="008A4F40" w:rsidDel="004E7659">
                <w:rPr>
                  <w:color w:val="000000"/>
                  <w:sz w:val="22"/>
                  <w:szCs w:val="22"/>
                </w:rPr>
                <w:softHyphen/>
              </w:r>
              <w:r w:rsidRPr="008A4F40" w:rsidDel="004E7659">
                <w:rPr>
                  <w:color w:val="000000"/>
                  <w:sz w:val="22"/>
                  <w:szCs w:val="22"/>
                </w:rPr>
                <w:softHyphen/>
              </w:r>
            </w:del>
            <w:r w:rsidRPr="008A4F40">
              <w:rPr>
                <w:color w:val="000000"/>
                <w:sz w:val="22"/>
                <w:szCs w:val="22"/>
              </w:rPr>
              <w:t>Aufstoßen, Meläna, Ösophagitis, Aszites, Magengeschwür, Hämatemesis, Lippenentzündung, Dysphagie, Pankreatitis</w:t>
            </w:r>
          </w:p>
        </w:tc>
      </w:tr>
      <w:tr w:rsidR="003A33A6" w:rsidRPr="008A4F40" w14:paraId="4A6718B9" w14:textId="77777777" w:rsidTr="00DA7B0B">
        <w:trPr>
          <w:cantSplit/>
        </w:trPr>
        <w:tc>
          <w:tcPr>
            <w:tcW w:w="2235" w:type="dxa"/>
          </w:tcPr>
          <w:p w14:paraId="11AAF95D" w14:textId="77777777" w:rsidR="003A33A6" w:rsidRPr="008A4F40" w:rsidRDefault="003A33A6" w:rsidP="004E7659">
            <w:pPr>
              <w:keepNext/>
              <w:rPr>
                <w:sz w:val="22"/>
                <w:szCs w:val="22"/>
              </w:rPr>
            </w:pPr>
            <w:r w:rsidRPr="008A4F40">
              <w:rPr>
                <w:i/>
                <w:color w:val="000000"/>
                <w:sz w:val="22"/>
                <w:szCs w:val="22"/>
              </w:rPr>
              <w:t>Selten:</w:t>
            </w:r>
          </w:p>
        </w:tc>
        <w:tc>
          <w:tcPr>
            <w:tcW w:w="7087" w:type="dxa"/>
          </w:tcPr>
          <w:p w14:paraId="672D2812" w14:textId="77777777" w:rsidR="003A33A6" w:rsidRPr="008A4F40" w:rsidRDefault="003A33A6" w:rsidP="004E7659">
            <w:pPr>
              <w:keepNext/>
              <w:rPr>
                <w:snapToGrid w:val="0"/>
                <w:color w:val="000000"/>
                <w:sz w:val="22"/>
                <w:szCs w:val="22"/>
                <w:lang w:val="en-US"/>
              </w:rPr>
            </w:pPr>
            <w:proofErr w:type="spellStart"/>
            <w:r w:rsidRPr="008A4F40">
              <w:rPr>
                <w:color w:val="000000"/>
                <w:sz w:val="22"/>
                <w:szCs w:val="22"/>
                <w:lang w:val="en-US"/>
              </w:rPr>
              <w:t>Kolitis</w:t>
            </w:r>
            <w:proofErr w:type="spellEnd"/>
            <w:r w:rsidRPr="008A4F40">
              <w:rPr>
                <w:color w:val="000000"/>
                <w:sz w:val="22"/>
                <w:szCs w:val="22"/>
                <w:lang w:val="en-US"/>
              </w:rPr>
              <w:t>, I</w:t>
            </w:r>
            <w:r w:rsidRPr="008A4F40">
              <w:rPr>
                <w:snapToGrid w:val="0"/>
                <w:color w:val="000000"/>
                <w:sz w:val="22"/>
                <w:szCs w:val="22"/>
                <w:lang w:val="en-US"/>
              </w:rPr>
              <w:t xml:space="preserve">leus, </w:t>
            </w:r>
            <w:proofErr w:type="spellStart"/>
            <w:r w:rsidRPr="008A4F40">
              <w:rPr>
                <w:snapToGrid w:val="0"/>
                <w:color w:val="000000"/>
                <w:sz w:val="22"/>
                <w:szCs w:val="22"/>
                <w:lang w:val="en-US"/>
              </w:rPr>
              <w:t>Darmentzündung</w:t>
            </w:r>
            <w:proofErr w:type="spellEnd"/>
          </w:p>
        </w:tc>
      </w:tr>
      <w:tr w:rsidR="00646EB3" w:rsidRPr="008A4F40" w14:paraId="69599554" w14:textId="77777777" w:rsidTr="00DA7B0B">
        <w:trPr>
          <w:cantSplit/>
        </w:trPr>
        <w:tc>
          <w:tcPr>
            <w:tcW w:w="2235" w:type="dxa"/>
          </w:tcPr>
          <w:p w14:paraId="702C5768" w14:textId="77777777" w:rsidR="00646EB3" w:rsidRPr="008A4F40" w:rsidRDefault="00646EB3" w:rsidP="004E7659">
            <w:pPr>
              <w:rPr>
                <w:i/>
                <w:color w:val="000000"/>
                <w:sz w:val="22"/>
                <w:szCs w:val="22"/>
              </w:rPr>
            </w:pPr>
            <w:r w:rsidRPr="008A4F40">
              <w:rPr>
                <w:i/>
                <w:color w:val="000000"/>
                <w:sz w:val="22"/>
                <w:szCs w:val="22"/>
              </w:rPr>
              <w:t>Nicht bekannt:</w:t>
            </w:r>
          </w:p>
        </w:tc>
        <w:tc>
          <w:tcPr>
            <w:tcW w:w="7087" w:type="dxa"/>
          </w:tcPr>
          <w:p w14:paraId="702227B1" w14:textId="77777777" w:rsidR="00646EB3" w:rsidRPr="008A4F40" w:rsidRDefault="00646EB3" w:rsidP="004E7659">
            <w:pPr>
              <w:rPr>
                <w:color w:val="000000"/>
                <w:sz w:val="22"/>
                <w:szCs w:val="22"/>
              </w:rPr>
            </w:pPr>
            <w:r w:rsidRPr="008A4F40">
              <w:rPr>
                <w:color w:val="000000"/>
                <w:sz w:val="22"/>
                <w:szCs w:val="22"/>
              </w:rPr>
              <w:t>Ileus/Darmobstruktion*, gastrointestinale Perforation*, Divertikulitis*, gastral-antrale vaskuläre Ektasie (GAVE)*</w:t>
            </w:r>
          </w:p>
        </w:tc>
      </w:tr>
      <w:tr w:rsidR="003A33A6" w:rsidRPr="008A4F40" w14:paraId="42238124" w14:textId="77777777" w:rsidTr="00DA7B0B">
        <w:trPr>
          <w:cantSplit/>
        </w:trPr>
        <w:tc>
          <w:tcPr>
            <w:tcW w:w="9322" w:type="dxa"/>
            <w:gridSpan w:val="2"/>
          </w:tcPr>
          <w:p w14:paraId="2CC2A43D" w14:textId="77777777" w:rsidR="003A33A6" w:rsidRPr="008A4F40" w:rsidRDefault="003A33A6" w:rsidP="004E7659">
            <w:pPr>
              <w:keepNext/>
              <w:rPr>
                <w:b/>
                <w:snapToGrid w:val="0"/>
                <w:color w:val="000000"/>
                <w:sz w:val="22"/>
                <w:szCs w:val="22"/>
                <w:lang w:val="fr-FR"/>
              </w:rPr>
            </w:pPr>
            <w:r w:rsidRPr="008A4F40">
              <w:rPr>
                <w:b/>
                <w:noProof/>
                <w:color w:val="000000"/>
                <w:sz w:val="22"/>
                <w:szCs w:val="22"/>
              </w:rPr>
              <w:t>Leber- und Gallenerkrankungen</w:t>
            </w:r>
          </w:p>
        </w:tc>
      </w:tr>
      <w:tr w:rsidR="003A33A6" w:rsidRPr="008A4F40" w14:paraId="5ADC97FA" w14:textId="77777777" w:rsidTr="00DA7B0B">
        <w:trPr>
          <w:cantSplit/>
        </w:trPr>
        <w:tc>
          <w:tcPr>
            <w:tcW w:w="2235" w:type="dxa"/>
          </w:tcPr>
          <w:p w14:paraId="671E18C5" w14:textId="77777777" w:rsidR="003A33A6" w:rsidRPr="008A4F40" w:rsidRDefault="003A33A6" w:rsidP="004E7659">
            <w:pPr>
              <w:keepNext/>
              <w:rPr>
                <w:i/>
                <w:color w:val="000000"/>
                <w:sz w:val="22"/>
                <w:szCs w:val="22"/>
              </w:rPr>
            </w:pPr>
            <w:r w:rsidRPr="008A4F40">
              <w:rPr>
                <w:i/>
                <w:color w:val="000000"/>
                <w:sz w:val="22"/>
                <w:szCs w:val="22"/>
              </w:rPr>
              <w:t>Häufig:</w:t>
            </w:r>
          </w:p>
        </w:tc>
        <w:tc>
          <w:tcPr>
            <w:tcW w:w="7087" w:type="dxa"/>
          </w:tcPr>
          <w:p w14:paraId="08A91D7A" w14:textId="77777777" w:rsidR="003A33A6" w:rsidRPr="008A4F40" w:rsidRDefault="003A33A6" w:rsidP="004E7659">
            <w:pPr>
              <w:keepNext/>
              <w:rPr>
                <w:color w:val="000000"/>
                <w:sz w:val="22"/>
                <w:szCs w:val="22"/>
              </w:rPr>
            </w:pPr>
            <w:r w:rsidRPr="008A4F40">
              <w:rPr>
                <w:color w:val="000000"/>
                <w:sz w:val="22"/>
                <w:szCs w:val="22"/>
              </w:rPr>
              <w:t>Erhöhte Leberenzyme</w:t>
            </w:r>
          </w:p>
        </w:tc>
      </w:tr>
      <w:tr w:rsidR="003A33A6" w:rsidRPr="008A4F40" w14:paraId="34AF677E" w14:textId="77777777" w:rsidTr="00DA7B0B">
        <w:trPr>
          <w:cantSplit/>
        </w:trPr>
        <w:tc>
          <w:tcPr>
            <w:tcW w:w="2235" w:type="dxa"/>
          </w:tcPr>
          <w:p w14:paraId="5BBF36AC" w14:textId="77777777" w:rsidR="003A33A6" w:rsidRPr="008A4F40" w:rsidRDefault="003A33A6" w:rsidP="004E7659">
            <w:pPr>
              <w:keepNext/>
              <w:rPr>
                <w:i/>
                <w:color w:val="000000"/>
                <w:sz w:val="22"/>
                <w:szCs w:val="22"/>
              </w:rPr>
            </w:pPr>
            <w:r w:rsidRPr="008A4F40">
              <w:rPr>
                <w:i/>
                <w:color w:val="000000"/>
                <w:sz w:val="22"/>
                <w:szCs w:val="22"/>
              </w:rPr>
              <w:t>Gelegentlich:</w:t>
            </w:r>
          </w:p>
        </w:tc>
        <w:tc>
          <w:tcPr>
            <w:tcW w:w="7087" w:type="dxa"/>
          </w:tcPr>
          <w:p w14:paraId="51A1510E" w14:textId="77777777" w:rsidR="003A33A6" w:rsidRPr="008A4F40" w:rsidRDefault="003A33A6" w:rsidP="004E7659">
            <w:pPr>
              <w:keepNext/>
              <w:rPr>
                <w:color w:val="000000"/>
                <w:sz w:val="22"/>
                <w:szCs w:val="22"/>
              </w:rPr>
            </w:pPr>
            <w:r w:rsidRPr="008A4F40">
              <w:rPr>
                <w:color w:val="000000"/>
                <w:sz w:val="22"/>
                <w:szCs w:val="22"/>
              </w:rPr>
              <w:t>Hyperbilirubinämie, Hepatitis, Gelbsucht</w:t>
            </w:r>
          </w:p>
        </w:tc>
      </w:tr>
      <w:tr w:rsidR="003A33A6" w:rsidRPr="008A4F40" w14:paraId="59FDE7B5" w14:textId="77777777" w:rsidTr="00DA7B0B">
        <w:trPr>
          <w:cantSplit/>
        </w:trPr>
        <w:tc>
          <w:tcPr>
            <w:tcW w:w="2235" w:type="dxa"/>
          </w:tcPr>
          <w:p w14:paraId="48222BB5" w14:textId="77777777" w:rsidR="003A33A6" w:rsidRPr="008A4F40" w:rsidRDefault="003A33A6" w:rsidP="004E7659">
            <w:pPr>
              <w:rPr>
                <w:i/>
                <w:color w:val="000000"/>
                <w:sz w:val="22"/>
                <w:szCs w:val="22"/>
              </w:rPr>
            </w:pPr>
            <w:r w:rsidRPr="008A4F40">
              <w:rPr>
                <w:i/>
                <w:color w:val="000000"/>
                <w:sz w:val="22"/>
                <w:szCs w:val="22"/>
              </w:rPr>
              <w:t>Selten:</w:t>
            </w:r>
          </w:p>
        </w:tc>
        <w:tc>
          <w:tcPr>
            <w:tcW w:w="7087" w:type="dxa"/>
          </w:tcPr>
          <w:p w14:paraId="61F39DE9" w14:textId="77777777" w:rsidR="003A33A6" w:rsidRPr="008A4F40" w:rsidRDefault="003A33A6" w:rsidP="004E7659">
            <w:pPr>
              <w:rPr>
                <w:color w:val="000000"/>
                <w:sz w:val="22"/>
                <w:szCs w:val="22"/>
              </w:rPr>
            </w:pPr>
            <w:r w:rsidRPr="008A4F40">
              <w:rPr>
                <w:color w:val="000000"/>
                <w:sz w:val="22"/>
                <w:szCs w:val="22"/>
              </w:rPr>
              <w:t>Leberversagen</w:t>
            </w:r>
            <w:r w:rsidRPr="008A4F40">
              <w:rPr>
                <w:color w:val="000000"/>
                <w:sz w:val="22"/>
                <w:szCs w:val="22"/>
                <w:vertAlign w:val="superscript"/>
              </w:rPr>
              <w:t>8</w:t>
            </w:r>
            <w:r w:rsidRPr="008A4F40">
              <w:rPr>
                <w:color w:val="000000"/>
                <w:sz w:val="22"/>
                <w:szCs w:val="22"/>
              </w:rPr>
              <w:t>, Lebernekrose</w:t>
            </w:r>
          </w:p>
        </w:tc>
      </w:tr>
      <w:tr w:rsidR="003A33A6" w:rsidRPr="008A4F40" w14:paraId="5E9834F7" w14:textId="77777777" w:rsidTr="00DA7B0B">
        <w:trPr>
          <w:cantSplit/>
        </w:trPr>
        <w:tc>
          <w:tcPr>
            <w:tcW w:w="9322" w:type="dxa"/>
            <w:gridSpan w:val="2"/>
          </w:tcPr>
          <w:p w14:paraId="7CAEF274" w14:textId="37A98B62" w:rsidR="003A33A6" w:rsidRPr="008A4F40" w:rsidRDefault="003A33A6" w:rsidP="004E7659">
            <w:pPr>
              <w:keepNext/>
              <w:rPr>
                <w:b/>
                <w:sz w:val="22"/>
                <w:szCs w:val="22"/>
              </w:rPr>
            </w:pPr>
            <w:r w:rsidRPr="008A4F40">
              <w:rPr>
                <w:b/>
                <w:color w:val="000000"/>
                <w:sz w:val="22"/>
                <w:szCs w:val="22"/>
              </w:rPr>
              <w:t>Erkrankungen der Haut und des Unterhautgewebes</w:t>
            </w:r>
          </w:p>
        </w:tc>
      </w:tr>
      <w:tr w:rsidR="003A33A6" w:rsidRPr="008A4F40" w14:paraId="209823F3" w14:textId="77777777" w:rsidTr="00DA7B0B">
        <w:trPr>
          <w:cantSplit/>
        </w:trPr>
        <w:tc>
          <w:tcPr>
            <w:tcW w:w="2235" w:type="dxa"/>
          </w:tcPr>
          <w:p w14:paraId="1034C612" w14:textId="77777777" w:rsidR="003A33A6" w:rsidRPr="008A4F40" w:rsidRDefault="003A33A6" w:rsidP="004E7659">
            <w:pPr>
              <w:keepNext/>
              <w:rPr>
                <w:sz w:val="22"/>
                <w:szCs w:val="22"/>
              </w:rPr>
            </w:pPr>
            <w:r w:rsidRPr="008A4F40">
              <w:rPr>
                <w:i/>
                <w:color w:val="000000"/>
                <w:sz w:val="22"/>
                <w:szCs w:val="22"/>
              </w:rPr>
              <w:t>Sehr häufig:</w:t>
            </w:r>
          </w:p>
        </w:tc>
        <w:tc>
          <w:tcPr>
            <w:tcW w:w="7087" w:type="dxa"/>
          </w:tcPr>
          <w:p w14:paraId="539F47F3" w14:textId="77777777" w:rsidR="003A33A6" w:rsidRPr="008A4F40" w:rsidRDefault="003A33A6" w:rsidP="004E7659">
            <w:pPr>
              <w:keepNext/>
              <w:rPr>
                <w:sz w:val="22"/>
                <w:szCs w:val="22"/>
              </w:rPr>
            </w:pPr>
            <w:r w:rsidRPr="008A4F40">
              <w:rPr>
                <w:color w:val="000000"/>
                <w:sz w:val="22"/>
                <w:szCs w:val="22"/>
              </w:rPr>
              <w:t>Periorbitale Ödeme, Dermatitis/Ekzem/Hautausschlag</w:t>
            </w:r>
          </w:p>
        </w:tc>
      </w:tr>
      <w:tr w:rsidR="003A33A6" w:rsidRPr="008A4F40" w14:paraId="378E0F8E" w14:textId="77777777" w:rsidTr="00DA7B0B">
        <w:trPr>
          <w:cantSplit/>
        </w:trPr>
        <w:tc>
          <w:tcPr>
            <w:tcW w:w="2235" w:type="dxa"/>
          </w:tcPr>
          <w:p w14:paraId="07A7DF9F" w14:textId="77777777" w:rsidR="003A33A6" w:rsidRPr="008A4F40" w:rsidRDefault="003A33A6" w:rsidP="004E7659">
            <w:pPr>
              <w:keepNext/>
              <w:rPr>
                <w:sz w:val="22"/>
                <w:szCs w:val="22"/>
              </w:rPr>
            </w:pPr>
            <w:r w:rsidRPr="008A4F40">
              <w:rPr>
                <w:i/>
                <w:color w:val="000000"/>
                <w:sz w:val="22"/>
                <w:szCs w:val="22"/>
              </w:rPr>
              <w:t>Häufig:</w:t>
            </w:r>
          </w:p>
        </w:tc>
        <w:tc>
          <w:tcPr>
            <w:tcW w:w="7087" w:type="dxa"/>
          </w:tcPr>
          <w:p w14:paraId="4E3A8F08" w14:textId="77777777" w:rsidR="003A33A6" w:rsidRPr="008A4F40" w:rsidRDefault="003A33A6" w:rsidP="004E7659">
            <w:pPr>
              <w:keepNext/>
              <w:rPr>
                <w:sz w:val="22"/>
                <w:szCs w:val="22"/>
              </w:rPr>
            </w:pPr>
            <w:r w:rsidRPr="008A4F40">
              <w:rPr>
                <w:color w:val="000000"/>
                <w:sz w:val="22"/>
                <w:szCs w:val="22"/>
              </w:rPr>
              <w:t>Pruritus, Gesichtsödem, trockene Haut, Erythem, Alopezie, nächtliches Schwitzen, Lichtempfindlichkeitsreaktionen</w:t>
            </w:r>
          </w:p>
        </w:tc>
      </w:tr>
      <w:tr w:rsidR="003A33A6" w:rsidRPr="008A4F40" w14:paraId="52138D1D" w14:textId="77777777" w:rsidTr="00DA7B0B">
        <w:trPr>
          <w:cantSplit/>
        </w:trPr>
        <w:tc>
          <w:tcPr>
            <w:tcW w:w="2235" w:type="dxa"/>
          </w:tcPr>
          <w:p w14:paraId="5FF798C5"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38ACA3C5" w14:textId="1D75F192" w:rsidR="003A33A6" w:rsidRPr="008A4F40" w:rsidRDefault="003A33A6" w:rsidP="004E7659">
            <w:pPr>
              <w:keepNext/>
              <w:rPr>
                <w:color w:val="000000"/>
                <w:sz w:val="22"/>
                <w:szCs w:val="22"/>
              </w:rPr>
            </w:pPr>
            <w:r w:rsidRPr="008A4F40">
              <w:rPr>
                <w:color w:val="000000"/>
                <w:sz w:val="22"/>
                <w:szCs w:val="22"/>
              </w:rPr>
              <w:t>Pustulöser Hautausschlag, Kontusion, vermehrtes Schwitzen, Urtikaria, Hautblutungen, verstärkte Tendenz zu blauen Flecken, Hypotrichose, Hypopigmentierung der Haut, exfoliative Dermatitis, Brüchig</w:t>
            </w:r>
            <w:del w:id="154" w:author="Author">
              <w:r w:rsidRPr="008A4F40" w:rsidDel="004E7659">
                <w:rPr>
                  <w:color w:val="000000"/>
                  <w:sz w:val="22"/>
                  <w:szCs w:val="22"/>
                </w:rPr>
                <w:softHyphen/>
              </w:r>
            </w:del>
            <w:r w:rsidRPr="008A4F40">
              <w:rPr>
                <w:color w:val="000000"/>
                <w:sz w:val="22"/>
                <w:szCs w:val="22"/>
              </w:rPr>
              <w:t>werden der Nägel, Follikulitis, Petechien, Psoriasis, Purpura, Hyperpigmentierung der Haut, bullöser Hautausschlag</w:t>
            </w:r>
            <w:r w:rsidR="00094116">
              <w:rPr>
                <w:color w:val="000000"/>
                <w:sz w:val="22"/>
                <w:szCs w:val="22"/>
              </w:rPr>
              <w:t xml:space="preserve">, </w:t>
            </w:r>
            <w:r w:rsidR="00094116" w:rsidRPr="006C4E8E">
              <w:rPr>
                <w:color w:val="000000"/>
                <w:sz w:val="22"/>
                <w:szCs w:val="22"/>
              </w:rPr>
              <w:t>Pannikulitis</w:t>
            </w:r>
            <w:r w:rsidR="00094116" w:rsidRPr="006C4E8E">
              <w:rPr>
                <w:color w:val="000000"/>
                <w:sz w:val="22"/>
                <w:szCs w:val="22"/>
                <w:vertAlign w:val="superscript"/>
              </w:rPr>
              <w:t>12</w:t>
            </w:r>
          </w:p>
        </w:tc>
      </w:tr>
      <w:tr w:rsidR="003A33A6" w:rsidRPr="008A4F40" w14:paraId="7CD1927C" w14:textId="77777777" w:rsidTr="00DA7B0B">
        <w:trPr>
          <w:cantSplit/>
        </w:trPr>
        <w:tc>
          <w:tcPr>
            <w:tcW w:w="2235" w:type="dxa"/>
          </w:tcPr>
          <w:p w14:paraId="5319757D" w14:textId="77777777" w:rsidR="003A33A6" w:rsidRPr="008A4F40" w:rsidRDefault="003A33A6" w:rsidP="004E7659">
            <w:pPr>
              <w:keepNext/>
              <w:rPr>
                <w:sz w:val="22"/>
                <w:szCs w:val="22"/>
              </w:rPr>
            </w:pPr>
            <w:r w:rsidRPr="008A4F40">
              <w:rPr>
                <w:i/>
                <w:color w:val="000000"/>
                <w:sz w:val="22"/>
                <w:szCs w:val="22"/>
              </w:rPr>
              <w:t>Selten:</w:t>
            </w:r>
          </w:p>
        </w:tc>
        <w:tc>
          <w:tcPr>
            <w:tcW w:w="7087" w:type="dxa"/>
          </w:tcPr>
          <w:p w14:paraId="12BD2217" w14:textId="7DBE7FB4" w:rsidR="003A33A6" w:rsidRPr="008A4F40" w:rsidRDefault="003A33A6" w:rsidP="004E7659">
            <w:pPr>
              <w:keepNext/>
              <w:rPr>
                <w:sz w:val="22"/>
                <w:szCs w:val="22"/>
              </w:rPr>
            </w:pPr>
            <w:r w:rsidRPr="008A4F40">
              <w:rPr>
                <w:color w:val="000000"/>
                <w:sz w:val="22"/>
                <w:szCs w:val="22"/>
              </w:rPr>
              <w:t>Akute febrile neutrophile Dermatose (Sweet-Syndrom), Verfärbung der Nägel, angioneurotisches Ödem, bläschenförmiges Exanthem, Erythema multiforme, leukozytoklastische Vaskulitis, Stevens-Johnson-Syndrom, akute generalisierte exanthematöse Pustulose (AGEP)</w:t>
            </w:r>
            <w:r w:rsidR="003A16D9" w:rsidRPr="003A16D9">
              <w:rPr>
                <w:color w:val="000000"/>
                <w:sz w:val="22"/>
                <w:szCs w:val="22"/>
              </w:rPr>
              <w:t>, Pemphigus*</w:t>
            </w:r>
          </w:p>
        </w:tc>
      </w:tr>
      <w:tr w:rsidR="00646EB3" w:rsidRPr="008A4F40" w14:paraId="7FEF051E" w14:textId="77777777" w:rsidTr="00DA7B0B">
        <w:trPr>
          <w:cantSplit/>
        </w:trPr>
        <w:tc>
          <w:tcPr>
            <w:tcW w:w="2235" w:type="dxa"/>
          </w:tcPr>
          <w:p w14:paraId="0EED9FDA" w14:textId="77777777" w:rsidR="00646EB3" w:rsidRPr="008A4F40" w:rsidRDefault="00646EB3" w:rsidP="004E7659">
            <w:pPr>
              <w:rPr>
                <w:i/>
                <w:color w:val="000000"/>
                <w:sz w:val="22"/>
                <w:szCs w:val="22"/>
              </w:rPr>
            </w:pPr>
            <w:r w:rsidRPr="008A4F40">
              <w:rPr>
                <w:i/>
                <w:color w:val="000000"/>
                <w:sz w:val="22"/>
                <w:szCs w:val="22"/>
              </w:rPr>
              <w:t>Nicht bekannt:</w:t>
            </w:r>
          </w:p>
        </w:tc>
        <w:tc>
          <w:tcPr>
            <w:tcW w:w="7087" w:type="dxa"/>
          </w:tcPr>
          <w:p w14:paraId="4D1A2AF6" w14:textId="77777777" w:rsidR="00646EB3" w:rsidRPr="008A4F40" w:rsidRDefault="00646EB3" w:rsidP="004E7659">
            <w:pPr>
              <w:rPr>
                <w:color w:val="000000"/>
                <w:sz w:val="22"/>
                <w:szCs w:val="22"/>
              </w:rPr>
            </w:pPr>
            <w:r w:rsidRPr="008A4F40">
              <w:rPr>
                <w:color w:val="000000"/>
                <w:sz w:val="22"/>
                <w:szCs w:val="22"/>
              </w:rPr>
              <w:t>Hand-Fuß-Syndrom (palmar-plantare Erythrodysästhesie)*, Lichenoide Keratose*, Lichen planus*, Toxische epidermale Nekrolyse*, arzneimittelbedingter Hautausschlag mit Eosinophilie und systemischen Symptomen (DRESS)*</w:t>
            </w:r>
            <w:r w:rsidR="00F5429F" w:rsidRPr="008A4F40">
              <w:rPr>
                <w:color w:val="000000"/>
                <w:sz w:val="22"/>
                <w:szCs w:val="22"/>
              </w:rPr>
              <w:t>, Pseudoporphyrie*</w:t>
            </w:r>
          </w:p>
        </w:tc>
      </w:tr>
      <w:tr w:rsidR="003A33A6" w:rsidRPr="008A4F40" w14:paraId="2BB91D2E" w14:textId="77777777" w:rsidTr="00DA7B0B">
        <w:trPr>
          <w:cantSplit/>
        </w:trPr>
        <w:tc>
          <w:tcPr>
            <w:tcW w:w="9322" w:type="dxa"/>
            <w:gridSpan w:val="2"/>
          </w:tcPr>
          <w:p w14:paraId="0FA4435E" w14:textId="77777777" w:rsidR="003A33A6" w:rsidRPr="008A4F40" w:rsidRDefault="003A33A6" w:rsidP="004E7659">
            <w:pPr>
              <w:keepNext/>
              <w:rPr>
                <w:b/>
                <w:color w:val="000000"/>
                <w:sz w:val="22"/>
                <w:szCs w:val="22"/>
              </w:rPr>
            </w:pPr>
            <w:r w:rsidRPr="008A4F40">
              <w:rPr>
                <w:b/>
                <w:noProof/>
                <w:color w:val="000000"/>
                <w:sz w:val="22"/>
                <w:szCs w:val="22"/>
              </w:rPr>
              <w:t>Skelettmuskulatur-, Bindegewebs- und Knochenerkrankungen</w:t>
            </w:r>
          </w:p>
        </w:tc>
      </w:tr>
      <w:tr w:rsidR="003A33A6" w:rsidRPr="008A4F40" w14:paraId="1E71757A" w14:textId="77777777" w:rsidTr="00DA7B0B">
        <w:trPr>
          <w:cantSplit/>
        </w:trPr>
        <w:tc>
          <w:tcPr>
            <w:tcW w:w="2235" w:type="dxa"/>
          </w:tcPr>
          <w:p w14:paraId="77A131BE" w14:textId="77777777" w:rsidR="003A33A6" w:rsidRPr="008A4F40" w:rsidRDefault="003A33A6" w:rsidP="004E7659">
            <w:pPr>
              <w:keepNext/>
              <w:rPr>
                <w:i/>
                <w:color w:val="000000"/>
                <w:sz w:val="22"/>
                <w:szCs w:val="22"/>
              </w:rPr>
            </w:pPr>
            <w:r w:rsidRPr="008A4F40">
              <w:rPr>
                <w:i/>
                <w:color w:val="000000"/>
                <w:sz w:val="22"/>
                <w:szCs w:val="22"/>
              </w:rPr>
              <w:t>Sehr häufig:</w:t>
            </w:r>
          </w:p>
        </w:tc>
        <w:tc>
          <w:tcPr>
            <w:tcW w:w="7087" w:type="dxa"/>
          </w:tcPr>
          <w:p w14:paraId="7DFE4386" w14:textId="77777777" w:rsidR="003A33A6" w:rsidRPr="008A4F40" w:rsidRDefault="003A33A6" w:rsidP="004E7659">
            <w:pPr>
              <w:keepNext/>
              <w:rPr>
                <w:color w:val="000000"/>
                <w:sz w:val="22"/>
                <w:szCs w:val="22"/>
              </w:rPr>
            </w:pPr>
            <w:r w:rsidRPr="008A4F40">
              <w:rPr>
                <w:color w:val="000000"/>
                <w:sz w:val="22"/>
                <w:szCs w:val="22"/>
              </w:rPr>
              <w:t>Muskelspasmen und Muskel</w:t>
            </w:r>
            <w:del w:id="155" w:author="Author">
              <w:r w:rsidRPr="008A4F40" w:rsidDel="004E7659">
                <w:rPr>
                  <w:color w:val="000000"/>
                  <w:sz w:val="22"/>
                  <w:szCs w:val="22"/>
                </w:rPr>
                <w:softHyphen/>
              </w:r>
            </w:del>
            <w:r w:rsidRPr="008A4F40">
              <w:rPr>
                <w:color w:val="000000"/>
                <w:sz w:val="22"/>
                <w:szCs w:val="22"/>
              </w:rPr>
              <w:t>krämpfe, Muskel- und Skelettschmerzen einschließlich Myalgie</w:t>
            </w:r>
            <w:r w:rsidR="004E0971" w:rsidRPr="008A4F40">
              <w:rPr>
                <w:color w:val="000000"/>
                <w:sz w:val="22"/>
                <w:szCs w:val="22"/>
                <w:vertAlign w:val="superscript"/>
              </w:rPr>
              <w:t>9</w:t>
            </w:r>
            <w:r w:rsidRPr="008A4F40">
              <w:rPr>
                <w:color w:val="000000"/>
                <w:sz w:val="22"/>
                <w:szCs w:val="22"/>
              </w:rPr>
              <w:t>, Arthralgie, Knochenschmerzen</w:t>
            </w:r>
            <w:r w:rsidR="004E0971" w:rsidRPr="008A4F40">
              <w:rPr>
                <w:color w:val="000000"/>
                <w:sz w:val="22"/>
                <w:szCs w:val="22"/>
                <w:vertAlign w:val="superscript"/>
              </w:rPr>
              <w:t>10</w:t>
            </w:r>
          </w:p>
        </w:tc>
      </w:tr>
      <w:tr w:rsidR="003A33A6" w:rsidRPr="008A4F40" w14:paraId="22616ADD" w14:textId="77777777" w:rsidTr="00DA7B0B">
        <w:trPr>
          <w:cantSplit/>
        </w:trPr>
        <w:tc>
          <w:tcPr>
            <w:tcW w:w="2235" w:type="dxa"/>
          </w:tcPr>
          <w:p w14:paraId="01B47E4C" w14:textId="77777777" w:rsidR="003A33A6" w:rsidRPr="008A4F40" w:rsidRDefault="003A33A6" w:rsidP="004E7659">
            <w:pPr>
              <w:keepNext/>
              <w:rPr>
                <w:i/>
                <w:color w:val="000000"/>
                <w:sz w:val="22"/>
                <w:szCs w:val="22"/>
              </w:rPr>
            </w:pPr>
            <w:r w:rsidRPr="008A4F40">
              <w:rPr>
                <w:i/>
                <w:color w:val="000000"/>
                <w:sz w:val="22"/>
                <w:szCs w:val="22"/>
              </w:rPr>
              <w:t>Häufig:</w:t>
            </w:r>
          </w:p>
        </w:tc>
        <w:tc>
          <w:tcPr>
            <w:tcW w:w="7087" w:type="dxa"/>
          </w:tcPr>
          <w:p w14:paraId="045DED33" w14:textId="77777777" w:rsidR="003A33A6" w:rsidRPr="008A4F40" w:rsidRDefault="003A33A6" w:rsidP="004E7659">
            <w:pPr>
              <w:keepNext/>
              <w:rPr>
                <w:color w:val="000000"/>
                <w:sz w:val="22"/>
                <w:szCs w:val="22"/>
                <w:lang w:val="pt-PT"/>
              </w:rPr>
            </w:pPr>
            <w:r w:rsidRPr="008A4F40">
              <w:rPr>
                <w:color w:val="000000"/>
                <w:sz w:val="22"/>
                <w:szCs w:val="22"/>
              </w:rPr>
              <w:t>Anschwellen der Gelenke</w:t>
            </w:r>
          </w:p>
        </w:tc>
      </w:tr>
      <w:tr w:rsidR="003A33A6" w:rsidRPr="008A4F40" w14:paraId="7467132C" w14:textId="77777777" w:rsidTr="00DA7B0B">
        <w:trPr>
          <w:cantSplit/>
        </w:trPr>
        <w:tc>
          <w:tcPr>
            <w:tcW w:w="2235" w:type="dxa"/>
          </w:tcPr>
          <w:p w14:paraId="0E4D66A3" w14:textId="77777777" w:rsidR="003A33A6" w:rsidRPr="008A4F40" w:rsidRDefault="003A33A6" w:rsidP="004E7659">
            <w:pPr>
              <w:keepNext/>
              <w:rPr>
                <w:i/>
                <w:color w:val="000000"/>
                <w:sz w:val="22"/>
                <w:szCs w:val="22"/>
              </w:rPr>
            </w:pPr>
            <w:r w:rsidRPr="008A4F40">
              <w:rPr>
                <w:i/>
                <w:color w:val="000000"/>
                <w:sz w:val="22"/>
                <w:szCs w:val="22"/>
              </w:rPr>
              <w:t>Gelegentlich:</w:t>
            </w:r>
          </w:p>
        </w:tc>
        <w:tc>
          <w:tcPr>
            <w:tcW w:w="7087" w:type="dxa"/>
          </w:tcPr>
          <w:p w14:paraId="4A6734F2" w14:textId="1218C107" w:rsidR="003A33A6" w:rsidRPr="008A4F40" w:rsidRDefault="003A33A6" w:rsidP="004E7659">
            <w:pPr>
              <w:keepNext/>
              <w:rPr>
                <w:color w:val="000000"/>
                <w:sz w:val="22"/>
                <w:szCs w:val="22"/>
                <w:lang w:val="pt-PT"/>
              </w:rPr>
            </w:pPr>
            <w:r w:rsidRPr="008A4F40">
              <w:rPr>
                <w:color w:val="000000"/>
                <w:sz w:val="22"/>
                <w:szCs w:val="22"/>
              </w:rPr>
              <w:t>Gelenk- und Muskelsteifigkeit</w:t>
            </w:r>
            <w:r w:rsidR="003A16D9" w:rsidRPr="003A16D9">
              <w:rPr>
                <w:color w:val="000000"/>
                <w:sz w:val="22"/>
                <w:szCs w:val="22"/>
              </w:rPr>
              <w:t>, Osteonekrose*</w:t>
            </w:r>
          </w:p>
        </w:tc>
      </w:tr>
      <w:tr w:rsidR="003A33A6" w:rsidRPr="008A4F40" w14:paraId="1B4DAE92" w14:textId="77777777" w:rsidTr="00DA7B0B">
        <w:trPr>
          <w:cantSplit/>
        </w:trPr>
        <w:tc>
          <w:tcPr>
            <w:tcW w:w="2235" w:type="dxa"/>
          </w:tcPr>
          <w:p w14:paraId="31576CAE" w14:textId="77777777" w:rsidR="003A33A6" w:rsidRPr="008A4F40" w:rsidRDefault="003A33A6" w:rsidP="004E7659">
            <w:pPr>
              <w:keepNext/>
              <w:rPr>
                <w:i/>
                <w:color w:val="000000"/>
                <w:sz w:val="22"/>
                <w:szCs w:val="22"/>
              </w:rPr>
            </w:pPr>
            <w:r w:rsidRPr="008A4F40">
              <w:rPr>
                <w:i/>
                <w:color w:val="000000"/>
                <w:sz w:val="22"/>
                <w:szCs w:val="22"/>
              </w:rPr>
              <w:t>Selten:</w:t>
            </w:r>
          </w:p>
        </w:tc>
        <w:tc>
          <w:tcPr>
            <w:tcW w:w="7087" w:type="dxa"/>
          </w:tcPr>
          <w:p w14:paraId="01F1260F" w14:textId="77777777" w:rsidR="003A33A6" w:rsidRPr="008A4F40" w:rsidRDefault="003A33A6" w:rsidP="004E7659">
            <w:pPr>
              <w:keepNext/>
              <w:rPr>
                <w:color w:val="000000"/>
                <w:sz w:val="22"/>
                <w:szCs w:val="22"/>
                <w:lang w:val="pt-PT"/>
              </w:rPr>
            </w:pPr>
            <w:r w:rsidRPr="008A4F40">
              <w:rPr>
                <w:bCs/>
                <w:color w:val="000000"/>
                <w:sz w:val="22"/>
                <w:szCs w:val="22"/>
              </w:rPr>
              <w:t>Muskelschwäche, Arthritis, Rhabdomyolyse/Myopathie</w:t>
            </w:r>
          </w:p>
        </w:tc>
      </w:tr>
      <w:tr w:rsidR="00646EB3" w:rsidRPr="008A4F40" w14:paraId="182BDEDA" w14:textId="77777777" w:rsidTr="00DA7B0B">
        <w:trPr>
          <w:cantSplit/>
        </w:trPr>
        <w:tc>
          <w:tcPr>
            <w:tcW w:w="2235" w:type="dxa"/>
          </w:tcPr>
          <w:p w14:paraId="0E2ED576" w14:textId="77777777" w:rsidR="00646EB3" w:rsidRPr="008A4F40" w:rsidRDefault="00646EB3" w:rsidP="004E7659">
            <w:pPr>
              <w:rPr>
                <w:i/>
                <w:color w:val="000000"/>
                <w:sz w:val="22"/>
                <w:szCs w:val="22"/>
              </w:rPr>
            </w:pPr>
            <w:r w:rsidRPr="008A4F40">
              <w:rPr>
                <w:i/>
                <w:color w:val="000000"/>
                <w:sz w:val="22"/>
                <w:szCs w:val="22"/>
              </w:rPr>
              <w:t>Nicht bekannt:</w:t>
            </w:r>
          </w:p>
        </w:tc>
        <w:tc>
          <w:tcPr>
            <w:tcW w:w="7087" w:type="dxa"/>
          </w:tcPr>
          <w:p w14:paraId="35BFBFBF" w14:textId="7866EF5F" w:rsidR="00646EB3" w:rsidRPr="008A4F40" w:rsidRDefault="00646EB3" w:rsidP="004E7659">
            <w:pPr>
              <w:rPr>
                <w:bCs/>
                <w:color w:val="000000"/>
                <w:sz w:val="22"/>
                <w:szCs w:val="22"/>
              </w:rPr>
            </w:pPr>
            <w:r w:rsidRPr="008A4F40">
              <w:rPr>
                <w:color w:val="000000"/>
                <w:sz w:val="22"/>
                <w:szCs w:val="22"/>
              </w:rPr>
              <w:t>Wachstumsverzögerung bei Kindern*</w:t>
            </w:r>
          </w:p>
        </w:tc>
      </w:tr>
      <w:tr w:rsidR="003A33A6" w:rsidRPr="008A4F40" w14:paraId="36C1C296" w14:textId="77777777" w:rsidTr="00DA7B0B">
        <w:trPr>
          <w:cantSplit/>
        </w:trPr>
        <w:tc>
          <w:tcPr>
            <w:tcW w:w="9322" w:type="dxa"/>
            <w:gridSpan w:val="2"/>
          </w:tcPr>
          <w:p w14:paraId="66110A37" w14:textId="77777777" w:rsidR="003A33A6" w:rsidRPr="008A4F40" w:rsidRDefault="003A33A6" w:rsidP="004E7659">
            <w:pPr>
              <w:keepNext/>
              <w:rPr>
                <w:b/>
                <w:color w:val="000000"/>
                <w:sz w:val="22"/>
                <w:szCs w:val="22"/>
              </w:rPr>
            </w:pPr>
            <w:r w:rsidRPr="008A4F40">
              <w:rPr>
                <w:b/>
                <w:color w:val="000000"/>
                <w:sz w:val="22"/>
                <w:szCs w:val="22"/>
              </w:rPr>
              <w:t>Erkrankungen der Nie</w:t>
            </w:r>
            <w:del w:id="156" w:author="Author">
              <w:r w:rsidRPr="008A4F40" w:rsidDel="004E7659">
                <w:rPr>
                  <w:b/>
                  <w:color w:val="000000"/>
                  <w:sz w:val="22"/>
                  <w:szCs w:val="22"/>
                </w:rPr>
                <w:softHyphen/>
              </w:r>
            </w:del>
            <w:r w:rsidRPr="008A4F40">
              <w:rPr>
                <w:b/>
                <w:color w:val="000000"/>
                <w:sz w:val="22"/>
                <w:szCs w:val="22"/>
              </w:rPr>
              <w:t>ren und Harn</w:t>
            </w:r>
            <w:del w:id="157" w:author="Author">
              <w:r w:rsidRPr="008A4F40" w:rsidDel="004E7659">
                <w:rPr>
                  <w:b/>
                  <w:color w:val="000000"/>
                  <w:sz w:val="22"/>
                  <w:szCs w:val="22"/>
                </w:rPr>
                <w:softHyphen/>
              </w:r>
            </w:del>
            <w:r w:rsidRPr="008A4F40">
              <w:rPr>
                <w:b/>
                <w:color w:val="000000"/>
                <w:sz w:val="22"/>
                <w:szCs w:val="22"/>
              </w:rPr>
              <w:t>wege</w:t>
            </w:r>
          </w:p>
        </w:tc>
      </w:tr>
      <w:tr w:rsidR="003A33A6" w:rsidRPr="008A4F40" w14:paraId="4318946D" w14:textId="77777777" w:rsidTr="00DA7B0B">
        <w:trPr>
          <w:cantSplit/>
        </w:trPr>
        <w:tc>
          <w:tcPr>
            <w:tcW w:w="2235" w:type="dxa"/>
          </w:tcPr>
          <w:p w14:paraId="4252CFD4" w14:textId="77777777" w:rsidR="003A33A6" w:rsidRPr="008A4F40" w:rsidRDefault="003A33A6" w:rsidP="004E7659">
            <w:pPr>
              <w:keepNext/>
              <w:rPr>
                <w:sz w:val="22"/>
                <w:szCs w:val="22"/>
              </w:rPr>
            </w:pPr>
            <w:r w:rsidRPr="008A4F40">
              <w:rPr>
                <w:i/>
                <w:color w:val="000000"/>
                <w:sz w:val="22"/>
                <w:szCs w:val="22"/>
              </w:rPr>
              <w:t>Gelegentlich:</w:t>
            </w:r>
          </w:p>
        </w:tc>
        <w:tc>
          <w:tcPr>
            <w:tcW w:w="7087" w:type="dxa"/>
          </w:tcPr>
          <w:p w14:paraId="7DFBE1F6" w14:textId="77777777" w:rsidR="003A33A6" w:rsidRPr="008A4F40" w:rsidRDefault="003A33A6" w:rsidP="004E7659">
            <w:pPr>
              <w:keepNext/>
              <w:rPr>
                <w:sz w:val="22"/>
                <w:szCs w:val="22"/>
              </w:rPr>
            </w:pPr>
            <w:r w:rsidRPr="008A4F40">
              <w:rPr>
                <w:color w:val="000000"/>
                <w:sz w:val="22"/>
                <w:szCs w:val="22"/>
              </w:rPr>
              <w:t>Nierenschmerzen, Hämaturie, akutes Nierenversagen, erhöhte Miktionsfrequenz</w:t>
            </w:r>
          </w:p>
        </w:tc>
      </w:tr>
      <w:tr w:rsidR="0016334E" w:rsidRPr="008A4F40" w14:paraId="7C9509B6" w14:textId="77777777" w:rsidTr="00DA7B0B">
        <w:trPr>
          <w:cantSplit/>
        </w:trPr>
        <w:tc>
          <w:tcPr>
            <w:tcW w:w="2235" w:type="dxa"/>
          </w:tcPr>
          <w:p w14:paraId="2102EF65" w14:textId="77777777" w:rsidR="0016334E" w:rsidRPr="008A4F40" w:rsidRDefault="0016334E" w:rsidP="004E7659">
            <w:pPr>
              <w:rPr>
                <w:i/>
                <w:color w:val="000000"/>
                <w:sz w:val="22"/>
                <w:szCs w:val="22"/>
              </w:rPr>
            </w:pPr>
            <w:r w:rsidRPr="008A4F40">
              <w:rPr>
                <w:i/>
                <w:color w:val="000000"/>
                <w:sz w:val="22"/>
                <w:szCs w:val="22"/>
              </w:rPr>
              <w:t>Nicht bekannt:</w:t>
            </w:r>
          </w:p>
        </w:tc>
        <w:tc>
          <w:tcPr>
            <w:tcW w:w="7087" w:type="dxa"/>
          </w:tcPr>
          <w:p w14:paraId="08A6A859" w14:textId="77777777" w:rsidR="0016334E" w:rsidRPr="008A4F40" w:rsidRDefault="0016334E" w:rsidP="004E7659">
            <w:pPr>
              <w:rPr>
                <w:color w:val="000000"/>
                <w:sz w:val="22"/>
                <w:szCs w:val="22"/>
              </w:rPr>
            </w:pPr>
            <w:r w:rsidRPr="008A4F40">
              <w:rPr>
                <w:color w:val="000000"/>
                <w:sz w:val="22"/>
                <w:szCs w:val="22"/>
              </w:rPr>
              <w:t>Chronisches Nierenversagen</w:t>
            </w:r>
          </w:p>
        </w:tc>
      </w:tr>
      <w:tr w:rsidR="0016334E" w:rsidRPr="008A4F40" w14:paraId="03C1AF5D" w14:textId="77777777" w:rsidTr="00DA7B0B">
        <w:trPr>
          <w:cantSplit/>
        </w:trPr>
        <w:tc>
          <w:tcPr>
            <w:tcW w:w="9322" w:type="dxa"/>
            <w:gridSpan w:val="2"/>
          </w:tcPr>
          <w:p w14:paraId="7CA291D6" w14:textId="77777777" w:rsidR="0016334E" w:rsidRPr="008A4F40" w:rsidRDefault="0016334E" w:rsidP="004E7659">
            <w:pPr>
              <w:keepNext/>
              <w:rPr>
                <w:b/>
                <w:color w:val="000000"/>
                <w:sz w:val="22"/>
                <w:szCs w:val="22"/>
              </w:rPr>
            </w:pPr>
            <w:r w:rsidRPr="008A4F40">
              <w:rPr>
                <w:b/>
                <w:color w:val="000000"/>
                <w:sz w:val="22"/>
                <w:szCs w:val="22"/>
              </w:rPr>
              <w:t>Erkrankungen der Geschlechtsorgane und der Brustdrüse</w:t>
            </w:r>
          </w:p>
        </w:tc>
      </w:tr>
      <w:tr w:rsidR="0016334E" w:rsidRPr="008A4F40" w14:paraId="3FDE460B" w14:textId="77777777" w:rsidTr="00DA7B0B">
        <w:trPr>
          <w:cantSplit/>
        </w:trPr>
        <w:tc>
          <w:tcPr>
            <w:tcW w:w="2235" w:type="dxa"/>
          </w:tcPr>
          <w:p w14:paraId="38713690" w14:textId="77777777" w:rsidR="0016334E" w:rsidRPr="008A4F40" w:rsidRDefault="0016334E" w:rsidP="004E7659">
            <w:pPr>
              <w:keepNext/>
              <w:rPr>
                <w:i/>
                <w:color w:val="000000"/>
                <w:sz w:val="22"/>
                <w:szCs w:val="22"/>
              </w:rPr>
            </w:pPr>
            <w:r w:rsidRPr="008A4F40">
              <w:rPr>
                <w:i/>
                <w:color w:val="000000"/>
                <w:sz w:val="22"/>
                <w:szCs w:val="22"/>
              </w:rPr>
              <w:t>Gelegentlich:</w:t>
            </w:r>
          </w:p>
        </w:tc>
        <w:tc>
          <w:tcPr>
            <w:tcW w:w="7087" w:type="dxa"/>
          </w:tcPr>
          <w:p w14:paraId="6A46F97E" w14:textId="77777777" w:rsidR="0016334E" w:rsidRPr="008A4F40" w:rsidRDefault="0016334E" w:rsidP="004E7659">
            <w:pPr>
              <w:keepNext/>
              <w:rPr>
                <w:color w:val="000000"/>
                <w:sz w:val="22"/>
                <w:szCs w:val="22"/>
              </w:rPr>
            </w:pPr>
            <w:r w:rsidRPr="008A4F40">
              <w:rPr>
                <w:color w:val="000000"/>
                <w:sz w:val="22"/>
                <w:szCs w:val="22"/>
              </w:rPr>
              <w:t>Gynäkomastie, erektile Dysfunktion, Menorrhagie, unregelmäßige Menstruation, Störungen der Sexualfunktion, Schmerzen der Brustwarzen, Brustvergrößerung, Scrotumödem</w:t>
            </w:r>
          </w:p>
        </w:tc>
      </w:tr>
      <w:tr w:rsidR="0016334E" w:rsidRPr="008A4F40" w14:paraId="482770A8" w14:textId="77777777" w:rsidTr="00DA7B0B">
        <w:trPr>
          <w:cantSplit/>
        </w:trPr>
        <w:tc>
          <w:tcPr>
            <w:tcW w:w="2235" w:type="dxa"/>
          </w:tcPr>
          <w:p w14:paraId="4D31E3B8" w14:textId="77777777" w:rsidR="0016334E" w:rsidRPr="008A4F40" w:rsidRDefault="0016334E" w:rsidP="004E7659">
            <w:pPr>
              <w:rPr>
                <w:i/>
                <w:color w:val="000000"/>
                <w:sz w:val="22"/>
                <w:szCs w:val="22"/>
              </w:rPr>
            </w:pPr>
            <w:r w:rsidRPr="008A4F40">
              <w:rPr>
                <w:i/>
                <w:color w:val="000000"/>
                <w:sz w:val="22"/>
                <w:szCs w:val="22"/>
              </w:rPr>
              <w:t>Selten:</w:t>
            </w:r>
          </w:p>
        </w:tc>
        <w:tc>
          <w:tcPr>
            <w:tcW w:w="7087" w:type="dxa"/>
          </w:tcPr>
          <w:p w14:paraId="0DF9EDE0" w14:textId="77777777" w:rsidR="0016334E" w:rsidRPr="008A4F40" w:rsidRDefault="0016334E" w:rsidP="004E7659">
            <w:pPr>
              <w:rPr>
                <w:color w:val="000000"/>
                <w:sz w:val="22"/>
                <w:szCs w:val="22"/>
              </w:rPr>
            </w:pPr>
            <w:r w:rsidRPr="008A4F40">
              <w:rPr>
                <w:color w:val="000000"/>
                <w:sz w:val="22"/>
                <w:szCs w:val="22"/>
              </w:rPr>
              <w:t>Hämorrhagisches Corpus luteum/hämorrhagische Ovarialzyste</w:t>
            </w:r>
          </w:p>
        </w:tc>
      </w:tr>
      <w:tr w:rsidR="0016334E" w:rsidRPr="008A4F40" w14:paraId="73B70197" w14:textId="77777777" w:rsidTr="00DA7B0B">
        <w:trPr>
          <w:cantSplit/>
        </w:trPr>
        <w:tc>
          <w:tcPr>
            <w:tcW w:w="9322" w:type="dxa"/>
            <w:gridSpan w:val="2"/>
          </w:tcPr>
          <w:p w14:paraId="2C19C568" w14:textId="77777777" w:rsidR="0016334E" w:rsidRPr="008A4F40" w:rsidRDefault="0016334E" w:rsidP="004E7659">
            <w:pPr>
              <w:keepNext/>
              <w:rPr>
                <w:color w:val="000000"/>
                <w:sz w:val="22"/>
                <w:szCs w:val="22"/>
              </w:rPr>
            </w:pPr>
            <w:r w:rsidRPr="008A4F40">
              <w:rPr>
                <w:b/>
                <w:color w:val="000000"/>
                <w:sz w:val="22"/>
                <w:szCs w:val="22"/>
              </w:rPr>
              <w:t>Allgemeine Erkrankungen und Beschwerden am Verabreichungsort</w:t>
            </w:r>
          </w:p>
        </w:tc>
      </w:tr>
      <w:tr w:rsidR="0016334E" w:rsidRPr="008A4F40" w14:paraId="332C6937" w14:textId="77777777" w:rsidTr="00DA7B0B">
        <w:trPr>
          <w:cantSplit/>
        </w:trPr>
        <w:tc>
          <w:tcPr>
            <w:tcW w:w="2235" w:type="dxa"/>
          </w:tcPr>
          <w:p w14:paraId="4EC503C0" w14:textId="77777777" w:rsidR="0016334E" w:rsidRPr="008A4F40" w:rsidRDefault="0016334E" w:rsidP="004E7659">
            <w:pPr>
              <w:keepNext/>
              <w:rPr>
                <w:i/>
                <w:color w:val="000000"/>
                <w:sz w:val="22"/>
                <w:szCs w:val="22"/>
              </w:rPr>
            </w:pPr>
            <w:r w:rsidRPr="008A4F40">
              <w:rPr>
                <w:i/>
                <w:color w:val="000000"/>
                <w:sz w:val="22"/>
                <w:szCs w:val="22"/>
              </w:rPr>
              <w:t>Sehr häufig:</w:t>
            </w:r>
          </w:p>
        </w:tc>
        <w:tc>
          <w:tcPr>
            <w:tcW w:w="7087" w:type="dxa"/>
          </w:tcPr>
          <w:p w14:paraId="772DCD5D" w14:textId="77777777" w:rsidR="0016334E" w:rsidRPr="008A4F40" w:rsidRDefault="0016334E" w:rsidP="004E7659">
            <w:pPr>
              <w:keepNext/>
              <w:rPr>
                <w:color w:val="000000"/>
                <w:sz w:val="22"/>
                <w:szCs w:val="22"/>
              </w:rPr>
            </w:pPr>
            <w:r w:rsidRPr="008A4F40">
              <w:rPr>
                <w:color w:val="000000"/>
                <w:sz w:val="22"/>
                <w:szCs w:val="22"/>
              </w:rPr>
              <w:t>Flüssigkeitsretention und periphere Ödeme, Müdigkeit</w:t>
            </w:r>
          </w:p>
        </w:tc>
      </w:tr>
      <w:tr w:rsidR="0016334E" w:rsidRPr="008A4F40" w14:paraId="5309B4EE" w14:textId="77777777" w:rsidTr="00DA7B0B">
        <w:trPr>
          <w:cantSplit/>
        </w:trPr>
        <w:tc>
          <w:tcPr>
            <w:tcW w:w="2235" w:type="dxa"/>
          </w:tcPr>
          <w:p w14:paraId="49CD2358" w14:textId="77777777" w:rsidR="0016334E" w:rsidRPr="008A4F40" w:rsidRDefault="0016334E" w:rsidP="004E7659">
            <w:pPr>
              <w:keepNext/>
              <w:rPr>
                <w:i/>
                <w:color w:val="000000"/>
                <w:sz w:val="22"/>
                <w:szCs w:val="22"/>
              </w:rPr>
            </w:pPr>
            <w:r w:rsidRPr="008A4F40">
              <w:rPr>
                <w:i/>
                <w:color w:val="000000"/>
                <w:sz w:val="22"/>
                <w:szCs w:val="22"/>
              </w:rPr>
              <w:t>Häufig:</w:t>
            </w:r>
          </w:p>
        </w:tc>
        <w:tc>
          <w:tcPr>
            <w:tcW w:w="7087" w:type="dxa"/>
          </w:tcPr>
          <w:p w14:paraId="5DD1C1EE" w14:textId="77777777" w:rsidR="0016334E" w:rsidRPr="008A4F40" w:rsidRDefault="0016334E" w:rsidP="004E7659">
            <w:pPr>
              <w:keepNext/>
              <w:rPr>
                <w:color w:val="000000"/>
                <w:sz w:val="22"/>
                <w:szCs w:val="22"/>
              </w:rPr>
            </w:pPr>
            <w:r w:rsidRPr="008A4F40">
              <w:rPr>
                <w:color w:val="000000"/>
                <w:sz w:val="22"/>
                <w:szCs w:val="22"/>
              </w:rPr>
              <w:t>Schwäche, Fieberzustand, generalisierte Ödeme des Unterhautgewebes (Anasarka), Kältegefühl, Schüttelfrost</w:t>
            </w:r>
          </w:p>
        </w:tc>
      </w:tr>
      <w:tr w:rsidR="0016334E" w:rsidRPr="008A4F40" w14:paraId="69F29F3A" w14:textId="77777777" w:rsidTr="00DA7B0B">
        <w:trPr>
          <w:cantSplit/>
        </w:trPr>
        <w:tc>
          <w:tcPr>
            <w:tcW w:w="2235" w:type="dxa"/>
          </w:tcPr>
          <w:p w14:paraId="366EF6C3" w14:textId="77777777" w:rsidR="0016334E" w:rsidRPr="008A4F40" w:rsidRDefault="0016334E" w:rsidP="004E7659">
            <w:pPr>
              <w:rPr>
                <w:i/>
                <w:color w:val="000000"/>
                <w:sz w:val="22"/>
                <w:szCs w:val="22"/>
              </w:rPr>
            </w:pPr>
            <w:r w:rsidRPr="008A4F40">
              <w:rPr>
                <w:i/>
                <w:color w:val="000000"/>
                <w:sz w:val="22"/>
                <w:szCs w:val="22"/>
              </w:rPr>
              <w:t>Gelegentlich:</w:t>
            </w:r>
          </w:p>
        </w:tc>
        <w:tc>
          <w:tcPr>
            <w:tcW w:w="7087" w:type="dxa"/>
          </w:tcPr>
          <w:p w14:paraId="59FD6AAF" w14:textId="77777777" w:rsidR="0016334E" w:rsidRPr="008A4F40" w:rsidRDefault="0016334E" w:rsidP="004E7659">
            <w:pPr>
              <w:rPr>
                <w:color w:val="000000"/>
                <w:sz w:val="22"/>
                <w:szCs w:val="22"/>
              </w:rPr>
            </w:pPr>
            <w:proofErr w:type="spellStart"/>
            <w:r w:rsidRPr="008A4F40">
              <w:rPr>
                <w:color w:val="000000"/>
                <w:sz w:val="22"/>
                <w:szCs w:val="22"/>
                <w:lang w:val="fr-FR"/>
              </w:rPr>
              <w:t>Brustschmerzen</w:t>
            </w:r>
            <w:proofErr w:type="spellEnd"/>
            <w:r w:rsidRPr="008A4F40">
              <w:rPr>
                <w:color w:val="000000"/>
                <w:sz w:val="22"/>
                <w:szCs w:val="22"/>
                <w:lang w:val="fr-FR"/>
              </w:rPr>
              <w:t xml:space="preserve">, </w:t>
            </w:r>
            <w:proofErr w:type="spellStart"/>
            <w:r w:rsidRPr="008A4F40">
              <w:rPr>
                <w:color w:val="000000"/>
                <w:sz w:val="22"/>
                <w:szCs w:val="22"/>
                <w:lang w:val="fr-FR"/>
              </w:rPr>
              <w:t>allgemeines</w:t>
            </w:r>
            <w:proofErr w:type="spellEnd"/>
            <w:r w:rsidRPr="008A4F40">
              <w:rPr>
                <w:color w:val="000000"/>
                <w:sz w:val="22"/>
                <w:szCs w:val="22"/>
                <w:lang w:val="fr-FR"/>
              </w:rPr>
              <w:t xml:space="preserve"> </w:t>
            </w:r>
            <w:proofErr w:type="spellStart"/>
            <w:r w:rsidRPr="008A4F40">
              <w:rPr>
                <w:color w:val="000000"/>
                <w:sz w:val="22"/>
                <w:szCs w:val="22"/>
                <w:lang w:val="fr-FR"/>
              </w:rPr>
              <w:t>Krankheitsgefühl</w:t>
            </w:r>
            <w:proofErr w:type="spellEnd"/>
          </w:p>
        </w:tc>
      </w:tr>
      <w:tr w:rsidR="0016334E" w:rsidRPr="008A4F40" w14:paraId="17B94EC8" w14:textId="77777777" w:rsidTr="00DA7B0B">
        <w:trPr>
          <w:cantSplit/>
        </w:trPr>
        <w:tc>
          <w:tcPr>
            <w:tcW w:w="9322" w:type="dxa"/>
            <w:gridSpan w:val="2"/>
          </w:tcPr>
          <w:p w14:paraId="1BD3643E" w14:textId="77777777" w:rsidR="0016334E" w:rsidRPr="008A4F40" w:rsidRDefault="0016334E" w:rsidP="004E7659">
            <w:pPr>
              <w:keepNext/>
              <w:rPr>
                <w:b/>
                <w:sz w:val="22"/>
                <w:szCs w:val="22"/>
              </w:rPr>
            </w:pPr>
            <w:r w:rsidRPr="008A4F40">
              <w:rPr>
                <w:b/>
                <w:color w:val="000000"/>
                <w:sz w:val="22"/>
                <w:szCs w:val="22"/>
              </w:rPr>
              <w:t>Untersuchungen</w:t>
            </w:r>
          </w:p>
        </w:tc>
      </w:tr>
      <w:tr w:rsidR="0016334E" w:rsidRPr="008A4F40" w14:paraId="1D0A5CE2" w14:textId="77777777" w:rsidTr="00DA7B0B">
        <w:trPr>
          <w:cantSplit/>
        </w:trPr>
        <w:tc>
          <w:tcPr>
            <w:tcW w:w="2235" w:type="dxa"/>
          </w:tcPr>
          <w:p w14:paraId="3B10013C" w14:textId="77777777" w:rsidR="0016334E" w:rsidRPr="008A4F40" w:rsidRDefault="0016334E" w:rsidP="004E7659">
            <w:pPr>
              <w:keepNext/>
              <w:rPr>
                <w:sz w:val="22"/>
                <w:szCs w:val="22"/>
              </w:rPr>
            </w:pPr>
            <w:r w:rsidRPr="008A4F40">
              <w:rPr>
                <w:i/>
                <w:color w:val="000000"/>
                <w:sz w:val="22"/>
                <w:szCs w:val="22"/>
              </w:rPr>
              <w:t>Sehr häufig:</w:t>
            </w:r>
          </w:p>
        </w:tc>
        <w:tc>
          <w:tcPr>
            <w:tcW w:w="7087" w:type="dxa"/>
          </w:tcPr>
          <w:p w14:paraId="700C2593" w14:textId="77777777" w:rsidR="0016334E" w:rsidRPr="008A4F40" w:rsidRDefault="0016334E" w:rsidP="004E7659">
            <w:pPr>
              <w:keepNext/>
              <w:rPr>
                <w:sz w:val="22"/>
                <w:szCs w:val="22"/>
              </w:rPr>
            </w:pPr>
            <w:r w:rsidRPr="008A4F40">
              <w:rPr>
                <w:color w:val="000000"/>
                <w:sz w:val="22"/>
                <w:szCs w:val="22"/>
              </w:rPr>
              <w:t>Gewichtszunahme</w:t>
            </w:r>
          </w:p>
        </w:tc>
      </w:tr>
      <w:tr w:rsidR="0016334E" w:rsidRPr="008A4F40" w14:paraId="6B562D7E" w14:textId="77777777" w:rsidTr="00DA7B0B">
        <w:trPr>
          <w:cantSplit/>
        </w:trPr>
        <w:tc>
          <w:tcPr>
            <w:tcW w:w="2235" w:type="dxa"/>
          </w:tcPr>
          <w:p w14:paraId="319A13E8" w14:textId="77777777" w:rsidR="0016334E" w:rsidRPr="008A4F40" w:rsidRDefault="0016334E" w:rsidP="004E7659">
            <w:pPr>
              <w:keepNext/>
              <w:rPr>
                <w:sz w:val="22"/>
                <w:szCs w:val="22"/>
              </w:rPr>
            </w:pPr>
            <w:r w:rsidRPr="008A4F40">
              <w:rPr>
                <w:i/>
                <w:color w:val="000000"/>
                <w:sz w:val="22"/>
                <w:szCs w:val="22"/>
              </w:rPr>
              <w:t>Häufig</w:t>
            </w:r>
            <w:r w:rsidRPr="008A4F40">
              <w:rPr>
                <w:color w:val="000000"/>
                <w:sz w:val="22"/>
                <w:szCs w:val="22"/>
              </w:rPr>
              <w:t>:</w:t>
            </w:r>
          </w:p>
        </w:tc>
        <w:tc>
          <w:tcPr>
            <w:tcW w:w="7087" w:type="dxa"/>
          </w:tcPr>
          <w:p w14:paraId="7EFA81E5" w14:textId="77777777" w:rsidR="0016334E" w:rsidRPr="008A4F40" w:rsidRDefault="0016334E" w:rsidP="004E7659">
            <w:pPr>
              <w:keepNext/>
              <w:rPr>
                <w:sz w:val="22"/>
                <w:szCs w:val="22"/>
              </w:rPr>
            </w:pPr>
            <w:r w:rsidRPr="008A4F40">
              <w:rPr>
                <w:color w:val="000000"/>
                <w:sz w:val="22"/>
                <w:szCs w:val="22"/>
              </w:rPr>
              <w:t>Gewichtsverlust</w:t>
            </w:r>
          </w:p>
        </w:tc>
      </w:tr>
      <w:tr w:rsidR="0016334E" w:rsidRPr="008A4F40" w14:paraId="030F92E8" w14:textId="77777777" w:rsidTr="00DA7B0B">
        <w:trPr>
          <w:cantSplit/>
        </w:trPr>
        <w:tc>
          <w:tcPr>
            <w:tcW w:w="2235" w:type="dxa"/>
          </w:tcPr>
          <w:p w14:paraId="641C2BFD" w14:textId="77777777" w:rsidR="0016334E" w:rsidRPr="008A4F40" w:rsidRDefault="0016334E" w:rsidP="004E7659">
            <w:pPr>
              <w:keepNext/>
              <w:rPr>
                <w:sz w:val="22"/>
                <w:szCs w:val="22"/>
              </w:rPr>
            </w:pPr>
            <w:r w:rsidRPr="008A4F40">
              <w:rPr>
                <w:i/>
                <w:color w:val="000000"/>
                <w:sz w:val="22"/>
                <w:szCs w:val="22"/>
              </w:rPr>
              <w:t>Gelegentlich</w:t>
            </w:r>
            <w:r w:rsidRPr="008A4F40">
              <w:rPr>
                <w:color w:val="000000"/>
                <w:sz w:val="22"/>
                <w:szCs w:val="22"/>
              </w:rPr>
              <w:t>:</w:t>
            </w:r>
          </w:p>
        </w:tc>
        <w:tc>
          <w:tcPr>
            <w:tcW w:w="7087" w:type="dxa"/>
          </w:tcPr>
          <w:p w14:paraId="27D0746F" w14:textId="77777777" w:rsidR="0016334E" w:rsidRPr="008A4F40" w:rsidRDefault="0016334E" w:rsidP="004E7659">
            <w:pPr>
              <w:keepNext/>
              <w:rPr>
                <w:sz w:val="22"/>
                <w:szCs w:val="22"/>
              </w:rPr>
            </w:pPr>
            <w:r w:rsidRPr="008A4F40">
              <w:rPr>
                <w:color w:val="000000"/>
                <w:sz w:val="22"/>
                <w:szCs w:val="22"/>
              </w:rPr>
              <w:t>Erhöhte Werte für Kreatinin, Kreatinphosphokinase, Laktatdehydrogenase und alkalische Phosphatase im Blut</w:t>
            </w:r>
          </w:p>
        </w:tc>
      </w:tr>
      <w:tr w:rsidR="0016334E" w:rsidRPr="008A4F40" w14:paraId="4D76CF86" w14:textId="77777777" w:rsidTr="00DA7B0B">
        <w:trPr>
          <w:cantSplit/>
        </w:trPr>
        <w:tc>
          <w:tcPr>
            <w:tcW w:w="2235" w:type="dxa"/>
          </w:tcPr>
          <w:p w14:paraId="078373D3" w14:textId="77777777" w:rsidR="0016334E" w:rsidRPr="008A4F40" w:rsidRDefault="0016334E" w:rsidP="004E7659">
            <w:pPr>
              <w:keepNext/>
              <w:rPr>
                <w:i/>
                <w:color w:val="000000"/>
                <w:sz w:val="22"/>
                <w:szCs w:val="22"/>
              </w:rPr>
            </w:pPr>
            <w:r w:rsidRPr="008A4F40">
              <w:rPr>
                <w:i/>
                <w:color w:val="000000"/>
                <w:sz w:val="22"/>
                <w:szCs w:val="22"/>
              </w:rPr>
              <w:t>Selten:</w:t>
            </w:r>
          </w:p>
        </w:tc>
        <w:tc>
          <w:tcPr>
            <w:tcW w:w="7087" w:type="dxa"/>
          </w:tcPr>
          <w:p w14:paraId="58FF1934" w14:textId="77777777" w:rsidR="0016334E" w:rsidRPr="008A4F40" w:rsidRDefault="0016334E" w:rsidP="004E7659">
            <w:pPr>
              <w:keepNext/>
              <w:rPr>
                <w:color w:val="000000"/>
                <w:sz w:val="22"/>
                <w:szCs w:val="22"/>
              </w:rPr>
            </w:pPr>
            <w:r w:rsidRPr="008A4F40">
              <w:rPr>
                <w:color w:val="000000"/>
                <w:sz w:val="22"/>
                <w:szCs w:val="22"/>
              </w:rPr>
              <w:t>Erhöhte Amylase-Werte im Blut</w:t>
            </w:r>
          </w:p>
        </w:tc>
      </w:tr>
      <w:tr w:rsidR="00C67C09" w:rsidRPr="008A4F40" w14:paraId="594411D9" w14:textId="77777777" w:rsidTr="000D4FE2">
        <w:trPr>
          <w:cantSplit/>
          <w:ins w:id="158" w:author="Author"/>
        </w:trPr>
        <w:tc>
          <w:tcPr>
            <w:tcW w:w="9322" w:type="dxa"/>
            <w:gridSpan w:val="2"/>
          </w:tcPr>
          <w:p w14:paraId="72D6B151" w14:textId="77777777" w:rsidR="00C67C09" w:rsidRPr="00DF5410" w:rsidRDefault="00C67C09" w:rsidP="00DF5410">
            <w:pPr>
              <w:keepNext/>
              <w:keepLines/>
              <w:ind w:left="589" w:hanging="589"/>
              <w:rPr>
                <w:ins w:id="159" w:author="Author"/>
              </w:rPr>
            </w:pPr>
            <w:ins w:id="160" w:author="Author">
              <w:r w:rsidRPr="00DF5410">
                <w:t>*</w:t>
              </w:r>
              <w:r w:rsidRPr="00DF5410">
                <w:tab/>
                <w:t>Diese Nebenwirkungen beruhen hauptsächlich auf den Erfahrungen mit Glivec nach Markteinführung. Dies schließt Fälle aus der Spontanerfassung ebenso ein wie schwerwiegende unerwünschte Ereignisse aus laufenden klinischen Studien, den „expanded access programmes“, klinisch-pharmakologischen Studien und explorativen Studien zu nicht zugelassenen Indikationen. Da diese Nebenwirkungen von einer Population unbekannter Größe berichtet wurden, ist es nicht immer möglich, zuverlässig ihre Häufigkeit oder den ursächlichen Zusammenhang mit der Glivec-Exposition zu bestimmen.</w:t>
              </w:r>
            </w:ins>
          </w:p>
          <w:p w14:paraId="660DBA9F" w14:textId="07A59B9C" w:rsidR="00C67C09" w:rsidRPr="00C67C09" w:rsidRDefault="00C67C09" w:rsidP="00DF5410">
            <w:pPr>
              <w:keepNext/>
              <w:keepLines/>
              <w:ind w:left="589" w:hanging="589"/>
              <w:rPr>
                <w:ins w:id="161" w:author="Author"/>
              </w:rPr>
            </w:pPr>
            <w:ins w:id="162" w:author="Author">
              <w:r w:rsidRPr="0061348D">
                <w:rPr>
                  <w:color w:val="000000"/>
                  <w:vertAlign w:val="superscript"/>
                </w:rPr>
                <w:t>1</w:t>
              </w:r>
              <w:r w:rsidRPr="00C67C09">
                <w:tab/>
                <w:t>Pneumonien wurden am häufigsten bei Patienten mit fortgeschrittener CML und mit GIST berichtet.</w:t>
              </w:r>
            </w:ins>
          </w:p>
          <w:p w14:paraId="37BD5927" w14:textId="6E08E000" w:rsidR="00C67C09" w:rsidRPr="00C67C09" w:rsidRDefault="00C67C09" w:rsidP="00DF5410">
            <w:pPr>
              <w:keepNext/>
              <w:keepLines/>
              <w:ind w:left="589" w:hanging="589"/>
              <w:rPr>
                <w:ins w:id="163" w:author="Author"/>
              </w:rPr>
            </w:pPr>
            <w:ins w:id="164" w:author="Author">
              <w:r w:rsidRPr="00665004">
                <w:rPr>
                  <w:color w:val="000000"/>
                  <w:vertAlign w:val="superscript"/>
                </w:rPr>
                <w:t>2</w:t>
              </w:r>
              <w:r w:rsidRPr="00C67C09">
                <w:tab/>
                <w:t>Am häufigsten traten Kopfschmerzen bei GIST-Patienten auf.</w:t>
              </w:r>
            </w:ins>
          </w:p>
          <w:p w14:paraId="7611FC84" w14:textId="798A1B04" w:rsidR="00C67C09" w:rsidRPr="00C67C09" w:rsidRDefault="00C67C09" w:rsidP="00DF5410">
            <w:pPr>
              <w:keepNext/>
              <w:keepLines/>
              <w:ind w:left="589" w:hanging="589"/>
              <w:rPr>
                <w:ins w:id="165" w:author="Author"/>
              </w:rPr>
            </w:pPr>
            <w:ins w:id="166" w:author="Author">
              <w:r w:rsidRPr="00665004">
                <w:rPr>
                  <w:color w:val="000000"/>
                  <w:vertAlign w:val="superscript"/>
                </w:rPr>
                <w:t>3</w:t>
              </w:r>
              <w:r w:rsidRPr="00C67C09">
                <w:tab/>
                <w:t>Auf der Grundlage von Patientenjahren wurden kardiale Ereignisse einschließlich der Stauungsherzinsuffizienz bei Patienten mit fortgeschrittener CML häufiger beobachtet als bei Patienten mit CML in der chronischen Phase.</w:t>
              </w:r>
            </w:ins>
          </w:p>
          <w:p w14:paraId="2B113B81" w14:textId="77EF544C" w:rsidR="00C67C09" w:rsidRPr="00C67C09" w:rsidRDefault="00C67C09" w:rsidP="00DF5410">
            <w:pPr>
              <w:keepNext/>
              <w:keepLines/>
              <w:ind w:left="589" w:hanging="589"/>
              <w:rPr>
                <w:ins w:id="167" w:author="Author"/>
              </w:rPr>
            </w:pPr>
            <w:ins w:id="168" w:author="Author">
              <w:r w:rsidRPr="00665004">
                <w:rPr>
                  <w:color w:val="000000"/>
                  <w:vertAlign w:val="superscript"/>
                </w:rPr>
                <w:t>4</w:t>
              </w:r>
              <w:r w:rsidRPr="00C67C09">
                <w:tab/>
                <w:t>Plötzliche Hautrötung („Flushing“) kam am häufigsten bei GIST-Patienten vor und Blutungen (Hämatome und Hämorrhagien) bei Patienten mit GIST und fortgeschrittener CML (akzelerierte Phase und Blastenkrise).</w:t>
              </w:r>
            </w:ins>
          </w:p>
          <w:p w14:paraId="4F249EE7" w14:textId="5099D9B9" w:rsidR="00C67C09" w:rsidRPr="00C67C09" w:rsidRDefault="00C67C09" w:rsidP="00DF5410">
            <w:pPr>
              <w:keepNext/>
              <w:keepLines/>
              <w:ind w:left="589" w:hanging="589"/>
              <w:rPr>
                <w:ins w:id="169" w:author="Author"/>
              </w:rPr>
            </w:pPr>
            <w:ins w:id="170" w:author="Author">
              <w:r w:rsidRPr="00665004">
                <w:rPr>
                  <w:color w:val="000000"/>
                  <w:vertAlign w:val="superscript"/>
                </w:rPr>
                <w:t>5</w:t>
              </w:r>
              <w:r w:rsidRPr="00C67C09">
                <w:tab/>
                <w:t>Pleuraergüsse wurden häufiger bei GIST-Patienten und bei Patienten mit fortgeschrittener CML (akzelerierte Phase und Blastenkrise) als bei Patienten mit CML in der chronischen Phase berichtet.</w:t>
              </w:r>
            </w:ins>
          </w:p>
          <w:p w14:paraId="4AF0D1FE" w14:textId="2D1E0A31" w:rsidR="00C67C09" w:rsidRPr="00C67C09" w:rsidRDefault="00C67C09" w:rsidP="00DF5410">
            <w:pPr>
              <w:keepNext/>
              <w:keepLines/>
              <w:ind w:left="589" w:hanging="589"/>
              <w:rPr>
                <w:ins w:id="171" w:author="Author"/>
              </w:rPr>
            </w:pPr>
            <w:ins w:id="172" w:author="Author">
              <w:r w:rsidRPr="00665004">
                <w:rPr>
                  <w:color w:val="000000"/>
                  <w:vertAlign w:val="superscript"/>
                </w:rPr>
                <w:t>6+7</w:t>
              </w:r>
              <w:r w:rsidRPr="00C67C09">
                <w:tab/>
                <w:t>Abdominalschmerzen und Blutungen im Gastrointestinaltrakt wurden am häufigsten bei GIST-Patienten beobachtet.</w:t>
              </w:r>
            </w:ins>
          </w:p>
          <w:p w14:paraId="13B4E175" w14:textId="13E81262" w:rsidR="00C67C09" w:rsidRPr="00C67C09" w:rsidRDefault="00C67C09" w:rsidP="00DF5410">
            <w:pPr>
              <w:keepNext/>
              <w:keepLines/>
              <w:ind w:left="589" w:hanging="589"/>
              <w:rPr>
                <w:ins w:id="173" w:author="Author"/>
                <w:color w:val="000000"/>
              </w:rPr>
            </w:pPr>
            <w:ins w:id="174" w:author="Author">
              <w:r w:rsidRPr="00665004">
                <w:rPr>
                  <w:color w:val="000000"/>
                  <w:vertAlign w:val="superscript"/>
                </w:rPr>
                <w:t>8</w:t>
              </w:r>
              <w:r w:rsidRPr="00C67C09">
                <w:tab/>
              </w:r>
              <w:r w:rsidRPr="00C67C09">
                <w:rPr>
                  <w:color w:val="000000"/>
                </w:rPr>
                <w:t>Es wurden einige tödliche Fälle von Leberversagen und Lebernekrose berichtet.</w:t>
              </w:r>
            </w:ins>
          </w:p>
          <w:p w14:paraId="1D39F35D" w14:textId="4D08F0BF" w:rsidR="00C67C09" w:rsidRPr="00C67C09" w:rsidRDefault="00C67C09" w:rsidP="00DF5410">
            <w:pPr>
              <w:keepNext/>
              <w:keepLines/>
              <w:ind w:left="589" w:hanging="589"/>
              <w:rPr>
                <w:ins w:id="175" w:author="Author"/>
              </w:rPr>
            </w:pPr>
            <w:ins w:id="176" w:author="Author">
              <w:r w:rsidRPr="00665004">
                <w:rPr>
                  <w:color w:val="000000"/>
                  <w:vertAlign w:val="superscript"/>
                </w:rPr>
                <w:t>9</w:t>
              </w:r>
              <w:r w:rsidRPr="00C67C09">
                <w:rPr>
                  <w:color w:val="000000"/>
                </w:rPr>
                <w:tab/>
                <w:t>Nach Markteinführung wurden Muskel- und Skelettschmerzen während oder nach Beendigung der Behandlung mit Imatinib beobachtet.</w:t>
              </w:r>
            </w:ins>
          </w:p>
          <w:p w14:paraId="5339F08E" w14:textId="747C375C" w:rsidR="00C67C09" w:rsidRPr="00C67C09" w:rsidRDefault="00C67C09" w:rsidP="00DF5410">
            <w:pPr>
              <w:keepNext/>
              <w:keepLines/>
              <w:ind w:left="589" w:hanging="589"/>
              <w:rPr>
                <w:ins w:id="177" w:author="Author"/>
              </w:rPr>
            </w:pPr>
            <w:ins w:id="178" w:author="Author">
              <w:r w:rsidRPr="00665004">
                <w:rPr>
                  <w:color w:val="000000"/>
                  <w:vertAlign w:val="superscript"/>
                </w:rPr>
                <w:t>10</w:t>
              </w:r>
              <w:r w:rsidRPr="00C67C09">
                <w:tab/>
                <w:t>Muskel- und Skelettschmerzen und ähnliche Ereignisse wurden häufiger bei CML- als bei GIST-Patienten beobachtet.</w:t>
              </w:r>
            </w:ins>
          </w:p>
          <w:p w14:paraId="70CE5325" w14:textId="4D5DAFB1" w:rsidR="00C67C09" w:rsidRPr="00C67C09" w:rsidRDefault="00C67C09" w:rsidP="00DF5410">
            <w:pPr>
              <w:keepLines/>
              <w:ind w:left="589" w:hanging="589"/>
              <w:rPr>
                <w:ins w:id="179" w:author="Author"/>
                <w:color w:val="000000"/>
              </w:rPr>
            </w:pPr>
            <w:ins w:id="180" w:author="Author">
              <w:r w:rsidRPr="00665004">
                <w:rPr>
                  <w:color w:val="000000"/>
                  <w:vertAlign w:val="superscript"/>
                </w:rPr>
                <w:t>11</w:t>
              </w:r>
              <w:r w:rsidRPr="00C67C09">
                <w:tab/>
                <w:t>Bei Patienten mit fortgeschrittener Erkrankung, schweren Infektionen, schwerer Neutropenie und anderen schwerwiegenden Begleiterkrankungen wurden tödliche Fälle berichtet.</w:t>
              </w:r>
            </w:ins>
          </w:p>
          <w:p w14:paraId="2EFDCA3B" w14:textId="05D8DA6C" w:rsidR="00C67C09" w:rsidRPr="008A4F40" w:rsidRDefault="00C67C09" w:rsidP="00DF5410">
            <w:pPr>
              <w:ind w:left="589" w:hanging="589"/>
              <w:rPr>
                <w:ins w:id="181" w:author="Author"/>
                <w:color w:val="000000"/>
                <w:sz w:val="22"/>
                <w:szCs w:val="22"/>
              </w:rPr>
            </w:pPr>
            <w:ins w:id="182" w:author="Author">
              <w:r w:rsidRPr="00665004">
                <w:rPr>
                  <w:color w:val="000000"/>
                  <w:vertAlign w:val="superscript"/>
                </w:rPr>
                <w:t>12</w:t>
              </w:r>
              <w:r w:rsidRPr="00C67C09">
                <w:tab/>
                <w:t>Einschließlich Erythema nodosum.</w:t>
              </w:r>
            </w:ins>
          </w:p>
        </w:tc>
      </w:tr>
    </w:tbl>
    <w:p w14:paraId="54F0ECB1" w14:textId="5416E497" w:rsidR="00646EB3" w:rsidRPr="008A4F40" w:rsidDel="00C67C09" w:rsidRDefault="00646EB3" w:rsidP="004E7659">
      <w:pPr>
        <w:keepNext/>
        <w:keepLines/>
        <w:ind w:left="851" w:hanging="851"/>
        <w:rPr>
          <w:del w:id="183" w:author="Author"/>
          <w:sz w:val="22"/>
          <w:szCs w:val="22"/>
        </w:rPr>
      </w:pPr>
      <w:del w:id="184" w:author="Author">
        <w:r w:rsidRPr="008A4F40" w:rsidDel="00C67C09">
          <w:rPr>
            <w:sz w:val="22"/>
            <w:szCs w:val="22"/>
          </w:rPr>
          <w:delText>*</w:delText>
        </w:r>
        <w:r w:rsidRPr="008A4F40" w:rsidDel="00C67C09">
          <w:rPr>
            <w:sz w:val="22"/>
            <w:szCs w:val="22"/>
          </w:rPr>
          <w:tab/>
          <w:delText xml:space="preserve">Diese Nebenwirkungen beruhen hauptsächlich auf den Erfahrungen mit Glivec nach </w:delText>
        </w:r>
        <w:r w:rsidR="00621238" w:rsidRPr="008A4F40" w:rsidDel="00C67C09">
          <w:rPr>
            <w:sz w:val="22"/>
            <w:szCs w:val="22"/>
          </w:rPr>
          <w:delText>Markteinführung</w:delText>
        </w:r>
        <w:r w:rsidRPr="008A4F40" w:rsidDel="00C67C09">
          <w:rPr>
            <w:sz w:val="22"/>
            <w:szCs w:val="22"/>
          </w:rPr>
          <w:delText>. Dies schließt Fälle aus der Spontanerfassung ebenso ein wie schwerwiegende unerwünschte Ereignisse aus laufenden klinischen Studien, den „expanded access programmes“, klinisch-pharmakologischen Studien und explorativen Studien zu nicht zugelassenen Indikationen. Da diese Nebenwirkungen von einer Population unbekannter Größe berichtet wurden, ist es nicht immer möglich, zuverlässig ihre Häufigkeit oder den ursächlichen Zusammenhang mit der Glivec-Exposition zu bestimmen.</w:delText>
        </w:r>
      </w:del>
    </w:p>
    <w:p w14:paraId="39B52D86" w14:textId="4567FDD5" w:rsidR="003A33A6" w:rsidRPr="008A4F40" w:rsidDel="00C67C09" w:rsidRDefault="003A33A6" w:rsidP="004E7659">
      <w:pPr>
        <w:keepNext/>
        <w:keepLines/>
        <w:ind w:left="851" w:hanging="851"/>
        <w:rPr>
          <w:del w:id="185" w:author="Author"/>
          <w:sz w:val="22"/>
          <w:szCs w:val="22"/>
        </w:rPr>
      </w:pPr>
      <w:del w:id="186" w:author="Author">
        <w:r w:rsidRPr="008A4F40" w:rsidDel="00C67C09">
          <w:rPr>
            <w:sz w:val="22"/>
            <w:szCs w:val="22"/>
          </w:rPr>
          <w:delText>1)</w:delText>
        </w:r>
        <w:r w:rsidRPr="008A4F40" w:rsidDel="00C67C09">
          <w:rPr>
            <w:sz w:val="22"/>
            <w:szCs w:val="22"/>
          </w:rPr>
          <w:tab/>
          <w:delText>Pneumonien wurden am häufigsten bei Patienten mit fortgeschrittener CML und mit GIST berichtet.</w:delText>
        </w:r>
      </w:del>
    </w:p>
    <w:p w14:paraId="76A044BE" w14:textId="28BA585C" w:rsidR="003A33A6" w:rsidRPr="008A4F40" w:rsidDel="00C67C09" w:rsidRDefault="003A33A6" w:rsidP="004E7659">
      <w:pPr>
        <w:keepNext/>
        <w:keepLines/>
        <w:ind w:left="851" w:hanging="851"/>
        <w:rPr>
          <w:del w:id="187" w:author="Author"/>
          <w:sz w:val="22"/>
          <w:szCs w:val="22"/>
        </w:rPr>
      </w:pPr>
      <w:del w:id="188" w:author="Author">
        <w:r w:rsidRPr="008A4F40" w:rsidDel="00C67C09">
          <w:rPr>
            <w:sz w:val="22"/>
            <w:szCs w:val="22"/>
          </w:rPr>
          <w:delText>2)</w:delText>
        </w:r>
        <w:r w:rsidRPr="008A4F40" w:rsidDel="00C67C09">
          <w:rPr>
            <w:sz w:val="22"/>
            <w:szCs w:val="22"/>
          </w:rPr>
          <w:tab/>
          <w:delText>Am häufigsten traten Kopfschmerzen bei GIST-Patienten auf.</w:delText>
        </w:r>
      </w:del>
    </w:p>
    <w:p w14:paraId="7D7A2FC5" w14:textId="1B490184" w:rsidR="003A33A6" w:rsidRPr="008A4F40" w:rsidDel="00C67C09" w:rsidRDefault="003A33A6" w:rsidP="004E7659">
      <w:pPr>
        <w:keepNext/>
        <w:keepLines/>
        <w:ind w:left="851" w:hanging="851"/>
        <w:rPr>
          <w:del w:id="189" w:author="Author"/>
          <w:sz w:val="22"/>
          <w:szCs w:val="22"/>
        </w:rPr>
      </w:pPr>
      <w:del w:id="190" w:author="Author">
        <w:r w:rsidRPr="008A4F40" w:rsidDel="00C67C09">
          <w:rPr>
            <w:sz w:val="22"/>
            <w:szCs w:val="22"/>
          </w:rPr>
          <w:delText>3)</w:delText>
        </w:r>
        <w:r w:rsidRPr="008A4F40" w:rsidDel="00C67C09">
          <w:rPr>
            <w:sz w:val="22"/>
            <w:szCs w:val="22"/>
          </w:rPr>
          <w:tab/>
          <w:delText>Auf der Grundlage von Patientenjahren wurden kardiale Ereignisse einschließlich der Stauungsherzinsuffizienz bei Patienten mit fortgeschrittener CML häufiger beobachtet als bei Patienten mit CML in der chronischen Phase.</w:delText>
        </w:r>
      </w:del>
    </w:p>
    <w:p w14:paraId="5387976B" w14:textId="5D2318A0" w:rsidR="003A33A6" w:rsidRPr="008A4F40" w:rsidDel="00C67C09" w:rsidRDefault="003A33A6" w:rsidP="004E7659">
      <w:pPr>
        <w:keepNext/>
        <w:keepLines/>
        <w:ind w:left="851" w:hanging="851"/>
        <w:rPr>
          <w:del w:id="191" w:author="Author"/>
          <w:sz w:val="22"/>
          <w:szCs w:val="22"/>
        </w:rPr>
      </w:pPr>
      <w:del w:id="192" w:author="Author">
        <w:r w:rsidRPr="008A4F40" w:rsidDel="00C67C09">
          <w:rPr>
            <w:sz w:val="22"/>
            <w:szCs w:val="22"/>
          </w:rPr>
          <w:delText>4)</w:delText>
        </w:r>
        <w:r w:rsidRPr="008A4F40" w:rsidDel="00C67C09">
          <w:rPr>
            <w:sz w:val="22"/>
            <w:szCs w:val="22"/>
          </w:rPr>
          <w:tab/>
          <w:delText>Plötzliche Hautrötung („Flushing“) kam am häufigsten bei GIST-Patienten vor und Blutungen (Hämatome und Hämorrhagien) bei Patienten mit GIST und fortgeschrittener CML (akzelerierte Phase und Blastenkrise).</w:delText>
        </w:r>
      </w:del>
    </w:p>
    <w:p w14:paraId="13C8D1A5" w14:textId="63A56C4F" w:rsidR="003A33A6" w:rsidRPr="008A4F40" w:rsidDel="00C67C09" w:rsidRDefault="003A33A6" w:rsidP="004E7659">
      <w:pPr>
        <w:keepNext/>
        <w:keepLines/>
        <w:ind w:left="851" w:hanging="851"/>
        <w:rPr>
          <w:del w:id="193" w:author="Author"/>
          <w:sz w:val="22"/>
          <w:szCs w:val="22"/>
        </w:rPr>
      </w:pPr>
      <w:del w:id="194" w:author="Author">
        <w:r w:rsidRPr="008A4F40" w:rsidDel="00C67C09">
          <w:rPr>
            <w:sz w:val="22"/>
            <w:szCs w:val="22"/>
          </w:rPr>
          <w:delText>5)</w:delText>
        </w:r>
        <w:r w:rsidRPr="008A4F40" w:rsidDel="00C67C09">
          <w:rPr>
            <w:sz w:val="22"/>
            <w:szCs w:val="22"/>
          </w:rPr>
          <w:tab/>
          <w:delText>Pleuraergüsse wurden häufiger bei GIST-Patienten und bei Patienten mit fortgeschrittener CML (akzelerierte Phase und Blastenkrise) als bei Patienten mit CML in der chronischen Phase berichtet.</w:delText>
        </w:r>
      </w:del>
    </w:p>
    <w:p w14:paraId="1A1F5E64" w14:textId="12CB0E49" w:rsidR="003A33A6" w:rsidRPr="008A4F40" w:rsidDel="00C67C09" w:rsidRDefault="003A33A6" w:rsidP="004E7659">
      <w:pPr>
        <w:keepNext/>
        <w:keepLines/>
        <w:ind w:left="851" w:hanging="851"/>
        <w:rPr>
          <w:del w:id="195" w:author="Author"/>
          <w:sz w:val="22"/>
          <w:szCs w:val="22"/>
        </w:rPr>
      </w:pPr>
      <w:del w:id="196" w:author="Author">
        <w:r w:rsidRPr="008A4F40" w:rsidDel="00C67C09">
          <w:rPr>
            <w:sz w:val="22"/>
            <w:szCs w:val="22"/>
          </w:rPr>
          <w:delText>6) und 7)</w:delText>
        </w:r>
        <w:r w:rsidRPr="008A4F40" w:rsidDel="00C67C09">
          <w:rPr>
            <w:sz w:val="22"/>
            <w:szCs w:val="22"/>
          </w:rPr>
          <w:tab/>
          <w:delText>Abdominalschmerzen und Blutungen im Gastrointestinaltrakt wurden am häufigsten bei GIST-Patienten beobachtet.</w:delText>
        </w:r>
      </w:del>
    </w:p>
    <w:p w14:paraId="4074E5B0" w14:textId="35611340" w:rsidR="003A33A6" w:rsidRPr="008A4F40" w:rsidDel="00C67C09" w:rsidRDefault="003A33A6" w:rsidP="004E7659">
      <w:pPr>
        <w:keepNext/>
        <w:keepLines/>
        <w:ind w:left="851" w:hanging="851"/>
        <w:rPr>
          <w:del w:id="197" w:author="Author"/>
          <w:color w:val="000000"/>
          <w:sz w:val="22"/>
          <w:szCs w:val="22"/>
        </w:rPr>
      </w:pPr>
      <w:del w:id="198" w:author="Author">
        <w:r w:rsidRPr="008A4F40" w:rsidDel="00C67C09">
          <w:rPr>
            <w:sz w:val="22"/>
            <w:szCs w:val="22"/>
          </w:rPr>
          <w:delText>8)</w:delText>
        </w:r>
        <w:r w:rsidRPr="008A4F40" w:rsidDel="00C67C09">
          <w:rPr>
            <w:sz w:val="22"/>
            <w:szCs w:val="22"/>
          </w:rPr>
          <w:tab/>
        </w:r>
        <w:r w:rsidRPr="008A4F40" w:rsidDel="00C67C09">
          <w:rPr>
            <w:color w:val="000000"/>
            <w:sz w:val="22"/>
            <w:szCs w:val="22"/>
          </w:rPr>
          <w:delText>Es wurden einige tödliche Fälle von Leberversagen und Lebernekrose berichtet.</w:delText>
        </w:r>
      </w:del>
    </w:p>
    <w:p w14:paraId="5F9C7617" w14:textId="370DAF9A" w:rsidR="004E0971" w:rsidRPr="008A4F40" w:rsidDel="00C67C09" w:rsidRDefault="004E0971" w:rsidP="004E7659">
      <w:pPr>
        <w:keepNext/>
        <w:keepLines/>
        <w:ind w:left="851" w:hanging="851"/>
        <w:rPr>
          <w:del w:id="199" w:author="Author"/>
          <w:sz w:val="22"/>
          <w:szCs w:val="22"/>
        </w:rPr>
      </w:pPr>
      <w:del w:id="200" w:author="Author">
        <w:r w:rsidRPr="008A4F40" w:rsidDel="00C67C09">
          <w:rPr>
            <w:color w:val="000000"/>
            <w:sz w:val="22"/>
            <w:szCs w:val="22"/>
          </w:rPr>
          <w:delText>9)</w:delText>
        </w:r>
        <w:r w:rsidRPr="008A4F40" w:rsidDel="00C67C09">
          <w:rPr>
            <w:color w:val="000000"/>
            <w:sz w:val="22"/>
            <w:szCs w:val="22"/>
          </w:rPr>
          <w:tab/>
        </w:r>
        <w:r w:rsidR="009C1C5E" w:rsidRPr="008A4F40" w:rsidDel="00C67C09">
          <w:rPr>
            <w:color w:val="000000"/>
            <w:sz w:val="22"/>
            <w:szCs w:val="22"/>
          </w:rPr>
          <w:delText xml:space="preserve">Nach </w:delText>
        </w:r>
        <w:r w:rsidR="00621238" w:rsidRPr="008A4F40" w:rsidDel="00C67C09">
          <w:rPr>
            <w:color w:val="000000"/>
            <w:sz w:val="22"/>
            <w:szCs w:val="22"/>
          </w:rPr>
          <w:delText xml:space="preserve">Markteinführung </w:delText>
        </w:r>
        <w:r w:rsidR="009C1C5E" w:rsidRPr="008A4F40" w:rsidDel="00C67C09">
          <w:rPr>
            <w:color w:val="000000"/>
            <w:sz w:val="22"/>
            <w:szCs w:val="22"/>
          </w:rPr>
          <w:delText xml:space="preserve">wurden </w:delText>
        </w:r>
        <w:r w:rsidRPr="008A4F40" w:rsidDel="00C67C09">
          <w:rPr>
            <w:color w:val="000000"/>
            <w:sz w:val="22"/>
            <w:szCs w:val="22"/>
          </w:rPr>
          <w:delText>Muskel- und Skelettschmerzen während oder nach Beendigung der Behandlung mit Imatinib beobachtet.</w:delText>
        </w:r>
      </w:del>
    </w:p>
    <w:p w14:paraId="106B3271" w14:textId="1E81C8C3" w:rsidR="003A33A6" w:rsidRPr="008A4F40" w:rsidDel="00C67C09" w:rsidRDefault="00BA3DF3" w:rsidP="004E7659">
      <w:pPr>
        <w:keepNext/>
        <w:keepLines/>
        <w:ind w:left="851" w:hanging="851"/>
        <w:rPr>
          <w:del w:id="201" w:author="Author"/>
          <w:sz w:val="22"/>
          <w:szCs w:val="22"/>
        </w:rPr>
      </w:pPr>
      <w:del w:id="202" w:author="Author">
        <w:r w:rsidRPr="008A4F40" w:rsidDel="00C67C09">
          <w:rPr>
            <w:sz w:val="22"/>
            <w:szCs w:val="22"/>
          </w:rPr>
          <w:delText>10</w:delText>
        </w:r>
        <w:r w:rsidR="003A33A6" w:rsidRPr="008A4F40" w:rsidDel="00C67C09">
          <w:rPr>
            <w:sz w:val="22"/>
            <w:szCs w:val="22"/>
          </w:rPr>
          <w:delText>)</w:delText>
        </w:r>
        <w:r w:rsidR="003A33A6" w:rsidRPr="008A4F40" w:rsidDel="00C67C09">
          <w:rPr>
            <w:sz w:val="22"/>
            <w:szCs w:val="22"/>
          </w:rPr>
          <w:tab/>
          <w:delText>Muskel- und Skelettschmerzen und ähnliche Ereignisse wurden häufiger bei CML- als bei GIST-Patienten beobachtet.</w:delText>
        </w:r>
      </w:del>
    </w:p>
    <w:p w14:paraId="7B7AC39B" w14:textId="4519A5D4" w:rsidR="00646EB3" w:rsidRPr="008A4F40" w:rsidDel="00C67C09" w:rsidRDefault="00BA3DF3" w:rsidP="004E7659">
      <w:pPr>
        <w:keepLines/>
        <w:ind w:left="851" w:hanging="851"/>
        <w:rPr>
          <w:del w:id="203" w:author="Author"/>
          <w:color w:val="000000"/>
          <w:sz w:val="22"/>
          <w:szCs w:val="22"/>
        </w:rPr>
      </w:pPr>
      <w:del w:id="204" w:author="Author">
        <w:r w:rsidRPr="008A4F40" w:rsidDel="00C67C09">
          <w:rPr>
            <w:sz w:val="22"/>
            <w:szCs w:val="22"/>
          </w:rPr>
          <w:delText>11</w:delText>
        </w:r>
        <w:r w:rsidR="00646EB3" w:rsidRPr="008A4F40" w:rsidDel="00C67C09">
          <w:rPr>
            <w:sz w:val="22"/>
            <w:szCs w:val="22"/>
          </w:rPr>
          <w:delText>)</w:delText>
        </w:r>
        <w:r w:rsidR="00646EB3" w:rsidRPr="008A4F40" w:rsidDel="00C67C09">
          <w:rPr>
            <w:sz w:val="22"/>
            <w:szCs w:val="22"/>
          </w:rPr>
          <w:tab/>
          <w:delText>Bei Patienten mit fortgeschrittener Erkrankung, schweren Infektionen, schwerer Neutropenie und anderen schwerwiegenden Begleiterkrankungen wurden tödliche Fälle berichtet.</w:delText>
        </w:r>
      </w:del>
    </w:p>
    <w:p w14:paraId="06589204" w14:textId="042AF37F" w:rsidR="00094116" w:rsidRPr="008A4F40" w:rsidDel="00C67C09" w:rsidRDefault="00094116" w:rsidP="004E7659">
      <w:pPr>
        <w:ind w:left="851" w:hanging="851"/>
        <w:rPr>
          <w:del w:id="205" w:author="Author"/>
          <w:color w:val="000000"/>
          <w:sz w:val="22"/>
          <w:szCs w:val="22"/>
        </w:rPr>
      </w:pPr>
      <w:del w:id="206" w:author="Author">
        <w:r w:rsidDel="00C67C09">
          <w:rPr>
            <w:sz w:val="22"/>
            <w:szCs w:val="22"/>
          </w:rPr>
          <w:delText>12)</w:delText>
        </w:r>
        <w:r w:rsidDel="00C67C09">
          <w:rPr>
            <w:sz w:val="22"/>
            <w:szCs w:val="22"/>
          </w:rPr>
          <w:tab/>
        </w:r>
        <w:r w:rsidRPr="006C4E8E" w:rsidDel="00C67C09">
          <w:rPr>
            <w:sz w:val="22"/>
            <w:szCs w:val="22"/>
          </w:rPr>
          <w:delText>Einschließlich Erythema nodosum.</w:delText>
        </w:r>
      </w:del>
    </w:p>
    <w:p w14:paraId="2FAF181B" w14:textId="77777777" w:rsidR="003A33A6" w:rsidRPr="008A4F40" w:rsidRDefault="003A33A6" w:rsidP="004E7659">
      <w:pPr>
        <w:rPr>
          <w:color w:val="000000"/>
          <w:sz w:val="22"/>
          <w:szCs w:val="22"/>
        </w:rPr>
      </w:pPr>
    </w:p>
    <w:p w14:paraId="6B3C94F4" w14:textId="2D7363D5" w:rsidR="003A33A6" w:rsidRPr="00A24EE4" w:rsidRDefault="003A33A6" w:rsidP="004E7659">
      <w:pPr>
        <w:keepNext/>
        <w:rPr>
          <w:sz w:val="22"/>
          <w:szCs w:val="22"/>
          <w:u w:val="single"/>
        </w:rPr>
      </w:pPr>
      <w:r w:rsidRPr="00A24EE4">
        <w:rPr>
          <w:sz w:val="22"/>
          <w:szCs w:val="22"/>
          <w:u w:val="single"/>
        </w:rPr>
        <w:t>Veränderungen der Laborwerte</w:t>
      </w:r>
    </w:p>
    <w:p w14:paraId="3EC9A30B" w14:textId="77777777" w:rsidR="00501538" w:rsidRPr="00A24EE4" w:rsidRDefault="00501538" w:rsidP="004E7659">
      <w:pPr>
        <w:keepNext/>
        <w:rPr>
          <w:sz w:val="22"/>
          <w:szCs w:val="22"/>
        </w:rPr>
      </w:pPr>
    </w:p>
    <w:p w14:paraId="0E2B49FB" w14:textId="77777777" w:rsidR="003A33A6" w:rsidRPr="00A24EE4" w:rsidRDefault="003A33A6" w:rsidP="004E7659">
      <w:pPr>
        <w:keepNext/>
        <w:rPr>
          <w:i/>
          <w:iCs/>
          <w:sz w:val="22"/>
          <w:szCs w:val="22"/>
          <w:u w:val="single"/>
        </w:rPr>
      </w:pPr>
      <w:r w:rsidRPr="00A24EE4">
        <w:rPr>
          <w:i/>
          <w:iCs/>
          <w:sz w:val="22"/>
          <w:szCs w:val="22"/>
          <w:u w:val="single"/>
        </w:rPr>
        <w:t>Blutbild</w:t>
      </w:r>
    </w:p>
    <w:p w14:paraId="2DC1E70B" w14:textId="1FFA03F4" w:rsidR="003A33A6" w:rsidRPr="008A4F40" w:rsidRDefault="003A33A6" w:rsidP="004E7659">
      <w:pPr>
        <w:rPr>
          <w:color w:val="000000"/>
          <w:sz w:val="22"/>
          <w:szCs w:val="22"/>
        </w:rPr>
      </w:pPr>
      <w:r w:rsidRPr="008A4F40">
        <w:rPr>
          <w:color w:val="000000"/>
          <w:sz w:val="22"/>
          <w:szCs w:val="22"/>
        </w:rPr>
        <w:t>Bei CML traten Zytopenien und dabei besonders Neutrozytopenien und Thrombozytopenien in allen Studien auf, mit Hinweis auf eine höhere Häufigkeit bei hohen Dosen von ≥ 750 mg (Phase-I-Studie). Das Vorkommen von Zytopenien war jedoch ebenfalls deutlich vom Stadium der Erkrankung abhängig, wobei die Häufigkeit von Grad 3- oder 4-Neutrozytopenien (ANC &lt; 1,0 x 10</w:t>
      </w:r>
      <w:r w:rsidRPr="008A4F40">
        <w:rPr>
          <w:color w:val="000000"/>
          <w:sz w:val="22"/>
          <w:szCs w:val="22"/>
          <w:vertAlign w:val="superscript"/>
        </w:rPr>
        <w:t>9</w:t>
      </w:r>
      <w:r w:rsidRPr="008A4F40">
        <w:rPr>
          <w:color w:val="000000"/>
          <w:sz w:val="22"/>
          <w:szCs w:val="22"/>
        </w:rPr>
        <w:t>/l) und Thrombozytopenien (Thrombozyten &lt; 50 x 10</w:t>
      </w:r>
      <w:r w:rsidRPr="008A4F40">
        <w:rPr>
          <w:color w:val="000000"/>
          <w:sz w:val="22"/>
          <w:szCs w:val="22"/>
          <w:vertAlign w:val="superscript"/>
        </w:rPr>
        <w:t>9</w:t>
      </w:r>
      <w:r w:rsidRPr="008A4F40">
        <w:rPr>
          <w:color w:val="000000"/>
          <w:sz w:val="22"/>
          <w:szCs w:val="22"/>
        </w:rPr>
        <w:t>/l) in der Blastenkrise und der akzelerierten Phase 4- bis 6-mal höher (59–64% und 44–63% für Neutrozytopenie bzw. Thrombozytopenie) war als bei neu diagnostizierten Patienten in der chronischen Phase (16,7% Neutrozytopenie und 8,9% Thrombozytopenie). Bei neu diagnostizierten Patienten in der chronischen Phase der CML wurden eine Grad 4-Neutrozytopenie (ANC &lt; 0,5 x 10</w:t>
      </w:r>
      <w:r w:rsidRPr="008A4F40">
        <w:rPr>
          <w:color w:val="000000"/>
          <w:sz w:val="22"/>
          <w:szCs w:val="22"/>
          <w:vertAlign w:val="superscript"/>
        </w:rPr>
        <w:t>9</w:t>
      </w:r>
      <w:r w:rsidRPr="008A4F40">
        <w:rPr>
          <w:color w:val="000000"/>
          <w:sz w:val="22"/>
          <w:szCs w:val="22"/>
        </w:rPr>
        <w:t>/l) und Thrombozytopenie (Thrombozyten &lt; 10 x 10</w:t>
      </w:r>
      <w:r w:rsidRPr="008A4F40">
        <w:rPr>
          <w:color w:val="000000"/>
          <w:sz w:val="22"/>
          <w:szCs w:val="22"/>
          <w:vertAlign w:val="superscript"/>
        </w:rPr>
        <w:t>9</w:t>
      </w:r>
      <w:r w:rsidRPr="008A4F40">
        <w:rPr>
          <w:color w:val="000000"/>
          <w:sz w:val="22"/>
          <w:szCs w:val="22"/>
        </w:rPr>
        <w:t>/l) bei 3,6% bzw. &lt; 1% der Patienten beobachtet. Die mittlere Dauer der Neutrozytopenie und Thrombozyto</w:t>
      </w:r>
      <w:del w:id="207" w:author="Author">
        <w:r w:rsidRPr="008A4F40" w:rsidDel="004E7659">
          <w:rPr>
            <w:color w:val="000000"/>
            <w:sz w:val="22"/>
            <w:szCs w:val="22"/>
          </w:rPr>
          <w:softHyphen/>
        </w:r>
      </w:del>
      <w:r w:rsidRPr="008A4F40">
        <w:rPr>
          <w:color w:val="000000"/>
          <w:sz w:val="22"/>
          <w:szCs w:val="22"/>
        </w:rPr>
        <w:t>penie betrug 2–3 bzw. 3–4 Wochen und konnte im Allgemeinen durch eine Dosisreduktion oder mit einer Behandlungspause von Glivec beherrscht werden. In seltenen Fällen war jedoch ein dauerhafter Abbruch der Behandlung erforderlich. Bei Kindern mit CML waren die am häufigsten beobachteten Toxizitäten Grad-3- oder Grad-4-Zytopenien einschließlich Neutropenie, Thrombozytopenie und Anämie. Im Allgemeinen treten diese Nebenwirkungen innerhalb der ersten paar Monate der Therapie auf.</w:t>
      </w:r>
    </w:p>
    <w:p w14:paraId="02C96811" w14:textId="77777777" w:rsidR="003A33A6" w:rsidRPr="008A4F40" w:rsidRDefault="003A33A6" w:rsidP="004E7659">
      <w:pPr>
        <w:rPr>
          <w:color w:val="000000"/>
          <w:sz w:val="22"/>
          <w:szCs w:val="22"/>
        </w:rPr>
      </w:pPr>
    </w:p>
    <w:p w14:paraId="03AA0A34" w14:textId="77777777" w:rsidR="003A33A6" w:rsidRPr="008A4F40" w:rsidRDefault="003A33A6" w:rsidP="004E7659">
      <w:pPr>
        <w:rPr>
          <w:color w:val="000000"/>
          <w:sz w:val="22"/>
          <w:szCs w:val="22"/>
        </w:rPr>
      </w:pPr>
      <w:r w:rsidRPr="008A4F40">
        <w:rPr>
          <w:color w:val="000000"/>
          <w:sz w:val="22"/>
          <w:szCs w:val="22"/>
        </w:rPr>
        <w:t>In der Studie an Patienten mit nicht-resezierbaren und/oder metastasierten GIST wurde in 5,4% bzw. 0,7% der Fälle eine Grad 3- oder Grad 4-Anämie berich</w:t>
      </w:r>
      <w:del w:id="208" w:author="Author">
        <w:r w:rsidRPr="008A4F40" w:rsidDel="004E7659">
          <w:rPr>
            <w:color w:val="000000"/>
            <w:sz w:val="22"/>
            <w:szCs w:val="22"/>
          </w:rPr>
          <w:softHyphen/>
        </w:r>
      </w:del>
      <w:r w:rsidRPr="008A4F40">
        <w:rPr>
          <w:color w:val="000000"/>
          <w:sz w:val="22"/>
          <w:szCs w:val="22"/>
        </w:rPr>
        <w:t>tet. Diese könnten zumindest bei einigen dieser Patienten mit gastrointestinalen oder intratumoralen Blutungen in Zusammenhang gestanden haben. Eine Grad 3- oder Grad 4-Neutropenie wurde bei 7,5% bzw. 2,7% der Patienten beobachtet und eine Grad 3-Thrombozytopenie bei 0,7% der Patienten. Kein Patient entwickelte eine Grad 4-Thrombozytopenie. Die Abnahme der weißen Blutkörperchen und der Neutrophilenzahl trat vor allem in den ersten 6 Wochen der Therapie auf. Danach blieben die Werte relativ stabil.</w:t>
      </w:r>
    </w:p>
    <w:p w14:paraId="2D561EF2" w14:textId="77777777" w:rsidR="003A33A6" w:rsidRPr="008A4F40" w:rsidRDefault="003A33A6" w:rsidP="004E7659">
      <w:pPr>
        <w:rPr>
          <w:color w:val="000000"/>
          <w:sz w:val="22"/>
          <w:szCs w:val="22"/>
        </w:rPr>
      </w:pPr>
    </w:p>
    <w:p w14:paraId="5BEE0145" w14:textId="77777777" w:rsidR="003A33A6" w:rsidRPr="00A24EE4" w:rsidRDefault="003A33A6" w:rsidP="004E7659">
      <w:pPr>
        <w:keepNext/>
        <w:rPr>
          <w:i/>
          <w:iCs/>
          <w:sz w:val="22"/>
          <w:szCs w:val="22"/>
          <w:u w:val="single"/>
        </w:rPr>
      </w:pPr>
      <w:r w:rsidRPr="00A24EE4">
        <w:rPr>
          <w:i/>
          <w:iCs/>
          <w:sz w:val="22"/>
          <w:szCs w:val="22"/>
          <w:u w:val="single"/>
        </w:rPr>
        <w:t>Biochemie</w:t>
      </w:r>
    </w:p>
    <w:p w14:paraId="54B39D14" w14:textId="38117303" w:rsidR="003A33A6" w:rsidRPr="008A4F40" w:rsidRDefault="003A33A6" w:rsidP="004E7659">
      <w:pPr>
        <w:rPr>
          <w:color w:val="000000"/>
          <w:sz w:val="22"/>
          <w:szCs w:val="22"/>
        </w:rPr>
      </w:pPr>
      <w:r w:rsidRPr="008A4F40">
        <w:rPr>
          <w:color w:val="000000"/>
          <w:sz w:val="22"/>
          <w:szCs w:val="22"/>
        </w:rPr>
        <w:t>Bei CML-Patienten traten deutliche Erhöhungen der Transaminasen (&lt; 5%) und des Bilirubin</w:t>
      </w:r>
      <w:r w:rsidR="00C22507">
        <w:rPr>
          <w:color w:val="000000"/>
          <w:sz w:val="22"/>
          <w:szCs w:val="22"/>
        </w:rPr>
        <w:t>s</w:t>
      </w:r>
      <w:r w:rsidRPr="008A4F40">
        <w:rPr>
          <w:color w:val="000000"/>
          <w:sz w:val="22"/>
          <w:szCs w:val="22"/>
        </w:rPr>
        <w:t xml:space="preserve"> auf (&lt; 1%). Diese waren in der Regel durch eine Dosisreduktion oder Behandlungspause beherrschbar (die mediane Dauer dieser Episoden betrug etwa eine Woche). Bei weniger als 1% der CML-Patienten musste die Behandlung wegen Veränderungen der Leberwerte dauerhaft abgebrochen werden. Bei GIST-Patienten (Studie B2222) wurde in 6,8% der Fälle eine ALAT-Erhöhung (Alaninaminotransferase) Grad 3 oder 4 und in 4,8% der Fälle eine ASAT-Erhöhung (Aspartataminotransferase) Grad 3 oder 4 beobachtet. Bilirubinerhöhungen traten bei weniger als 3% der Fälle auf.</w:t>
      </w:r>
    </w:p>
    <w:p w14:paraId="099DE4BB" w14:textId="77777777" w:rsidR="003A33A6" w:rsidRPr="008A4F40" w:rsidRDefault="003A33A6" w:rsidP="004E7659">
      <w:pPr>
        <w:rPr>
          <w:color w:val="000000"/>
          <w:sz w:val="22"/>
          <w:szCs w:val="22"/>
        </w:rPr>
      </w:pPr>
    </w:p>
    <w:p w14:paraId="095C92F5" w14:textId="77777777" w:rsidR="003A33A6" w:rsidRPr="008A4F40" w:rsidRDefault="003A33A6" w:rsidP="004E7659">
      <w:pPr>
        <w:rPr>
          <w:color w:val="000000"/>
          <w:sz w:val="22"/>
          <w:szCs w:val="22"/>
        </w:rPr>
      </w:pPr>
      <w:r w:rsidRPr="008A4F40">
        <w:rPr>
          <w:color w:val="000000"/>
          <w:sz w:val="22"/>
          <w:szCs w:val="22"/>
        </w:rPr>
        <w:t>Es wurden Fälle von zytolytischer und cholestatischer Hepatitis und Leberversagen berichtet; einige dieser Fälle endeten tödlich, einschließlich eines Patienten, der eine hohe Dosis Paracetamol eingenommen hatte.</w:t>
      </w:r>
    </w:p>
    <w:p w14:paraId="3F7E7D3F" w14:textId="77777777" w:rsidR="003A33A6" w:rsidRPr="008A4F40" w:rsidRDefault="003A33A6" w:rsidP="004E7659">
      <w:pPr>
        <w:tabs>
          <w:tab w:val="left" w:pos="720"/>
        </w:tabs>
        <w:rPr>
          <w:noProof/>
          <w:color w:val="000000"/>
          <w:sz w:val="22"/>
          <w:szCs w:val="22"/>
        </w:rPr>
      </w:pPr>
    </w:p>
    <w:p w14:paraId="7297B539" w14:textId="0AD0DDE6" w:rsidR="00AD39CC" w:rsidRPr="008A4F40" w:rsidRDefault="00AD39CC" w:rsidP="004E7659">
      <w:pPr>
        <w:keepNext/>
        <w:rPr>
          <w:color w:val="000000"/>
          <w:sz w:val="22"/>
          <w:szCs w:val="22"/>
          <w:u w:val="single"/>
        </w:rPr>
      </w:pPr>
      <w:r w:rsidRPr="008A4F40">
        <w:rPr>
          <w:color w:val="000000"/>
          <w:sz w:val="22"/>
          <w:szCs w:val="22"/>
          <w:u w:val="single"/>
        </w:rPr>
        <w:t>Beschreibung ausgewählter Nebenwirkungen</w:t>
      </w:r>
    </w:p>
    <w:p w14:paraId="09DD85F1" w14:textId="77777777" w:rsidR="00501538" w:rsidRPr="008A4F40" w:rsidRDefault="00501538" w:rsidP="004E7659">
      <w:pPr>
        <w:keepNext/>
        <w:rPr>
          <w:color w:val="000000"/>
          <w:sz w:val="22"/>
          <w:szCs w:val="22"/>
          <w:u w:val="single"/>
        </w:rPr>
      </w:pPr>
    </w:p>
    <w:p w14:paraId="411035A8" w14:textId="77777777" w:rsidR="00AD39CC" w:rsidRPr="008A4F40" w:rsidRDefault="00AD39CC" w:rsidP="004E7659">
      <w:pPr>
        <w:keepNext/>
        <w:rPr>
          <w:i/>
          <w:color w:val="000000"/>
          <w:sz w:val="22"/>
          <w:szCs w:val="22"/>
          <w:u w:val="single"/>
        </w:rPr>
      </w:pPr>
      <w:r w:rsidRPr="008A4F40">
        <w:rPr>
          <w:i/>
          <w:color w:val="000000"/>
          <w:sz w:val="22"/>
          <w:szCs w:val="22"/>
          <w:u w:val="single"/>
        </w:rPr>
        <w:t>Hepatitis-B-Reaktivierung</w:t>
      </w:r>
    </w:p>
    <w:p w14:paraId="25E741E1" w14:textId="77777777" w:rsidR="00AD39CC" w:rsidRPr="008A4F40" w:rsidRDefault="00AD39CC" w:rsidP="004E7659">
      <w:pPr>
        <w:rPr>
          <w:color w:val="000000"/>
          <w:sz w:val="22"/>
          <w:szCs w:val="22"/>
        </w:rPr>
      </w:pPr>
      <w:r w:rsidRPr="008A4F40">
        <w:rPr>
          <w:color w:val="000000"/>
          <w:sz w:val="22"/>
          <w:szCs w:val="22"/>
        </w:rPr>
        <w:t>In Zusammenhang mit BCR-ABL-Tyrosinkinase-Inhibitoren wurden Hepatitis-B-Reaktivierungen beobachtet. Einige Fälle führten zu akutem Leberversagen oder zu fulminanter Hepatitis, die eine Lebertransplantation notwendig machten oder zum Tod führten (siehe Abschnitt</w:t>
      </w:r>
      <w:r w:rsidR="00EB60E4" w:rsidRPr="008A4F40">
        <w:rPr>
          <w:color w:val="000000"/>
          <w:sz w:val="22"/>
          <w:szCs w:val="22"/>
        </w:rPr>
        <w:t> </w:t>
      </w:r>
      <w:r w:rsidRPr="008A4F40">
        <w:rPr>
          <w:color w:val="000000"/>
          <w:sz w:val="22"/>
          <w:szCs w:val="22"/>
        </w:rPr>
        <w:t>4.4).</w:t>
      </w:r>
    </w:p>
    <w:p w14:paraId="33D71208" w14:textId="77777777" w:rsidR="00AD39CC" w:rsidRPr="008A4F40" w:rsidRDefault="00AD39CC" w:rsidP="004E7659">
      <w:pPr>
        <w:tabs>
          <w:tab w:val="left" w:pos="720"/>
        </w:tabs>
        <w:rPr>
          <w:noProof/>
          <w:color w:val="000000"/>
          <w:sz w:val="22"/>
          <w:szCs w:val="22"/>
        </w:rPr>
      </w:pPr>
    </w:p>
    <w:p w14:paraId="5CDB86B6" w14:textId="05F7C215" w:rsidR="003A33A6" w:rsidRPr="008A4F40" w:rsidRDefault="003A33A6" w:rsidP="004E7659">
      <w:pPr>
        <w:keepNext/>
        <w:rPr>
          <w:noProof/>
          <w:sz w:val="22"/>
          <w:szCs w:val="22"/>
          <w:u w:val="single"/>
        </w:rPr>
      </w:pPr>
      <w:r w:rsidRPr="008A4F40">
        <w:rPr>
          <w:noProof/>
          <w:sz w:val="22"/>
          <w:szCs w:val="22"/>
          <w:u w:val="single"/>
        </w:rPr>
        <w:t>Meldung des Verdachts auf Nebenwirkungen</w:t>
      </w:r>
    </w:p>
    <w:p w14:paraId="0CDD579B" w14:textId="77777777" w:rsidR="00501538" w:rsidRPr="008A4F40" w:rsidRDefault="00501538" w:rsidP="004E7659">
      <w:pPr>
        <w:keepNext/>
        <w:rPr>
          <w:sz w:val="22"/>
          <w:szCs w:val="22"/>
          <w:u w:val="single"/>
        </w:rPr>
      </w:pPr>
    </w:p>
    <w:p w14:paraId="6CCBCABB" w14:textId="69E3C97F" w:rsidR="003A33A6" w:rsidRPr="008A4F40" w:rsidRDefault="003A33A6" w:rsidP="004E7659">
      <w:pPr>
        <w:rPr>
          <w:color w:val="000000"/>
          <w:sz w:val="22"/>
          <w:szCs w:val="22"/>
        </w:rPr>
      </w:pPr>
      <w:r w:rsidRPr="008A4F40">
        <w:rPr>
          <w:noProof/>
          <w:sz w:val="22"/>
          <w:szCs w:val="22"/>
        </w:rPr>
        <w:t>Die Meldung des Verdachts auf Nebenwirkungen nach der Zulassung ist von großer Wichtigkeit.</w:t>
      </w:r>
      <w:r w:rsidRPr="008A4F40">
        <w:rPr>
          <w:sz w:val="22"/>
          <w:szCs w:val="22"/>
        </w:rPr>
        <w:t xml:space="preserve"> </w:t>
      </w:r>
      <w:r w:rsidRPr="008A4F40">
        <w:rPr>
          <w:noProof/>
          <w:sz w:val="22"/>
          <w:szCs w:val="22"/>
        </w:rPr>
        <w:t>Sie ermöglicht eine kontinuierliche Überwachung des Nutzen-Risiko-Verhältnisses des Arzneimittels.</w:t>
      </w:r>
      <w:r w:rsidRPr="008A4F40">
        <w:rPr>
          <w:sz w:val="22"/>
          <w:szCs w:val="22"/>
        </w:rPr>
        <w:t xml:space="preserve"> Angehörige von Gesundheitsberufen</w:t>
      </w:r>
      <w:r w:rsidRPr="008A4F40">
        <w:rPr>
          <w:noProof/>
          <w:sz w:val="22"/>
          <w:szCs w:val="22"/>
        </w:rPr>
        <w:t xml:space="preserve"> sind aufgefordert, jeden Verdachtsfall einer Nebenwirkung über </w:t>
      </w:r>
      <w:r w:rsidRPr="008A4F40">
        <w:rPr>
          <w:noProof/>
          <w:sz w:val="22"/>
          <w:szCs w:val="22"/>
          <w:shd w:val="pct15" w:color="auto" w:fill="auto"/>
        </w:rPr>
        <w:t xml:space="preserve">das in </w:t>
      </w:r>
      <w:r>
        <w:fldChar w:fldCharType="begin"/>
      </w:r>
      <w:ins w:id="209" w:author="Author">
        <w:r w:rsidR="002A594A">
          <w:instrText>HYPERLINK "https://www.ema.europa.eu/documents/template-form/qrd-appendix-v-adverse-drug-reaction-reporting-details_en.docx"</w:instrText>
        </w:r>
      </w:ins>
      <w:del w:id="210" w:author="Author">
        <w:r w:rsidDel="002A594A">
          <w:delInstrText>HYPERLINK "http://www.ema.europa.eu/docs/en_GB/document_library/Template_or_form/2013/03/WC500139752.doc"</w:delInstrText>
        </w:r>
      </w:del>
      <w:r>
        <w:fldChar w:fldCharType="separate"/>
      </w:r>
      <w:r w:rsidRPr="008A4F40">
        <w:rPr>
          <w:rStyle w:val="Hyperlink"/>
          <w:noProof/>
          <w:sz w:val="22"/>
          <w:szCs w:val="22"/>
          <w:shd w:val="pct15" w:color="auto" w:fill="auto"/>
        </w:rPr>
        <w:t>Anhang V</w:t>
      </w:r>
      <w:r>
        <w:fldChar w:fldCharType="end"/>
      </w:r>
      <w:r w:rsidRPr="008A4F40">
        <w:rPr>
          <w:noProof/>
          <w:sz w:val="22"/>
          <w:szCs w:val="22"/>
          <w:shd w:val="pct15" w:color="auto" w:fill="auto"/>
        </w:rPr>
        <w:t xml:space="preserve"> aufgeführte nationale Meldesystem</w:t>
      </w:r>
      <w:r w:rsidRPr="008A4F40">
        <w:rPr>
          <w:noProof/>
          <w:sz w:val="22"/>
          <w:szCs w:val="22"/>
        </w:rPr>
        <w:t xml:space="preserve"> anzuzeigen.</w:t>
      </w:r>
    </w:p>
    <w:p w14:paraId="612D673C" w14:textId="77777777" w:rsidR="003A33A6" w:rsidRPr="008A4F40" w:rsidRDefault="003A33A6" w:rsidP="004E7659">
      <w:pPr>
        <w:rPr>
          <w:color w:val="000000"/>
          <w:sz w:val="22"/>
          <w:szCs w:val="22"/>
        </w:rPr>
      </w:pPr>
    </w:p>
    <w:p w14:paraId="25DE5A04" w14:textId="77777777" w:rsidR="003A33A6" w:rsidRPr="008A4F40" w:rsidRDefault="003A33A6" w:rsidP="004E7659">
      <w:pPr>
        <w:keepNext/>
        <w:ind w:left="567" w:hanging="567"/>
        <w:rPr>
          <w:b/>
          <w:color w:val="000000"/>
          <w:sz w:val="22"/>
          <w:szCs w:val="22"/>
        </w:rPr>
      </w:pPr>
      <w:r w:rsidRPr="008A4F40">
        <w:rPr>
          <w:b/>
          <w:color w:val="000000"/>
          <w:sz w:val="22"/>
          <w:szCs w:val="22"/>
        </w:rPr>
        <w:t>4.9</w:t>
      </w:r>
      <w:r w:rsidRPr="008A4F40">
        <w:rPr>
          <w:b/>
          <w:color w:val="000000"/>
          <w:sz w:val="22"/>
          <w:szCs w:val="22"/>
        </w:rPr>
        <w:tab/>
        <w:t>Überdosierung</w:t>
      </w:r>
    </w:p>
    <w:p w14:paraId="5E301089" w14:textId="77777777" w:rsidR="003A33A6" w:rsidRPr="008A4F40" w:rsidRDefault="003A33A6" w:rsidP="004E7659">
      <w:pPr>
        <w:keepNext/>
        <w:ind w:left="567" w:hanging="567"/>
        <w:rPr>
          <w:color w:val="000000"/>
          <w:sz w:val="22"/>
          <w:szCs w:val="22"/>
        </w:rPr>
      </w:pPr>
    </w:p>
    <w:p w14:paraId="74F743BD" w14:textId="77777777" w:rsidR="003A33A6" w:rsidRPr="008A4F40" w:rsidRDefault="003A33A6" w:rsidP="004E7659">
      <w:pPr>
        <w:keepNext/>
        <w:rPr>
          <w:color w:val="000000"/>
          <w:sz w:val="22"/>
          <w:szCs w:val="22"/>
        </w:rPr>
      </w:pPr>
      <w:r w:rsidRPr="008A4F40">
        <w:rPr>
          <w:color w:val="000000"/>
          <w:sz w:val="22"/>
          <w:szCs w:val="22"/>
        </w:rPr>
        <w:t>Die Erfahrung mit höheren Dosen als der empfohlenen therapeutischen Dosis ist begrenzt. Einzelne Fälle einer Glivec-Überdosierung wurden im Rahmen der Spontanerfassung und in der Literatur berichtet. Im Falle einer Überdosierung sollte der Patient überwacht und eine geeignete symptomatische Behandlung durchgeführt werden. Im Allgemeinen wurde der Ausgang dieser Fälle als „verbessert“ oder „wiederhergestellt“ berichtet. Folgende Ereignisse wurden für unterschiedliche Dosisbereiche berichtet:</w:t>
      </w:r>
    </w:p>
    <w:p w14:paraId="4CEEA00C" w14:textId="77777777" w:rsidR="003A33A6" w:rsidRPr="008A4F40" w:rsidRDefault="003A33A6" w:rsidP="004E7659">
      <w:pPr>
        <w:keepNext/>
        <w:rPr>
          <w:color w:val="000000"/>
          <w:sz w:val="22"/>
          <w:szCs w:val="22"/>
        </w:rPr>
      </w:pPr>
    </w:p>
    <w:p w14:paraId="797EC5E5" w14:textId="61946D06" w:rsidR="003A33A6" w:rsidRPr="008A4F40" w:rsidRDefault="003A33A6" w:rsidP="004E7659">
      <w:pPr>
        <w:keepNext/>
        <w:rPr>
          <w:color w:val="000000"/>
          <w:sz w:val="22"/>
          <w:szCs w:val="22"/>
          <w:u w:val="single"/>
        </w:rPr>
      </w:pPr>
      <w:r w:rsidRPr="008A4F40">
        <w:rPr>
          <w:color w:val="000000"/>
          <w:sz w:val="22"/>
          <w:szCs w:val="22"/>
          <w:u w:val="single"/>
        </w:rPr>
        <w:t>Erwachsene</w:t>
      </w:r>
    </w:p>
    <w:p w14:paraId="162769BB" w14:textId="77777777" w:rsidR="00501538" w:rsidRPr="008A4F40" w:rsidRDefault="00501538" w:rsidP="004E7659">
      <w:pPr>
        <w:keepNext/>
        <w:rPr>
          <w:color w:val="000000"/>
          <w:sz w:val="22"/>
          <w:szCs w:val="22"/>
          <w:u w:val="single"/>
        </w:rPr>
      </w:pPr>
    </w:p>
    <w:p w14:paraId="0F7AE4B8" w14:textId="3D9816E6" w:rsidR="003A33A6" w:rsidRPr="008A4F40" w:rsidRDefault="003A33A6" w:rsidP="004E7659">
      <w:pPr>
        <w:rPr>
          <w:color w:val="000000"/>
          <w:sz w:val="22"/>
          <w:szCs w:val="22"/>
        </w:rPr>
      </w:pPr>
      <w:r w:rsidRPr="008A4F40">
        <w:rPr>
          <w:color w:val="000000"/>
          <w:sz w:val="22"/>
          <w:szCs w:val="22"/>
        </w:rPr>
        <w:t>1</w:t>
      </w:r>
      <w:ins w:id="211" w:author="Author">
        <w:r w:rsidR="008A10B3">
          <w:rPr>
            <w:color w:val="000000"/>
            <w:sz w:val="22"/>
            <w:szCs w:val="22"/>
          </w:rPr>
          <w:t> </w:t>
        </w:r>
      </w:ins>
      <w:r w:rsidRPr="008A4F40">
        <w:rPr>
          <w:color w:val="000000"/>
          <w:sz w:val="22"/>
          <w:szCs w:val="22"/>
        </w:rPr>
        <w:t>200 bis 1</w:t>
      </w:r>
      <w:ins w:id="212" w:author="Author">
        <w:r w:rsidR="008A10B3">
          <w:rPr>
            <w:color w:val="000000"/>
            <w:sz w:val="22"/>
            <w:szCs w:val="22"/>
          </w:rPr>
          <w:t> </w:t>
        </w:r>
      </w:ins>
      <w:r w:rsidRPr="008A4F40">
        <w:rPr>
          <w:color w:val="000000"/>
          <w:sz w:val="22"/>
          <w:szCs w:val="22"/>
        </w:rPr>
        <w:t>600 mg (unterschiedliche Dauer zwischen 1 und 10 Tagen): Übelkeit, Erbrechen, Durchfall, Hautausschlag, Erythem, Ödem, Schwellung, Müdigkeit, Muskelkrämpfe, Thrombozytopenie, Panzytopenie, Abdominalschmerzen, Kopfschmerzen, verminderter Appetit.</w:t>
      </w:r>
    </w:p>
    <w:p w14:paraId="78A52A80" w14:textId="3A9E36DA" w:rsidR="003A33A6" w:rsidRPr="008A4F40" w:rsidRDefault="003A33A6" w:rsidP="004E7659">
      <w:pPr>
        <w:rPr>
          <w:color w:val="000000"/>
          <w:sz w:val="22"/>
          <w:szCs w:val="22"/>
        </w:rPr>
      </w:pPr>
      <w:r w:rsidRPr="008A4F40">
        <w:rPr>
          <w:color w:val="000000"/>
          <w:sz w:val="22"/>
          <w:szCs w:val="22"/>
        </w:rPr>
        <w:t>1</w:t>
      </w:r>
      <w:ins w:id="213" w:author="Author">
        <w:r w:rsidR="008A10B3">
          <w:rPr>
            <w:color w:val="000000"/>
            <w:sz w:val="22"/>
            <w:szCs w:val="22"/>
          </w:rPr>
          <w:t> </w:t>
        </w:r>
      </w:ins>
      <w:r w:rsidRPr="008A4F40">
        <w:rPr>
          <w:color w:val="000000"/>
          <w:sz w:val="22"/>
          <w:szCs w:val="22"/>
        </w:rPr>
        <w:t>800 bis 3</w:t>
      </w:r>
      <w:ins w:id="214" w:author="Author">
        <w:r w:rsidR="008A10B3">
          <w:rPr>
            <w:color w:val="000000"/>
            <w:sz w:val="22"/>
            <w:szCs w:val="22"/>
          </w:rPr>
          <w:t> </w:t>
        </w:r>
      </w:ins>
      <w:r w:rsidRPr="008A4F40">
        <w:rPr>
          <w:color w:val="000000"/>
          <w:sz w:val="22"/>
          <w:szCs w:val="22"/>
        </w:rPr>
        <w:t>200 mg (bis maximal 3</w:t>
      </w:r>
      <w:ins w:id="215" w:author="Author">
        <w:r w:rsidR="008A10B3">
          <w:rPr>
            <w:color w:val="000000"/>
            <w:sz w:val="22"/>
            <w:szCs w:val="22"/>
          </w:rPr>
          <w:t> </w:t>
        </w:r>
      </w:ins>
      <w:r w:rsidRPr="008A4F40">
        <w:rPr>
          <w:color w:val="000000"/>
          <w:sz w:val="22"/>
          <w:szCs w:val="22"/>
        </w:rPr>
        <w:t>200 mg täglich über 6 Tage): Schwäche, Myalgie, erhöhte Kreatinphosphokinase, erhöhtes Bilirubin, gastrointestinale Schmerzen.</w:t>
      </w:r>
    </w:p>
    <w:p w14:paraId="735C7186" w14:textId="69AC22DC" w:rsidR="003A33A6" w:rsidRPr="008A4F40" w:rsidRDefault="003A33A6" w:rsidP="004E7659">
      <w:pPr>
        <w:rPr>
          <w:color w:val="000000"/>
          <w:sz w:val="22"/>
          <w:szCs w:val="22"/>
        </w:rPr>
      </w:pPr>
      <w:r w:rsidRPr="008A4F40">
        <w:rPr>
          <w:color w:val="000000"/>
          <w:sz w:val="22"/>
          <w:szCs w:val="22"/>
        </w:rPr>
        <w:t>6</w:t>
      </w:r>
      <w:ins w:id="216" w:author="Author">
        <w:r w:rsidR="008A10B3">
          <w:rPr>
            <w:color w:val="000000"/>
            <w:sz w:val="22"/>
            <w:szCs w:val="22"/>
          </w:rPr>
          <w:t> </w:t>
        </w:r>
      </w:ins>
      <w:r w:rsidRPr="008A4F40">
        <w:rPr>
          <w:color w:val="000000"/>
          <w:sz w:val="22"/>
          <w:szCs w:val="22"/>
        </w:rPr>
        <w:t>400 mg (Einzeldosis): In der Literatur wurde ein Fall eines Patienten berichtet, der Übelkeit, Erbrechen, Abdominalschmerzen, Fieber, Gesichtsschwellung, eine verminderte Zahl der Neutrophilen und erhöhte Transaminasen entwickelte.</w:t>
      </w:r>
    </w:p>
    <w:p w14:paraId="3C7C19CA" w14:textId="77777777" w:rsidR="003A33A6" w:rsidRPr="008A4F40" w:rsidRDefault="003A33A6" w:rsidP="004E7659">
      <w:pPr>
        <w:rPr>
          <w:color w:val="000000"/>
          <w:sz w:val="22"/>
          <w:szCs w:val="22"/>
        </w:rPr>
      </w:pPr>
      <w:r w:rsidRPr="008A4F40">
        <w:rPr>
          <w:color w:val="000000"/>
          <w:sz w:val="22"/>
          <w:szCs w:val="22"/>
        </w:rPr>
        <w:t>8 bis 10 g (Einzeldosis): Erbrechen und abdominelle Schmerzen wurden berichtet.</w:t>
      </w:r>
    </w:p>
    <w:p w14:paraId="7FF63AD0" w14:textId="77777777" w:rsidR="003A33A6" w:rsidRPr="008A4F40" w:rsidRDefault="003A33A6" w:rsidP="004E7659">
      <w:pPr>
        <w:rPr>
          <w:color w:val="000000"/>
          <w:sz w:val="22"/>
          <w:szCs w:val="22"/>
        </w:rPr>
      </w:pPr>
    </w:p>
    <w:p w14:paraId="243B3500" w14:textId="389E8960" w:rsidR="003A33A6" w:rsidRPr="008A4F40" w:rsidRDefault="003A33A6" w:rsidP="004E7659">
      <w:pPr>
        <w:keepNext/>
        <w:rPr>
          <w:color w:val="000000"/>
          <w:sz w:val="22"/>
          <w:szCs w:val="22"/>
          <w:u w:val="single"/>
        </w:rPr>
      </w:pPr>
      <w:r w:rsidRPr="008A4F40">
        <w:rPr>
          <w:color w:val="000000"/>
          <w:sz w:val="22"/>
          <w:szCs w:val="22"/>
          <w:u w:val="single"/>
        </w:rPr>
        <w:t>Kinder und Jugendliche</w:t>
      </w:r>
    </w:p>
    <w:p w14:paraId="350904B6" w14:textId="77777777" w:rsidR="00501538" w:rsidRPr="008A4F40" w:rsidRDefault="00501538" w:rsidP="004E7659">
      <w:pPr>
        <w:keepNext/>
        <w:rPr>
          <w:color w:val="000000"/>
          <w:sz w:val="22"/>
          <w:szCs w:val="22"/>
          <w:u w:val="single"/>
        </w:rPr>
      </w:pPr>
    </w:p>
    <w:p w14:paraId="0E6D0929" w14:textId="77777777" w:rsidR="003A33A6" w:rsidRPr="008A4F40" w:rsidRDefault="003A33A6" w:rsidP="004E7659">
      <w:pPr>
        <w:rPr>
          <w:color w:val="000000"/>
          <w:sz w:val="22"/>
          <w:szCs w:val="22"/>
        </w:rPr>
      </w:pPr>
      <w:r w:rsidRPr="008A4F40">
        <w:rPr>
          <w:color w:val="000000"/>
          <w:sz w:val="22"/>
          <w:szCs w:val="22"/>
        </w:rPr>
        <w:t>Ein 3 Jahre alter Junge, der eine Einzeldosis von 400 mg erhalten hatte, entwickelte Erbrechen, Diarrhoe und Appetitlosigkeit, und ein weiterer 3 Jahre alter Junge, der eine Dosis von 980 mg erhalten hatte, entwickelte eine Abnahme der Leukozytenzahl und eine Diarrhoe.</w:t>
      </w:r>
    </w:p>
    <w:p w14:paraId="08051A4D" w14:textId="77777777" w:rsidR="003A33A6" w:rsidRPr="008A4F40" w:rsidRDefault="003A33A6" w:rsidP="004E7659">
      <w:pPr>
        <w:pStyle w:val="Header"/>
        <w:tabs>
          <w:tab w:val="clear" w:pos="4320"/>
          <w:tab w:val="clear" w:pos="8640"/>
        </w:tabs>
        <w:rPr>
          <w:color w:val="000000"/>
          <w:szCs w:val="22"/>
        </w:rPr>
      </w:pPr>
    </w:p>
    <w:p w14:paraId="46CEBC7C" w14:textId="77777777" w:rsidR="003A33A6" w:rsidRPr="008A4F40" w:rsidRDefault="003A33A6" w:rsidP="004E7659">
      <w:pPr>
        <w:rPr>
          <w:color w:val="000000"/>
          <w:sz w:val="22"/>
          <w:szCs w:val="22"/>
        </w:rPr>
      </w:pPr>
      <w:r w:rsidRPr="008A4F40">
        <w:rPr>
          <w:color w:val="000000"/>
          <w:sz w:val="22"/>
          <w:szCs w:val="22"/>
        </w:rPr>
        <w:t>Im Falle einer Überdosierung sollte der Patient überwacht und eine geeignete supportive Behandlung durchgeführt werden.</w:t>
      </w:r>
    </w:p>
    <w:p w14:paraId="0421C9F3" w14:textId="77777777" w:rsidR="003A33A6" w:rsidRPr="008A4F40" w:rsidRDefault="003A33A6" w:rsidP="004E7659">
      <w:pPr>
        <w:rPr>
          <w:color w:val="000000"/>
          <w:sz w:val="22"/>
          <w:szCs w:val="22"/>
        </w:rPr>
      </w:pPr>
    </w:p>
    <w:p w14:paraId="1F4D2E25" w14:textId="77777777" w:rsidR="003A33A6" w:rsidRPr="008A4F40" w:rsidRDefault="003A33A6" w:rsidP="004E7659">
      <w:pPr>
        <w:rPr>
          <w:color w:val="000000"/>
          <w:sz w:val="22"/>
          <w:szCs w:val="22"/>
        </w:rPr>
      </w:pPr>
    </w:p>
    <w:p w14:paraId="6EF00420" w14:textId="77777777" w:rsidR="003A33A6" w:rsidRPr="008A4F40" w:rsidRDefault="003A33A6" w:rsidP="004E7659">
      <w:pPr>
        <w:keepNext/>
        <w:ind w:left="567" w:hanging="567"/>
        <w:rPr>
          <w:color w:val="000000"/>
          <w:sz w:val="22"/>
          <w:szCs w:val="22"/>
        </w:rPr>
      </w:pPr>
      <w:r w:rsidRPr="008A4F40">
        <w:rPr>
          <w:b/>
          <w:color w:val="000000"/>
          <w:sz w:val="22"/>
          <w:szCs w:val="22"/>
        </w:rPr>
        <w:t>5.</w:t>
      </w:r>
      <w:r w:rsidRPr="008A4F40">
        <w:rPr>
          <w:b/>
          <w:color w:val="000000"/>
          <w:sz w:val="22"/>
          <w:szCs w:val="22"/>
        </w:rPr>
        <w:tab/>
        <w:t>PHARMAKOLOGISCHE EIGENSCHAFTEN</w:t>
      </w:r>
    </w:p>
    <w:p w14:paraId="08DB32CB" w14:textId="77777777" w:rsidR="003A33A6" w:rsidRPr="008A4F40" w:rsidRDefault="003A33A6" w:rsidP="004E7659">
      <w:pPr>
        <w:pStyle w:val="Header"/>
        <w:keepNext/>
        <w:tabs>
          <w:tab w:val="clear" w:pos="4320"/>
          <w:tab w:val="clear" w:pos="8640"/>
        </w:tabs>
        <w:rPr>
          <w:color w:val="000000"/>
          <w:szCs w:val="22"/>
        </w:rPr>
      </w:pPr>
    </w:p>
    <w:p w14:paraId="5C385044" w14:textId="77777777" w:rsidR="003A33A6" w:rsidRPr="008A4F40" w:rsidRDefault="003A33A6" w:rsidP="004E7659">
      <w:pPr>
        <w:keepNext/>
        <w:ind w:left="567" w:hanging="567"/>
        <w:rPr>
          <w:color w:val="000000"/>
          <w:sz w:val="22"/>
          <w:szCs w:val="22"/>
        </w:rPr>
      </w:pPr>
      <w:r w:rsidRPr="008A4F40">
        <w:rPr>
          <w:b/>
          <w:color w:val="000000"/>
          <w:sz w:val="22"/>
          <w:szCs w:val="22"/>
        </w:rPr>
        <w:t>5.1</w:t>
      </w:r>
      <w:r w:rsidRPr="008A4F40">
        <w:rPr>
          <w:b/>
          <w:color w:val="000000"/>
          <w:sz w:val="22"/>
          <w:szCs w:val="22"/>
        </w:rPr>
        <w:tab/>
        <w:t>Pharmakodynamische Eigenschaften</w:t>
      </w:r>
    </w:p>
    <w:p w14:paraId="776C1538" w14:textId="77777777" w:rsidR="003A33A6" w:rsidRPr="008A4F40" w:rsidRDefault="003A33A6" w:rsidP="004E7659">
      <w:pPr>
        <w:keepNext/>
        <w:rPr>
          <w:color w:val="000000"/>
          <w:sz w:val="22"/>
          <w:szCs w:val="22"/>
        </w:rPr>
      </w:pPr>
    </w:p>
    <w:p w14:paraId="0877015B" w14:textId="1BB3602E" w:rsidR="003A33A6" w:rsidRPr="008A4F40" w:rsidRDefault="003A33A6" w:rsidP="004E7659">
      <w:pPr>
        <w:tabs>
          <w:tab w:val="left" w:pos="7088"/>
        </w:tabs>
        <w:rPr>
          <w:color w:val="000000"/>
          <w:sz w:val="22"/>
          <w:szCs w:val="22"/>
        </w:rPr>
      </w:pPr>
      <w:r w:rsidRPr="008A4F40">
        <w:rPr>
          <w:color w:val="000000"/>
          <w:sz w:val="22"/>
          <w:szCs w:val="22"/>
        </w:rPr>
        <w:t xml:space="preserve">Pharmakotherapeutische Gruppe: </w:t>
      </w:r>
      <w:r w:rsidR="004F1D8B" w:rsidRPr="008A4F40">
        <w:rPr>
          <w:sz w:val="22"/>
          <w:szCs w:val="28"/>
        </w:rPr>
        <w:t xml:space="preserve">Antineoplastische Mittel, </w:t>
      </w:r>
      <w:r w:rsidR="00501538" w:rsidRPr="008A4F40">
        <w:rPr>
          <w:color w:val="000000"/>
          <w:sz w:val="22"/>
          <w:szCs w:val="22"/>
        </w:rPr>
        <w:t>BCR</w:t>
      </w:r>
      <w:r w:rsidR="00501538" w:rsidRPr="008A4F40">
        <w:rPr>
          <w:color w:val="000000"/>
          <w:sz w:val="22"/>
          <w:szCs w:val="22"/>
        </w:rPr>
        <w:noBreakHyphen/>
        <w:t>ABL</w:t>
      </w:r>
      <w:r w:rsidR="00501538" w:rsidRPr="008A4F40">
        <w:rPr>
          <w:color w:val="000000"/>
          <w:sz w:val="22"/>
          <w:szCs w:val="22"/>
        </w:rPr>
        <w:noBreakHyphen/>
        <w:t>Tyrosin</w:t>
      </w:r>
      <w:r w:rsidRPr="008A4F40">
        <w:rPr>
          <w:color w:val="000000"/>
          <w:sz w:val="22"/>
          <w:szCs w:val="22"/>
        </w:rPr>
        <w:t>kinase-Inhibitor</w:t>
      </w:r>
      <w:r w:rsidR="005472ED" w:rsidRPr="008A4F40">
        <w:rPr>
          <w:color w:val="000000"/>
          <w:sz w:val="22"/>
          <w:szCs w:val="22"/>
        </w:rPr>
        <w:t>en</w:t>
      </w:r>
      <w:r w:rsidRPr="008A4F40">
        <w:rPr>
          <w:color w:val="000000"/>
          <w:sz w:val="22"/>
          <w:szCs w:val="22"/>
        </w:rPr>
        <w:t xml:space="preserve">, ATC-Code: </w:t>
      </w:r>
      <w:r w:rsidR="00501538" w:rsidRPr="008A4F40">
        <w:rPr>
          <w:color w:val="000000"/>
          <w:sz w:val="22"/>
          <w:szCs w:val="22"/>
        </w:rPr>
        <w:t>L01EA01</w:t>
      </w:r>
    </w:p>
    <w:p w14:paraId="587BA4D9" w14:textId="77777777" w:rsidR="003A33A6" w:rsidRPr="008A4F40" w:rsidRDefault="003A33A6" w:rsidP="004E7659">
      <w:pPr>
        <w:rPr>
          <w:color w:val="000000"/>
          <w:sz w:val="22"/>
          <w:szCs w:val="22"/>
        </w:rPr>
      </w:pPr>
    </w:p>
    <w:p w14:paraId="1A6FF9CB" w14:textId="5C42EFAF" w:rsidR="003A33A6" w:rsidRPr="008A4F40" w:rsidRDefault="003A33A6" w:rsidP="004E7659">
      <w:pPr>
        <w:keepNext/>
        <w:rPr>
          <w:color w:val="000000"/>
          <w:sz w:val="22"/>
          <w:szCs w:val="22"/>
          <w:u w:val="single"/>
        </w:rPr>
      </w:pPr>
      <w:r w:rsidRPr="008A4F40">
        <w:rPr>
          <w:color w:val="000000"/>
          <w:sz w:val="22"/>
          <w:szCs w:val="22"/>
          <w:u w:val="single"/>
        </w:rPr>
        <w:t>Wirkmechanismus</w:t>
      </w:r>
    </w:p>
    <w:p w14:paraId="0EF1F1A8" w14:textId="77777777" w:rsidR="00501538" w:rsidRPr="008A4F40" w:rsidRDefault="00501538" w:rsidP="004E7659">
      <w:pPr>
        <w:keepNext/>
        <w:rPr>
          <w:color w:val="000000"/>
          <w:sz w:val="22"/>
          <w:szCs w:val="22"/>
          <w:u w:val="single"/>
        </w:rPr>
      </w:pPr>
    </w:p>
    <w:p w14:paraId="54CE95DF" w14:textId="77777777" w:rsidR="003A33A6" w:rsidRPr="008A4F40" w:rsidRDefault="003A33A6" w:rsidP="004E7659">
      <w:pPr>
        <w:rPr>
          <w:color w:val="000000"/>
          <w:sz w:val="22"/>
          <w:szCs w:val="22"/>
        </w:rPr>
      </w:pPr>
      <w:r w:rsidRPr="008A4F40">
        <w:rPr>
          <w:color w:val="000000"/>
          <w:sz w:val="22"/>
          <w:szCs w:val="22"/>
        </w:rPr>
        <w:t>Imatinib ist ein niedermolekularer Protein-Tyrosinkinase-Inhibitor, der wirkungsvoll die Aktivität der Bcr-Abl-Tyrosinkinase (TK) sowie mehrere Rezeptor-TKs hemmt: Kit, der Rezeptor für den Stammzellfaktor (SCF), der durch das c-Kit-Proto-Onkogen kodiert wird, die Discoidin-Domain-Rezeptoren (DDR1 und DDR2), den Kolonie-stimulierenden Faktor-Rezeptor (CSF-1R) und den Blutplättchen-Wachstumsfaktor-Rezeptor alpha und beta (PDGFR-alpha und PDGFR-beta). Imatinib kann auch zelluläre Vorgänge inhibieren, die durch die Aktivierung dieser Rezeptorkinasen vermittelt werden.</w:t>
      </w:r>
    </w:p>
    <w:p w14:paraId="14585D89" w14:textId="77777777" w:rsidR="003A33A6" w:rsidRPr="008A4F40" w:rsidRDefault="003A33A6" w:rsidP="004E7659">
      <w:pPr>
        <w:rPr>
          <w:color w:val="000000"/>
          <w:sz w:val="22"/>
          <w:szCs w:val="22"/>
        </w:rPr>
      </w:pPr>
    </w:p>
    <w:p w14:paraId="1D091C3A" w14:textId="5DF218A9" w:rsidR="003A33A6" w:rsidRPr="008A4F40" w:rsidRDefault="003A33A6" w:rsidP="004E7659">
      <w:pPr>
        <w:keepNext/>
        <w:rPr>
          <w:color w:val="000000"/>
          <w:sz w:val="22"/>
          <w:szCs w:val="22"/>
          <w:u w:val="single"/>
        </w:rPr>
      </w:pPr>
      <w:r w:rsidRPr="008A4F40">
        <w:rPr>
          <w:color w:val="000000"/>
          <w:sz w:val="22"/>
          <w:szCs w:val="22"/>
          <w:u w:val="single"/>
        </w:rPr>
        <w:t>Pharmakodynamische Wirkungen</w:t>
      </w:r>
    </w:p>
    <w:p w14:paraId="2BA906F5" w14:textId="77777777" w:rsidR="00501538" w:rsidRPr="008A4F40" w:rsidRDefault="00501538" w:rsidP="004E7659">
      <w:pPr>
        <w:keepNext/>
        <w:rPr>
          <w:color w:val="000000"/>
          <w:sz w:val="22"/>
          <w:szCs w:val="22"/>
          <w:u w:val="single"/>
        </w:rPr>
      </w:pPr>
    </w:p>
    <w:p w14:paraId="018C8D2E" w14:textId="5576659B" w:rsidR="003A33A6" w:rsidRPr="008A4F40" w:rsidRDefault="003A33A6" w:rsidP="004E7659">
      <w:pPr>
        <w:rPr>
          <w:color w:val="000000"/>
          <w:sz w:val="22"/>
          <w:szCs w:val="22"/>
        </w:rPr>
      </w:pPr>
      <w:r w:rsidRPr="008A4F40">
        <w:rPr>
          <w:color w:val="000000"/>
          <w:sz w:val="22"/>
          <w:szCs w:val="22"/>
        </w:rPr>
        <w:t xml:space="preserve">Imatinib ist ein Protein-Tyrosinkinase-Inhibitor, der die Tyrosinkinase-Aktivität von Bcr-Abl auf der zellulären Ebene </w:t>
      </w:r>
      <w:r w:rsidRPr="008A4F40">
        <w:rPr>
          <w:i/>
          <w:color w:val="000000"/>
          <w:sz w:val="22"/>
          <w:szCs w:val="22"/>
        </w:rPr>
        <w:t>in vitro</w:t>
      </w:r>
      <w:r w:rsidRPr="008A4F40">
        <w:rPr>
          <w:color w:val="000000"/>
          <w:sz w:val="22"/>
          <w:szCs w:val="22"/>
        </w:rPr>
        <w:t xml:space="preserve"> und </w:t>
      </w:r>
      <w:r w:rsidRPr="008A4F40">
        <w:rPr>
          <w:i/>
          <w:color w:val="000000"/>
          <w:sz w:val="22"/>
          <w:szCs w:val="22"/>
        </w:rPr>
        <w:t>in vivo</w:t>
      </w:r>
      <w:r w:rsidRPr="008A4F40">
        <w:rPr>
          <w:color w:val="000000"/>
          <w:sz w:val="22"/>
          <w:szCs w:val="22"/>
        </w:rPr>
        <w:t xml:space="preserve"> sehr stark hemmt. In Bcr-Abl-positiven Zelllinien und frischen Leukämiezellen von Patienten mit Philadelphia-Chromosom-positiver CML oder akuter lymphatischer Leukämie (</w:t>
      </w:r>
      <w:smartTag w:uri="urn:schemas-microsoft-com:office:smarttags" w:element="stockticker">
        <w:r w:rsidRPr="008A4F40">
          <w:rPr>
            <w:color w:val="000000"/>
            <w:sz w:val="22"/>
            <w:szCs w:val="22"/>
          </w:rPr>
          <w:t>ALL</w:t>
        </w:r>
      </w:smartTag>
      <w:r w:rsidRPr="008A4F40">
        <w:rPr>
          <w:color w:val="000000"/>
          <w:sz w:val="22"/>
          <w:szCs w:val="22"/>
        </w:rPr>
        <w:t>) inhibiert der Wirkstoff selektiv die Proliferation und induziert die Apoptose.</w:t>
      </w:r>
    </w:p>
    <w:p w14:paraId="0810C25B" w14:textId="77777777" w:rsidR="003A33A6" w:rsidRPr="008A4F40" w:rsidRDefault="003A33A6" w:rsidP="004E7659">
      <w:pPr>
        <w:rPr>
          <w:color w:val="000000"/>
          <w:sz w:val="22"/>
          <w:szCs w:val="22"/>
        </w:rPr>
      </w:pPr>
    </w:p>
    <w:p w14:paraId="05FCC9B9" w14:textId="77777777" w:rsidR="003A33A6" w:rsidRPr="008A4F40" w:rsidRDefault="003A33A6" w:rsidP="004E7659">
      <w:pPr>
        <w:rPr>
          <w:color w:val="000000"/>
          <w:sz w:val="22"/>
          <w:szCs w:val="22"/>
        </w:rPr>
      </w:pPr>
      <w:r w:rsidRPr="008A4F40">
        <w:rPr>
          <w:i/>
          <w:color w:val="000000"/>
          <w:sz w:val="22"/>
          <w:szCs w:val="22"/>
        </w:rPr>
        <w:t>In vivo</w:t>
      </w:r>
      <w:r w:rsidRPr="008A4F40">
        <w:rPr>
          <w:color w:val="000000"/>
          <w:sz w:val="22"/>
          <w:szCs w:val="22"/>
        </w:rPr>
        <w:t xml:space="preserve"> zeigt der Wirkstoff als Monotherapie in tierischen Modellsystemen unter Verwendung von Bcr-Abl-positiven Tumorzellen eine Anti-Tumoraktivität.</w:t>
      </w:r>
    </w:p>
    <w:p w14:paraId="4DD360B6" w14:textId="77777777" w:rsidR="003A33A6" w:rsidRPr="008A4F40" w:rsidRDefault="003A33A6" w:rsidP="004E7659">
      <w:pPr>
        <w:rPr>
          <w:color w:val="000000"/>
          <w:sz w:val="22"/>
          <w:szCs w:val="22"/>
        </w:rPr>
      </w:pPr>
    </w:p>
    <w:p w14:paraId="4132058A"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 xml:space="preserve">Imatinib hemmt auch die Tyrosinkinase-Aktivität des PDGF-Rezeptors (platelet-derived growth factor, PDGF) und des Rezeptors für Stammzellfaktor (stem cell factor, SCF), c-Kit, und inhibiert PDGF- und SCF-vermittelte zelluläre Reaktionen. </w:t>
      </w:r>
      <w:r w:rsidRPr="008A4F40">
        <w:rPr>
          <w:rFonts w:ascii="Times New Roman" w:hAnsi="Times New Roman"/>
          <w:i/>
          <w:color w:val="000000"/>
          <w:szCs w:val="22"/>
        </w:rPr>
        <w:t xml:space="preserve">In vitro </w:t>
      </w:r>
      <w:r w:rsidRPr="008A4F40">
        <w:rPr>
          <w:rFonts w:ascii="Times New Roman" w:hAnsi="Times New Roman"/>
          <w:color w:val="000000"/>
          <w:szCs w:val="22"/>
        </w:rPr>
        <w:t xml:space="preserve">hemmt Imatinib die Proliferation und induziert Apoptose von GIST-Zellen, die eine aktivierende </w:t>
      </w:r>
      <w:r w:rsidRPr="008A4F40">
        <w:rPr>
          <w:rFonts w:ascii="Times New Roman" w:hAnsi="Times New Roman"/>
          <w:i/>
          <w:color w:val="000000"/>
          <w:szCs w:val="22"/>
        </w:rPr>
        <w:t>Kit</w:t>
      </w:r>
      <w:r w:rsidRPr="008A4F40">
        <w:rPr>
          <w:rFonts w:ascii="Times New Roman" w:hAnsi="Times New Roman"/>
          <w:color w:val="000000"/>
          <w:szCs w:val="22"/>
        </w:rPr>
        <w:t xml:space="preserve">-Mutation aufweisen. Die konstitutive Aktivierung des PDGF-Rezeptors oder der Abl-Protein-Tyrosinkinasen als Folge der Fusion mit verschiedenen Partnerproteinen oder die konstitutive Produktion von PDGF wurden mit der Pathogenese von </w:t>
      </w:r>
      <w:smartTag w:uri="urn:schemas-microsoft-com:office:smarttags" w:element="stockticker">
        <w:r w:rsidRPr="008A4F40">
          <w:rPr>
            <w:rFonts w:ascii="Times New Roman" w:hAnsi="Times New Roman"/>
            <w:color w:val="000000"/>
            <w:szCs w:val="22"/>
          </w:rPr>
          <w:t>MDS</w:t>
        </w:r>
      </w:smartTag>
      <w:r w:rsidRPr="008A4F40">
        <w:rPr>
          <w:rFonts w:ascii="Times New Roman" w:hAnsi="Times New Roman"/>
          <w:color w:val="000000"/>
          <w:szCs w:val="22"/>
        </w:rPr>
        <w:t>/MPD, HES/</w:t>
      </w:r>
      <w:smartTag w:uri="urn:schemas-microsoft-com:office:smarttags" w:element="stockticker">
        <w:r w:rsidRPr="008A4F40">
          <w:rPr>
            <w:rFonts w:ascii="Times New Roman" w:hAnsi="Times New Roman"/>
            <w:color w:val="000000"/>
            <w:szCs w:val="22"/>
          </w:rPr>
          <w:t>CEL</w:t>
        </w:r>
      </w:smartTag>
      <w:r w:rsidRPr="008A4F40">
        <w:rPr>
          <w:rFonts w:ascii="Times New Roman" w:hAnsi="Times New Roman"/>
          <w:color w:val="000000"/>
          <w:szCs w:val="22"/>
        </w:rPr>
        <w:t xml:space="preserve"> und DFSP in Verbindung gebracht. Imatinib verhindert die durch Dysregulation des PDGF-Rezeptors und durch die Abl-Kinase-Aktivität gesteuerte Signalübertragung und Proliferation von Zellen.</w:t>
      </w:r>
    </w:p>
    <w:p w14:paraId="370B5201" w14:textId="77777777" w:rsidR="003A33A6" w:rsidRPr="008A4F40" w:rsidRDefault="003A33A6" w:rsidP="004E7659">
      <w:pPr>
        <w:rPr>
          <w:color w:val="000000"/>
          <w:sz w:val="22"/>
          <w:szCs w:val="22"/>
        </w:rPr>
      </w:pPr>
    </w:p>
    <w:p w14:paraId="4855C628" w14:textId="2F7E3628" w:rsidR="003A33A6" w:rsidRPr="00A24EE4" w:rsidRDefault="003A33A6" w:rsidP="004E7659">
      <w:pPr>
        <w:keepNext/>
        <w:rPr>
          <w:sz w:val="22"/>
          <w:szCs w:val="22"/>
          <w:u w:val="single"/>
        </w:rPr>
      </w:pPr>
      <w:r w:rsidRPr="00A24EE4">
        <w:rPr>
          <w:sz w:val="22"/>
          <w:szCs w:val="22"/>
          <w:u w:val="single"/>
        </w:rPr>
        <w:t>Klinische Studien bei CML</w:t>
      </w:r>
    </w:p>
    <w:p w14:paraId="17F06C42" w14:textId="77777777" w:rsidR="00501538" w:rsidRPr="00A24EE4" w:rsidRDefault="00501538" w:rsidP="004E7659">
      <w:pPr>
        <w:keepNext/>
        <w:rPr>
          <w:sz w:val="22"/>
          <w:szCs w:val="22"/>
        </w:rPr>
      </w:pPr>
    </w:p>
    <w:p w14:paraId="1D9FC58C"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Die Wirksamkeit von Glivec basiert auf den hämatologischen und zytogenetischen Gesamtansprechra</w:t>
      </w:r>
      <w:r w:rsidRPr="008A4F40">
        <w:rPr>
          <w:rFonts w:ascii="Times New Roman" w:hAnsi="Times New Roman"/>
          <w:color w:val="000000"/>
          <w:szCs w:val="22"/>
        </w:rPr>
        <w:softHyphen/>
        <w:t>ten und dem progressionsfreien Überleben. Außer bei neu diagnostizierter CML in der chronischen Phase liegen keine kontrollierten Studien vor, die einen klinischen Vorteil wie eine Verbesserung der Krankheitssymptomatik oder ein verlängertes Überleben belegen.</w:t>
      </w:r>
    </w:p>
    <w:p w14:paraId="156A5D9C" w14:textId="77777777" w:rsidR="003A33A6" w:rsidRPr="008A4F40" w:rsidRDefault="003A33A6" w:rsidP="004E7659">
      <w:pPr>
        <w:rPr>
          <w:color w:val="000000"/>
          <w:sz w:val="22"/>
          <w:szCs w:val="22"/>
        </w:rPr>
      </w:pPr>
    </w:p>
    <w:p w14:paraId="2C95E3AB" w14:textId="3A24CD77" w:rsidR="003A33A6" w:rsidRPr="008A4F40" w:rsidRDefault="003A33A6" w:rsidP="004E7659">
      <w:pPr>
        <w:rPr>
          <w:color w:val="000000"/>
          <w:sz w:val="22"/>
          <w:szCs w:val="22"/>
        </w:rPr>
      </w:pPr>
      <w:r w:rsidRPr="008A4F40">
        <w:rPr>
          <w:color w:val="000000"/>
          <w:sz w:val="22"/>
          <w:szCs w:val="22"/>
        </w:rPr>
        <w:t>Drei große internationale, offene und nicht kontrollierte klinische Phase-II-Studien wurden bei Patienten mit Philadelphia-Chromosom-positiver (Ph</w:t>
      </w:r>
      <w:r w:rsidRPr="0048119C">
        <w:rPr>
          <w:color w:val="000000"/>
          <w:sz w:val="22"/>
          <w:szCs w:val="22"/>
        </w:rPr>
        <w:t>+</w:t>
      </w:r>
      <w:r w:rsidRPr="008A4F40">
        <w:rPr>
          <w:color w:val="000000"/>
          <w:sz w:val="22"/>
          <w:szCs w:val="22"/>
        </w:rPr>
        <w:t>) CML im fortgeschrittenen Stadium, d. h. in der Blastenkrise und in der akzelerierten Phase, sowie bei Patienten mit anderen Ph</w:t>
      </w:r>
      <w:r w:rsidRPr="0048119C">
        <w:rPr>
          <w:color w:val="000000"/>
          <w:sz w:val="22"/>
          <w:szCs w:val="22"/>
        </w:rPr>
        <w:t>+</w:t>
      </w:r>
      <w:r w:rsidRPr="008A4F40">
        <w:rPr>
          <w:color w:val="000000"/>
          <w:sz w:val="22"/>
          <w:szCs w:val="22"/>
        </w:rPr>
        <w:t>-Leukämien oder bei Patienten mit einer CML in der chronischen Phase durchgeführt, bei denen eine vorangegangene Interfe</w:t>
      </w:r>
      <w:del w:id="217" w:author="Author">
        <w:r w:rsidRPr="008A4F40" w:rsidDel="004E7659">
          <w:rPr>
            <w:color w:val="000000"/>
            <w:sz w:val="22"/>
            <w:szCs w:val="22"/>
          </w:rPr>
          <w:softHyphen/>
        </w:r>
      </w:del>
      <w:r w:rsidRPr="008A4F40">
        <w:rPr>
          <w:color w:val="000000"/>
          <w:sz w:val="22"/>
          <w:szCs w:val="22"/>
        </w:rPr>
        <w:t>ron-alpha(IFN)-Therapie versagte. Eine große offene, multizentrische, internationale, randomisierte Phase-</w:t>
      </w:r>
      <w:smartTag w:uri="urn:schemas-microsoft-com:office:smarttags" w:element="stockticker">
        <w:r w:rsidRPr="008A4F40">
          <w:rPr>
            <w:color w:val="000000"/>
            <w:sz w:val="22"/>
            <w:szCs w:val="22"/>
          </w:rPr>
          <w:t>III</w:t>
        </w:r>
      </w:smartTag>
      <w:r w:rsidRPr="008A4F40">
        <w:rPr>
          <w:color w:val="000000"/>
          <w:sz w:val="22"/>
          <w:szCs w:val="22"/>
        </w:rPr>
        <w:t>-Studie wurde bei Patienten mit neu diagnostizierter Ph+</w:t>
      </w:r>
      <w:r w:rsidR="007A7758">
        <w:rPr>
          <w:color w:val="000000"/>
          <w:sz w:val="22"/>
          <w:szCs w:val="22"/>
        </w:rPr>
        <w:t xml:space="preserve"> </w:t>
      </w:r>
      <w:r w:rsidRPr="008A4F40">
        <w:rPr>
          <w:color w:val="000000"/>
          <w:sz w:val="22"/>
          <w:szCs w:val="22"/>
        </w:rPr>
        <w:t>CML durchgeführt. Darüber hinaus wurden Kinder in zwei Phase-I-Studien und einer Phase II-Studie behandelt.</w:t>
      </w:r>
    </w:p>
    <w:p w14:paraId="0D4BE13B" w14:textId="77777777" w:rsidR="003A33A6" w:rsidRPr="008A4F40" w:rsidRDefault="003A33A6" w:rsidP="004E7659">
      <w:pPr>
        <w:rPr>
          <w:color w:val="000000"/>
          <w:sz w:val="22"/>
          <w:szCs w:val="22"/>
        </w:rPr>
      </w:pPr>
    </w:p>
    <w:p w14:paraId="330C3A33" w14:textId="77777777" w:rsidR="003A33A6" w:rsidRPr="008A4F40" w:rsidRDefault="003A33A6" w:rsidP="004E7659">
      <w:pPr>
        <w:rPr>
          <w:color w:val="000000"/>
          <w:sz w:val="22"/>
          <w:szCs w:val="22"/>
        </w:rPr>
      </w:pPr>
      <w:r w:rsidRPr="008A4F40">
        <w:rPr>
          <w:color w:val="000000"/>
          <w:sz w:val="22"/>
          <w:szCs w:val="22"/>
        </w:rPr>
        <w:t>In allen klinischen Studien waren 38–40% der Patienten ≥ 60 Jahre und 10–12% der Patienten ≥ 70 Jahre alt.</w:t>
      </w:r>
    </w:p>
    <w:p w14:paraId="77217EFB" w14:textId="77777777" w:rsidR="003A33A6" w:rsidRPr="008A4F40" w:rsidRDefault="003A33A6" w:rsidP="004E7659">
      <w:pPr>
        <w:rPr>
          <w:color w:val="000000"/>
          <w:sz w:val="22"/>
          <w:szCs w:val="22"/>
        </w:rPr>
      </w:pPr>
    </w:p>
    <w:p w14:paraId="1174F92B" w14:textId="4B7D94BC" w:rsidR="00962895" w:rsidRPr="008A4F40" w:rsidRDefault="003A33A6" w:rsidP="004E7659">
      <w:pPr>
        <w:keepNext/>
        <w:rPr>
          <w:i/>
          <w:color w:val="000000"/>
          <w:sz w:val="22"/>
          <w:szCs w:val="22"/>
          <w:u w:val="single"/>
        </w:rPr>
      </w:pPr>
      <w:r w:rsidRPr="008A4F40">
        <w:rPr>
          <w:i/>
          <w:color w:val="000000"/>
          <w:sz w:val="22"/>
          <w:szCs w:val="22"/>
          <w:u w:val="single"/>
        </w:rPr>
        <w:t>Chronische Phase, neu diagnostiziert</w:t>
      </w:r>
    </w:p>
    <w:p w14:paraId="5B1155D3" w14:textId="664573B6" w:rsidR="003A33A6" w:rsidRPr="008A4F40" w:rsidRDefault="003A33A6" w:rsidP="004E7659">
      <w:pPr>
        <w:rPr>
          <w:color w:val="000000"/>
          <w:sz w:val="22"/>
          <w:szCs w:val="22"/>
        </w:rPr>
      </w:pPr>
      <w:r w:rsidRPr="008A4F40">
        <w:rPr>
          <w:color w:val="000000"/>
          <w:sz w:val="22"/>
          <w:szCs w:val="22"/>
        </w:rPr>
        <w:t>Diese Phase-</w:t>
      </w:r>
      <w:smartTag w:uri="urn:schemas-microsoft-com:office:smarttags" w:element="stockticker">
        <w:r w:rsidRPr="008A4F40">
          <w:rPr>
            <w:color w:val="000000"/>
            <w:sz w:val="22"/>
            <w:szCs w:val="22"/>
          </w:rPr>
          <w:t>III</w:t>
        </w:r>
      </w:smartTag>
      <w:r w:rsidRPr="008A4F40">
        <w:rPr>
          <w:color w:val="000000"/>
          <w:sz w:val="22"/>
          <w:szCs w:val="22"/>
        </w:rPr>
        <w:t>-Studie an Erwachsenen verglich die Behandlung von Glivec allein</w:t>
      </w:r>
      <w:r w:rsidRPr="008A4F40">
        <w:rPr>
          <w:i/>
          <w:color w:val="000000"/>
          <w:sz w:val="22"/>
          <w:szCs w:val="22"/>
        </w:rPr>
        <w:t xml:space="preserve"> </w:t>
      </w:r>
      <w:r w:rsidRPr="008A4F40">
        <w:rPr>
          <w:color w:val="000000"/>
          <w:sz w:val="22"/>
          <w:szCs w:val="22"/>
        </w:rPr>
        <w:t>mit der Kombination aus Interferon-alpha (IFN) plus Cytarabin (Ara-C). Patienten, die keine Remission (keine komplette hämatologische Remission [</w:t>
      </w:r>
      <w:smartTag w:uri="urn:schemas-microsoft-com:office:smarttags" w:element="stockticker">
        <w:r w:rsidRPr="008A4F40">
          <w:rPr>
            <w:color w:val="000000"/>
            <w:sz w:val="22"/>
            <w:szCs w:val="22"/>
          </w:rPr>
          <w:t>CHR</w:t>
        </w:r>
      </w:smartTag>
      <w:r w:rsidRPr="008A4F40">
        <w:rPr>
          <w:color w:val="000000"/>
          <w:sz w:val="22"/>
          <w:szCs w:val="22"/>
        </w:rPr>
        <w:t>] nach 6 Monaten, erhöhte Leukozyten</w:t>
      </w:r>
      <w:del w:id="218" w:author="Author">
        <w:r w:rsidRPr="008A4F40" w:rsidDel="004E7659">
          <w:rPr>
            <w:color w:val="000000"/>
            <w:sz w:val="22"/>
            <w:szCs w:val="22"/>
          </w:rPr>
          <w:softHyphen/>
        </w:r>
      </w:del>
      <w:r w:rsidRPr="008A4F40">
        <w:rPr>
          <w:color w:val="000000"/>
          <w:sz w:val="22"/>
          <w:szCs w:val="22"/>
        </w:rPr>
        <w:t xml:space="preserve">zahl [WBC], keine gute zytogenetische Remission [MCyR] nach 24 Monaten), Verlust der Remission (Verlust </w:t>
      </w:r>
      <w:smartTag w:uri="urn:schemas-microsoft-com:office:smarttags" w:element="stockticker">
        <w:r w:rsidRPr="008A4F40">
          <w:rPr>
            <w:color w:val="000000"/>
            <w:sz w:val="22"/>
            <w:szCs w:val="22"/>
          </w:rPr>
          <w:t>CHR</w:t>
        </w:r>
      </w:smartTag>
      <w:r w:rsidRPr="008A4F40">
        <w:rPr>
          <w:color w:val="000000"/>
          <w:sz w:val="22"/>
          <w:szCs w:val="22"/>
        </w:rPr>
        <w:t xml:space="preserve"> oder MCyR) oder schwere Unverträglichkeit gegenüber der Behandlung zeig</w:t>
      </w:r>
      <w:del w:id="219" w:author="Author">
        <w:r w:rsidRPr="008A4F40" w:rsidDel="004E7659">
          <w:rPr>
            <w:color w:val="000000"/>
            <w:sz w:val="22"/>
            <w:szCs w:val="22"/>
          </w:rPr>
          <w:softHyphen/>
        </w:r>
      </w:del>
      <w:r w:rsidRPr="008A4F40">
        <w:rPr>
          <w:color w:val="000000"/>
          <w:sz w:val="22"/>
          <w:szCs w:val="22"/>
        </w:rPr>
        <w:t>ten, konnten in den alternativen Behandlungsarm wechseln. Im Glivec-Arm wurden die Patienten mit 400 mg täglich behandelt. Im IFN-Arm wurden die Patienten mit einer Zieldosierung von 5 Mio IU /m</w:t>
      </w:r>
      <w:r w:rsidRPr="008A4F40">
        <w:rPr>
          <w:color w:val="000000"/>
          <w:sz w:val="22"/>
          <w:szCs w:val="22"/>
          <w:vertAlign w:val="superscript"/>
        </w:rPr>
        <w:t>2</w:t>
      </w:r>
      <w:r w:rsidRPr="008A4F40">
        <w:rPr>
          <w:color w:val="000000"/>
          <w:sz w:val="22"/>
          <w:szCs w:val="22"/>
        </w:rPr>
        <w:t>/Tag subkutan verabreichtem IFN in Kombination mit subkutan verabreichtem Ara-C in einer Do</w:t>
      </w:r>
      <w:del w:id="220" w:author="Author">
        <w:r w:rsidRPr="008A4F40" w:rsidDel="004E7659">
          <w:rPr>
            <w:color w:val="000000"/>
            <w:sz w:val="22"/>
            <w:szCs w:val="22"/>
          </w:rPr>
          <w:softHyphen/>
        </w:r>
      </w:del>
      <w:r w:rsidRPr="008A4F40">
        <w:rPr>
          <w:color w:val="000000"/>
          <w:sz w:val="22"/>
          <w:szCs w:val="22"/>
        </w:rPr>
        <w:t>sierung von 20 mg/m</w:t>
      </w:r>
      <w:r w:rsidRPr="008A4F40">
        <w:rPr>
          <w:color w:val="000000"/>
          <w:sz w:val="22"/>
          <w:szCs w:val="22"/>
          <w:vertAlign w:val="superscript"/>
        </w:rPr>
        <w:t>2</w:t>
      </w:r>
      <w:r w:rsidRPr="008A4F40">
        <w:rPr>
          <w:color w:val="000000"/>
          <w:sz w:val="22"/>
          <w:szCs w:val="22"/>
        </w:rPr>
        <w:t>/Tag über 10 Tage/Monat behandelt.</w:t>
      </w:r>
    </w:p>
    <w:p w14:paraId="43165632" w14:textId="77777777" w:rsidR="003A33A6" w:rsidRPr="008A4F40" w:rsidRDefault="003A33A6" w:rsidP="004E7659">
      <w:pPr>
        <w:rPr>
          <w:color w:val="000000"/>
          <w:sz w:val="22"/>
          <w:szCs w:val="22"/>
        </w:rPr>
      </w:pPr>
    </w:p>
    <w:p w14:paraId="4AF58E23" w14:textId="7DEBAFD2" w:rsidR="003A33A6" w:rsidRPr="008A4F40" w:rsidRDefault="003A33A6" w:rsidP="004E7659">
      <w:pPr>
        <w:rPr>
          <w:color w:val="000000"/>
          <w:sz w:val="22"/>
          <w:szCs w:val="22"/>
        </w:rPr>
      </w:pPr>
      <w:r w:rsidRPr="008A4F40">
        <w:rPr>
          <w:color w:val="000000"/>
          <w:sz w:val="22"/>
          <w:szCs w:val="22"/>
        </w:rPr>
        <w:t>Insgesamt wurden 1</w:t>
      </w:r>
      <w:ins w:id="221" w:author="Author">
        <w:r w:rsidR="008A10B3">
          <w:rPr>
            <w:color w:val="000000"/>
            <w:sz w:val="22"/>
            <w:szCs w:val="22"/>
          </w:rPr>
          <w:t> </w:t>
        </w:r>
      </w:ins>
      <w:del w:id="222" w:author="Author">
        <w:r w:rsidRPr="008A4F40" w:rsidDel="008A10B3">
          <w:rPr>
            <w:color w:val="000000"/>
            <w:sz w:val="22"/>
            <w:szCs w:val="22"/>
          </w:rPr>
          <w:delText>.</w:delText>
        </w:r>
      </w:del>
      <w:r w:rsidRPr="008A4F40">
        <w:rPr>
          <w:color w:val="000000"/>
          <w:sz w:val="22"/>
          <w:szCs w:val="22"/>
        </w:rPr>
        <w:t xml:space="preserve">106 Patienten randomisiert, 553 in jeden Arm. Die beiden Arme waren hinsichtlich der Ausgangsprofile der Patienten gut ausbalanciert. Das Alter betrug im Median 51 Jahre (18–70 Jahre), wobei 21,9% </w:t>
      </w:r>
      <w:r w:rsidRPr="008A4F40">
        <w:rPr>
          <w:color w:val="000000"/>
          <w:sz w:val="22"/>
          <w:szCs w:val="22"/>
          <w:u w:val="single"/>
        </w:rPr>
        <w:t>&gt;</w:t>
      </w:r>
      <w:r w:rsidRPr="008A4F40">
        <w:rPr>
          <w:color w:val="000000"/>
          <w:sz w:val="22"/>
          <w:szCs w:val="22"/>
        </w:rPr>
        <w:t> 60 Jahre waren. 59% waren männlich und 41% weiblich; 89,9% waren Kaukasier und 4,7% Farbige. Sieben Jahre nach Einschluss des letzten Patienten betrug die mediane Dauer bei der First-Line-Therapie 82 Monate im Glivec-Arm bzw. 8 Monate im IFN-Arm. Die mediane Dauer bei der Second-Line-Therapie mit Glivec betrug 64 Monate. Bei Patienten unter First-</w:t>
      </w:r>
      <w:r w:rsidR="00781F7F">
        <w:rPr>
          <w:color w:val="000000"/>
          <w:sz w:val="22"/>
          <w:szCs w:val="22"/>
        </w:rPr>
        <w:t>L</w:t>
      </w:r>
      <w:r w:rsidRPr="008A4F40">
        <w:rPr>
          <w:color w:val="000000"/>
          <w:sz w:val="22"/>
          <w:szCs w:val="22"/>
        </w:rPr>
        <w:t>ine-Therapie mit Glivec lag die durchschnittlich verabreichte Tagesdosis insgesamt bei 406 ± 76 mg. Der primäre Wirksamkeitsendpunkt der Studie ist das progressi</w:t>
      </w:r>
      <w:del w:id="223" w:author="Author">
        <w:r w:rsidRPr="008A4F40" w:rsidDel="004E7659">
          <w:rPr>
            <w:color w:val="000000"/>
            <w:sz w:val="22"/>
            <w:szCs w:val="22"/>
          </w:rPr>
          <w:softHyphen/>
        </w:r>
      </w:del>
      <w:r w:rsidRPr="008A4F40">
        <w:rPr>
          <w:color w:val="000000"/>
          <w:sz w:val="22"/>
          <w:szCs w:val="22"/>
        </w:rPr>
        <w:t xml:space="preserve">onsfreie Überleben. Progression wurde definiert als eines der folgenden Ereignisse: Progression in die akzelerierte Phase oder Blastenkrise, Tod, Verlust </w:t>
      </w:r>
      <w:smartTag w:uri="urn:schemas-microsoft-com:office:smarttags" w:element="stockticker">
        <w:r w:rsidRPr="008A4F40">
          <w:rPr>
            <w:color w:val="000000"/>
            <w:sz w:val="22"/>
            <w:szCs w:val="22"/>
          </w:rPr>
          <w:t>CHR</w:t>
        </w:r>
      </w:smartTag>
      <w:r w:rsidRPr="008A4F40">
        <w:rPr>
          <w:color w:val="000000"/>
          <w:sz w:val="22"/>
          <w:szCs w:val="22"/>
        </w:rPr>
        <w:t xml:space="preserve"> oder MCyR oder, bei Patienten, die keine </w:t>
      </w:r>
      <w:smartTag w:uri="urn:schemas-microsoft-com:office:smarttags" w:element="stockticker">
        <w:r w:rsidRPr="008A4F40">
          <w:rPr>
            <w:color w:val="000000"/>
            <w:sz w:val="22"/>
            <w:szCs w:val="22"/>
          </w:rPr>
          <w:t>CHR</w:t>
        </w:r>
      </w:smartTag>
      <w:r w:rsidRPr="008A4F40">
        <w:rPr>
          <w:color w:val="000000"/>
          <w:sz w:val="22"/>
          <w:szCs w:val="22"/>
        </w:rPr>
        <w:t xml:space="preserve"> erreichten, ein Anstieg der Leukozytenzahl trotz geeigneter therapeutischer Maßnahmen. Die wichtigsten sekundären Endpunkte sind gute zytogenetische Remission, hämatologische Remission, molekulare Remission (Ermittlung der minimalen residualen Erkrankung), Zeit bis zur akzelerierten Phase oder Blastenkrise und Überlebenszeit. Die Ansprechraten sind in Tabelle </w:t>
      </w:r>
      <w:r w:rsidR="00646EB3" w:rsidRPr="008A4F40">
        <w:rPr>
          <w:color w:val="000000"/>
          <w:sz w:val="22"/>
          <w:szCs w:val="22"/>
        </w:rPr>
        <w:t>2</w:t>
      </w:r>
      <w:r w:rsidRPr="008A4F40">
        <w:rPr>
          <w:color w:val="000000"/>
          <w:sz w:val="22"/>
          <w:szCs w:val="22"/>
        </w:rPr>
        <w:t xml:space="preserve"> dargestellt.</w:t>
      </w:r>
    </w:p>
    <w:p w14:paraId="495AA39D" w14:textId="77777777" w:rsidR="003A33A6" w:rsidRPr="008A4F40" w:rsidRDefault="003A33A6" w:rsidP="004E7659">
      <w:pPr>
        <w:rPr>
          <w:color w:val="000000"/>
          <w:sz w:val="22"/>
          <w:szCs w:val="22"/>
        </w:rPr>
      </w:pPr>
    </w:p>
    <w:p w14:paraId="3543A224" w14:textId="77777777" w:rsidR="003A33A6" w:rsidRPr="00A24EE4" w:rsidRDefault="003A33A6" w:rsidP="004E7659">
      <w:pPr>
        <w:keepNext/>
        <w:ind w:left="1134" w:hanging="1134"/>
        <w:rPr>
          <w:b/>
          <w:bCs/>
          <w:sz w:val="22"/>
          <w:szCs w:val="22"/>
        </w:rPr>
      </w:pPr>
      <w:r w:rsidRPr="00A24EE4">
        <w:rPr>
          <w:b/>
          <w:bCs/>
          <w:sz w:val="22"/>
          <w:szCs w:val="22"/>
        </w:rPr>
        <w:t>Tabelle </w:t>
      </w:r>
      <w:r w:rsidR="00646EB3" w:rsidRPr="00A24EE4">
        <w:rPr>
          <w:b/>
          <w:bCs/>
          <w:sz w:val="22"/>
          <w:szCs w:val="22"/>
        </w:rPr>
        <w:t>2</w:t>
      </w:r>
      <w:r w:rsidRPr="00A24EE4">
        <w:rPr>
          <w:b/>
          <w:bCs/>
          <w:sz w:val="22"/>
          <w:szCs w:val="22"/>
        </w:rPr>
        <w:tab/>
        <w:t>Ansprechraten in der Studie mit neu diagnostizierter CML (84-Monatsdaten)</w:t>
      </w:r>
    </w:p>
    <w:p w14:paraId="7EB00C53" w14:textId="77777777" w:rsidR="003A33A6" w:rsidRPr="008A4F40" w:rsidRDefault="003A33A6" w:rsidP="004E7659">
      <w:pPr>
        <w:keepNext/>
        <w:rPr>
          <w:color w:val="000000"/>
          <w:sz w:val="22"/>
          <w:szCs w:val="22"/>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3A33A6" w:rsidRPr="008A4F40" w14:paraId="05FEB159" w14:textId="77777777" w:rsidTr="00DA7B0B">
        <w:trPr>
          <w:cantSplit/>
        </w:trPr>
        <w:tc>
          <w:tcPr>
            <w:tcW w:w="3794" w:type="dxa"/>
            <w:tcBorders>
              <w:top w:val="single" w:sz="4" w:space="0" w:color="auto"/>
              <w:left w:val="single" w:sz="4" w:space="0" w:color="auto"/>
              <w:bottom w:val="nil"/>
            </w:tcBorders>
          </w:tcPr>
          <w:p w14:paraId="42D5D6C5" w14:textId="77777777" w:rsidR="003A33A6" w:rsidRPr="008A4F40" w:rsidRDefault="003A33A6" w:rsidP="004E7659">
            <w:pPr>
              <w:pStyle w:val="Table"/>
              <w:keepLines w:val="0"/>
              <w:spacing w:before="0" w:after="0"/>
              <w:rPr>
                <w:rFonts w:ascii="Times New Roman" w:hAnsi="Times New Roman"/>
                <w:color w:val="000000"/>
                <w:sz w:val="22"/>
                <w:szCs w:val="22"/>
                <w:lang w:val="de-DE"/>
              </w:rPr>
            </w:pPr>
          </w:p>
        </w:tc>
        <w:tc>
          <w:tcPr>
            <w:tcW w:w="2693" w:type="dxa"/>
            <w:tcBorders>
              <w:top w:val="single" w:sz="4" w:space="0" w:color="auto"/>
              <w:bottom w:val="nil"/>
            </w:tcBorders>
          </w:tcPr>
          <w:p w14:paraId="209D1EE8" w14:textId="77777777" w:rsidR="003A33A6" w:rsidRPr="008A4F40" w:rsidRDefault="003A33A6" w:rsidP="004E7659">
            <w:pPr>
              <w:pStyle w:val="Table"/>
              <w:keepLines w:val="0"/>
              <w:spacing w:before="0" w:after="0"/>
              <w:jc w:val="center"/>
              <w:rPr>
                <w:rFonts w:ascii="Times New Roman" w:hAnsi="Times New Roman"/>
                <w:b/>
                <w:color w:val="000000"/>
                <w:sz w:val="22"/>
                <w:szCs w:val="22"/>
              </w:rPr>
            </w:pPr>
            <w:proofErr w:type="spellStart"/>
            <w:r w:rsidRPr="008A4F40">
              <w:rPr>
                <w:rFonts w:ascii="Times New Roman" w:hAnsi="Times New Roman"/>
                <w:b/>
                <w:color w:val="000000"/>
                <w:sz w:val="22"/>
                <w:szCs w:val="22"/>
              </w:rPr>
              <w:t>Glivec</w:t>
            </w:r>
            <w:proofErr w:type="spellEnd"/>
          </w:p>
        </w:tc>
        <w:tc>
          <w:tcPr>
            <w:tcW w:w="2718" w:type="dxa"/>
            <w:tcBorders>
              <w:top w:val="single" w:sz="4" w:space="0" w:color="auto"/>
              <w:bottom w:val="nil"/>
              <w:right w:val="single" w:sz="4" w:space="0" w:color="auto"/>
            </w:tcBorders>
          </w:tcPr>
          <w:p w14:paraId="46B76DDE" w14:textId="77777777" w:rsidR="003A33A6" w:rsidRPr="008A4F40" w:rsidRDefault="003A33A6" w:rsidP="004E7659">
            <w:pPr>
              <w:pStyle w:val="Table"/>
              <w:keepLines w:val="0"/>
              <w:spacing w:before="0" w:after="0"/>
              <w:jc w:val="center"/>
              <w:rPr>
                <w:rFonts w:ascii="Times New Roman" w:hAnsi="Times New Roman"/>
                <w:b/>
                <w:color w:val="000000"/>
                <w:sz w:val="22"/>
                <w:szCs w:val="22"/>
              </w:rPr>
            </w:pPr>
            <w:r w:rsidRPr="008A4F40">
              <w:rPr>
                <w:rFonts w:ascii="Times New Roman" w:hAnsi="Times New Roman"/>
                <w:b/>
                <w:color w:val="000000"/>
                <w:sz w:val="22"/>
                <w:szCs w:val="22"/>
              </w:rPr>
              <w:t>IFN + Ara-C</w:t>
            </w:r>
          </w:p>
        </w:tc>
      </w:tr>
      <w:tr w:rsidR="003A33A6" w:rsidRPr="008A4F40" w14:paraId="47B66A7E" w14:textId="77777777" w:rsidTr="00DA7B0B">
        <w:trPr>
          <w:cantSplit/>
        </w:trPr>
        <w:tc>
          <w:tcPr>
            <w:tcW w:w="3794" w:type="dxa"/>
            <w:tcBorders>
              <w:top w:val="nil"/>
              <w:left w:val="single" w:sz="4" w:space="0" w:color="auto"/>
              <w:bottom w:val="single" w:sz="4" w:space="0" w:color="auto"/>
            </w:tcBorders>
          </w:tcPr>
          <w:p w14:paraId="16E652B1" w14:textId="77777777" w:rsidR="003A33A6" w:rsidRPr="008A4F40" w:rsidRDefault="003A33A6" w:rsidP="004E7659">
            <w:pPr>
              <w:pStyle w:val="Table"/>
              <w:keepLines w:val="0"/>
              <w:spacing w:before="0" w:after="0"/>
              <w:rPr>
                <w:rFonts w:ascii="Times New Roman" w:hAnsi="Times New Roman"/>
                <w:b/>
                <w:color w:val="000000"/>
                <w:sz w:val="22"/>
                <w:szCs w:val="22"/>
              </w:rPr>
            </w:pPr>
            <w:r w:rsidRPr="008A4F40">
              <w:rPr>
                <w:rFonts w:ascii="Times New Roman" w:hAnsi="Times New Roman"/>
                <w:b/>
                <w:color w:val="000000"/>
                <w:sz w:val="22"/>
                <w:szCs w:val="22"/>
              </w:rPr>
              <w:t>(</w:t>
            </w:r>
            <w:proofErr w:type="spellStart"/>
            <w:r w:rsidRPr="008A4F40">
              <w:rPr>
                <w:rFonts w:ascii="Times New Roman" w:hAnsi="Times New Roman"/>
                <w:b/>
                <w:color w:val="000000"/>
                <w:sz w:val="22"/>
                <w:szCs w:val="22"/>
              </w:rPr>
              <w:t>Höchste</w:t>
            </w:r>
            <w:proofErr w:type="spellEnd"/>
            <w:r w:rsidRPr="008A4F40">
              <w:rPr>
                <w:rFonts w:ascii="Times New Roman" w:hAnsi="Times New Roman"/>
                <w:b/>
                <w:color w:val="000000"/>
                <w:sz w:val="22"/>
                <w:szCs w:val="22"/>
              </w:rPr>
              <w:t xml:space="preserve"> </w:t>
            </w:r>
            <w:proofErr w:type="spellStart"/>
            <w:r w:rsidRPr="008A4F40">
              <w:rPr>
                <w:rFonts w:ascii="Times New Roman" w:hAnsi="Times New Roman"/>
                <w:b/>
                <w:color w:val="000000"/>
                <w:sz w:val="22"/>
                <w:szCs w:val="22"/>
              </w:rPr>
              <w:t>Ansprechraten</w:t>
            </w:r>
            <w:proofErr w:type="spellEnd"/>
            <w:r w:rsidRPr="008A4F40">
              <w:rPr>
                <w:rFonts w:ascii="Times New Roman" w:hAnsi="Times New Roman"/>
                <w:b/>
                <w:color w:val="000000"/>
                <w:sz w:val="22"/>
                <w:szCs w:val="22"/>
              </w:rPr>
              <w:t>)</w:t>
            </w:r>
          </w:p>
        </w:tc>
        <w:tc>
          <w:tcPr>
            <w:tcW w:w="2693" w:type="dxa"/>
            <w:tcBorders>
              <w:top w:val="nil"/>
              <w:bottom w:val="single" w:sz="4" w:space="0" w:color="auto"/>
            </w:tcBorders>
          </w:tcPr>
          <w:p w14:paraId="1CFEFBFD" w14:textId="76B42EE9" w:rsidR="003A33A6" w:rsidRPr="008A4F40" w:rsidRDefault="00CD087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rPr>
              <w:t>N</w:t>
            </w:r>
            <w:ins w:id="224" w:author="Author">
              <w:r>
                <w:rPr>
                  <w:rFonts w:ascii="Times New Roman" w:hAnsi="Times New Roman"/>
                  <w:color w:val="000000"/>
                  <w:sz w:val="22"/>
                  <w:szCs w:val="22"/>
                </w:rPr>
                <w:t> </w:t>
              </w:r>
            </w:ins>
            <w:r w:rsidR="003A33A6" w:rsidRPr="008A4F40">
              <w:rPr>
                <w:rFonts w:ascii="Times New Roman" w:hAnsi="Times New Roman"/>
                <w:color w:val="000000"/>
                <w:sz w:val="22"/>
                <w:szCs w:val="22"/>
              </w:rPr>
              <w:t>=</w:t>
            </w:r>
            <w:ins w:id="225" w:author="Author">
              <w:r>
                <w:rPr>
                  <w:rFonts w:ascii="Times New Roman" w:hAnsi="Times New Roman"/>
                  <w:color w:val="000000"/>
                  <w:sz w:val="22"/>
                  <w:szCs w:val="22"/>
                </w:rPr>
                <w:t> </w:t>
              </w:r>
            </w:ins>
            <w:r w:rsidR="003A33A6" w:rsidRPr="008A4F40">
              <w:rPr>
                <w:rFonts w:ascii="Times New Roman" w:hAnsi="Times New Roman"/>
                <w:color w:val="000000"/>
                <w:sz w:val="22"/>
                <w:szCs w:val="22"/>
              </w:rPr>
              <w:t>553</w:t>
            </w:r>
          </w:p>
        </w:tc>
        <w:tc>
          <w:tcPr>
            <w:tcW w:w="2718" w:type="dxa"/>
            <w:tcBorders>
              <w:top w:val="nil"/>
              <w:bottom w:val="single" w:sz="4" w:space="0" w:color="auto"/>
              <w:right w:val="single" w:sz="4" w:space="0" w:color="auto"/>
            </w:tcBorders>
          </w:tcPr>
          <w:p w14:paraId="7D15C869" w14:textId="4CF9867D" w:rsidR="003A33A6" w:rsidRPr="008A4F40" w:rsidRDefault="00CD087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rPr>
              <w:t>N</w:t>
            </w:r>
            <w:ins w:id="226" w:author="Author">
              <w:r>
                <w:rPr>
                  <w:rFonts w:ascii="Times New Roman" w:hAnsi="Times New Roman"/>
                  <w:color w:val="000000"/>
                  <w:sz w:val="22"/>
                  <w:szCs w:val="22"/>
                </w:rPr>
                <w:t> </w:t>
              </w:r>
            </w:ins>
            <w:r w:rsidR="003A33A6" w:rsidRPr="008A4F40">
              <w:rPr>
                <w:rFonts w:ascii="Times New Roman" w:hAnsi="Times New Roman"/>
                <w:color w:val="000000"/>
                <w:sz w:val="22"/>
                <w:szCs w:val="22"/>
              </w:rPr>
              <w:t>=</w:t>
            </w:r>
            <w:ins w:id="227" w:author="Author">
              <w:r>
                <w:rPr>
                  <w:rFonts w:ascii="Times New Roman" w:hAnsi="Times New Roman"/>
                  <w:color w:val="000000"/>
                  <w:sz w:val="22"/>
                  <w:szCs w:val="22"/>
                </w:rPr>
                <w:t> </w:t>
              </w:r>
            </w:ins>
            <w:r w:rsidR="003A33A6" w:rsidRPr="008A4F40">
              <w:rPr>
                <w:rFonts w:ascii="Times New Roman" w:hAnsi="Times New Roman"/>
                <w:color w:val="000000"/>
                <w:sz w:val="22"/>
                <w:szCs w:val="22"/>
              </w:rPr>
              <w:t>553</w:t>
            </w:r>
          </w:p>
        </w:tc>
      </w:tr>
      <w:tr w:rsidR="003A33A6" w:rsidRPr="008A4F40" w14:paraId="410D56D2" w14:textId="77777777" w:rsidTr="00DA7B0B">
        <w:trPr>
          <w:cantSplit/>
        </w:trPr>
        <w:tc>
          <w:tcPr>
            <w:tcW w:w="3794" w:type="dxa"/>
            <w:tcBorders>
              <w:top w:val="nil"/>
              <w:left w:val="single" w:sz="4" w:space="0" w:color="auto"/>
            </w:tcBorders>
          </w:tcPr>
          <w:p w14:paraId="3C20317A" w14:textId="77777777" w:rsidR="003A33A6" w:rsidRPr="008A4F40" w:rsidRDefault="003A33A6" w:rsidP="004E7659">
            <w:pPr>
              <w:pStyle w:val="Table"/>
              <w:keepLines w:val="0"/>
              <w:spacing w:before="0" w:after="0"/>
              <w:rPr>
                <w:rFonts w:ascii="Times New Roman" w:hAnsi="Times New Roman"/>
                <w:b/>
                <w:color w:val="000000"/>
                <w:sz w:val="22"/>
                <w:szCs w:val="22"/>
              </w:rPr>
            </w:pPr>
            <w:proofErr w:type="spellStart"/>
            <w:r w:rsidRPr="008A4F40">
              <w:rPr>
                <w:rFonts w:ascii="Times New Roman" w:hAnsi="Times New Roman"/>
                <w:b/>
                <w:color w:val="000000"/>
                <w:sz w:val="22"/>
                <w:szCs w:val="22"/>
                <w:lang w:val="fr-FR"/>
              </w:rPr>
              <w:t>Hämatologische</w:t>
            </w:r>
            <w:proofErr w:type="spellEnd"/>
            <w:r w:rsidRPr="008A4F40">
              <w:rPr>
                <w:rFonts w:ascii="Times New Roman" w:hAnsi="Times New Roman"/>
                <w:b/>
                <w:color w:val="000000"/>
                <w:sz w:val="22"/>
                <w:szCs w:val="22"/>
                <w:lang w:val="fr-FR"/>
              </w:rPr>
              <w:t xml:space="preserve"> </w:t>
            </w:r>
            <w:proofErr w:type="spellStart"/>
            <w:r w:rsidRPr="008A4F40">
              <w:rPr>
                <w:rFonts w:ascii="Times New Roman" w:hAnsi="Times New Roman"/>
                <w:b/>
                <w:color w:val="000000"/>
                <w:sz w:val="22"/>
                <w:szCs w:val="22"/>
                <w:lang w:val="fr-FR"/>
              </w:rPr>
              <w:t>Remission</w:t>
            </w:r>
            <w:proofErr w:type="spellEnd"/>
          </w:p>
        </w:tc>
        <w:tc>
          <w:tcPr>
            <w:tcW w:w="2693" w:type="dxa"/>
            <w:tcBorders>
              <w:top w:val="nil"/>
            </w:tcBorders>
          </w:tcPr>
          <w:p w14:paraId="3A16D6A9" w14:textId="77777777" w:rsidR="003A33A6" w:rsidRPr="008A4F40" w:rsidRDefault="003A33A6" w:rsidP="004E7659">
            <w:pPr>
              <w:pStyle w:val="Table"/>
              <w:keepLines w:val="0"/>
              <w:spacing w:before="0" w:after="0"/>
              <w:jc w:val="center"/>
              <w:rPr>
                <w:rFonts w:ascii="Times New Roman" w:hAnsi="Times New Roman"/>
                <w:b/>
                <w:color w:val="000000"/>
                <w:sz w:val="22"/>
                <w:szCs w:val="22"/>
              </w:rPr>
            </w:pPr>
          </w:p>
        </w:tc>
        <w:tc>
          <w:tcPr>
            <w:tcW w:w="2718" w:type="dxa"/>
            <w:tcBorders>
              <w:top w:val="nil"/>
              <w:right w:val="single" w:sz="4" w:space="0" w:color="auto"/>
            </w:tcBorders>
          </w:tcPr>
          <w:p w14:paraId="1935D3DC" w14:textId="77777777" w:rsidR="003A33A6" w:rsidRPr="008A4F40" w:rsidRDefault="003A33A6" w:rsidP="004E7659">
            <w:pPr>
              <w:pStyle w:val="Table"/>
              <w:keepLines w:val="0"/>
              <w:spacing w:before="0" w:after="0"/>
              <w:jc w:val="center"/>
              <w:rPr>
                <w:rFonts w:ascii="Times New Roman" w:hAnsi="Times New Roman"/>
                <w:b/>
                <w:color w:val="000000"/>
                <w:sz w:val="22"/>
                <w:szCs w:val="22"/>
              </w:rPr>
            </w:pPr>
          </w:p>
        </w:tc>
      </w:tr>
      <w:tr w:rsidR="003A33A6" w:rsidRPr="008A4F40" w14:paraId="2F2D40BE" w14:textId="77777777" w:rsidTr="00DA7B0B">
        <w:trPr>
          <w:cantSplit/>
        </w:trPr>
        <w:tc>
          <w:tcPr>
            <w:tcW w:w="3794" w:type="dxa"/>
            <w:tcBorders>
              <w:top w:val="nil"/>
              <w:left w:val="single" w:sz="4" w:space="0" w:color="auto"/>
            </w:tcBorders>
          </w:tcPr>
          <w:p w14:paraId="37C87D19" w14:textId="77777777" w:rsidR="003A33A6" w:rsidRPr="008A4F40" w:rsidRDefault="003A33A6" w:rsidP="004E7659">
            <w:pPr>
              <w:pStyle w:val="Table"/>
              <w:keepLines w:val="0"/>
              <w:spacing w:before="0" w:after="0"/>
              <w:rPr>
                <w:rFonts w:ascii="Times New Roman" w:hAnsi="Times New Roman"/>
                <w:color w:val="000000"/>
                <w:sz w:val="22"/>
                <w:szCs w:val="22"/>
              </w:rPr>
            </w:pPr>
            <w:smartTag w:uri="urn:schemas-microsoft-com:office:smarttags" w:element="stockticker">
              <w:r w:rsidRPr="008A4F40">
                <w:rPr>
                  <w:rFonts w:ascii="Times New Roman" w:hAnsi="Times New Roman"/>
                  <w:color w:val="000000"/>
                  <w:sz w:val="22"/>
                  <w:szCs w:val="22"/>
                  <w:lang w:val="fr-FR"/>
                </w:rPr>
                <w:t>CHR</w:t>
              </w:r>
            </w:smartTag>
            <w:r w:rsidRPr="008A4F40">
              <w:rPr>
                <w:rFonts w:ascii="Times New Roman" w:hAnsi="Times New Roman"/>
                <w:color w:val="000000"/>
                <w:sz w:val="22"/>
                <w:szCs w:val="22"/>
                <w:lang w:val="fr-FR"/>
              </w:rPr>
              <w:t xml:space="preserve"> n (%)</w:t>
            </w:r>
          </w:p>
        </w:tc>
        <w:tc>
          <w:tcPr>
            <w:tcW w:w="2693" w:type="dxa"/>
            <w:tcBorders>
              <w:top w:val="nil"/>
            </w:tcBorders>
          </w:tcPr>
          <w:p w14:paraId="2173F483"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534 (96,6%)*</w:t>
            </w:r>
          </w:p>
        </w:tc>
        <w:tc>
          <w:tcPr>
            <w:tcW w:w="2718" w:type="dxa"/>
            <w:tcBorders>
              <w:top w:val="nil"/>
              <w:right w:val="single" w:sz="4" w:space="0" w:color="auto"/>
            </w:tcBorders>
          </w:tcPr>
          <w:p w14:paraId="7878038D"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313 (56,6%)*</w:t>
            </w:r>
          </w:p>
        </w:tc>
      </w:tr>
      <w:tr w:rsidR="003A33A6" w:rsidRPr="008A4F40" w14:paraId="386EFCCB" w14:textId="77777777" w:rsidTr="00DA7B0B">
        <w:trPr>
          <w:cantSplit/>
        </w:trPr>
        <w:tc>
          <w:tcPr>
            <w:tcW w:w="3794" w:type="dxa"/>
            <w:tcBorders>
              <w:left w:val="single" w:sz="4" w:space="0" w:color="auto"/>
            </w:tcBorders>
          </w:tcPr>
          <w:p w14:paraId="76199110"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ab/>
              <w:t>[95%</w:t>
            </w:r>
            <w:r w:rsidR="008B0DF4" w:rsidRPr="008A4F40">
              <w:rPr>
                <w:rFonts w:ascii="Times New Roman" w:hAnsi="Times New Roman"/>
                <w:color w:val="000000"/>
                <w:sz w:val="22"/>
                <w:szCs w:val="22"/>
              </w:rPr>
              <w:t>-KI</w:t>
            </w:r>
            <w:r w:rsidRPr="008A4F40">
              <w:rPr>
                <w:rFonts w:ascii="Times New Roman" w:hAnsi="Times New Roman"/>
                <w:color w:val="000000"/>
                <w:sz w:val="22"/>
                <w:szCs w:val="22"/>
              </w:rPr>
              <w:t>]</w:t>
            </w:r>
          </w:p>
        </w:tc>
        <w:tc>
          <w:tcPr>
            <w:tcW w:w="2693" w:type="dxa"/>
          </w:tcPr>
          <w:p w14:paraId="4DDEFD0F"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[94,7%, 97,9%]</w:t>
            </w:r>
          </w:p>
        </w:tc>
        <w:tc>
          <w:tcPr>
            <w:tcW w:w="2718" w:type="dxa"/>
            <w:tcBorders>
              <w:right w:val="single" w:sz="4" w:space="0" w:color="auto"/>
            </w:tcBorders>
          </w:tcPr>
          <w:p w14:paraId="7E9F182A"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[52,4%, 60,8%]</w:t>
            </w:r>
          </w:p>
        </w:tc>
      </w:tr>
      <w:tr w:rsidR="003A33A6" w:rsidRPr="008A4F40" w14:paraId="4FC85C99" w14:textId="77777777" w:rsidTr="00DA7B0B">
        <w:trPr>
          <w:cantSplit/>
        </w:trPr>
        <w:tc>
          <w:tcPr>
            <w:tcW w:w="3794" w:type="dxa"/>
            <w:tcBorders>
              <w:left w:val="single" w:sz="4" w:space="0" w:color="auto"/>
            </w:tcBorders>
          </w:tcPr>
          <w:p w14:paraId="14E4C334" w14:textId="77777777" w:rsidR="003A33A6" w:rsidRPr="008A4F40" w:rsidRDefault="003A33A6" w:rsidP="004E7659">
            <w:pPr>
              <w:pStyle w:val="Table"/>
              <w:keepLines w:val="0"/>
              <w:spacing w:before="0" w:after="0"/>
              <w:rPr>
                <w:rFonts w:ascii="Times New Roman" w:hAnsi="Times New Roman"/>
                <w:color w:val="000000"/>
                <w:sz w:val="22"/>
                <w:szCs w:val="22"/>
              </w:rPr>
            </w:pPr>
          </w:p>
        </w:tc>
        <w:tc>
          <w:tcPr>
            <w:tcW w:w="2693" w:type="dxa"/>
          </w:tcPr>
          <w:p w14:paraId="272151FF" w14:textId="77777777" w:rsidR="003A33A6" w:rsidRPr="008A4F40" w:rsidRDefault="003A33A6" w:rsidP="004E7659">
            <w:pPr>
              <w:pStyle w:val="Table"/>
              <w:keepLines w:val="0"/>
              <w:spacing w:before="0" w:after="0"/>
              <w:rPr>
                <w:rFonts w:ascii="Times New Roman" w:hAnsi="Times New Roman"/>
                <w:color w:val="000000"/>
                <w:sz w:val="22"/>
                <w:szCs w:val="22"/>
              </w:rPr>
            </w:pPr>
          </w:p>
        </w:tc>
        <w:tc>
          <w:tcPr>
            <w:tcW w:w="2718" w:type="dxa"/>
            <w:tcBorders>
              <w:right w:val="single" w:sz="4" w:space="0" w:color="auto"/>
            </w:tcBorders>
          </w:tcPr>
          <w:p w14:paraId="44536EA4" w14:textId="77777777" w:rsidR="003A33A6" w:rsidRPr="008A4F40" w:rsidRDefault="003A33A6" w:rsidP="004E7659">
            <w:pPr>
              <w:pStyle w:val="Table"/>
              <w:keepLines w:val="0"/>
              <w:spacing w:before="0" w:after="0"/>
              <w:rPr>
                <w:rFonts w:ascii="Times New Roman" w:hAnsi="Times New Roman"/>
                <w:color w:val="000000"/>
                <w:sz w:val="22"/>
                <w:szCs w:val="22"/>
              </w:rPr>
            </w:pPr>
          </w:p>
        </w:tc>
      </w:tr>
      <w:tr w:rsidR="003A33A6" w:rsidRPr="008A4F40" w14:paraId="32A0F78D" w14:textId="77777777" w:rsidTr="00DA7B0B">
        <w:trPr>
          <w:cantSplit/>
        </w:trPr>
        <w:tc>
          <w:tcPr>
            <w:tcW w:w="3794" w:type="dxa"/>
            <w:tcBorders>
              <w:left w:val="single" w:sz="4" w:space="0" w:color="auto"/>
            </w:tcBorders>
          </w:tcPr>
          <w:p w14:paraId="54953D50" w14:textId="77777777" w:rsidR="003A33A6" w:rsidRPr="008A4F40" w:rsidRDefault="003A33A6" w:rsidP="004E7659">
            <w:pPr>
              <w:pStyle w:val="Table"/>
              <w:keepLines w:val="0"/>
              <w:spacing w:before="0" w:after="0"/>
              <w:rPr>
                <w:rFonts w:ascii="Times New Roman" w:hAnsi="Times New Roman"/>
                <w:b/>
                <w:color w:val="000000"/>
                <w:sz w:val="22"/>
                <w:szCs w:val="22"/>
              </w:rPr>
            </w:pPr>
            <w:proofErr w:type="spellStart"/>
            <w:r w:rsidRPr="008A4F40">
              <w:rPr>
                <w:rFonts w:ascii="Times New Roman" w:hAnsi="Times New Roman"/>
                <w:b/>
                <w:color w:val="000000"/>
                <w:sz w:val="22"/>
                <w:szCs w:val="22"/>
              </w:rPr>
              <w:t>Zytogenetische</w:t>
            </w:r>
            <w:proofErr w:type="spellEnd"/>
            <w:r w:rsidRPr="008A4F40">
              <w:rPr>
                <w:rFonts w:ascii="Times New Roman" w:hAnsi="Times New Roman"/>
                <w:b/>
                <w:color w:val="000000"/>
                <w:sz w:val="22"/>
                <w:szCs w:val="22"/>
              </w:rPr>
              <w:t xml:space="preserve"> Remission</w:t>
            </w:r>
          </w:p>
        </w:tc>
        <w:tc>
          <w:tcPr>
            <w:tcW w:w="2693" w:type="dxa"/>
          </w:tcPr>
          <w:p w14:paraId="7C5DF6D5" w14:textId="77777777" w:rsidR="003A33A6" w:rsidRPr="008A4F40" w:rsidRDefault="003A33A6" w:rsidP="004E7659">
            <w:pPr>
              <w:pStyle w:val="Table"/>
              <w:keepLines w:val="0"/>
              <w:spacing w:before="0" w:after="0"/>
              <w:rPr>
                <w:rFonts w:ascii="Times New Roman" w:hAnsi="Times New Roman"/>
                <w:b/>
                <w:color w:val="000000"/>
                <w:sz w:val="22"/>
                <w:szCs w:val="22"/>
              </w:rPr>
            </w:pPr>
          </w:p>
        </w:tc>
        <w:tc>
          <w:tcPr>
            <w:tcW w:w="2718" w:type="dxa"/>
            <w:tcBorders>
              <w:right w:val="single" w:sz="4" w:space="0" w:color="auto"/>
            </w:tcBorders>
          </w:tcPr>
          <w:p w14:paraId="3BD3423D" w14:textId="77777777" w:rsidR="003A33A6" w:rsidRPr="008A4F40" w:rsidRDefault="003A33A6" w:rsidP="004E7659">
            <w:pPr>
              <w:pStyle w:val="Table"/>
              <w:keepLines w:val="0"/>
              <w:spacing w:before="0" w:after="0"/>
              <w:rPr>
                <w:rFonts w:ascii="Times New Roman" w:hAnsi="Times New Roman"/>
                <w:b/>
                <w:color w:val="000000"/>
                <w:sz w:val="22"/>
                <w:szCs w:val="22"/>
              </w:rPr>
            </w:pPr>
          </w:p>
        </w:tc>
      </w:tr>
      <w:tr w:rsidR="003A33A6" w:rsidRPr="008A4F40" w14:paraId="11C1BA7D" w14:textId="77777777" w:rsidTr="00DA7B0B">
        <w:trPr>
          <w:cantSplit/>
        </w:trPr>
        <w:tc>
          <w:tcPr>
            <w:tcW w:w="3794" w:type="dxa"/>
            <w:tcBorders>
              <w:left w:val="single" w:sz="4" w:space="0" w:color="auto"/>
            </w:tcBorders>
          </w:tcPr>
          <w:p w14:paraId="6445AA72"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 xml:space="preserve">Gute </w:t>
            </w:r>
            <w:proofErr w:type="spellStart"/>
            <w:r w:rsidRPr="008A4F40">
              <w:rPr>
                <w:rFonts w:ascii="Times New Roman" w:hAnsi="Times New Roman"/>
                <w:color w:val="000000"/>
                <w:sz w:val="22"/>
                <w:szCs w:val="22"/>
              </w:rPr>
              <w:t>CyR</w:t>
            </w:r>
            <w:proofErr w:type="spellEnd"/>
            <w:r w:rsidRPr="008A4F40">
              <w:rPr>
                <w:rFonts w:ascii="Times New Roman" w:hAnsi="Times New Roman"/>
                <w:color w:val="000000"/>
                <w:sz w:val="22"/>
                <w:szCs w:val="22"/>
              </w:rPr>
              <w:t xml:space="preserve"> n (%)</w:t>
            </w:r>
          </w:p>
        </w:tc>
        <w:tc>
          <w:tcPr>
            <w:tcW w:w="2693" w:type="dxa"/>
          </w:tcPr>
          <w:p w14:paraId="5FA8C987"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490 (88,6%)*</w:t>
            </w:r>
          </w:p>
        </w:tc>
        <w:tc>
          <w:tcPr>
            <w:tcW w:w="2718" w:type="dxa"/>
            <w:tcBorders>
              <w:right w:val="single" w:sz="4" w:space="0" w:color="auto"/>
            </w:tcBorders>
          </w:tcPr>
          <w:p w14:paraId="69483262"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129 (23,3%)*</w:t>
            </w:r>
          </w:p>
        </w:tc>
      </w:tr>
      <w:tr w:rsidR="003A33A6" w:rsidRPr="008A4F40" w14:paraId="3C5959A3" w14:textId="77777777" w:rsidTr="00DA7B0B">
        <w:trPr>
          <w:cantSplit/>
        </w:trPr>
        <w:tc>
          <w:tcPr>
            <w:tcW w:w="3794" w:type="dxa"/>
            <w:tcBorders>
              <w:left w:val="single" w:sz="4" w:space="0" w:color="auto"/>
            </w:tcBorders>
          </w:tcPr>
          <w:p w14:paraId="501BFB91"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ab/>
              <w:t>[95%</w:t>
            </w:r>
            <w:r w:rsidR="008B0DF4" w:rsidRPr="008A4F40">
              <w:rPr>
                <w:rFonts w:ascii="Times New Roman" w:hAnsi="Times New Roman"/>
                <w:color w:val="000000"/>
                <w:sz w:val="22"/>
                <w:szCs w:val="22"/>
              </w:rPr>
              <w:t>-KI</w:t>
            </w:r>
            <w:r w:rsidRPr="008A4F40">
              <w:rPr>
                <w:rFonts w:ascii="Times New Roman" w:hAnsi="Times New Roman"/>
                <w:color w:val="000000"/>
                <w:sz w:val="22"/>
                <w:szCs w:val="22"/>
              </w:rPr>
              <w:t>]</w:t>
            </w:r>
          </w:p>
        </w:tc>
        <w:tc>
          <w:tcPr>
            <w:tcW w:w="2693" w:type="dxa"/>
          </w:tcPr>
          <w:p w14:paraId="5C8EBF51"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[85,7%, 91,1%]</w:t>
            </w:r>
          </w:p>
        </w:tc>
        <w:tc>
          <w:tcPr>
            <w:tcW w:w="2718" w:type="dxa"/>
            <w:tcBorders>
              <w:right w:val="single" w:sz="4" w:space="0" w:color="auto"/>
            </w:tcBorders>
          </w:tcPr>
          <w:p w14:paraId="6B4E77DD"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[19,9%, 27,1%]</w:t>
            </w:r>
          </w:p>
        </w:tc>
      </w:tr>
      <w:tr w:rsidR="003A33A6" w:rsidRPr="008A4F40" w14:paraId="0EF5A7B1" w14:textId="77777777" w:rsidTr="00DA7B0B">
        <w:trPr>
          <w:cantSplit/>
        </w:trPr>
        <w:tc>
          <w:tcPr>
            <w:tcW w:w="3794" w:type="dxa"/>
            <w:tcBorders>
              <w:left w:val="single" w:sz="4" w:space="0" w:color="auto"/>
            </w:tcBorders>
          </w:tcPr>
          <w:p w14:paraId="4AD0A1E6"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ab/>
            </w:r>
            <w:proofErr w:type="spellStart"/>
            <w:r w:rsidRPr="008A4F40">
              <w:rPr>
                <w:rFonts w:ascii="Times New Roman" w:hAnsi="Times New Roman"/>
                <w:color w:val="000000"/>
                <w:sz w:val="22"/>
                <w:szCs w:val="22"/>
                <w:lang w:val="fr-FR"/>
              </w:rPr>
              <w:t>Komplette</w:t>
            </w:r>
            <w:proofErr w:type="spellEnd"/>
            <w:r w:rsidRPr="008A4F40">
              <w:rPr>
                <w:rFonts w:ascii="Times New Roman" w:hAnsi="Times New Roman"/>
                <w:color w:val="000000"/>
                <w:sz w:val="22"/>
                <w:szCs w:val="22"/>
                <w:lang w:val="fr-FR"/>
              </w:rPr>
              <w:t xml:space="preserve"> </w:t>
            </w:r>
            <w:proofErr w:type="spellStart"/>
            <w:r w:rsidRPr="008A4F40">
              <w:rPr>
                <w:rFonts w:ascii="Times New Roman" w:hAnsi="Times New Roman"/>
                <w:color w:val="000000"/>
                <w:sz w:val="22"/>
                <w:szCs w:val="22"/>
                <w:lang w:val="fr-FR"/>
              </w:rPr>
              <w:t>CyR</w:t>
            </w:r>
            <w:proofErr w:type="spellEnd"/>
            <w:r w:rsidRPr="008A4F40">
              <w:rPr>
                <w:rFonts w:ascii="Times New Roman" w:hAnsi="Times New Roman"/>
                <w:color w:val="000000"/>
                <w:sz w:val="22"/>
                <w:szCs w:val="22"/>
                <w:lang w:val="fr-FR"/>
              </w:rPr>
              <w:t xml:space="preserve"> n (%)</w:t>
            </w:r>
          </w:p>
        </w:tc>
        <w:tc>
          <w:tcPr>
            <w:tcW w:w="2693" w:type="dxa"/>
          </w:tcPr>
          <w:p w14:paraId="40DFCCAC"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456 (82,5%)*</w:t>
            </w:r>
          </w:p>
        </w:tc>
        <w:tc>
          <w:tcPr>
            <w:tcW w:w="2718" w:type="dxa"/>
            <w:tcBorders>
              <w:right w:val="single" w:sz="4" w:space="0" w:color="auto"/>
            </w:tcBorders>
          </w:tcPr>
          <w:p w14:paraId="64BBAD56"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64 (11,6%)*</w:t>
            </w:r>
          </w:p>
        </w:tc>
      </w:tr>
      <w:tr w:rsidR="003A33A6" w:rsidRPr="008A4F40" w14:paraId="00FC080F" w14:textId="77777777" w:rsidTr="00DA7B0B">
        <w:trPr>
          <w:cantSplit/>
        </w:trPr>
        <w:tc>
          <w:tcPr>
            <w:tcW w:w="3794" w:type="dxa"/>
            <w:tcBorders>
              <w:left w:val="single" w:sz="4" w:space="0" w:color="auto"/>
            </w:tcBorders>
          </w:tcPr>
          <w:p w14:paraId="012EF6EA"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ab/>
            </w:r>
            <w:r w:rsidRPr="008A4F40">
              <w:rPr>
                <w:rFonts w:ascii="Times New Roman" w:hAnsi="Times New Roman"/>
                <w:color w:val="000000"/>
                <w:sz w:val="22"/>
                <w:szCs w:val="22"/>
                <w:lang w:val="fr-FR"/>
              </w:rPr>
              <w:t xml:space="preserve">Partielle </w:t>
            </w:r>
            <w:proofErr w:type="spellStart"/>
            <w:r w:rsidRPr="008A4F40">
              <w:rPr>
                <w:rFonts w:ascii="Times New Roman" w:hAnsi="Times New Roman"/>
                <w:color w:val="000000"/>
                <w:sz w:val="22"/>
                <w:szCs w:val="22"/>
                <w:lang w:val="fr-FR"/>
              </w:rPr>
              <w:t>CyR</w:t>
            </w:r>
            <w:proofErr w:type="spellEnd"/>
            <w:r w:rsidRPr="008A4F40">
              <w:rPr>
                <w:rFonts w:ascii="Times New Roman" w:hAnsi="Times New Roman"/>
                <w:color w:val="000000"/>
                <w:sz w:val="22"/>
                <w:szCs w:val="22"/>
                <w:lang w:val="fr-FR"/>
              </w:rPr>
              <w:t xml:space="preserve"> n (%)</w:t>
            </w:r>
          </w:p>
        </w:tc>
        <w:tc>
          <w:tcPr>
            <w:tcW w:w="2693" w:type="dxa"/>
          </w:tcPr>
          <w:p w14:paraId="01C318AC"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34 (6,1%)</w:t>
            </w:r>
          </w:p>
        </w:tc>
        <w:tc>
          <w:tcPr>
            <w:tcW w:w="2718" w:type="dxa"/>
            <w:tcBorders>
              <w:right w:val="single" w:sz="4" w:space="0" w:color="auto"/>
            </w:tcBorders>
          </w:tcPr>
          <w:p w14:paraId="349631AA" w14:textId="77777777"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65 (11,8%)</w:t>
            </w:r>
          </w:p>
        </w:tc>
      </w:tr>
      <w:tr w:rsidR="003A33A6" w:rsidRPr="008A4F40" w14:paraId="295A033D" w14:textId="77777777" w:rsidTr="00DA7B0B">
        <w:trPr>
          <w:cantSplit/>
        </w:trPr>
        <w:tc>
          <w:tcPr>
            <w:tcW w:w="3794" w:type="dxa"/>
            <w:tcBorders>
              <w:left w:val="single" w:sz="4" w:space="0" w:color="auto"/>
              <w:bottom w:val="nil"/>
            </w:tcBorders>
          </w:tcPr>
          <w:p w14:paraId="5FCDE29A" w14:textId="77777777" w:rsidR="003A33A6" w:rsidRPr="008A4F40" w:rsidRDefault="003A33A6" w:rsidP="004E7659">
            <w:pPr>
              <w:pStyle w:val="Table"/>
              <w:keepLines w:val="0"/>
              <w:spacing w:before="0" w:after="0"/>
              <w:rPr>
                <w:rFonts w:ascii="Times New Roman" w:hAnsi="Times New Roman"/>
                <w:color w:val="000000"/>
                <w:sz w:val="22"/>
                <w:szCs w:val="22"/>
              </w:rPr>
            </w:pPr>
          </w:p>
        </w:tc>
        <w:tc>
          <w:tcPr>
            <w:tcW w:w="2693" w:type="dxa"/>
            <w:tcBorders>
              <w:bottom w:val="nil"/>
            </w:tcBorders>
          </w:tcPr>
          <w:p w14:paraId="787B2A83" w14:textId="77777777" w:rsidR="003A33A6" w:rsidRPr="008A4F40" w:rsidRDefault="003A33A6" w:rsidP="004E7659">
            <w:pPr>
              <w:pStyle w:val="Table"/>
              <w:keepLines w:val="0"/>
              <w:spacing w:before="0" w:after="0"/>
              <w:rPr>
                <w:rFonts w:ascii="Times New Roman" w:hAnsi="Times New Roman"/>
                <w:color w:val="000000"/>
                <w:sz w:val="22"/>
                <w:szCs w:val="22"/>
              </w:rPr>
            </w:pPr>
          </w:p>
        </w:tc>
        <w:tc>
          <w:tcPr>
            <w:tcW w:w="2718" w:type="dxa"/>
            <w:tcBorders>
              <w:bottom w:val="nil"/>
              <w:right w:val="single" w:sz="4" w:space="0" w:color="auto"/>
            </w:tcBorders>
          </w:tcPr>
          <w:p w14:paraId="281ADB41" w14:textId="77777777" w:rsidR="003A33A6" w:rsidRPr="008A4F40" w:rsidRDefault="003A33A6" w:rsidP="004E7659">
            <w:pPr>
              <w:pStyle w:val="Table"/>
              <w:keepLines w:val="0"/>
              <w:spacing w:before="0" w:after="0"/>
              <w:rPr>
                <w:rFonts w:ascii="Times New Roman" w:hAnsi="Times New Roman"/>
                <w:color w:val="000000"/>
                <w:sz w:val="22"/>
                <w:szCs w:val="22"/>
              </w:rPr>
            </w:pPr>
          </w:p>
        </w:tc>
      </w:tr>
      <w:tr w:rsidR="003A33A6" w:rsidRPr="008A4F40" w14:paraId="659DD7D7" w14:textId="77777777" w:rsidTr="00DA7B0B">
        <w:trPr>
          <w:cantSplit/>
        </w:trPr>
        <w:tc>
          <w:tcPr>
            <w:tcW w:w="3794" w:type="dxa"/>
            <w:tcBorders>
              <w:left w:val="single" w:sz="4" w:space="0" w:color="auto"/>
              <w:bottom w:val="nil"/>
            </w:tcBorders>
          </w:tcPr>
          <w:p w14:paraId="7D3AFE98" w14:textId="77777777" w:rsidR="003A33A6" w:rsidRPr="008A4F40" w:rsidRDefault="003A33A6" w:rsidP="004E7659">
            <w:pPr>
              <w:pStyle w:val="Table"/>
              <w:keepLines w:val="0"/>
              <w:spacing w:before="0" w:after="0"/>
              <w:rPr>
                <w:rFonts w:ascii="Times New Roman" w:hAnsi="Times New Roman"/>
                <w:color w:val="000000"/>
                <w:sz w:val="22"/>
                <w:szCs w:val="22"/>
              </w:rPr>
            </w:pPr>
            <w:proofErr w:type="spellStart"/>
            <w:r w:rsidRPr="008A4F40">
              <w:rPr>
                <w:rFonts w:ascii="Times New Roman" w:hAnsi="Times New Roman"/>
                <w:b/>
                <w:color w:val="000000"/>
                <w:sz w:val="22"/>
                <w:szCs w:val="22"/>
              </w:rPr>
              <w:t>Molekulare</w:t>
            </w:r>
            <w:proofErr w:type="spellEnd"/>
            <w:r w:rsidRPr="008A4F40">
              <w:rPr>
                <w:rFonts w:ascii="Times New Roman" w:hAnsi="Times New Roman"/>
                <w:b/>
                <w:color w:val="000000"/>
                <w:sz w:val="22"/>
                <w:szCs w:val="22"/>
              </w:rPr>
              <w:t xml:space="preserve"> Remission</w:t>
            </w:r>
            <w:r w:rsidRPr="008A4F40">
              <w:rPr>
                <w:rFonts w:ascii="Times New Roman" w:hAnsi="Times New Roman"/>
                <w:color w:val="000000"/>
                <w:sz w:val="22"/>
                <w:szCs w:val="22"/>
              </w:rPr>
              <w:t>**</w:t>
            </w:r>
          </w:p>
        </w:tc>
        <w:tc>
          <w:tcPr>
            <w:tcW w:w="2693" w:type="dxa"/>
            <w:tcBorders>
              <w:bottom w:val="nil"/>
            </w:tcBorders>
          </w:tcPr>
          <w:p w14:paraId="5B45F957" w14:textId="77777777" w:rsidR="003A33A6" w:rsidRPr="008A4F40" w:rsidRDefault="003A33A6" w:rsidP="004E7659">
            <w:pPr>
              <w:pStyle w:val="Table"/>
              <w:keepLines w:val="0"/>
              <w:spacing w:before="0" w:after="0"/>
              <w:rPr>
                <w:rFonts w:ascii="Times New Roman" w:hAnsi="Times New Roman"/>
                <w:color w:val="000000"/>
                <w:sz w:val="22"/>
                <w:szCs w:val="22"/>
              </w:rPr>
            </w:pPr>
          </w:p>
        </w:tc>
        <w:tc>
          <w:tcPr>
            <w:tcW w:w="2718" w:type="dxa"/>
            <w:tcBorders>
              <w:bottom w:val="nil"/>
              <w:right w:val="single" w:sz="4" w:space="0" w:color="auto"/>
            </w:tcBorders>
          </w:tcPr>
          <w:p w14:paraId="267B5CA4" w14:textId="77777777" w:rsidR="003A33A6" w:rsidRPr="008A4F40" w:rsidRDefault="003A33A6" w:rsidP="004E7659">
            <w:pPr>
              <w:pStyle w:val="Table"/>
              <w:keepLines w:val="0"/>
              <w:spacing w:before="0" w:after="0"/>
              <w:rPr>
                <w:rFonts w:ascii="Times New Roman" w:hAnsi="Times New Roman"/>
                <w:color w:val="000000"/>
                <w:sz w:val="22"/>
                <w:szCs w:val="22"/>
              </w:rPr>
            </w:pPr>
          </w:p>
        </w:tc>
      </w:tr>
      <w:tr w:rsidR="003A33A6" w:rsidRPr="008A4F40" w14:paraId="785B314D" w14:textId="77777777" w:rsidTr="00DA7B0B">
        <w:trPr>
          <w:cantSplit/>
        </w:trPr>
        <w:tc>
          <w:tcPr>
            <w:tcW w:w="3794" w:type="dxa"/>
            <w:tcBorders>
              <w:left w:val="single" w:sz="4" w:space="0" w:color="auto"/>
              <w:bottom w:val="nil"/>
            </w:tcBorders>
          </w:tcPr>
          <w:p w14:paraId="736E5242"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 xml:space="preserve">Gute Remission </w:t>
            </w:r>
            <w:proofErr w:type="spellStart"/>
            <w:r w:rsidRPr="008A4F40">
              <w:rPr>
                <w:rFonts w:ascii="Times New Roman" w:hAnsi="Times New Roman"/>
                <w:color w:val="000000"/>
                <w:sz w:val="22"/>
                <w:szCs w:val="22"/>
              </w:rPr>
              <w:t>nach</w:t>
            </w:r>
            <w:proofErr w:type="spellEnd"/>
            <w:r w:rsidRPr="008A4F40">
              <w:rPr>
                <w:rFonts w:ascii="Times New Roman" w:hAnsi="Times New Roman"/>
                <w:color w:val="000000"/>
                <w:sz w:val="22"/>
                <w:szCs w:val="22"/>
              </w:rPr>
              <w:t xml:space="preserve"> 12 </w:t>
            </w:r>
            <w:proofErr w:type="spellStart"/>
            <w:r w:rsidRPr="008A4F40">
              <w:rPr>
                <w:rFonts w:ascii="Times New Roman" w:hAnsi="Times New Roman"/>
                <w:color w:val="000000"/>
                <w:sz w:val="22"/>
                <w:szCs w:val="22"/>
              </w:rPr>
              <w:t>Monaten</w:t>
            </w:r>
            <w:proofErr w:type="spellEnd"/>
            <w:r w:rsidRPr="008A4F40">
              <w:rPr>
                <w:rFonts w:ascii="Times New Roman" w:hAnsi="Times New Roman"/>
                <w:color w:val="000000"/>
                <w:sz w:val="22"/>
                <w:szCs w:val="22"/>
              </w:rPr>
              <w:t xml:space="preserve"> (%)</w:t>
            </w:r>
          </w:p>
        </w:tc>
        <w:tc>
          <w:tcPr>
            <w:tcW w:w="2693" w:type="dxa"/>
            <w:tcBorders>
              <w:bottom w:val="nil"/>
            </w:tcBorders>
          </w:tcPr>
          <w:p w14:paraId="6A56912E" w14:textId="675E1E7B"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153/305</w:t>
            </w:r>
            <w:ins w:id="228"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w:t>
            </w:r>
            <w:ins w:id="229"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50,2%</w:t>
            </w:r>
          </w:p>
        </w:tc>
        <w:tc>
          <w:tcPr>
            <w:tcW w:w="2718" w:type="dxa"/>
            <w:tcBorders>
              <w:bottom w:val="nil"/>
              <w:right w:val="single" w:sz="4" w:space="0" w:color="auto"/>
            </w:tcBorders>
          </w:tcPr>
          <w:p w14:paraId="160C7E6F" w14:textId="723DAEED"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8/83</w:t>
            </w:r>
            <w:ins w:id="230"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w:t>
            </w:r>
            <w:ins w:id="231"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9,6%</w:t>
            </w:r>
          </w:p>
        </w:tc>
      </w:tr>
      <w:tr w:rsidR="003A33A6" w:rsidRPr="008A4F40" w14:paraId="7F9D58DA" w14:textId="77777777" w:rsidTr="00DA7B0B">
        <w:trPr>
          <w:cantSplit/>
        </w:trPr>
        <w:tc>
          <w:tcPr>
            <w:tcW w:w="3794" w:type="dxa"/>
            <w:tcBorders>
              <w:left w:val="single" w:sz="4" w:space="0" w:color="auto"/>
              <w:bottom w:val="nil"/>
            </w:tcBorders>
          </w:tcPr>
          <w:p w14:paraId="5D7F5407"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 xml:space="preserve">Gute Remission </w:t>
            </w:r>
            <w:proofErr w:type="spellStart"/>
            <w:r w:rsidRPr="008A4F40">
              <w:rPr>
                <w:rFonts w:ascii="Times New Roman" w:hAnsi="Times New Roman"/>
                <w:color w:val="000000"/>
                <w:sz w:val="22"/>
                <w:szCs w:val="22"/>
              </w:rPr>
              <w:t>nach</w:t>
            </w:r>
            <w:proofErr w:type="spellEnd"/>
            <w:r w:rsidRPr="008A4F40">
              <w:rPr>
                <w:rFonts w:ascii="Times New Roman" w:hAnsi="Times New Roman"/>
                <w:color w:val="000000"/>
                <w:sz w:val="22"/>
                <w:szCs w:val="22"/>
              </w:rPr>
              <w:t xml:space="preserve"> 24 </w:t>
            </w:r>
            <w:proofErr w:type="spellStart"/>
            <w:r w:rsidRPr="008A4F40">
              <w:rPr>
                <w:rFonts w:ascii="Times New Roman" w:hAnsi="Times New Roman"/>
                <w:color w:val="000000"/>
                <w:sz w:val="22"/>
                <w:szCs w:val="22"/>
              </w:rPr>
              <w:t>Monaten</w:t>
            </w:r>
            <w:proofErr w:type="spellEnd"/>
            <w:r w:rsidRPr="008A4F40">
              <w:rPr>
                <w:rFonts w:ascii="Times New Roman" w:hAnsi="Times New Roman"/>
                <w:color w:val="000000"/>
                <w:sz w:val="22"/>
                <w:szCs w:val="22"/>
              </w:rPr>
              <w:t xml:space="preserve"> (%)</w:t>
            </w:r>
          </w:p>
        </w:tc>
        <w:tc>
          <w:tcPr>
            <w:tcW w:w="2693" w:type="dxa"/>
            <w:tcBorders>
              <w:bottom w:val="nil"/>
            </w:tcBorders>
          </w:tcPr>
          <w:p w14:paraId="78C77086" w14:textId="0D1A5F6C"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73/104</w:t>
            </w:r>
            <w:ins w:id="232"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w:t>
            </w:r>
            <w:ins w:id="233"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70,2%</w:t>
            </w:r>
          </w:p>
        </w:tc>
        <w:tc>
          <w:tcPr>
            <w:tcW w:w="2718" w:type="dxa"/>
            <w:tcBorders>
              <w:bottom w:val="nil"/>
              <w:right w:val="single" w:sz="4" w:space="0" w:color="auto"/>
            </w:tcBorders>
          </w:tcPr>
          <w:p w14:paraId="1634B8AC" w14:textId="2D27261B" w:rsidR="003A33A6" w:rsidRPr="008A4F40" w:rsidRDefault="003A33A6" w:rsidP="004E7659">
            <w:pPr>
              <w:pStyle w:val="Table"/>
              <w:keepLines w:val="0"/>
              <w:spacing w:before="0" w:after="0"/>
              <w:jc w:val="center"/>
              <w:rPr>
                <w:rFonts w:ascii="Times New Roman" w:hAnsi="Times New Roman"/>
                <w:color w:val="000000"/>
                <w:sz w:val="22"/>
                <w:szCs w:val="22"/>
              </w:rPr>
            </w:pPr>
            <w:r w:rsidRPr="008A4F40">
              <w:rPr>
                <w:rFonts w:ascii="Times New Roman" w:hAnsi="Times New Roman"/>
                <w:color w:val="000000"/>
                <w:sz w:val="22"/>
                <w:szCs w:val="22"/>
                <w:lang w:val="en-GB"/>
              </w:rPr>
              <w:t>3/12</w:t>
            </w:r>
            <w:ins w:id="234"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w:t>
            </w:r>
            <w:ins w:id="235"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25%</w:t>
            </w:r>
          </w:p>
        </w:tc>
      </w:tr>
      <w:tr w:rsidR="003A33A6" w:rsidRPr="008A4F40" w14:paraId="23D86C44" w14:textId="77777777" w:rsidTr="00DA7B0B">
        <w:trPr>
          <w:cantSplit/>
        </w:trPr>
        <w:tc>
          <w:tcPr>
            <w:tcW w:w="3794" w:type="dxa"/>
            <w:tcBorders>
              <w:left w:val="single" w:sz="4" w:space="0" w:color="auto"/>
              <w:bottom w:val="nil"/>
            </w:tcBorders>
          </w:tcPr>
          <w:p w14:paraId="52669024" w14:textId="77777777" w:rsidR="003A33A6" w:rsidRPr="008A4F40" w:rsidRDefault="003A33A6" w:rsidP="004E7659">
            <w:pPr>
              <w:pStyle w:val="Table"/>
              <w:keepLines w:val="0"/>
              <w:spacing w:before="0" w:after="0"/>
              <w:rPr>
                <w:rFonts w:ascii="Times New Roman" w:hAnsi="Times New Roman"/>
                <w:color w:val="000000"/>
                <w:sz w:val="22"/>
                <w:szCs w:val="22"/>
              </w:rPr>
            </w:pPr>
            <w:r w:rsidRPr="008A4F40">
              <w:rPr>
                <w:rFonts w:ascii="Times New Roman" w:hAnsi="Times New Roman"/>
                <w:color w:val="000000"/>
                <w:sz w:val="22"/>
                <w:szCs w:val="22"/>
              </w:rPr>
              <w:t xml:space="preserve">Gute Remission </w:t>
            </w:r>
            <w:proofErr w:type="spellStart"/>
            <w:r w:rsidRPr="008A4F40">
              <w:rPr>
                <w:rFonts w:ascii="Times New Roman" w:hAnsi="Times New Roman"/>
                <w:color w:val="000000"/>
                <w:sz w:val="22"/>
                <w:szCs w:val="22"/>
              </w:rPr>
              <w:t>nach</w:t>
            </w:r>
            <w:proofErr w:type="spellEnd"/>
            <w:r w:rsidRPr="008A4F40">
              <w:rPr>
                <w:rFonts w:ascii="Times New Roman" w:hAnsi="Times New Roman"/>
                <w:color w:val="000000"/>
                <w:sz w:val="22"/>
                <w:szCs w:val="22"/>
              </w:rPr>
              <w:t xml:space="preserve"> 84 </w:t>
            </w:r>
            <w:proofErr w:type="spellStart"/>
            <w:r w:rsidRPr="008A4F40">
              <w:rPr>
                <w:rFonts w:ascii="Times New Roman" w:hAnsi="Times New Roman"/>
                <w:color w:val="000000"/>
                <w:sz w:val="22"/>
                <w:szCs w:val="22"/>
              </w:rPr>
              <w:t>Monaten</w:t>
            </w:r>
            <w:proofErr w:type="spellEnd"/>
            <w:r w:rsidRPr="008A4F40">
              <w:rPr>
                <w:rFonts w:ascii="Times New Roman" w:hAnsi="Times New Roman"/>
                <w:color w:val="000000"/>
                <w:sz w:val="22"/>
                <w:szCs w:val="22"/>
              </w:rPr>
              <w:t xml:space="preserve"> (%)</w:t>
            </w:r>
          </w:p>
        </w:tc>
        <w:tc>
          <w:tcPr>
            <w:tcW w:w="2693" w:type="dxa"/>
            <w:tcBorders>
              <w:bottom w:val="nil"/>
            </w:tcBorders>
          </w:tcPr>
          <w:p w14:paraId="43B4931D" w14:textId="489D660E" w:rsidR="003A33A6" w:rsidRPr="008A4F40" w:rsidRDefault="003A33A6" w:rsidP="004E7659">
            <w:pPr>
              <w:pStyle w:val="Table"/>
              <w:keepLines w:val="0"/>
              <w:spacing w:before="0" w:after="0"/>
              <w:jc w:val="center"/>
              <w:rPr>
                <w:rFonts w:ascii="Times New Roman" w:hAnsi="Times New Roman"/>
                <w:color w:val="000000"/>
                <w:sz w:val="22"/>
                <w:szCs w:val="22"/>
                <w:lang w:val="en-GB"/>
              </w:rPr>
            </w:pPr>
            <w:r w:rsidRPr="008A4F40">
              <w:rPr>
                <w:rFonts w:ascii="Times New Roman" w:hAnsi="Times New Roman"/>
                <w:color w:val="000000"/>
                <w:sz w:val="22"/>
                <w:szCs w:val="22"/>
                <w:lang w:val="en-GB"/>
              </w:rPr>
              <w:t>102/116</w:t>
            </w:r>
            <w:ins w:id="236"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w:t>
            </w:r>
            <w:ins w:id="237"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87,9%</w:t>
            </w:r>
          </w:p>
        </w:tc>
        <w:tc>
          <w:tcPr>
            <w:tcW w:w="2718" w:type="dxa"/>
            <w:tcBorders>
              <w:bottom w:val="nil"/>
              <w:right w:val="single" w:sz="4" w:space="0" w:color="auto"/>
            </w:tcBorders>
          </w:tcPr>
          <w:p w14:paraId="017C97CE" w14:textId="540AE76C" w:rsidR="003A33A6" w:rsidRPr="008A4F40" w:rsidRDefault="003A33A6" w:rsidP="004E7659">
            <w:pPr>
              <w:pStyle w:val="Table"/>
              <w:keepLines w:val="0"/>
              <w:spacing w:before="0" w:after="0"/>
              <w:jc w:val="center"/>
              <w:rPr>
                <w:rFonts w:ascii="Times New Roman" w:hAnsi="Times New Roman"/>
                <w:color w:val="000000"/>
                <w:sz w:val="22"/>
                <w:szCs w:val="22"/>
                <w:lang w:val="en-GB"/>
              </w:rPr>
            </w:pPr>
            <w:r w:rsidRPr="008A4F40">
              <w:rPr>
                <w:rFonts w:ascii="Times New Roman" w:hAnsi="Times New Roman"/>
                <w:color w:val="000000"/>
                <w:sz w:val="22"/>
                <w:szCs w:val="22"/>
                <w:lang w:val="en-GB"/>
              </w:rPr>
              <w:t>3/4</w:t>
            </w:r>
            <w:ins w:id="238"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w:t>
            </w:r>
            <w:ins w:id="239" w:author="Author">
              <w:r w:rsidR="00CD0876">
                <w:rPr>
                  <w:rFonts w:ascii="Times New Roman" w:hAnsi="Times New Roman"/>
                  <w:color w:val="000000"/>
                  <w:sz w:val="22"/>
                  <w:szCs w:val="22"/>
                  <w:lang w:val="en-GB"/>
                </w:rPr>
                <w:t> </w:t>
              </w:r>
            </w:ins>
            <w:r w:rsidRPr="008A4F40">
              <w:rPr>
                <w:rFonts w:ascii="Times New Roman" w:hAnsi="Times New Roman"/>
                <w:color w:val="000000"/>
                <w:sz w:val="22"/>
                <w:szCs w:val="22"/>
                <w:lang w:val="en-GB"/>
              </w:rPr>
              <w:t>75%</w:t>
            </w:r>
          </w:p>
        </w:tc>
      </w:tr>
      <w:tr w:rsidR="003A33A6" w:rsidRPr="008A4F40" w14:paraId="5E32E9DE" w14:textId="77777777" w:rsidTr="00DA7B0B">
        <w:trPr>
          <w:cantSplit/>
        </w:trPr>
        <w:tc>
          <w:tcPr>
            <w:tcW w:w="9205" w:type="dxa"/>
            <w:gridSpan w:val="3"/>
            <w:tcBorders>
              <w:top w:val="single" w:sz="4" w:space="0" w:color="auto"/>
              <w:left w:val="single" w:sz="4" w:space="0" w:color="auto"/>
              <w:bottom w:val="single" w:sz="4" w:space="0" w:color="auto"/>
              <w:right w:val="single" w:sz="4" w:space="0" w:color="auto"/>
            </w:tcBorders>
          </w:tcPr>
          <w:p w14:paraId="40BE298C" w14:textId="77777777" w:rsidR="003A33A6" w:rsidRPr="00D1077B" w:rsidRDefault="003A33A6" w:rsidP="004E7659">
            <w:pPr>
              <w:pStyle w:val="Header"/>
              <w:tabs>
                <w:tab w:val="clear" w:pos="4320"/>
                <w:tab w:val="clear" w:pos="8640"/>
              </w:tabs>
              <w:ind w:left="34"/>
              <w:rPr>
                <w:color w:val="000000"/>
                <w:sz w:val="20"/>
                <w:rPrChange w:id="240" w:author="Author">
                  <w:rPr>
                    <w:color w:val="000000"/>
                    <w:szCs w:val="22"/>
                  </w:rPr>
                </w:rPrChange>
              </w:rPr>
            </w:pPr>
            <w:r w:rsidRPr="00D1077B">
              <w:rPr>
                <w:color w:val="000000"/>
                <w:sz w:val="20"/>
                <w:rPrChange w:id="241" w:author="Author">
                  <w:rPr>
                    <w:color w:val="000000"/>
                    <w:szCs w:val="22"/>
                  </w:rPr>
                </w:rPrChange>
              </w:rPr>
              <w:t>* p &lt; 0,001, Fishers exakter Test</w:t>
            </w:r>
          </w:p>
          <w:p w14:paraId="5A4CB1B8" w14:textId="77777777" w:rsidR="003A33A6" w:rsidRPr="00D1077B" w:rsidRDefault="003A33A6" w:rsidP="004E7659">
            <w:pPr>
              <w:pStyle w:val="Header"/>
              <w:tabs>
                <w:tab w:val="clear" w:pos="4320"/>
                <w:tab w:val="clear" w:pos="8640"/>
              </w:tabs>
              <w:ind w:left="34"/>
              <w:rPr>
                <w:color w:val="000000"/>
                <w:sz w:val="20"/>
                <w:rPrChange w:id="242" w:author="Author">
                  <w:rPr>
                    <w:color w:val="000000"/>
                    <w:szCs w:val="22"/>
                  </w:rPr>
                </w:rPrChange>
              </w:rPr>
            </w:pPr>
            <w:r w:rsidRPr="00D1077B">
              <w:rPr>
                <w:color w:val="000000"/>
                <w:sz w:val="20"/>
                <w:rPrChange w:id="243" w:author="Author">
                  <w:rPr>
                    <w:color w:val="000000"/>
                    <w:szCs w:val="22"/>
                  </w:rPr>
                </w:rPrChange>
              </w:rPr>
              <w:t>** Prozentangaben zur molekularen Remission basieren auf den verfügbaren Proben</w:t>
            </w:r>
          </w:p>
          <w:p w14:paraId="4B4AB782" w14:textId="77777777" w:rsidR="003A33A6" w:rsidRPr="00D1077B" w:rsidRDefault="003A33A6" w:rsidP="004E7659">
            <w:pPr>
              <w:rPr>
                <w:b/>
                <w:color w:val="000000"/>
                <w:rPrChange w:id="244" w:author="Author">
                  <w:rPr>
                    <w:b/>
                    <w:color w:val="000000"/>
                    <w:sz w:val="22"/>
                    <w:szCs w:val="22"/>
                  </w:rPr>
                </w:rPrChange>
              </w:rPr>
            </w:pPr>
            <w:r w:rsidRPr="00D1077B">
              <w:rPr>
                <w:b/>
                <w:color w:val="000000"/>
                <w:rPrChange w:id="245" w:author="Author">
                  <w:rPr>
                    <w:b/>
                    <w:color w:val="000000"/>
                    <w:sz w:val="22"/>
                    <w:szCs w:val="22"/>
                  </w:rPr>
                </w:rPrChange>
              </w:rPr>
              <w:t>Kriterien für die hämatologische Remission (Remission bestätigt nach ≥ 4 Wochen):</w:t>
            </w:r>
          </w:p>
          <w:p w14:paraId="0C6EE400" w14:textId="77777777" w:rsidR="003A33A6" w:rsidRPr="00D1077B" w:rsidRDefault="003A33A6" w:rsidP="004E7659">
            <w:pPr>
              <w:rPr>
                <w:color w:val="000000"/>
                <w:rPrChange w:id="246" w:author="Author">
                  <w:rPr>
                    <w:color w:val="000000"/>
                    <w:sz w:val="22"/>
                    <w:szCs w:val="22"/>
                  </w:rPr>
                </w:rPrChange>
              </w:rPr>
            </w:pPr>
            <w:r w:rsidRPr="00D1077B">
              <w:rPr>
                <w:color w:val="000000"/>
                <w:rPrChange w:id="247" w:author="Author">
                  <w:rPr>
                    <w:color w:val="000000"/>
                    <w:sz w:val="22"/>
                    <w:szCs w:val="22"/>
                  </w:rPr>
                </w:rPrChange>
              </w:rPr>
              <w:t>Leukozyten &lt; 10 x 10</w:t>
            </w:r>
            <w:r w:rsidRPr="00D1077B">
              <w:rPr>
                <w:color w:val="000000"/>
                <w:vertAlign w:val="superscript"/>
                <w:rPrChange w:id="248" w:author="Author">
                  <w:rPr>
                    <w:color w:val="000000"/>
                    <w:sz w:val="22"/>
                    <w:szCs w:val="22"/>
                    <w:vertAlign w:val="superscript"/>
                  </w:rPr>
                </w:rPrChange>
              </w:rPr>
              <w:t>9</w:t>
            </w:r>
            <w:r w:rsidRPr="00D1077B">
              <w:rPr>
                <w:color w:val="000000"/>
                <w:rPrChange w:id="249" w:author="Author">
                  <w:rPr>
                    <w:color w:val="000000"/>
                    <w:sz w:val="22"/>
                    <w:szCs w:val="22"/>
                  </w:rPr>
                </w:rPrChange>
              </w:rPr>
              <w:t>/l, Thrombozyten &lt; 450 x 10</w:t>
            </w:r>
            <w:r w:rsidRPr="00D1077B">
              <w:rPr>
                <w:color w:val="000000"/>
                <w:vertAlign w:val="superscript"/>
                <w:rPrChange w:id="250" w:author="Author">
                  <w:rPr>
                    <w:color w:val="000000"/>
                    <w:sz w:val="22"/>
                    <w:szCs w:val="22"/>
                    <w:vertAlign w:val="superscript"/>
                  </w:rPr>
                </w:rPrChange>
              </w:rPr>
              <w:t>9</w:t>
            </w:r>
            <w:r w:rsidRPr="00D1077B">
              <w:rPr>
                <w:color w:val="000000"/>
                <w:rPrChange w:id="251" w:author="Author">
                  <w:rPr>
                    <w:color w:val="000000"/>
                    <w:sz w:val="22"/>
                    <w:szCs w:val="22"/>
                  </w:rPr>
                </w:rPrChange>
              </w:rPr>
              <w:t>/l, Myelozyten + Metamyelozyten &lt; 5% im Blut, keine Blasten und Promyelozyten im Blut, Basophile &lt; 20%, keine extramedulläre Beteiligung</w:t>
            </w:r>
          </w:p>
          <w:p w14:paraId="152D8B73" w14:textId="48224F93" w:rsidR="003A33A6" w:rsidRPr="00D1077B" w:rsidRDefault="003A33A6" w:rsidP="004E7659">
            <w:pPr>
              <w:rPr>
                <w:color w:val="000000"/>
                <w:rPrChange w:id="252" w:author="Author">
                  <w:rPr>
                    <w:color w:val="000000"/>
                    <w:sz w:val="22"/>
                    <w:szCs w:val="22"/>
                  </w:rPr>
                </w:rPrChange>
              </w:rPr>
            </w:pPr>
            <w:r w:rsidRPr="00D1077B">
              <w:rPr>
                <w:b/>
                <w:color w:val="000000"/>
                <w:rPrChange w:id="253" w:author="Author">
                  <w:rPr>
                    <w:b/>
                    <w:color w:val="000000"/>
                    <w:sz w:val="22"/>
                    <w:szCs w:val="22"/>
                  </w:rPr>
                </w:rPrChange>
              </w:rPr>
              <w:t xml:space="preserve">Kriterien für zytogenetische Remission: </w:t>
            </w:r>
            <w:r w:rsidRPr="00D1077B">
              <w:rPr>
                <w:color w:val="000000"/>
                <w:rPrChange w:id="254" w:author="Author">
                  <w:rPr>
                    <w:color w:val="000000"/>
                    <w:sz w:val="22"/>
                    <w:szCs w:val="22"/>
                  </w:rPr>
                </w:rPrChange>
              </w:rPr>
              <w:t>Komplett: 0% Ph+-Metaphasen, partiell: 1–35%, gering (36–65%) oder minimal (66–95%). Eine gute Remission (0–35%) beinhaltet sowohl komplette als auch partielle Remission.</w:t>
            </w:r>
          </w:p>
          <w:p w14:paraId="0F4B7E24" w14:textId="224F7051" w:rsidR="003A33A6" w:rsidRPr="00D1077B" w:rsidRDefault="003A33A6" w:rsidP="004E7659">
            <w:pPr>
              <w:pStyle w:val="Table"/>
              <w:keepNext w:val="0"/>
              <w:keepLines w:val="0"/>
              <w:spacing w:before="0" w:after="0"/>
              <w:rPr>
                <w:rFonts w:ascii="Times New Roman" w:hAnsi="Times New Roman"/>
                <w:color w:val="000000"/>
                <w:lang w:val="de-CH"/>
                <w:rPrChange w:id="255" w:author="Author">
                  <w:rPr>
                    <w:rFonts w:ascii="Times New Roman" w:hAnsi="Times New Roman"/>
                    <w:color w:val="000000"/>
                    <w:sz w:val="22"/>
                    <w:szCs w:val="22"/>
                    <w:lang w:val="de-CH"/>
                  </w:rPr>
                </w:rPrChange>
              </w:rPr>
            </w:pPr>
            <w:r w:rsidRPr="00D1077B">
              <w:rPr>
                <w:rFonts w:ascii="Times New Roman" w:hAnsi="Times New Roman"/>
                <w:b/>
                <w:color w:val="000000"/>
                <w:lang w:val="de-CH"/>
                <w:rPrChange w:id="256" w:author="Author">
                  <w:rPr>
                    <w:rFonts w:ascii="Times New Roman" w:hAnsi="Times New Roman"/>
                    <w:b/>
                    <w:color w:val="000000"/>
                    <w:sz w:val="22"/>
                    <w:szCs w:val="22"/>
                    <w:lang w:val="de-CH"/>
                  </w:rPr>
                </w:rPrChange>
              </w:rPr>
              <w:t>Kriterien für gute molekulare Remission:</w:t>
            </w:r>
            <w:r w:rsidRPr="00D1077B">
              <w:rPr>
                <w:rFonts w:ascii="Times New Roman" w:hAnsi="Times New Roman"/>
                <w:color w:val="000000"/>
                <w:lang w:val="de-CH"/>
                <w:rPrChange w:id="257" w:author="Author">
                  <w:rPr>
                    <w:rFonts w:ascii="Times New Roman" w:hAnsi="Times New Roman"/>
                    <w:color w:val="000000"/>
                    <w:sz w:val="22"/>
                    <w:szCs w:val="22"/>
                    <w:lang w:val="de-CH"/>
                  </w:rPr>
                </w:rPrChange>
              </w:rPr>
              <w:t xml:space="preserve"> Reduktion der Bcr-Abl-Transkripte im peripheren Blut ≥ 3 log-Stufen (gemessen mit real-time quantitativer reverser Transkriptase-</w:t>
            </w:r>
            <w:smartTag w:uri="urn:schemas-microsoft-com:office:smarttags" w:element="stockticker">
              <w:r w:rsidRPr="00D1077B">
                <w:rPr>
                  <w:rFonts w:ascii="Times New Roman" w:hAnsi="Times New Roman"/>
                  <w:color w:val="000000"/>
                  <w:lang w:val="de-CH"/>
                  <w:rPrChange w:id="258" w:author="Author">
                    <w:rPr>
                      <w:rFonts w:ascii="Times New Roman" w:hAnsi="Times New Roman"/>
                      <w:color w:val="000000"/>
                      <w:sz w:val="22"/>
                      <w:szCs w:val="22"/>
                      <w:lang w:val="de-CH"/>
                    </w:rPr>
                  </w:rPrChange>
                </w:rPr>
                <w:t>PCR</w:t>
              </w:r>
            </w:smartTag>
            <w:r w:rsidRPr="00D1077B">
              <w:rPr>
                <w:rFonts w:ascii="Times New Roman" w:hAnsi="Times New Roman"/>
                <w:color w:val="000000"/>
                <w:lang w:val="de-CH"/>
                <w:rPrChange w:id="259" w:author="Author">
                  <w:rPr>
                    <w:rFonts w:ascii="Times New Roman" w:hAnsi="Times New Roman"/>
                    <w:color w:val="000000"/>
                    <w:sz w:val="22"/>
                    <w:szCs w:val="22"/>
                    <w:lang w:val="de-CH"/>
                  </w:rPr>
                </w:rPrChange>
              </w:rPr>
              <w:t xml:space="preserve">) </w:t>
            </w:r>
            <w:del w:id="260" w:author="Author">
              <w:r w:rsidRPr="00D1077B" w:rsidDel="00FA2E9E">
                <w:rPr>
                  <w:rFonts w:ascii="Times New Roman" w:hAnsi="Times New Roman"/>
                  <w:color w:val="000000"/>
                  <w:lang w:val="de-CH"/>
                  <w:rPrChange w:id="261" w:author="Author">
                    <w:rPr>
                      <w:rFonts w:ascii="Times New Roman" w:hAnsi="Times New Roman"/>
                      <w:color w:val="000000"/>
                      <w:sz w:val="22"/>
                      <w:szCs w:val="22"/>
                      <w:lang w:val="de-CH"/>
                    </w:rPr>
                  </w:rPrChange>
                </w:rPr>
                <w:delText xml:space="preserve">nach 12 Monaten Therapie </w:delText>
              </w:r>
            </w:del>
            <w:r w:rsidRPr="00D1077B">
              <w:rPr>
                <w:rFonts w:ascii="Times New Roman" w:hAnsi="Times New Roman"/>
                <w:color w:val="000000"/>
                <w:lang w:val="de-CH"/>
                <w:rPrChange w:id="262" w:author="Author">
                  <w:rPr>
                    <w:rFonts w:ascii="Times New Roman" w:hAnsi="Times New Roman"/>
                    <w:color w:val="000000"/>
                    <w:sz w:val="22"/>
                    <w:szCs w:val="22"/>
                    <w:lang w:val="de-CH"/>
                  </w:rPr>
                </w:rPrChange>
              </w:rPr>
              <w:t>im Vergleich zum standardisierten Ausgangswert.</w:t>
            </w:r>
          </w:p>
        </w:tc>
      </w:tr>
    </w:tbl>
    <w:p w14:paraId="6242CBBA" w14:textId="77777777" w:rsidR="003A33A6" w:rsidRPr="008A4F40" w:rsidRDefault="003A33A6" w:rsidP="004E7659">
      <w:pPr>
        <w:rPr>
          <w:color w:val="000000"/>
          <w:sz w:val="22"/>
          <w:szCs w:val="22"/>
        </w:rPr>
      </w:pPr>
    </w:p>
    <w:p w14:paraId="378E95DB" w14:textId="67538BD9" w:rsidR="003A33A6" w:rsidRPr="008A4F40" w:rsidRDefault="003A33A6" w:rsidP="004E7659">
      <w:pPr>
        <w:rPr>
          <w:color w:val="000000"/>
          <w:sz w:val="22"/>
          <w:szCs w:val="22"/>
        </w:rPr>
      </w:pPr>
      <w:r w:rsidRPr="008A4F40">
        <w:rPr>
          <w:color w:val="000000"/>
          <w:sz w:val="22"/>
          <w:szCs w:val="22"/>
        </w:rPr>
        <w:t>Die Raten für die komplette hämatologische Remission, gute zytogenetische Remission und komplette zytogenetische Remission unter First-Line-Therapie wurden nach der Kaplan-Meier-Methode geschätzt. Dazu wurde ein Nichtansprechen zum Zeitpunkt der letzten Untersuchung zensiert. Die geschätzten kumulativen Ansprechraten für die First-</w:t>
      </w:r>
      <w:r w:rsidR="00781F7F">
        <w:rPr>
          <w:color w:val="000000"/>
          <w:sz w:val="22"/>
          <w:szCs w:val="22"/>
        </w:rPr>
        <w:t>L</w:t>
      </w:r>
      <w:r w:rsidRPr="008A4F40">
        <w:rPr>
          <w:color w:val="000000"/>
          <w:sz w:val="22"/>
          <w:szCs w:val="22"/>
        </w:rPr>
        <w:t xml:space="preserve">ine-Therapie mit Glivec unter Verwendung dieser Methode verbesserten sich im Zeitraum zwischen 12 Monaten und 84 Monaten der Therapie folgendermaßen: </w:t>
      </w:r>
      <w:smartTag w:uri="urn:schemas-microsoft-com:office:smarttags" w:element="stockticker">
        <w:r w:rsidRPr="008A4F40">
          <w:rPr>
            <w:color w:val="000000"/>
            <w:sz w:val="22"/>
            <w:szCs w:val="22"/>
          </w:rPr>
          <w:t>CHR</w:t>
        </w:r>
      </w:smartTag>
      <w:r w:rsidRPr="008A4F40">
        <w:rPr>
          <w:color w:val="000000"/>
          <w:sz w:val="22"/>
          <w:szCs w:val="22"/>
        </w:rPr>
        <w:t xml:space="preserve"> von 96,4% auf 98,4% und CCyR von 69,5% auf 87,2%.</w:t>
      </w:r>
    </w:p>
    <w:p w14:paraId="7417D2FD" w14:textId="77777777" w:rsidR="003A33A6" w:rsidRPr="008A4F40" w:rsidRDefault="003A33A6" w:rsidP="004E7659">
      <w:pPr>
        <w:rPr>
          <w:color w:val="000000"/>
          <w:sz w:val="22"/>
          <w:szCs w:val="22"/>
        </w:rPr>
      </w:pPr>
    </w:p>
    <w:p w14:paraId="51062B58" w14:textId="0B28EEAF" w:rsidR="003A33A6" w:rsidRPr="008A4F40" w:rsidRDefault="003A33A6" w:rsidP="004E7659">
      <w:pPr>
        <w:rPr>
          <w:color w:val="000000"/>
          <w:sz w:val="22"/>
          <w:szCs w:val="22"/>
        </w:rPr>
      </w:pPr>
      <w:r w:rsidRPr="008A4F40">
        <w:rPr>
          <w:color w:val="000000"/>
          <w:sz w:val="22"/>
          <w:szCs w:val="22"/>
        </w:rPr>
        <w:t xml:space="preserve">Nach 7 Jahren Follow-up sind im Glivec-Arm 93 (16,8%) Progressionsereignisse aufgetreten: 37 (6,7%) betrafen die Progression in die akzelerierte Phase/Blastenkrise, 31 (5,6%) den Verlust der MCyR, 15 (2,7%) den Verlust der </w:t>
      </w:r>
      <w:smartTag w:uri="urn:schemas-microsoft-com:office:smarttags" w:element="stockticker">
        <w:r w:rsidRPr="008A4F40">
          <w:rPr>
            <w:color w:val="000000"/>
            <w:sz w:val="22"/>
            <w:szCs w:val="22"/>
          </w:rPr>
          <w:t>CHR</w:t>
        </w:r>
      </w:smartTag>
      <w:r w:rsidRPr="008A4F40">
        <w:rPr>
          <w:color w:val="000000"/>
          <w:sz w:val="22"/>
          <w:szCs w:val="22"/>
        </w:rPr>
        <w:t xml:space="preserve"> oder einen Anstieg der Leukozytenzahl und 10 (1,8%) CML-unabhängige Todesfälle. Dagegen gab es im IFN + Ara-C-Arm 165 (29,8%) Ereignisse, von denen 130 unter First-</w:t>
      </w:r>
      <w:r w:rsidR="00781F7F">
        <w:rPr>
          <w:color w:val="000000"/>
          <w:sz w:val="22"/>
          <w:szCs w:val="22"/>
        </w:rPr>
        <w:t>L</w:t>
      </w:r>
      <w:r w:rsidRPr="008A4F40">
        <w:rPr>
          <w:color w:val="000000"/>
          <w:sz w:val="22"/>
          <w:szCs w:val="22"/>
        </w:rPr>
        <w:t>ine-Therapie mit IFN + Ara-C aufgetreten sind.</w:t>
      </w:r>
    </w:p>
    <w:p w14:paraId="74B9BD7C" w14:textId="77777777" w:rsidR="003A33A6" w:rsidRPr="008A4F40" w:rsidRDefault="003A33A6" w:rsidP="004E7659">
      <w:pPr>
        <w:rPr>
          <w:color w:val="000000"/>
          <w:sz w:val="22"/>
          <w:szCs w:val="22"/>
        </w:rPr>
      </w:pPr>
    </w:p>
    <w:p w14:paraId="14A73B2E" w14:textId="77777777" w:rsidR="003A33A6" w:rsidRPr="008A4F40" w:rsidRDefault="003A33A6" w:rsidP="004E7659">
      <w:pPr>
        <w:rPr>
          <w:color w:val="000000"/>
          <w:sz w:val="22"/>
          <w:szCs w:val="22"/>
        </w:rPr>
      </w:pPr>
      <w:r w:rsidRPr="008A4F40">
        <w:rPr>
          <w:color w:val="000000"/>
          <w:sz w:val="22"/>
          <w:szCs w:val="22"/>
        </w:rPr>
        <w:t>Der geschätzte An</w:t>
      </w:r>
      <w:del w:id="263" w:author="Author">
        <w:r w:rsidRPr="008A4F40" w:rsidDel="004E7659">
          <w:rPr>
            <w:color w:val="000000"/>
            <w:sz w:val="22"/>
            <w:szCs w:val="22"/>
          </w:rPr>
          <w:softHyphen/>
        </w:r>
      </w:del>
      <w:r w:rsidRPr="008A4F40">
        <w:rPr>
          <w:color w:val="000000"/>
          <w:sz w:val="22"/>
          <w:szCs w:val="22"/>
        </w:rPr>
        <w:t>teil von Patienten ohne Progression in die akzelerierte Phase oder Blastenkrise nach 84 Monaten war signifi</w:t>
      </w:r>
      <w:del w:id="264" w:author="Author">
        <w:r w:rsidRPr="008A4F40" w:rsidDel="004E7659">
          <w:rPr>
            <w:color w:val="000000"/>
            <w:sz w:val="22"/>
            <w:szCs w:val="22"/>
          </w:rPr>
          <w:softHyphen/>
        </w:r>
      </w:del>
      <w:r w:rsidRPr="008A4F40">
        <w:rPr>
          <w:color w:val="000000"/>
          <w:sz w:val="22"/>
          <w:szCs w:val="22"/>
        </w:rPr>
        <w:t>kant höher im Glivec-Arm im Vergleich zum IFN-Arm (92,5% versus 85,1%, p &lt; 0,001). Die jährliche Progressionsrate in die akzelerierte Phase oder Blastenkrise nahm im Therapieverlauf ab und betrug im vierten und fünften Jahr weniger als jährlich 1%. Der geschätzte Anteil von progressionsfrei Überlebenden nach 84 Monaten betrug 81,2% im Gli</w:t>
      </w:r>
      <w:del w:id="265" w:author="Author">
        <w:r w:rsidRPr="008A4F40" w:rsidDel="004E7659">
          <w:rPr>
            <w:color w:val="000000"/>
            <w:sz w:val="22"/>
            <w:szCs w:val="22"/>
          </w:rPr>
          <w:softHyphen/>
        </w:r>
      </w:del>
      <w:r w:rsidRPr="008A4F40">
        <w:rPr>
          <w:color w:val="000000"/>
          <w:sz w:val="22"/>
          <w:szCs w:val="22"/>
        </w:rPr>
        <w:t>vec-Arm und 60,6% im Kontrollarm (p &lt; 0,001). Die jährlichen Progressionsraten für jede Art der Progression nahmen ebenso bei Glivec im zeitlichen Verlauf ab.</w:t>
      </w:r>
    </w:p>
    <w:p w14:paraId="6E96145F" w14:textId="77777777" w:rsidR="003A33A6" w:rsidRPr="008A4F40" w:rsidRDefault="003A33A6" w:rsidP="004E7659">
      <w:pPr>
        <w:rPr>
          <w:color w:val="000000"/>
          <w:sz w:val="22"/>
          <w:szCs w:val="22"/>
        </w:rPr>
      </w:pPr>
    </w:p>
    <w:p w14:paraId="0E98775A" w14:textId="26BE72B1" w:rsidR="003A33A6" w:rsidRPr="008A4F40" w:rsidRDefault="003A33A6" w:rsidP="004E7659">
      <w:pPr>
        <w:rPr>
          <w:color w:val="000000"/>
          <w:sz w:val="22"/>
          <w:szCs w:val="22"/>
        </w:rPr>
      </w:pPr>
      <w:r w:rsidRPr="008A4F40">
        <w:rPr>
          <w:color w:val="000000"/>
          <w:sz w:val="22"/>
          <w:szCs w:val="22"/>
        </w:rPr>
        <w:t>Insgesamt starben 71 (12,8%) Patienten im Glivec-Arm und 85 (15,4%) Patienten im IFN + Ara-C-Arm.</w:t>
      </w:r>
      <w:r w:rsidR="00687CCF" w:rsidRPr="008A4F40">
        <w:rPr>
          <w:color w:val="000000"/>
          <w:sz w:val="22"/>
          <w:szCs w:val="22"/>
        </w:rPr>
        <w:t xml:space="preserve"> </w:t>
      </w:r>
      <w:r w:rsidRPr="008A4F40">
        <w:rPr>
          <w:color w:val="000000"/>
          <w:sz w:val="22"/>
          <w:szCs w:val="22"/>
        </w:rPr>
        <w:t>Nach 84 Monaten betrug das geschätzte Gesamtüberleben 86,4% (83, 90) im randomisierten Glivec-Arm versus 83,3% (80, 87) im IFN + Ara-C-Arm (p</w:t>
      </w:r>
      <w:ins w:id="266" w:author="Author">
        <w:r w:rsidR="00CD0876">
          <w:rPr>
            <w:color w:val="000000"/>
            <w:sz w:val="22"/>
            <w:szCs w:val="22"/>
          </w:rPr>
          <w:t> </w:t>
        </w:r>
      </w:ins>
      <w:r w:rsidRPr="008A4F40">
        <w:rPr>
          <w:color w:val="000000"/>
          <w:sz w:val="22"/>
          <w:szCs w:val="22"/>
        </w:rPr>
        <w:t>=</w:t>
      </w:r>
      <w:ins w:id="267" w:author="Author">
        <w:r w:rsidR="00CD0876">
          <w:rPr>
            <w:color w:val="000000"/>
            <w:sz w:val="22"/>
            <w:szCs w:val="22"/>
          </w:rPr>
          <w:t> </w:t>
        </w:r>
      </w:ins>
      <w:r w:rsidRPr="008A4F40">
        <w:rPr>
          <w:color w:val="000000"/>
          <w:sz w:val="22"/>
          <w:szCs w:val="22"/>
        </w:rPr>
        <w:t>0,073, log-rank-Test). Dieser Time-to-event-Endpunkt wird durch die hohe Rate an Therapiewechseln von IFN + Ara-C zu Glivec stark beeinflusst. Der Einfluss der Glivec-Behandlung auf das Überleben bei neu diagnostizierter CML in der chronischen Phase wurde weiterhin in einem retrospektiven Vergleich der oben berichteten Glivec-Daten mit den Primärdaten aus einer anderen Phase-</w:t>
      </w:r>
      <w:smartTag w:uri="urn:schemas-microsoft-com:office:smarttags" w:element="stockticker">
        <w:r w:rsidRPr="008A4F40">
          <w:rPr>
            <w:color w:val="000000"/>
            <w:sz w:val="22"/>
            <w:szCs w:val="22"/>
          </w:rPr>
          <w:t>III</w:t>
        </w:r>
      </w:smartTag>
      <w:r w:rsidRPr="008A4F40">
        <w:rPr>
          <w:color w:val="000000"/>
          <w:sz w:val="22"/>
          <w:szCs w:val="22"/>
        </w:rPr>
        <w:t>-Studie untersucht, in der IFN + Ara-C (n</w:t>
      </w:r>
      <w:ins w:id="268" w:author="Author">
        <w:r w:rsidR="00CD0876">
          <w:rPr>
            <w:color w:val="000000"/>
            <w:sz w:val="22"/>
            <w:szCs w:val="22"/>
          </w:rPr>
          <w:t> </w:t>
        </w:r>
      </w:ins>
      <w:r w:rsidRPr="008A4F40">
        <w:rPr>
          <w:color w:val="000000"/>
          <w:sz w:val="22"/>
          <w:szCs w:val="22"/>
        </w:rPr>
        <w:t>=</w:t>
      </w:r>
      <w:ins w:id="269" w:author="Author">
        <w:r w:rsidR="00CD0876">
          <w:rPr>
            <w:color w:val="000000"/>
            <w:sz w:val="22"/>
            <w:szCs w:val="22"/>
          </w:rPr>
          <w:t> </w:t>
        </w:r>
      </w:ins>
      <w:r w:rsidRPr="008A4F40">
        <w:rPr>
          <w:color w:val="000000"/>
          <w:sz w:val="22"/>
          <w:szCs w:val="22"/>
        </w:rPr>
        <w:t>325) in einem identischen Therapieregime eingesetzt wurde. In dieser retrospektiven Analyse wurde die Überlegenheit von Glivec gegenüber IFN + Ara-C in Bezug auf das Gesamtüberleben gezeigt (p &lt; 0,001); innerhalb von 42 Monaten sind 47 (8,5%) Glivec-Patienten und 63 (19,4%) IFN + Ara-C-Patienten gestorben.</w:t>
      </w:r>
    </w:p>
    <w:p w14:paraId="0A276E79" w14:textId="77777777" w:rsidR="003A33A6" w:rsidRPr="008A4F40" w:rsidRDefault="003A33A6" w:rsidP="004E7659">
      <w:pPr>
        <w:rPr>
          <w:color w:val="000000"/>
          <w:sz w:val="22"/>
          <w:szCs w:val="22"/>
        </w:rPr>
      </w:pPr>
    </w:p>
    <w:p w14:paraId="25C5C2F8" w14:textId="5468EBC4" w:rsidR="003A33A6" w:rsidRPr="008A4F40" w:rsidRDefault="003A33A6" w:rsidP="004E7659">
      <w:pPr>
        <w:rPr>
          <w:color w:val="000000"/>
          <w:sz w:val="22"/>
          <w:szCs w:val="22"/>
        </w:rPr>
      </w:pPr>
      <w:r w:rsidRPr="008A4F40">
        <w:rPr>
          <w:color w:val="000000"/>
          <w:sz w:val="22"/>
          <w:szCs w:val="22"/>
        </w:rPr>
        <w:t>Das Ausmaß der zytogenetischen Remission und des molekularen Ansprechens hat einen deutlichen Einfluss auf die Langzeitergebnisse bei Glivec-Patienten. Geschätzte 96% (93%) der Patienten, die innerhalb von 12 Monaten eine CCyR (PCyR) erreicht hatten, zeigten nach 84 Monaten keine Progression in die akzelerierte Phase/Blastenkrise.</w:t>
      </w:r>
      <w:r w:rsidR="00687CCF" w:rsidRPr="008A4F40">
        <w:rPr>
          <w:color w:val="000000"/>
          <w:sz w:val="22"/>
          <w:szCs w:val="22"/>
        </w:rPr>
        <w:t xml:space="preserve"> </w:t>
      </w:r>
      <w:r w:rsidRPr="008A4F40">
        <w:rPr>
          <w:color w:val="000000"/>
          <w:sz w:val="22"/>
          <w:szCs w:val="22"/>
        </w:rPr>
        <w:t>Dagegen waren nur 81% der Patienten, die innerhalb von 12 Monaten eine MCyR zeigten, nach 84 Monaten ohne Progression in die fortgeschrittene CML (p &lt; 0,001 insgesamt, p</w:t>
      </w:r>
      <w:ins w:id="270" w:author="Author">
        <w:r w:rsidR="00CD0876">
          <w:rPr>
            <w:color w:val="000000"/>
            <w:sz w:val="22"/>
            <w:szCs w:val="22"/>
          </w:rPr>
          <w:t> </w:t>
        </w:r>
      </w:ins>
      <w:r w:rsidRPr="008A4F40">
        <w:rPr>
          <w:color w:val="000000"/>
          <w:sz w:val="22"/>
          <w:szCs w:val="22"/>
        </w:rPr>
        <w:t>=</w:t>
      </w:r>
      <w:ins w:id="271" w:author="Author">
        <w:r w:rsidR="00CD0876">
          <w:rPr>
            <w:color w:val="000000"/>
            <w:sz w:val="22"/>
            <w:szCs w:val="22"/>
          </w:rPr>
          <w:t> </w:t>
        </w:r>
      </w:ins>
      <w:r w:rsidRPr="008A4F40">
        <w:rPr>
          <w:color w:val="000000"/>
          <w:sz w:val="22"/>
          <w:szCs w:val="22"/>
        </w:rPr>
        <w:t>0,25 zwischen CCyR und PCyR). Für Patienten mit einer Reduktion der Bcr-Abl-Transkripte von mindestens 3 Logarithmen nach 12 Monaten betrug die Wahrscheinlichkeit, progressionsfrei in die akzelerierte Phase/Blastenkrise zu bleiben, 99% nach 84 Monaten. Ähnliche Ergebnisse wurden auf der Basis einer Analyse zum Zeitpunkt nach 18 Monaten gefunden.</w:t>
      </w:r>
    </w:p>
    <w:p w14:paraId="2ED5619C" w14:textId="77777777" w:rsidR="003A33A6" w:rsidRPr="008A4F40" w:rsidRDefault="003A33A6" w:rsidP="004E7659">
      <w:pPr>
        <w:rPr>
          <w:color w:val="000000"/>
          <w:sz w:val="22"/>
          <w:szCs w:val="22"/>
        </w:rPr>
      </w:pPr>
    </w:p>
    <w:p w14:paraId="4B0E7C62" w14:textId="77777777" w:rsidR="003A33A6" w:rsidRPr="008A4F40" w:rsidRDefault="003A33A6" w:rsidP="004E7659">
      <w:pPr>
        <w:rPr>
          <w:color w:val="000000"/>
          <w:sz w:val="22"/>
          <w:szCs w:val="22"/>
        </w:rPr>
      </w:pPr>
      <w:r w:rsidRPr="008A4F40">
        <w:rPr>
          <w:color w:val="000000"/>
          <w:sz w:val="22"/>
          <w:szCs w:val="22"/>
        </w:rPr>
        <w:t>In dieser Studie waren Dosissteigerungen von 400 mg auf 600 mg täglich und dann von 600 mg auf 800 mg täglich erlaubt. Nach einem Follow-up von 42 Monaten trat bei 11 Patienten ein innerhalb von 4 Wochen bestätigter Verlust der zytogenetischen Remission auf. Von diesen 11 Patienten wurde bei 4 Patienten die Dosis auf 800 mg täglich gesteigert. Bei 2 von diesen trat erneut eine zytogenetische Remission auf (bei einem partiell und bei einem komplett, wobei letzterer auch eine molekulare Remission erreichte), während von den 7 Patienten ohne Dosiserhöhung nur bei einem erneut eine komplette zytogenetische Remission auftrat. Die Häufigkeit einiger Nebenwirkungen war bei den 40 Patienten, bei denen die Dosis auf 800 mg täglich erhöht wurde, größer im Vergleich zur Patientenpopulation vor der Dosiserhöhung (n = 551). Zu den häufigeren Nebenwirkungen zählten gastrointestinale Blutungen, Konjunktivitis und Transaminasen- oder Bilirubinerhöhungen. Andere Nebenwirkungen wurden mit geringerer oder gleicher Häufigkeit berichtet.</w:t>
      </w:r>
    </w:p>
    <w:p w14:paraId="05C685DC" w14:textId="77777777" w:rsidR="003A33A6" w:rsidRPr="008A4F40" w:rsidRDefault="003A33A6" w:rsidP="004E7659">
      <w:pPr>
        <w:rPr>
          <w:color w:val="000000"/>
          <w:sz w:val="22"/>
          <w:szCs w:val="22"/>
        </w:rPr>
      </w:pPr>
    </w:p>
    <w:p w14:paraId="2015908A" w14:textId="2BBFC9D6" w:rsidR="00962895" w:rsidRPr="00A24EE4" w:rsidRDefault="003A33A6" w:rsidP="004E7659">
      <w:pPr>
        <w:keepNext/>
        <w:rPr>
          <w:i/>
          <w:iCs/>
          <w:sz w:val="22"/>
          <w:szCs w:val="22"/>
          <w:u w:val="single"/>
        </w:rPr>
      </w:pPr>
      <w:r w:rsidRPr="00A24EE4">
        <w:rPr>
          <w:i/>
          <w:iCs/>
          <w:sz w:val="22"/>
          <w:szCs w:val="22"/>
          <w:u w:val="single"/>
        </w:rPr>
        <w:t>Chronische Phase, nach Interferon-Versagen</w:t>
      </w:r>
    </w:p>
    <w:p w14:paraId="2C09FCA0" w14:textId="7E97C961" w:rsidR="003A33A6" w:rsidRPr="00A24EE4" w:rsidRDefault="003A33A6" w:rsidP="004E7659">
      <w:pPr>
        <w:rPr>
          <w:sz w:val="22"/>
          <w:szCs w:val="22"/>
        </w:rPr>
      </w:pPr>
      <w:r w:rsidRPr="00A24EE4">
        <w:rPr>
          <w:sz w:val="22"/>
          <w:szCs w:val="22"/>
        </w:rPr>
        <w:t>532 erwachsene Patienten wurden mit einer Startdosis von 400 mg behandelt. Die Patienten verteilten sich auf nachfolgend genannte drei Hauptgruppen: Keine Verbesserung des hämatologischen Befundes (29%), keine Verbesserung des zytogenetischen Befundes (35%) oder Intoleranz gegenüber Interferon (36%). Die Patienten waren vorher im Median über 14 Monate mit einer IFN-Therapie von ≥ 25 x 10</w:t>
      </w:r>
      <w:r w:rsidRPr="00A24EE4">
        <w:rPr>
          <w:sz w:val="22"/>
          <w:szCs w:val="22"/>
          <w:vertAlign w:val="superscript"/>
        </w:rPr>
        <w:t>6</w:t>
      </w:r>
      <w:r w:rsidRPr="00A24EE4">
        <w:rPr>
          <w:sz w:val="22"/>
          <w:szCs w:val="22"/>
        </w:rPr>
        <w:t xml:space="preserve"> IU/Woche behandelt worden und befanden sich alle mit einem medianen Zeitabstand von 32 Monaten nach Diagnosestellung in der späten chronischen Phase. Der primäre Wirksamkeitsparameter der Studie war das Ausmaß der guten zytogenetischen Remission („major cytogenetic response“, komplette plus partielle Remission, 0 bis 35% Ph+-Metaphasen im Knochenmark).</w:t>
      </w:r>
    </w:p>
    <w:p w14:paraId="162D4657" w14:textId="77777777" w:rsidR="003A33A6" w:rsidRPr="008A4F40" w:rsidRDefault="003A33A6" w:rsidP="004E7659">
      <w:pPr>
        <w:rPr>
          <w:color w:val="000000"/>
          <w:sz w:val="22"/>
          <w:szCs w:val="22"/>
        </w:rPr>
      </w:pPr>
    </w:p>
    <w:p w14:paraId="61F044A1" w14:textId="77777777" w:rsidR="003A33A6" w:rsidRPr="008A4F40" w:rsidRDefault="003A33A6" w:rsidP="004E7659">
      <w:pPr>
        <w:rPr>
          <w:color w:val="000000"/>
          <w:sz w:val="22"/>
          <w:szCs w:val="22"/>
        </w:rPr>
      </w:pPr>
      <w:r w:rsidRPr="008A4F40">
        <w:rPr>
          <w:color w:val="000000"/>
          <w:sz w:val="22"/>
          <w:szCs w:val="22"/>
        </w:rPr>
        <w:t>In dieser Studie wiesen 65% der Patienten eine gute zytogenetische Remission auf, die bei 53% (bestätigt 43%) der Patienten komplett war (vgl. Tabelle </w:t>
      </w:r>
      <w:r w:rsidR="00646EB3" w:rsidRPr="008A4F40">
        <w:rPr>
          <w:color w:val="000000"/>
          <w:sz w:val="22"/>
          <w:szCs w:val="22"/>
        </w:rPr>
        <w:t>3</w:t>
      </w:r>
      <w:r w:rsidRPr="008A4F40">
        <w:rPr>
          <w:color w:val="000000"/>
          <w:sz w:val="22"/>
          <w:szCs w:val="22"/>
        </w:rPr>
        <w:t>). Eine komplette hämato</w:t>
      </w:r>
      <w:del w:id="272" w:author="Author">
        <w:r w:rsidRPr="008A4F40" w:rsidDel="004E7659">
          <w:rPr>
            <w:color w:val="000000"/>
            <w:sz w:val="22"/>
            <w:szCs w:val="22"/>
          </w:rPr>
          <w:softHyphen/>
        </w:r>
      </w:del>
      <w:r w:rsidRPr="008A4F40">
        <w:rPr>
          <w:color w:val="000000"/>
          <w:sz w:val="22"/>
          <w:szCs w:val="22"/>
        </w:rPr>
        <w:t>logische Remission wurde bei 95% der Patienten erreicht.</w:t>
      </w:r>
    </w:p>
    <w:p w14:paraId="5985CA33" w14:textId="77777777" w:rsidR="003A33A6" w:rsidRPr="008A4F40" w:rsidRDefault="003A33A6" w:rsidP="004E7659">
      <w:pPr>
        <w:rPr>
          <w:color w:val="000000"/>
          <w:sz w:val="22"/>
          <w:szCs w:val="22"/>
        </w:rPr>
      </w:pPr>
    </w:p>
    <w:p w14:paraId="3C334C18" w14:textId="0DA971CC" w:rsidR="00072317" w:rsidRPr="00A24EE4" w:rsidRDefault="003A33A6" w:rsidP="004E7659">
      <w:pPr>
        <w:keepNext/>
        <w:rPr>
          <w:i/>
          <w:iCs/>
          <w:sz w:val="22"/>
          <w:szCs w:val="22"/>
          <w:u w:val="single"/>
        </w:rPr>
      </w:pPr>
      <w:r w:rsidRPr="00A24EE4">
        <w:rPr>
          <w:i/>
          <w:iCs/>
          <w:sz w:val="22"/>
          <w:szCs w:val="22"/>
          <w:u w:val="single"/>
        </w:rPr>
        <w:t>Akzelerierte Phase</w:t>
      </w:r>
    </w:p>
    <w:p w14:paraId="7CAAEE13" w14:textId="710DDF10" w:rsidR="003A33A6" w:rsidRPr="00A24EE4" w:rsidRDefault="003A33A6" w:rsidP="004E7659">
      <w:pPr>
        <w:rPr>
          <w:sz w:val="22"/>
          <w:szCs w:val="22"/>
        </w:rPr>
      </w:pPr>
      <w:r w:rsidRPr="00A24EE4">
        <w:rPr>
          <w:sz w:val="22"/>
          <w:szCs w:val="22"/>
        </w:rPr>
        <w:t>235 erwachsene Patienten in der akzelerierten Phase wurden in die Studie eingeschlossen. Die ersten 77 Patienten begannen die Behandlung mit 400 mg. Das Prüfprotokoll wurde anschließend ergänzt, um höhere Dosen zu ermöglichen, und die verbleibenden 158 Patienten begannen die Behandlung mit 600 mg.</w:t>
      </w:r>
    </w:p>
    <w:p w14:paraId="447C5027" w14:textId="77777777" w:rsidR="003A33A6" w:rsidRPr="008A4F40" w:rsidRDefault="003A33A6" w:rsidP="004E7659">
      <w:pPr>
        <w:rPr>
          <w:color w:val="000000"/>
          <w:sz w:val="22"/>
          <w:szCs w:val="22"/>
        </w:rPr>
      </w:pPr>
    </w:p>
    <w:p w14:paraId="701BCEBE" w14:textId="77777777" w:rsidR="003A33A6" w:rsidRPr="008A4F40" w:rsidRDefault="003A33A6" w:rsidP="004E7659">
      <w:pPr>
        <w:pStyle w:val="BodyTextIndent3"/>
        <w:widowControl/>
        <w:ind w:left="0"/>
        <w:rPr>
          <w:rFonts w:ascii="Times New Roman" w:hAnsi="Times New Roman"/>
          <w:color w:val="000000"/>
          <w:szCs w:val="22"/>
        </w:rPr>
      </w:pPr>
      <w:r w:rsidRPr="008A4F40">
        <w:rPr>
          <w:rFonts w:ascii="Times New Roman" w:hAnsi="Times New Roman"/>
          <w:color w:val="000000"/>
          <w:szCs w:val="22"/>
        </w:rPr>
        <w:t>Der primäre Wirksamkeitsparameter war das Ausmaß der hämatologischen Remission: Komplette hä</w:t>
      </w:r>
      <w:r w:rsidRPr="008A4F40">
        <w:rPr>
          <w:rFonts w:ascii="Times New Roman" w:hAnsi="Times New Roman"/>
          <w:color w:val="000000"/>
          <w:szCs w:val="22"/>
        </w:rPr>
        <w:softHyphen/>
        <w:t>matologische Remission, keine Leukämie mehr nachweisbar (Verschwinden der Blasten aus Knochen</w:t>
      </w:r>
      <w:r w:rsidRPr="008A4F40">
        <w:rPr>
          <w:rFonts w:ascii="Times New Roman" w:hAnsi="Times New Roman"/>
          <w:color w:val="000000"/>
          <w:szCs w:val="22"/>
        </w:rPr>
        <w:softHyphen/>
        <w:t>mark und Blut, jedoch keine komplette hämatologische Rekonstitution) oder Wiedereintritt in die chronische Phase der CML. Bei 71,5% der Patienten konnte eine hämatologische Remission nach</w:t>
      </w:r>
      <w:r w:rsidRPr="008A4F40">
        <w:rPr>
          <w:rFonts w:ascii="Times New Roman" w:hAnsi="Times New Roman"/>
          <w:color w:val="000000"/>
          <w:szCs w:val="22"/>
        </w:rPr>
        <w:softHyphen/>
        <w:t>gewiesen werden (vgl. Tabelle </w:t>
      </w:r>
      <w:r w:rsidR="00512273" w:rsidRPr="008A4F40">
        <w:rPr>
          <w:rFonts w:ascii="Times New Roman" w:hAnsi="Times New Roman"/>
          <w:color w:val="000000"/>
          <w:szCs w:val="22"/>
        </w:rPr>
        <w:t>3</w:t>
      </w:r>
      <w:r w:rsidRPr="008A4F40">
        <w:rPr>
          <w:rFonts w:ascii="Times New Roman" w:hAnsi="Times New Roman"/>
          <w:color w:val="000000"/>
          <w:szCs w:val="22"/>
        </w:rPr>
        <w:t>). Als wichtiges Ergebnis zeigte sich bei 27,7% der Patienten auch eine gute zytogenetische Remission, die bei 20,4% (bestätigt 16%) der Patienten komplett war. Bei den Patienten, die mit 600 mg behandelt wurden, betragen die gegenwärtigen Schätzungen für ein medianes pro</w:t>
      </w:r>
      <w:del w:id="273" w:author="Author">
        <w:r w:rsidRPr="008A4F40" w:rsidDel="004E7659">
          <w:rPr>
            <w:rFonts w:ascii="Times New Roman" w:hAnsi="Times New Roman"/>
            <w:color w:val="000000"/>
            <w:szCs w:val="22"/>
          </w:rPr>
          <w:softHyphen/>
        </w:r>
      </w:del>
      <w:r w:rsidRPr="008A4F40">
        <w:rPr>
          <w:rFonts w:ascii="Times New Roman" w:hAnsi="Times New Roman"/>
          <w:color w:val="000000"/>
          <w:szCs w:val="22"/>
        </w:rPr>
        <w:t>gressionsfreies Überleben und ein Gesamtüberleben 22,9 bzw. 42,5 Monate.</w:t>
      </w:r>
    </w:p>
    <w:p w14:paraId="75D74269" w14:textId="77777777" w:rsidR="003A33A6" w:rsidRPr="008A4F40" w:rsidRDefault="003A33A6" w:rsidP="004E7659">
      <w:pPr>
        <w:rPr>
          <w:color w:val="000000"/>
          <w:sz w:val="22"/>
          <w:szCs w:val="22"/>
        </w:rPr>
      </w:pPr>
    </w:p>
    <w:p w14:paraId="5066710F" w14:textId="387F458C" w:rsidR="00072317" w:rsidRPr="00A24EE4" w:rsidRDefault="003A33A6" w:rsidP="004E7659">
      <w:pPr>
        <w:keepNext/>
        <w:rPr>
          <w:i/>
          <w:iCs/>
          <w:sz w:val="22"/>
          <w:szCs w:val="22"/>
          <w:u w:val="single"/>
        </w:rPr>
      </w:pPr>
      <w:r w:rsidRPr="00A24EE4">
        <w:rPr>
          <w:i/>
          <w:iCs/>
          <w:sz w:val="22"/>
          <w:szCs w:val="22"/>
          <w:u w:val="single"/>
        </w:rPr>
        <w:t>Myeloische Blastenkrise</w:t>
      </w:r>
    </w:p>
    <w:p w14:paraId="5E1BABDB" w14:textId="2A927A31" w:rsidR="003A33A6" w:rsidRPr="00A24EE4" w:rsidRDefault="003A33A6" w:rsidP="004E7659">
      <w:pPr>
        <w:rPr>
          <w:sz w:val="22"/>
          <w:szCs w:val="22"/>
        </w:rPr>
      </w:pPr>
      <w:r w:rsidRPr="00A24EE4">
        <w:rPr>
          <w:sz w:val="22"/>
          <w:szCs w:val="22"/>
        </w:rPr>
        <w:t>260 Patienten in der myeloischen Blastenkrise wurden in die Studie eingeschlossen. 95 (37%) waren mit einer Chemotherapie in der akzelerierten Phase oder der Blastenkrise vorbehandelt worden („vorbehandelte Patienten“), 165 (63%) der Patienten nicht („nicht vorbehandelte Patienten“). Die ersten 37 Patienten begannen die Behandlung mit 400 mg. Das Prüfprotokoll wurde anschließend ergänzt, um höhere Dosen zu ermöglichen, und die verbleibenden 223 Patienten begannen die Behandlung mit 600 mg.</w:t>
      </w:r>
    </w:p>
    <w:p w14:paraId="669CD82F" w14:textId="77777777" w:rsidR="003A33A6" w:rsidRPr="008A4F40" w:rsidRDefault="003A33A6" w:rsidP="004E7659">
      <w:pPr>
        <w:rPr>
          <w:color w:val="000000"/>
          <w:sz w:val="22"/>
          <w:szCs w:val="22"/>
        </w:rPr>
      </w:pPr>
    </w:p>
    <w:p w14:paraId="2A1E64EF" w14:textId="4208E9FD" w:rsidR="003A33A6" w:rsidRPr="008A4F40" w:rsidRDefault="003A33A6" w:rsidP="004E7659">
      <w:pPr>
        <w:rPr>
          <w:color w:val="000000"/>
          <w:sz w:val="22"/>
          <w:szCs w:val="22"/>
        </w:rPr>
      </w:pPr>
      <w:r w:rsidRPr="008A4F40">
        <w:rPr>
          <w:color w:val="000000"/>
          <w:sz w:val="22"/>
          <w:szCs w:val="22"/>
        </w:rPr>
        <w:t>Der primäre Wirksamkeitsparameter war das Ausmaß der hämatologischen Remission: Komplette hämatologische Remission, keine Leukämie mehr nachweisbar oder Wiedereintritt in die chronische Phase der CML. Es wurden die gleichen Kriterien wie in der Studie mit Patienten in der akzelerierten Phase angewendet. Bei dieser Studie zeigten 31% der Patienten eine hämatologische Remission (36% bei den nicht vorbehandelten Patienten und 22% bei den vorbehandelten Patienten). Das Aus</w:t>
      </w:r>
      <w:del w:id="274" w:author="Author">
        <w:r w:rsidRPr="008A4F40" w:rsidDel="004E7659">
          <w:rPr>
            <w:color w:val="000000"/>
            <w:sz w:val="22"/>
            <w:szCs w:val="22"/>
          </w:rPr>
          <w:softHyphen/>
        </w:r>
      </w:del>
      <w:r w:rsidRPr="008A4F40">
        <w:rPr>
          <w:color w:val="000000"/>
          <w:sz w:val="22"/>
          <w:szCs w:val="22"/>
        </w:rPr>
        <w:t>maß der Remission war ebenfalls bei den mit 600 mg behandelten Patienten höher (33%) als bei den mit 400 mg behandelten Patienten (16%, p</w:t>
      </w:r>
      <w:ins w:id="275" w:author="Author">
        <w:r w:rsidR="00CD0876">
          <w:rPr>
            <w:color w:val="000000"/>
            <w:sz w:val="22"/>
            <w:szCs w:val="22"/>
          </w:rPr>
          <w:t> </w:t>
        </w:r>
      </w:ins>
      <w:r w:rsidRPr="008A4F40">
        <w:rPr>
          <w:color w:val="000000"/>
          <w:sz w:val="22"/>
          <w:szCs w:val="22"/>
        </w:rPr>
        <w:t>=</w:t>
      </w:r>
      <w:ins w:id="276" w:author="Author">
        <w:r w:rsidR="00CD0876">
          <w:rPr>
            <w:color w:val="000000"/>
            <w:sz w:val="22"/>
            <w:szCs w:val="22"/>
          </w:rPr>
          <w:t> </w:t>
        </w:r>
      </w:ins>
      <w:r w:rsidRPr="008A4F40">
        <w:rPr>
          <w:color w:val="000000"/>
          <w:sz w:val="22"/>
          <w:szCs w:val="22"/>
        </w:rPr>
        <w:t>0,0220). Bei den nicht vorbehandelten und bei den vorbehandelten Patienten ergab sich eine mediane Überlebenszeit von 7,7 bzw. 4,7 Monaten.</w:t>
      </w:r>
    </w:p>
    <w:p w14:paraId="6B12E0D7" w14:textId="77777777" w:rsidR="003A33A6" w:rsidRPr="008A4F40" w:rsidRDefault="003A33A6" w:rsidP="004E7659">
      <w:pPr>
        <w:rPr>
          <w:color w:val="000000"/>
          <w:sz w:val="22"/>
          <w:szCs w:val="22"/>
        </w:rPr>
      </w:pPr>
    </w:p>
    <w:p w14:paraId="3AC2F087" w14:textId="059BECAC" w:rsidR="00072317" w:rsidRPr="008A4F40" w:rsidRDefault="003A33A6" w:rsidP="004E7659">
      <w:pPr>
        <w:keepNext/>
        <w:rPr>
          <w:color w:val="000000"/>
          <w:sz w:val="22"/>
          <w:szCs w:val="22"/>
          <w:u w:val="single"/>
        </w:rPr>
      </w:pPr>
      <w:r w:rsidRPr="008A4F40">
        <w:rPr>
          <w:i/>
          <w:color w:val="000000"/>
          <w:sz w:val="22"/>
          <w:szCs w:val="22"/>
          <w:u w:val="single"/>
        </w:rPr>
        <w:t>Lymphatische Blastenkrise</w:t>
      </w:r>
    </w:p>
    <w:p w14:paraId="4E4884E7" w14:textId="0A9ED9AB" w:rsidR="003A33A6" w:rsidRPr="008A4F40" w:rsidRDefault="003A33A6" w:rsidP="004E7659">
      <w:pPr>
        <w:rPr>
          <w:color w:val="000000"/>
          <w:sz w:val="22"/>
          <w:szCs w:val="22"/>
        </w:rPr>
      </w:pPr>
      <w:r w:rsidRPr="008A4F40">
        <w:rPr>
          <w:color w:val="000000"/>
          <w:sz w:val="22"/>
          <w:szCs w:val="22"/>
        </w:rPr>
        <w:t>Eine begrenzte Anzahl von Patienten wurde in Phase-I-Studien aufgenom</w:t>
      </w:r>
      <w:del w:id="277" w:author="Author">
        <w:r w:rsidRPr="008A4F40" w:rsidDel="004E7659">
          <w:rPr>
            <w:color w:val="000000"/>
            <w:sz w:val="22"/>
            <w:szCs w:val="22"/>
          </w:rPr>
          <w:softHyphen/>
        </w:r>
      </w:del>
      <w:r w:rsidRPr="008A4F40">
        <w:rPr>
          <w:color w:val="000000"/>
          <w:sz w:val="22"/>
          <w:szCs w:val="22"/>
        </w:rPr>
        <w:t>men (n</w:t>
      </w:r>
      <w:ins w:id="278" w:author="Author">
        <w:r w:rsidR="00CD0876">
          <w:rPr>
            <w:color w:val="000000"/>
            <w:sz w:val="22"/>
            <w:szCs w:val="22"/>
          </w:rPr>
          <w:t> </w:t>
        </w:r>
      </w:ins>
      <w:r w:rsidRPr="008A4F40">
        <w:rPr>
          <w:color w:val="000000"/>
          <w:sz w:val="22"/>
          <w:szCs w:val="22"/>
        </w:rPr>
        <w:t>=</w:t>
      </w:r>
      <w:ins w:id="279" w:author="Author">
        <w:r w:rsidR="00CD0876">
          <w:rPr>
            <w:color w:val="000000"/>
            <w:sz w:val="22"/>
            <w:szCs w:val="22"/>
          </w:rPr>
          <w:t> </w:t>
        </w:r>
      </w:ins>
      <w:r w:rsidRPr="008A4F40">
        <w:rPr>
          <w:color w:val="000000"/>
          <w:sz w:val="22"/>
          <w:szCs w:val="22"/>
        </w:rPr>
        <w:t>10). Die hämatologische Remissionsrate betrug 70% mit einer 2–3-monatigen Ansprechdauer.</w:t>
      </w:r>
    </w:p>
    <w:p w14:paraId="4F1F61DE" w14:textId="77777777" w:rsidR="003A33A6" w:rsidRPr="008A4F40" w:rsidRDefault="003A33A6" w:rsidP="004E7659">
      <w:pPr>
        <w:rPr>
          <w:color w:val="000000"/>
          <w:sz w:val="22"/>
          <w:szCs w:val="22"/>
        </w:rPr>
      </w:pPr>
    </w:p>
    <w:p w14:paraId="01FA5439" w14:textId="77777777" w:rsidR="003A33A6" w:rsidRPr="008A4F40" w:rsidRDefault="003A33A6" w:rsidP="004E7659">
      <w:pPr>
        <w:keepNext/>
        <w:tabs>
          <w:tab w:val="left" w:pos="1134"/>
        </w:tabs>
        <w:rPr>
          <w:b/>
          <w:color w:val="000000"/>
          <w:sz w:val="22"/>
          <w:szCs w:val="22"/>
        </w:rPr>
      </w:pPr>
      <w:r w:rsidRPr="008A4F40">
        <w:rPr>
          <w:b/>
          <w:color w:val="000000"/>
          <w:sz w:val="22"/>
          <w:szCs w:val="22"/>
        </w:rPr>
        <w:t>Tabelle </w:t>
      </w:r>
      <w:r w:rsidR="00512273" w:rsidRPr="008A4F40">
        <w:rPr>
          <w:b/>
          <w:color w:val="000000"/>
          <w:sz w:val="22"/>
          <w:szCs w:val="22"/>
        </w:rPr>
        <w:t>3</w:t>
      </w:r>
      <w:r w:rsidRPr="008A4F40">
        <w:rPr>
          <w:b/>
          <w:color w:val="000000"/>
          <w:sz w:val="22"/>
          <w:szCs w:val="22"/>
        </w:rPr>
        <w:tab/>
        <w:t>Ansprechraten in den CML-Studien an Erwachsenen</w:t>
      </w:r>
    </w:p>
    <w:p w14:paraId="7B7DC8A0" w14:textId="77777777" w:rsidR="003A33A6" w:rsidRPr="008A4F40" w:rsidRDefault="003A33A6" w:rsidP="004E7659">
      <w:pPr>
        <w:keepNext/>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126"/>
        <w:gridCol w:w="1985"/>
        <w:gridCol w:w="2410"/>
      </w:tblGrid>
      <w:tr w:rsidR="003A33A6" w:rsidRPr="008A4F40" w14:paraId="01E27C30" w14:textId="77777777" w:rsidTr="00DA7B0B">
        <w:trPr>
          <w:cantSplit/>
        </w:trPr>
        <w:tc>
          <w:tcPr>
            <w:tcW w:w="2552" w:type="dxa"/>
          </w:tcPr>
          <w:p w14:paraId="23868BA1" w14:textId="77777777" w:rsidR="003A33A6" w:rsidRPr="008A4F40" w:rsidRDefault="003A33A6" w:rsidP="004E7659">
            <w:pPr>
              <w:keepNext/>
              <w:rPr>
                <w:color w:val="000000"/>
                <w:sz w:val="22"/>
                <w:szCs w:val="22"/>
              </w:rPr>
            </w:pPr>
          </w:p>
        </w:tc>
        <w:tc>
          <w:tcPr>
            <w:tcW w:w="2126" w:type="dxa"/>
            <w:tcBorders>
              <w:bottom w:val="nil"/>
            </w:tcBorders>
          </w:tcPr>
          <w:p w14:paraId="7BA76073" w14:textId="77777777" w:rsidR="003A33A6" w:rsidRPr="008A4F40" w:rsidRDefault="003A33A6" w:rsidP="004E7659">
            <w:pPr>
              <w:keepNext/>
              <w:jc w:val="center"/>
              <w:rPr>
                <w:color w:val="000000"/>
                <w:sz w:val="22"/>
                <w:szCs w:val="22"/>
              </w:rPr>
            </w:pPr>
            <w:r w:rsidRPr="008A4F40">
              <w:rPr>
                <w:color w:val="000000"/>
                <w:sz w:val="22"/>
                <w:szCs w:val="22"/>
              </w:rPr>
              <w:t>Studie 0110</w:t>
            </w:r>
          </w:p>
          <w:p w14:paraId="5F2C081F" w14:textId="77777777" w:rsidR="003A33A6" w:rsidRPr="008A4F40" w:rsidRDefault="003A33A6" w:rsidP="004E7659">
            <w:pPr>
              <w:keepNext/>
              <w:jc w:val="center"/>
              <w:rPr>
                <w:color w:val="000000"/>
                <w:sz w:val="22"/>
                <w:szCs w:val="22"/>
              </w:rPr>
            </w:pPr>
            <w:r w:rsidRPr="008A4F40">
              <w:rPr>
                <w:color w:val="000000"/>
                <w:sz w:val="22"/>
                <w:szCs w:val="22"/>
              </w:rPr>
              <w:t>37-Monatsdaten</w:t>
            </w:r>
          </w:p>
          <w:p w14:paraId="37408047" w14:textId="77777777" w:rsidR="003A33A6" w:rsidRPr="008A4F40" w:rsidRDefault="003A33A6" w:rsidP="004E7659">
            <w:pPr>
              <w:keepNext/>
              <w:jc w:val="center"/>
              <w:rPr>
                <w:color w:val="000000"/>
                <w:sz w:val="22"/>
                <w:szCs w:val="22"/>
              </w:rPr>
            </w:pPr>
            <w:r w:rsidRPr="008A4F40">
              <w:rPr>
                <w:color w:val="000000"/>
                <w:sz w:val="22"/>
                <w:szCs w:val="22"/>
              </w:rPr>
              <w:t>Chronische Phase,</w:t>
            </w:r>
          </w:p>
          <w:p w14:paraId="4085F6AA" w14:textId="51207112" w:rsidR="003A33A6" w:rsidRPr="008A4F40" w:rsidRDefault="003A33A6" w:rsidP="004E7659">
            <w:pPr>
              <w:keepNext/>
              <w:jc w:val="center"/>
              <w:rPr>
                <w:color w:val="000000"/>
                <w:sz w:val="22"/>
                <w:szCs w:val="22"/>
              </w:rPr>
            </w:pPr>
            <w:r w:rsidRPr="008A4F40">
              <w:rPr>
                <w:color w:val="000000"/>
                <w:sz w:val="22"/>
                <w:szCs w:val="22"/>
              </w:rPr>
              <w:t>IFN-Versagen (n</w:t>
            </w:r>
            <w:ins w:id="280" w:author="Author">
              <w:r w:rsidR="00CD0876">
                <w:rPr>
                  <w:color w:val="000000"/>
                  <w:sz w:val="22"/>
                  <w:szCs w:val="22"/>
                </w:rPr>
                <w:t> </w:t>
              </w:r>
            </w:ins>
            <w:r w:rsidRPr="008A4F40">
              <w:rPr>
                <w:color w:val="000000"/>
                <w:sz w:val="22"/>
                <w:szCs w:val="22"/>
              </w:rPr>
              <w:t>=</w:t>
            </w:r>
            <w:ins w:id="281" w:author="Author">
              <w:r w:rsidR="00CD0876">
                <w:rPr>
                  <w:color w:val="000000"/>
                  <w:sz w:val="22"/>
                  <w:szCs w:val="22"/>
                </w:rPr>
                <w:t> </w:t>
              </w:r>
            </w:ins>
            <w:r w:rsidRPr="008A4F40">
              <w:rPr>
                <w:color w:val="000000"/>
                <w:sz w:val="22"/>
                <w:szCs w:val="22"/>
              </w:rPr>
              <w:t>532)</w:t>
            </w:r>
          </w:p>
        </w:tc>
        <w:tc>
          <w:tcPr>
            <w:tcW w:w="1985" w:type="dxa"/>
            <w:tcBorders>
              <w:bottom w:val="nil"/>
            </w:tcBorders>
          </w:tcPr>
          <w:p w14:paraId="6E54AD8C" w14:textId="4C567A1A" w:rsidR="003A33A6" w:rsidRPr="008A4F40" w:rsidRDefault="003A33A6" w:rsidP="004E7659">
            <w:pPr>
              <w:keepNext/>
              <w:jc w:val="center"/>
              <w:rPr>
                <w:color w:val="000000"/>
                <w:sz w:val="22"/>
                <w:szCs w:val="22"/>
              </w:rPr>
            </w:pPr>
            <w:r w:rsidRPr="008A4F40">
              <w:rPr>
                <w:color w:val="000000"/>
                <w:sz w:val="22"/>
                <w:szCs w:val="22"/>
              </w:rPr>
              <w:t>Studie 010</w:t>
            </w:r>
            <w:r w:rsidR="00CF6986">
              <w:rPr>
                <w:color w:val="000000"/>
                <w:sz w:val="22"/>
                <w:szCs w:val="22"/>
              </w:rPr>
              <w:t>9</w:t>
            </w:r>
          </w:p>
          <w:p w14:paraId="4192D33D" w14:textId="77777777" w:rsidR="003A33A6" w:rsidRPr="008A4F40" w:rsidRDefault="003A33A6" w:rsidP="004E7659">
            <w:pPr>
              <w:keepNext/>
              <w:jc w:val="center"/>
              <w:rPr>
                <w:color w:val="000000"/>
                <w:sz w:val="22"/>
                <w:szCs w:val="22"/>
              </w:rPr>
            </w:pPr>
            <w:r w:rsidRPr="008A4F40">
              <w:rPr>
                <w:color w:val="000000"/>
                <w:sz w:val="22"/>
                <w:szCs w:val="22"/>
              </w:rPr>
              <w:t>40,5-Monatsdaten</w:t>
            </w:r>
          </w:p>
          <w:p w14:paraId="38BE9CE8" w14:textId="77777777" w:rsidR="003A33A6" w:rsidRPr="008A4F40" w:rsidRDefault="003A33A6" w:rsidP="004E7659">
            <w:pPr>
              <w:keepNext/>
              <w:jc w:val="center"/>
              <w:rPr>
                <w:color w:val="000000"/>
                <w:sz w:val="22"/>
                <w:szCs w:val="22"/>
              </w:rPr>
            </w:pPr>
            <w:r w:rsidRPr="008A4F40">
              <w:rPr>
                <w:color w:val="000000"/>
                <w:sz w:val="22"/>
                <w:szCs w:val="22"/>
              </w:rPr>
              <w:t>Akzelerierte Phase</w:t>
            </w:r>
          </w:p>
          <w:p w14:paraId="039650A5" w14:textId="3C3F181E" w:rsidR="003A33A6" w:rsidRPr="008A4F40" w:rsidRDefault="003A33A6" w:rsidP="004E7659">
            <w:pPr>
              <w:keepNext/>
              <w:jc w:val="center"/>
              <w:rPr>
                <w:color w:val="000000"/>
                <w:sz w:val="22"/>
                <w:szCs w:val="22"/>
              </w:rPr>
            </w:pPr>
            <w:r w:rsidRPr="008A4F40">
              <w:rPr>
                <w:color w:val="000000"/>
                <w:sz w:val="22"/>
                <w:szCs w:val="22"/>
              </w:rPr>
              <w:t>(n</w:t>
            </w:r>
            <w:ins w:id="282" w:author="Author">
              <w:r w:rsidR="00CD0876">
                <w:rPr>
                  <w:color w:val="000000"/>
                  <w:sz w:val="22"/>
                  <w:szCs w:val="22"/>
                </w:rPr>
                <w:t> </w:t>
              </w:r>
            </w:ins>
            <w:r w:rsidRPr="008A4F40">
              <w:rPr>
                <w:color w:val="000000"/>
                <w:sz w:val="22"/>
                <w:szCs w:val="22"/>
              </w:rPr>
              <w:t>=</w:t>
            </w:r>
            <w:ins w:id="283" w:author="Author">
              <w:r w:rsidR="00CD0876">
                <w:rPr>
                  <w:color w:val="000000"/>
                  <w:sz w:val="22"/>
                  <w:szCs w:val="22"/>
                </w:rPr>
                <w:t> </w:t>
              </w:r>
            </w:ins>
            <w:r w:rsidRPr="008A4F40">
              <w:rPr>
                <w:color w:val="000000"/>
                <w:sz w:val="22"/>
                <w:szCs w:val="22"/>
              </w:rPr>
              <w:t>235)</w:t>
            </w:r>
          </w:p>
        </w:tc>
        <w:tc>
          <w:tcPr>
            <w:tcW w:w="2410" w:type="dxa"/>
            <w:tcBorders>
              <w:bottom w:val="nil"/>
            </w:tcBorders>
          </w:tcPr>
          <w:p w14:paraId="38A06DAF" w14:textId="77777777" w:rsidR="003A33A6" w:rsidRPr="008A4F40" w:rsidRDefault="003A33A6" w:rsidP="004E7659">
            <w:pPr>
              <w:keepNext/>
              <w:jc w:val="center"/>
              <w:rPr>
                <w:color w:val="000000"/>
                <w:sz w:val="22"/>
                <w:szCs w:val="22"/>
              </w:rPr>
            </w:pPr>
            <w:r w:rsidRPr="008A4F40">
              <w:rPr>
                <w:color w:val="000000"/>
                <w:sz w:val="22"/>
                <w:szCs w:val="22"/>
              </w:rPr>
              <w:t>Studie 0102</w:t>
            </w:r>
          </w:p>
          <w:p w14:paraId="7D9C9EB3" w14:textId="77777777" w:rsidR="003A33A6" w:rsidRPr="008A4F40" w:rsidRDefault="003A33A6" w:rsidP="004E7659">
            <w:pPr>
              <w:keepNext/>
              <w:jc w:val="center"/>
              <w:rPr>
                <w:color w:val="000000"/>
                <w:sz w:val="22"/>
                <w:szCs w:val="22"/>
              </w:rPr>
            </w:pPr>
            <w:r w:rsidRPr="008A4F40">
              <w:rPr>
                <w:color w:val="000000"/>
                <w:sz w:val="22"/>
                <w:szCs w:val="22"/>
              </w:rPr>
              <w:t>38-Monatsdaten</w:t>
            </w:r>
          </w:p>
          <w:p w14:paraId="7C8127D8" w14:textId="3161F41C" w:rsidR="003A33A6" w:rsidRPr="008A4F40" w:rsidRDefault="003A33A6" w:rsidP="004E7659">
            <w:pPr>
              <w:keepNext/>
              <w:jc w:val="center"/>
              <w:rPr>
                <w:color w:val="000000"/>
                <w:sz w:val="22"/>
                <w:szCs w:val="22"/>
              </w:rPr>
            </w:pPr>
            <w:r w:rsidRPr="008A4F40">
              <w:rPr>
                <w:color w:val="000000"/>
                <w:sz w:val="22"/>
                <w:szCs w:val="22"/>
              </w:rPr>
              <w:t>Myeloische Blastenkrise (n</w:t>
            </w:r>
            <w:ins w:id="284" w:author="Author">
              <w:r w:rsidR="00CD0876">
                <w:rPr>
                  <w:color w:val="000000"/>
                  <w:sz w:val="22"/>
                  <w:szCs w:val="22"/>
                </w:rPr>
                <w:t> </w:t>
              </w:r>
            </w:ins>
            <w:r w:rsidRPr="008A4F40">
              <w:rPr>
                <w:color w:val="000000"/>
                <w:sz w:val="22"/>
                <w:szCs w:val="22"/>
              </w:rPr>
              <w:t>=</w:t>
            </w:r>
            <w:ins w:id="285" w:author="Author">
              <w:r w:rsidR="00CD0876">
                <w:rPr>
                  <w:color w:val="000000"/>
                  <w:sz w:val="22"/>
                  <w:szCs w:val="22"/>
                </w:rPr>
                <w:t> </w:t>
              </w:r>
            </w:ins>
            <w:r w:rsidRPr="008A4F40">
              <w:rPr>
                <w:color w:val="000000"/>
                <w:sz w:val="22"/>
                <w:szCs w:val="22"/>
              </w:rPr>
              <w:t>260)</w:t>
            </w:r>
          </w:p>
        </w:tc>
      </w:tr>
      <w:tr w:rsidR="003A33A6" w:rsidRPr="008A4F40" w14:paraId="008A685C" w14:textId="77777777" w:rsidTr="00DA7B0B">
        <w:trPr>
          <w:cantSplit/>
        </w:trPr>
        <w:tc>
          <w:tcPr>
            <w:tcW w:w="2552" w:type="dxa"/>
            <w:tcBorders>
              <w:bottom w:val="nil"/>
              <w:right w:val="nil"/>
            </w:tcBorders>
          </w:tcPr>
          <w:p w14:paraId="68C2F482" w14:textId="77777777" w:rsidR="003A33A6" w:rsidRPr="008A4F40" w:rsidRDefault="003A33A6" w:rsidP="004E7659">
            <w:pPr>
              <w:keepNext/>
              <w:rPr>
                <w:color w:val="000000"/>
                <w:sz w:val="22"/>
                <w:szCs w:val="22"/>
              </w:rPr>
            </w:pPr>
          </w:p>
        </w:tc>
        <w:tc>
          <w:tcPr>
            <w:tcW w:w="6521" w:type="dxa"/>
            <w:gridSpan w:val="3"/>
            <w:tcBorders>
              <w:left w:val="nil"/>
            </w:tcBorders>
          </w:tcPr>
          <w:p w14:paraId="1A2B0C7A" w14:textId="77777777" w:rsidR="003A33A6" w:rsidRPr="008A4F40" w:rsidRDefault="003A33A6" w:rsidP="004E7659">
            <w:pPr>
              <w:keepNext/>
              <w:jc w:val="center"/>
              <w:rPr>
                <w:color w:val="000000"/>
                <w:sz w:val="22"/>
                <w:szCs w:val="22"/>
              </w:rPr>
            </w:pPr>
            <w:r w:rsidRPr="008A4F40">
              <w:rPr>
                <w:color w:val="000000"/>
                <w:sz w:val="22"/>
                <w:szCs w:val="22"/>
              </w:rPr>
              <w:t>% der Patienten (</w:t>
            </w:r>
            <w:r w:rsidR="008B0DF4" w:rsidRPr="008A4F40">
              <w:rPr>
                <w:color w:val="000000"/>
                <w:sz w:val="22"/>
                <w:szCs w:val="22"/>
              </w:rPr>
              <w:t>KI</w:t>
            </w:r>
            <w:r w:rsidRPr="008A4F40">
              <w:rPr>
                <w:color w:val="000000"/>
                <w:sz w:val="22"/>
                <w:szCs w:val="22"/>
                <w:vertAlign w:val="subscript"/>
              </w:rPr>
              <w:t>95%</w:t>
            </w:r>
            <w:r w:rsidRPr="008A4F40">
              <w:rPr>
                <w:color w:val="000000"/>
                <w:sz w:val="22"/>
                <w:szCs w:val="22"/>
              </w:rPr>
              <w:t>)</w:t>
            </w:r>
          </w:p>
        </w:tc>
      </w:tr>
      <w:tr w:rsidR="003A33A6" w:rsidRPr="008A4F40" w14:paraId="56EE1875" w14:textId="77777777" w:rsidTr="00DA7B0B">
        <w:trPr>
          <w:cantSplit/>
        </w:trPr>
        <w:tc>
          <w:tcPr>
            <w:tcW w:w="2552" w:type="dxa"/>
            <w:tcBorders>
              <w:bottom w:val="nil"/>
            </w:tcBorders>
          </w:tcPr>
          <w:p w14:paraId="58D24233" w14:textId="77777777" w:rsidR="003A33A6" w:rsidRPr="008A4F40" w:rsidRDefault="003A33A6" w:rsidP="004E7659">
            <w:pPr>
              <w:keepNext/>
              <w:rPr>
                <w:color w:val="000000"/>
                <w:sz w:val="22"/>
                <w:szCs w:val="22"/>
              </w:rPr>
            </w:pPr>
            <w:r w:rsidRPr="008A4F40">
              <w:rPr>
                <w:color w:val="000000"/>
                <w:sz w:val="22"/>
                <w:szCs w:val="22"/>
              </w:rPr>
              <w:t>Hämatologische Remission</w:t>
            </w:r>
            <w:r w:rsidRPr="008A4F40">
              <w:rPr>
                <w:color w:val="000000"/>
                <w:sz w:val="22"/>
                <w:szCs w:val="22"/>
                <w:vertAlign w:val="superscript"/>
              </w:rPr>
              <w:t>1</w:t>
            </w:r>
          </w:p>
        </w:tc>
        <w:tc>
          <w:tcPr>
            <w:tcW w:w="2126" w:type="dxa"/>
            <w:tcBorders>
              <w:bottom w:val="nil"/>
            </w:tcBorders>
          </w:tcPr>
          <w:p w14:paraId="154281E3" w14:textId="77777777" w:rsidR="003A33A6" w:rsidRPr="008A4F40" w:rsidRDefault="003A33A6" w:rsidP="004E7659">
            <w:pPr>
              <w:keepNext/>
              <w:jc w:val="center"/>
              <w:rPr>
                <w:color w:val="000000"/>
                <w:sz w:val="22"/>
                <w:szCs w:val="22"/>
              </w:rPr>
            </w:pPr>
            <w:r w:rsidRPr="008A4F40">
              <w:rPr>
                <w:color w:val="000000"/>
                <w:sz w:val="22"/>
                <w:szCs w:val="22"/>
              </w:rPr>
              <w:t>95% (92,3–96,3)</w:t>
            </w:r>
          </w:p>
        </w:tc>
        <w:tc>
          <w:tcPr>
            <w:tcW w:w="1985" w:type="dxa"/>
            <w:tcBorders>
              <w:bottom w:val="nil"/>
            </w:tcBorders>
          </w:tcPr>
          <w:p w14:paraId="337D9ADC" w14:textId="77777777" w:rsidR="003A33A6" w:rsidRPr="008A4F40" w:rsidRDefault="003A33A6" w:rsidP="004E7659">
            <w:pPr>
              <w:keepNext/>
              <w:jc w:val="center"/>
              <w:rPr>
                <w:color w:val="000000"/>
                <w:sz w:val="22"/>
                <w:szCs w:val="22"/>
              </w:rPr>
            </w:pPr>
            <w:r w:rsidRPr="008A4F40">
              <w:rPr>
                <w:color w:val="000000"/>
                <w:sz w:val="22"/>
                <w:szCs w:val="22"/>
              </w:rPr>
              <w:t>71% (65,3–77,2)</w:t>
            </w:r>
          </w:p>
        </w:tc>
        <w:tc>
          <w:tcPr>
            <w:tcW w:w="2410" w:type="dxa"/>
            <w:tcBorders>
              <w:bottom w:val="nil"/>
            </w:tcBorders>
          </w:tcPr>
          <w:p w14:paraId="74AAC901" w14:textId="77777777" w:rsidR="003A33A6" w:rsidRPr="008A4F40" w:rsidRDefault="003A33A6" w:rsidP="004E7659">
            <w:pPr>
              <w:keepNext/>
              <w:jc w:val="center"/>
              <w:rPr>
                <w:color w:val="000000"/>
                <w:sz w:val="22"/>
                <w:szCs w:val="22"/>
              </w:rPr>
            </w:pPr>
            <w:r w:rsidRPr="008A4F40">
              <w:rPr>
                <w:color w:val="000000"/>
                <w:sz w:val="22"/>
                <w:szCs w:val="22"/>
              </w:rPr>
              <w:t>31% (25,2–36,8)</w:t>
            </w:r>
          </w:p>
        </w:tc>
      </w:tr>
      <w:tr w:rsidR="003A33A6" w:rsidRPr="008A4F40" w14:paraId="0F8D00F9" w14:textId="77777777" w:rsidTr="00DA7B0B">
        <w:trPr>
          <w:cantSplit/>
        </w:trPr>
        <w:tc>
          <w:tcPr>
            <w:tcW w:w="2552" w:type="dxa"/>
            <w:tcBorders>
              <w:top w:val="nil"/>
              <w:bottom w:val="nil"/>
            </w:tcBorders>
          </w:tcPr>
          <w:p w14:paraId="072D2C54" w14:textId="77777777" w:rsidR="003A33A6" w:rsidRPr="008A4F40" w:rsidRDefault="003A33A6" w:rsidP="004E7659">
            <w:pPr>
              <w:keepNext/>
              <w:ind w:left="318"/>
              <w:rPr>
                <w:color w:val="000000"/>
                <w:sz w:val="22"/>
                <w:szCs w:val="22"/>
              </w:rPr>
            </w:pPr>
            <w:r w:rsidRPr="008A4F40">
              <w:rPr>
                <w:color w:val="000000"/>
                <w:sz w:val="22"/>
                <w:szCs w:val="22"/>
              </w:rPr>
              <w:t>Komplette hämatologische Remission (</w:t>
            </w:r>
            <w:smartTag w:uri="urn:schemas-microsoft-com:office:smarttags" w:element="stockticker">
              <w:r w:rsidRPr="008A4F40">
                <w:rPr>
                  <w:color w:val="000000"/>
                  <w:sz w:val="22"/>
                  <w:szCs w:val="22"/>
                </w:rPr>
                <w:t>CHR</w:t>
              </w:r>
            </w:smartTag>
            <w:r w:rsidRPr="008A4F40">
              <w:rPr>
                <w:color w:val="000000"/>
                <w:sz w:val="22"/>
                <w:szCs w:val="22"/>
              </w:rPr>
              <w:t>)</w:t>
            </w:r>
          </w:p>
        </w:tc>
        <w:tc>
          <w:tcPr>
            <w:tcW w:w="2126" w:type="dxa"/>
            <w:tcBorders>
              <w:top w:val="nil"/>
              <w:bottom w:val="nil"/>
            </w:tcBorders>
          </w:tcPr>
          <w:p w14:paraId="6B0A549A" w14:textId="77777777" w:rsidR="003A33A6" w:rsidRPr="008A4F40" w:rsidRDefault="003A33A6" w:rsidP="004E7659">
            <w:pPr>
              <w:keepNext/>
              <w:jc w:val="center"/>
              <w:rPr>
                <w:color w:val="000000"/>
                <w:sz w:val="22"/>
                <w:szCs w:val="22"/>
              </w:rPr>
            </w:pPr>
            <w:r w:rsidRPr="008A4F40">
              <w:rPr>
                <w:color w:val="000000"/>
                <w:sz w:val="22"/>
                <w:szCs w:val="22"/>
              </w:rPr>
              <w:t>95%</w:t>
            </w:r>
          </w:p>
        </w:tc>
        <w:tc>
          <w:tcPr>
            <w:tcW w:w="1985" w:type="dxa"/>
            <w:tcBorders>
              <w:top w:val="nil"/>
              <w:bottom w:val="nil"/>
            </w:tcBorders>
          </w:tcPr>
          <w:p w14:paraId="065C79BB" w14:textId="77777777" w:rsidR="003A33A6" w:rsidRPr="008A4F40" w:rsidRDefault="003A33A6" w:rsidP="004E7659">
            <w:pPr>
              <w:keepNext/>
              <w:jc w:val="center"/>
              <w:rPr>
                <w:color w:val="000000"/>
                <w:sz w:val="22"/>
                <w:szCs w:val="22"/>
              </w:rPr>
            </w:pPr>
            <w:r w:rsidRPr="008A4F40">
              <w:rPr>
                <w:color w:val="000000"/>
                <w:sz w:val="22"/>
                <w:szCs w:val="22"/>
              </w:rPr>
              <w:t>42%</w:t>
            </w:r>
          </w:p>
        </w:tc>
        <w:tc>
          <w:tcPr>
            <w:tcW w:w="2410" w:type="dxa"/>
            <w:tcBorders>
              <w:top w:val="nil"/>
              <w:bottom w:val="nil"/>
            </w:tcBorders>
          </w:tcPr>
          <w:p w14:paraId="24B6B00F" w14:textId="77777777" w:rsidR="003A33A6" w:rsidRPr="008A4F40" w:rsidRDefault="003A33A6" w:rsidP="004E7659">
            <w:pPr>
              <w:keepNext/>
              <w:jc w:val="center"/>
              <w:rPr>
                <w:color w:val="000000"/>
                <w:sz w:val="22"/>
                <w:szCs w:val="22"/>
              </w:rPr>
            </w:pPr>
            <w:r w:rsidRPr="008A4F40">
              <w:rPr>
                <w:color w:val="000000"/>
                <w:sz w:val="22"/>
                <w:szCs w:val="22"/>
              </w:rPr>
              <w:t>8%</w:t>
            </w:r>
          </w:p>
        </w:tc>
      </w:tr>
      <w:tr w:rsidR="003A33A6" w:rsidRPr="008A4F40" w14:paraId="0BB4E3E7" w14:textId="77777777" w:rsidTr="00DA7B0B">
        <w:trPr>
          <w:cantSplit/>
        </w:trPr>
        <w:tc>
          <w:tcPr>
            <w:tcW w:w="2552" w:type="dxa"/>
            <w:tcBorders>
              <w:top w:val="nil"/>
              <w:bottom w:val="nil"/>
            </w:tcBorders>
          </w:tcPr>
          <w:p w14:paraId="2F6B1BE9" w14:textId="77777777" w:rsidR="003A33A6" w:rsidRPr="008A4F40" w:rsidRDefault="003A33A6" w:rsidP="004E7659">
            <w:pPr>
              <w:keepNext/>
              <w:ind w:left="318"/>
              <w:rPr>
                <w:color w:val="000000"/>
                <w:sz w:val="22"/>
                <w:szCs w:val="22"/>
              </w:rPr>
            </w:pPr>
            <w:r w:rsidRPr="008A4F40">
              <w:rPr>
                <w:color w:val="000000"/>
                <w:sz w:val="22"/>
                <w:szCs w:val="22"/>
              </w:rPr>
              <w:t>Keine Leukämie mehr nachweisbar (NEL)</w:t>
            </w:r>
          </w:p>
        </w:tc>
        <w:tc>
          <w:tcPr>
            <w:tcW w:w="2126" w:type="dxa"/>
            <w:tcBorders>
              <w:top w:val="nil"/>
              <w:bottom w:val="nil"/>
            </w:tcBorders>
          </w:tcPr>
          <w:p w14:paraId="3B1A901D" w14:textId="77777777" w:rsidR="003A33A6" w:rsidRPr="008A4F40" w:rsidRDefault="003A33A6" w:rsidP="004E7659">
            <w:pPr>
              <w:keepNext/>
              <w:jc w:val="center"/>
              <w:rPr>
                <w:color w:val="000000"/>
                <w:sz w:val="22"/>
                <w:szCs w:val="22"/>
              </w:rPr>
            </w:pPr>
            <w:r w:rsidRPr="008A4F40">
              <w:rPr>
                <w:color w:val="000000"/>
                <w:sz w:val="22"/>
                <w:szCs w:val="22"/>
              </w:rPr>
              <w:t>Nicht zutreffend</w:t>
            </w:r>
          </w:p>
        </w:tc>
        <w:tc>
          <w:tcPr>
            <w:tcW w:w="1985" w:type="dxa"/>
            <w:tcBorders>
              <w:top w:val="nil"/>
              <w:bottom w:val="nil"/>
            </w:tcBorders>
          </w:tcPr>
          <w:p w14:paraId="0517738B" w14:textId="77777777" w:rsidR="003A33A6" w:rsidRPr="008A4F40" w:rsidRDefault="003A33A6" w:rsidP="004E7659">
            <w:pPr>
              <w:keepNext/>
              <w:jc w:val="center"/>
              <w:rPr>
                <w:color w:val="000000"/>
                <w:sz w:val="22"/>
                <w:szCs w:val="22"/>
              </w:rPr>
            </w:pPr>
            <w:r w:rsidRPr="008A4F40">
              <w:rPr>
                <w:color w:val="000000"/>
                <w:sz w:val="22"/>
                <w:szCs w:val="22"/>
              </w:rPr>
              <w:t>12%</w:t>
            </w:r>
          </w:p>
        </w:tc>
        <w:tc>
          <w:tcPr>
            <w:tcW w:w="2410" w:type="dxa"/>
            <w:tcBorders>
              <w:top w:val="nil"/>
              <w:bottom w:val="nil"/>
            </w:tcBorders>
          </w:tcPr>
          <w:p w14:paraId="6FB84827" w14:textId="77777777" w:rsidR="003A33A6" w:rsidRPr="008A4F40" w:rsidRDefault="003A33A6" w:rsidP="004E7659">
            <w:pPr>
              <w:keepNext/>
              <w:jc w:val="center"/>
              <w:rPr>
                <w:color w:val="000000"/>
                <w:sz w:val="22"/>
                <w:szCs w:val="22"/>
              </w:rPr>
            </w:pPr>
            <w:r w:rsidRPr="008A4F40">
              <w:rPr>
                <w:color w:val="000000"/>
                <w:sz w:val="22"/>
                <w:szCs w:val="22"/>
              </w:rPr>
              <w:t>5%</w:t>
            </w:r>
          </w:p>
        </w:tc>
      </w:tr>
      <w:tr w:rsidR="003A33A6" w:rsidRPr="008A4F40" w14:paraId="0E9A97E1" w14:textId="77777777" w:rsidTr="00DA7B0B">
        <w:trPr>
          <w:cantSplit/>
        </w:trPr>
        <w:tc>
          <w:tcPr>
            <w:tcW w:w="2552" w:type="dxa"/>
            <w:tcBorders>
              <w:top w:val="nil"/>
              <w:bottom w:val="nil"/>
            </w:tcBorders>
          </w:tcPr>
          <w:p w14:paraId="3597BF67" w14:textId="77777777" w:rsidR="003A33A6" w:rsidRPr="008A4F40" w:rsidRDefault="003A33A6" w:rsidP="004E7659">
            <w:pPr>
              <w:keepNext/>
              <w:ind w:left="318"/>
              <w:rPr>
                <w:color w:val="000000"/>
                <w:sz w:val="22"/>
                <w:szCs w:val="22"/>
              </w:rPr>
            </w:pPr>
            <w:r w:rsidRPr="008A4F40">
              <w:rPr>
                <w:color w:val="000000"/>
                <w:sz w:val="22"/>
                <w:szCs w:val="22"/>
              </w:rPr>
              <w:t>Wiedereintritt in die chronische Phase (</w:t>
            </w:r>
            <w:smartTag w:uri="urn:schemas-microsoft-com:office:smarttags" w:element="stockticker">
              <w:r w:rsidRPr="008A4F40">
                <w:rPr>
                  <w:color w:val="000000"/>
                  <w:sz w:val="22"/>
                  <w:szCs w:val="22"/>
                </w:rPr>
                <w:t>RTC</w:t>
              </w:r>
            </w:smartTag>
            <w:r w:rsidRPr="008A4F40">
              <w:rPr>
                <w:color w:val="000000"/>
                <w:sz w:val="22"/>
                <w:szCs w:val="22"/>
              </w:rPr>
              <w:t>)</w:t>
            </w:r>
          </w:p>
        </w:tc>
        <w:tc>
          <w:tcPr>
            <w:tcW w:w="2126" w:type="dxa"/>
            <w:tcBorders>
              <w:top w:val="nil"/>
              <w:bottom w:val="nil"/>
            </w:tcBorders>
          </w:tcPr>
          <w:p w14:paraId="1996ABE3" w14:textId="77777777" w:rsidR="003A33A6" w:rsidRPr="008A4F40" w:rsidRDefault="003A33A6" w:rsidP="004E7659">
            <w:pPr>
              <w:keepNext/>
              <w:jc w:val="center"/>
              <w:rPr>
                <w:color w:val="000000"/>
                <w:sz w:val="22"/>
                <w:szCs w:val="22"/>
              </w:rPr>
            </w:pPr>
            <w:r w:rsidRPr="008A4F40">
              <w:rPr>
                <w:color w:val="000000"/>
                <w:sz w:val="22"/>
                <w:szCs w:val="22"/>
              </w:rPr>
              <w:t>Nicht zutreffend</w:t>
            </w:r>
          </w:p>
        </w:tc>
        <w:tc>
          <w:tcPr>
            <w:tcW w:w="1985" w:type="dxa"/>
            <w:tcBorders>
              <w:top w:val="nil"/>
              <w:bottom w:val="nil"/>
            </w:tcBorders>
          </w:tcPr>
          <w:p w14:paraId="444CD24C" w14:textId="77777777" w:rsidR="003A33A6" w:rsidRPr="008A4F40" w:rsidRDefault="003A33A6" w:rsidP="004E7659">
            <w:pPr>
              <w:keepNext/>
              <w:jc w:val="center"/>
              <w:rPr>
                <w:color w:val="000000"/>
                <w:sz w:val="22"/>
                <w:szCs w:val="22"/>
              </w:rPr>
            </w:pPr>
            <w:r w:rsidRPr="008A4F40">
              <w:rPr>
                <w:color w:val="000000"/>
                <w:sz w:val="22"/>
                <w:szCs w:val="22"/>
              </w:rPr>
              <w:t>17%</w:t>
            </w:r>
          </w:p>
        </w:tc>
        <w:tc>
          <w:tcPr>
            <w:tcW w:w="2410" w:type="dxa"/>
            <w:tcBorders>
              <w:top w:val="nil"/>
              <w:bottom w:val="nil"/>
            </w:tcBorders>
          </w:tcPr>
          <w:p w14:paraId="522C753D" w14:textId="77777777" w:rsidR="003A33A6" w:rsidRPr="008A4F40" w:rsidRDefault="003A33A6" w:rsidP="004E7659">
            <w:pPr>
              <w:keepNext/>
              <w:jc w:val="center"/>
              <w:rPr>
                <w:color w:val="000000"/>
                <w:sz w:val="22"/>
                <w:szCs w:val="22"/>
              </w:rPr>
            </w:pPr>
            <w:r w:rsidRPr="008A4F40">
              <w:rPr>
                <w:color w:val="000000"/>
                <w:sz w:val="22"/>
                <w:szCs w:val="22"/>
              </w:rPr>
              <w:t>18%</w:t>
            </w:r>
          </w:p>
        </w:tc>
      </w:tr>
      <w:tr w:rsidR="003A33A6" w:rsidRPr="008A4F40" w14:paraId="0E464CF2" w14:textId="77777777" w:rsidTr="00DA7B0B">
        <w:trPr>
          <w:cantSplit/>
        </w:trPr>
        <w:tc>
          <w:tcPr>
            <w:tcW w:w="2552" w:type="dxa"/>
            <w:tcBorders>
              <w:top w:val="single" w:sz="4" w:space="0" w:color="auto"/>
              <w:bottom w:val="nil"/>
            </w:tcBorders>
          </w:tcPr>
          <w:p w14:paraId="5BC149BC" w14:textId="77777777" w:rsidR="003A33A6" w:rsidRPr="008A4F40" w:rsidRDefault="003A33A6" w:rsidP="004E7659">
            <w:pPr>
              <w:pStyle w:val="Header"/>
              <w:keepNext/>
              <w:tabs>
                <w:tab w:val="clear" w:pos="4320"/>
                <w:tab w:val="clear" w:pos="8640"/>
              </w:tabs>
              <w:rPr>
                <w:color w:val="000000"/>
                <w:szCs w:val="22"/>
              </w:rPr>
            </w:pPr>
            <w:r w:rsidRPr="008A4F40">
              <w:rPr>
                <w:color w:val="000000"/>
                <w:szCs w:val="22"/>
              </w:rPr>
              <w:t>Gute zytogenetische Remission</w:t>
            </w:r>
            <w:r w:rsidRPr="008A4F40">
              <w:rPr>
                <w:color w:val="000000"/>
                <w:szCs w:val="22"/>
                <w:vertAlign w:val="superscript"/>
              </w:rPr>
              <w:t>2</w:t>
            </w:r>
          </w:p>
        </w:tc>
        <w:tc>
          <w:tcPr>
            <w:tcW w:w="2126" w:type="dxa"/>
            <w:tcBorders>
              <w:top w:val="single" w:sz="4" w:space="0" w:color="auto"/>
              <w:bottom w:val="nil"/>
            </w:tcBorders>
          </w:tcPr>
          <w:p w14:paraId="21369794" w14:textId="77777777" w:rsidR="003A33A6" w:rsidRPr="008A4F40" w:rsidRDefault="003A33A6" w:rsidP="004E7659">
            <w:pPr>
              <w:keepNext/>
              <w:jc w:val="center"/>
              <w:rPr>
                <w:color w:val="000000"/>
                <w:sz w:val="22"/>
                <w:szCs w:val="22"/>
              </w:rPr>
            </w:pPr>
            <w:r w:rsidRPr="008A4F40">
              <w:rPr>
                <w:color w:val="000000"/>
                <w:sz w:val="22"/>
                <w:szCs w:val="22"/>
              </w:rPr>
              <w:t>65% (61,2–69,5)</w:t>
            </w:r>
          </w:p>
        </w:tc>
        <w:tc>
          <w:tcPr>
            <w:tcW w:w="1985" w:type="dxa"/>
            <w:tcBorders>
              <w:top w:val="single" w:sz="4" w:space="0" w:color="auto"/>
              <w:bottom w:val="nil"/>
            </w:tcBorders>
          </w:tcPr>
          <w:p w14:paraId="4661B9EB" w14:textId="77777777" w:rsidR="003A33A6" w:rsidRPr="008A4F40" w:rsidRDefault="003A33A6" w:rsidP="004E7659">
            <w:pPr>
              <w:keepNext/>
              <w:jc w:val="center"/>
              <w:rPr>
                <w:color w:val="000000"/>
                <w:sz w:val="22"/>
                <w:szCs w:val="22"/>
              </w:rPr>
            </w:pPr>
            <w:r w:rsidRPr="008A4F40">
              <w:rPr>
                <w:color w:val="000000"/>
                <w:sz w:val="22"/>
                <w:szCs w:val="22"/>
              </w:rPr>
              <w:t>28% (22,0–33,9)</w:t>
            </w:r>
          </w:p>
        </w:tc>
        <w:tc>
          <w:tcPr>
            <w:tcW w:w="2410" w:type="dxa"/>
            <w:tcBorders>
              <w:top w:val="single" w:sz="4" w:space="0" w:color="auto"/>
              <w:bottom w:val="nil"/>
            </w:tcBorders>
          </w:tcPr>
          <w:p w14:paraId="2E264C35" w14:textId="77777777" w:rsidR="003A33A6" w:rsidRPr="008A4F40" w:rsidRDefault="003A33A6" w:rsidP="004E7659">
            <w:pPr>
              <w:keepNext/>
              <w:jc w:val="center"/>
              <w:rPr>
                <w:color w:val="000000"/>
                <w:sz w:val="22"/>
                <w:szCs w:val="22"/>
              </w:rPr>
            </w:pPr>
            <w:r w:rsidRPr="008A4F40">
              <w:rPr>
                <w:color w:val="000000"/>
                <w:sz w:val="22"/>
                <w:szCs w:val="22"/>
              </w:rPr>
              <w:t>15% (11,2–20,4)</w:t>
            </w:r>
          </w:p>
        </w:tc>
      </w:tr>
      <w:tr w:rsidR="003A33A6" w:rsidRPr="008A4F40" w14:paraId="2917297A" w14:textId="77777777" w:rsidTr="00DA7B0B">
        <w:trPr>
          <w:cantSplit/>
        </w:trPr>
        <w:tc>
          <w:tcPr>
            <w:tcW w:w="2552" w:type="dxa"/>
            <w:tcBorders>
              <w:top w:val="nil"/>
              <w:bottom w:val="nil"/>
            </w:tcBorders>
          </w:tcPr>
          <w:p w14:paraId="3A02A287" w14:textId="77777777" w:rsidR="003A33A6" w:rsidRPr="008A4F40" w:rsidRDefault="003A33A6" w:rsidP="004E7659">
            <w:pPr>
              <w:pStyle w:val="Header"/>
              <w:keepNext/>
              <w:tabs>
                <w:tab w:val="clear" w:pos="4320"/>
                <w:tab w:val="clear" w:pos="8640"/>
              </w:tabs>
              <w:ind w:left="318"/>
              <w:rPr>
                <w:color w:val="000000"/>
                <w:szCs w:val="22"/>
              </w:rPr>
            </w:pPr>
            <w:r w:rsidRPr="008A4F40">
              <w:rPr>
                <w:color w:val="000000"/>
                <w:szCs w:val="22"/>
              </w:rPr>
              <w:t>Komplett</w:t>
            </w:r>
          </w:p>
          <w:p w14:paraId="1221DAE1" w14:textId="77777777" w:rsidR="003A33A6" w:rsidRPr="008A4F40" w:rsidRDefault="003A33A6" w:rsidP="004E7659">
            <w:pPr>
              <w:pStyle w:val="Header"/>
              <w:keepNext/>
              <w:tabs>
                <w:tab w:val="clear" w:pos="4320"/>
                <w:tab w:val="clear" w:pos="8640"/>
              </w:tabs>
              <w:ind w:left="318"/>
              <w:rPr>
                <w:color w:val="000000"/>
                <w:szCs w:val="22"/>
              </w:rPr>
            </w:pPr>
            <w:r w:rsidRPr="008A4F40">
              <w:rPr>
                <w:color w:val="000000"/>
                <w:szCs w:val="22"/>
              </w:rPr>
              <w:t>(Bestätigt</w:t>
            </w:r>
            <w:r w:rsidRPr="008A4F40">
              <w:rPr>
                <w:color w:val="000000"/>
                <w:szCs w:val="22"/>
                <w:vertAlign w:val="superscript"/>
              </w:rPr>
              <w:t>3</w:t>
            </w:r>
            <w:r w:rsidRPr="008A4F40">
              <w:rPr>
                <w:color w:val="000000"/>
                <w:szCs w:val="22"/>
              </w:rPr>
              <w:t>)[95%</w:t>
            </w:r>
            <w:r w:rsidR="008B0DF4" w:rsidRPr="008A4F40">
              <w:rPr>
                <w:color w:val="000000"/>
                <w:szCs w:val="22"/>
              </w:rPr>
              <w:t>-KI</w:t>
            </w:r>
            <w:r w:rsidRPr="008A4F40">
              <w:rPr>
                <w:color w:val="000000"/>
                <w:szCs w:val="22"/>
              </w:rPr>
              <w:t>]</w:t>
            </w:r>
          </w:p>
        </w:tc>
        <w:tc>
          <w:tcPr>
            <w:tcW w:w="2126" w:type="dxa"/>
            <w:tcBorders>
              <w:top w:val="nil"/>
              <w:bottom w:val="nil"/>
            </w:tcBorders>
          </w:tcPr>
          <w:p w14:paraId="37D6A84E" w14:textId="77777777" w:rsidR="003A33A6" w:rsidRPr="008A4F40" w:rsidRDefault="003A33A6" w:rsidP="004E7659">
            <w:pPr>
              <w:keepNext/>
              <w:jc w:val="center"/>
              <w:rPr>
                <w:color w:val="000000"/>
                <w:sz w:val="22"/>
                <w:szCs w:val="22"/>
              </w:rPr>
            </w:pPr>
            <w:r w:rsidRPr="008A4F40">
              <w:rPr>
                <w:color w:val="000000"/>
                <w:sz w:val="22"/>
                <w:szCs w:val="22"/>
              </w:rPr>
              <w:t>53%</w:t>
            </w:r>
          </w:p>
          <w:p w14:paraId="41038583" w14:textId="77777777" w:rsidR="003A33A6" w:rsidRPr="008A4F40" w:rsidRDefault="003A33A6" w:rsidP="004E7659">
            <w:pPr>
              <w:keepNext/>
              <w:jc w:val="center"/>
              <w:rPr>
                <w:color w:val="000000"/>
                <w:sz w:val="22"/>
                <w:szCs w:val="22"/>
              </w:rPr>
            </w:pPr>
            <w:r w:rsidRPr="008A4F40">
              <w:rPr>
                <w:color w:val="000000"/>
                <w:sz w:val="22"/>
                <w:szCs w:val="22"/>
              </w:rPr>
              <w:t>(43%)[38,6–47,2]</w:t>
            </w:r>
          </w:p>
        </w:tc>
        <w:tc>
          <w:tcPr>
            <w:tcW w:w="1985" w:type="dxa"/>
            <w:tcBorders>
              <w:top w:val="nil"/>
              <w:bottom w:val="nil"/>
            </w:tcBorders>
          </w:tcPr>
          <w:p w14:paraId="3F25CFE0" w14:textId="77777777" w:rsidR="003A33A6" w:rsidRPr="008A4F40" w:rsidRDefault="003A33A6" w:rsidP="004E7659">
            <w:pPr>
              <w:keepNext/>
              <w:jc w:val="center"/>
              <w:rPr>
                <w:color w:val="000000"/>
                <w:sz w:val="22"/>
                <w:szCs w:val="22"/>
              </w:rPr>
            </w:pPr>
            <w:r w:rsidRPr="008A4F40">
              <w:rPr>
                <w:color w:val="000000"/>
                <w:sz w:val="22"/>
                <w:szCs w:val="22"/>
              </w:rPr>
              <w:t>20%</w:t>
            </w:r>
          </w:p>
          <w:p w14:paraId="28A4A3AF" w14:textId="77777777" w:rsidR="003A33A6" w:rsidRPr="008A4F40" w:rsidRDefault="003A33A6" w:rsidP="004E7659">
            <w:pPr>
              <w:keepNext/>
              <w:jc w:val="center"/>
              <w:rPr>
                <w:color w:val="000000"/>
                <w:sz w:val="22"/>
                <w:szCs w:val="22"/>
              </w:rPr>
            </w:pPr>
            <w:r w:rsidRPr="008A4F40">
              <w:rPr>
                <w:color w:val="000000"/>
                <w:sz w:val="22"/>
                <w:szCs w:val="22"/>
              </w:rPr>
              <w:t>(16%) [11,3–21,0]</w:t>
            </w:r>
          </w:p>
        </w:tc>
        <w:tc>
          <w:tcPr>
            <w:tcW w:w="2410" w:type="dxa"/>
            <w:tcBorders>
              <w:top w:val="nil"/>
              <w:bottom w:val="nil"/>
            </w:tcBorders>
          </w:tcPr>
          <w:p w14:paraId="4F284C36" w14:textId="77777777" w:rsidR="003A33A6" w:rsidRPr="008A4F40" w:rsidRDefault="003A33A6" w:rsidP="004E7659">
            <w:pPr>
              <w:keepNext/>
              <w:jc w:val="center"/>
              <w:rPr>
                <w:color w:val="000000"/>
                <w:sz w:val="22"/>
                <w:szCs w:val="22"/>
              </w:rPr>
            </w:pPr>
            <w:r w:rsidRPr="008A4F40">
              <w:rPr>
                <w:color w:val="000000"/>
                <w:sz w:val="22"/>
                <w:szCs w:val="22"/>
              </w:rPr>
              <w:t>7%</w:t>
            </w:r>
          </w:p>
          <w:p w14:paraId="58009313" w14:textId="77777777" w:rsidR="003A33A6" w:rsidRPr="008A4F40" w:rsidRDefault="003A33A6" w:rsidP="004E7659">
            <w:pPr>
              <w:keepNext/>
              <w:jc w:val="center"/>
              <w:rPr>
                <w:color w:val="000000"/>
                <w:sz w:val="22"/>
                <w:szCs w:val="22"/>
              </w:rPr>
            </w:pPr>
            <w:r w:rsidRPr="008A4F40">
              <w:rPr>
                <w:color w:val="000000"/>
                <w:sz w:val="22"/>
                <w:szCs w:val="22"/>
              </w:rPr>
              <w:t>(2%)[0,6–4,4]</w:t>
            </w:r>
          </w:p>
        </w:tc>
      </w:tr>
      <w:tr w:rsidR="003A33A6" w:rsidRPr="008A4F40" w14:paraId="6DF39E25" w14:textId="77777777" w:rsidTr="00DA7B0B">
        <w:trPr>
          <w:cantSplit/>
        </w:trPr>
        <w:tc>
          <w:tcPr>
            <w:tcW w:w="2552" w:type="dxa"/>
            <w:tcBorders>
              <w:top w:val="nil"/>
            </w:tcBorders>
          </w:tcPr>
          <w:p w14:paraId="789F0489" w14:textId="77777777" w:rsidR="003A33A6" w:rsidRPr="008A4F40" w:rsidRDefault="003A33A6" w:rsidP="004E7659">
            <w:pPr>
              <w:pStyle w:val="Header"/>
              <w:keepNext/>
              <w:tabs>
                <w:tab w:val="clear" w:pos="4320"/>
                <w:tab w:val="clear" w:pos="8640"/>
              </w:tabs>
              <w:ind w:left="318"/>
              <w:rPr>
                <w:color w:val="000000"/>
                <w:szCs w:val="22"/>
              </w:rPr>
            </w:pPr>
            <w:r w:rsidRPr="008A4F40">
              <w:rPr>
                <w:color w:val="000000"/>
                <w:szCs w:val="22"/>
              </w:rPr>
              <w:t>Partiell</w:t>
            </w:r>
          </w:p>
        </w:tc>
        <w:tc>
          <w:tcPr>
            <w:tcW w:w="2126" w:type="dxa"/>
            <w:tcBorders>
              <w:top w:val="nil"/>
            </w:tcBorders>
          </w:tcPr>
          <w:p w14:paraId="077DE619" w14:textId="77777777" w:rsidR="003A33A6" w:rsidRPr="008A4F40" w:rsidRDefault="003A33A6" w:rsidP="004E7659">
            <w:pPr>
              <w:keepNext/>
              <w:jc w:val="center"/>
              <w:rPr>
                <w:color w:val="000000"/>
                <w:sz w:val="22"/>
                <w:szCs w:val="22"/>
              </w:rPr>
            </w:pPr>
            <w:r w:rsidRPr="008A4F40">
              <w:rPr>
                <w:color w:val="000000"/>
                <w:sz w:val="22"/>
                <w:szCs w:val="22"/>
              </w:rPr>
              <w:t>12%</w:t>
            </w:r>
          </w:p>
        </w:tc>
        <w:tc>
          <w:tcPr>
            <w:tcW w:w="1985" w:type="dxa"/>
            <w:tcBorders>
              <w:top w:val="nil"/>
            </w:tcBorders>
          </w:tcPr>
          <w:p w14:paraId="03F0F6F9" w14:textId="77777777" w:rsidR="003A33A6" w:rsidRPr="008A4F40" w:rsidRDefault="003A33A6" w:rsidP="004E7659">
            <w:pPr>
              <w:keepNext/>
              <w:jc w:val="center"/>
              <w:rPr>
                <w:color w:val="000000"/>
                <w:sz w:val="22"/>
                <w:szCs w:val="22"/>
              </w:rPr>
            </w:pPr>
            <w:r w:rsidRPr="008A4F40">
              <w:rPr>
                <w:color w:val="000000"/>
                <w:sz w:val="22"/>
                <w:szCs w:val="22"/>
              </w:rPr>
              <w:t>7%</w:t>
            </w:r>
          </w:p>
        </w:tc>
        <w:tc>
          <w:tcPr>
            <w:tcW w:w="2410" w:type="dxa"/>
            <w:tcBorders>
              <w:top w:val="nil"/>
            </w:tcBorders>
          </w:tcPr>
          <w:p w14:paraId="4E3F502D" w14:textId="77777777" w:rsidR="003A33A6" w:rsidRPr="008A4F40" w:rsidRDefault="003A33A6" w:rsidP="004E7659">
            <w:pPr>
              <w:keepNext/>
              <w:jc w:val="center"/>
              <w:rPr>
                <w:color w:val="000000"/>
                <w:sz w:val="22"/>
                <w:szCs w:val="22"/>
              </w:rPr>
            </w:pPr>
            <w:r w:rsidRPr="008A4F40">
              <w:rPr>
                <w:color w:val="000000"/>
                <w:sz w:val="22"/>
                <w:szCs w:val="22"/>
              </w:rPr>
              <w:t>8%</w:t>
            </w:r>
          </w:p>
        </w:tc>
      </w:tr>
      <w:tr w:rsidR="003A33A6" w:rsidRPr="008A4F40" w14:paraId="7BE5AF89" w14:textId="77777777" w:rsidTr="00DA7B0B">
        <w:trPr>
          <w:cantSplit/>
        </w:trPr>
        <w:tc>
          <w:tcPr>
            <w:tcW w:w="9073" w:type="dxa"/>
            <w:gridSpan w:val="4"/>
          </w:tcPr>
          <w:p w14:paraId="3606DC71" w14:textId="77777777" w:rsidR="003A33A6" w:rsidRPr="00D1077B" w:rsidRDefault="003A33A6" w:rsidP="004E7659">
            <w:pPr>
              <w:rPr>
                <w:b/>
                <w:color w:val="000000"/>
                <w:rPrChange w:id="286" w:author="Author">
                  <w:rPr>
                    <w:b/>
                    <w:color w:val="000000"/>
                    <w:sz w:val="22"/>
                    <w:szCs w:val="22"/>
                  </w:rPr>
                </w:rPrChange>
              </w:rPr>
            </w:pPr>
            <w:r w:rsidRPr="00D1077B">
              <w:rPr>
                <w:b/>
                <w:color w:val="000000"/>
                <w:vertAlign w:val="superscript"/>
                <w:rPrChange w:id="287" w:author="Author">
                  <w:rPr>
                    <w:b/>
                    <w:color w:val="000000"/>
                    <w:sz w:val="22"/>
                    <w:szCs w:val="22"/>
                    <w:vertAlign w:val="superscript"/>
                  </w:rPr>
                </w:rPrChange>
              </w:rPr>
              <w:t xml:space="preserve">1 </w:t>
            </w:r>
            <w:r w:rsidRPr="00D1077B">
              <w:rPr>
                <w:b/>
                <w:color w:val="000000"/>
                <w:rPrChange w:id="288" w:author="Author">
                  <w:rPr>
                    <w:b/>
                    <w:color w:val="000000"/>
                    <w:sz w:val="22"/>
                    <w:szCs w:val="22"/>
                  </w:rPr>
                </w:rPrChange>
              </w:rPr>
              <w:t>Kriterien für die hämatologische Remission (Remission bestätigt nach ≥ 4 Wochen):</w:t>
            </w:r>
          </w:p>
          <w:p w14:paraId="40439D36" w14:textId="77777777" w:rsidR="003A33A6" w:rsidRPr="00D1077B" w:rsidRDefault="003A33A6" w:rsidP="004E7659">
            <w:pPr>
              <w:ind w:left="885" w:hanging="885"/>
              <w:rPr>
                <w:color w:val="000000"/>
                <w:rPrChange w:id="289" w:author="Author">
                  <w:rPr>
                    <w:color w:val="000000"/>
                    <w:sz w:val="22"/>
                    <w:szCs w:val="22"/>
                  </w:rPr>
                </w:rPrChange>
              </w:rPr>
            </w:pPr>
            <w:smartTag w:uri="urn:schemas-microsoft-com:office:smarttags" w:element="stockticker">
              <w:r w:rsidRPr="00D1077B">
                <w:rPr>
                  <w:color w:val="000000"/>
                  <w:rPrChange w:id="290" w:author="Author">
                    <w:rPr>
                      <w:color w:val="000000"/>
                      <w:sz w:val="22"/>
                      <w:szCs w:val="22"/>
                    </w:rPr>
                  </w:rPrChange>
                </w:rPr>
                <w:t>CHR</w:t>
              </w:r>
            </w:smartTag>
            <w:r w:rsidRPr="00D1077B">
              <w:rPr>
                <w:color w:val="000000"/>
                <w:rPrChange w:id="291" w:author="Author">
                  <w:rPr>
                    <w:color w:val="000000"/>
                    <w:sz w:val="22"/>
                    <w:szCs w:val="22"/>
                  </w:rPr>
                </w:rPrChange>
              </w:rPr>
              <w:tab/>
              <w:t>Studie 0110: Leukozyten &lt; 10 x 10</w:t>
            </w:r>
            <w:r w:rsidRPr="00D1077B">
              <w:rPr>
                <w:color w:val="000000"/>
                <w:vertAlign w:val="superscript"/>
                <w:rPrChange w:id="292" w:author="Author">
                  <w:rPr>
                    <w:color w:val="000000"/>
                    <w:sz w:val="22"/>
                    <w:szCs w:val="22"/>
                    <w:vertAlign w:val="superscript"/>
                  </w:rPr>
                </w:rPrChange>
              </w:rPr>
              <w:t>9</w:t>
            </w:r>
            <w:r w:rsidRPr="00D1077B">
              <w:rPr>
                <w:color w:val="000000"/>
                <w:rPrChange w:id="293" w:author="Author">
                  <w:rPr>
                    <w:color w:val="000000"/>
                    <w:sz w:val="22"/>
                    <w:szCs w:val="22"/>
                  </w:rPr>
                </w:rPrChange>
              </w:rPr>
              <w:t>/l, Thrombozyten &lt; 450 x 10</w:t>
            </w:r>
            <w:r w:rsidRPr="00D1077B">
              <w:rPr>
                <w:color w:val="000000"/>
                <w:vertAlign w:val="superscript"/>
                <w:rPrChange w:id="294" w:author="Author">
                  <w:rPr>
                    <w:color w:val="000000"/>
                    <w:sz w:val="22"/>
                    <w:szCs w:val="22"/>
                    <w:vertAlign w:val="superscript"/>
                  </w:rPr>
                </w:rPrChange>
              </w:rPr>
              <w:t>9</w:t>
            </w:r>
            <w:r w:rsidRPr="00D1077B">
              <w:rPr>
                <w:color w:val="000000"/>
                <w:rPrChange w:id="295" w:author="Author">
                  <w:rPr>
                    <w:color w:val="000000"/>
                    <w:sz w:val="22"/>
                    <w:szCs w:val="22"/>
                  </w:rPr>
                </w:rPrChange>
              </w:rPr>
              <w:t>/l, Myelozyten + Metamyelozyten &lt; 5% im Blut, keine Blasten und Promyelozyten im Blut, Basophile &lt; 20%, keine extramedulläre Be</w:t>
            </w:r>
            <w:del w:id="296" w:author="Author">
              <w:r w:rsidRPr="00D1077B" w:rsidDel="004E7659">
                <w:rPr>
                  <w:color w:val="000000"/>
                  <w:rPrChange w:id="297" w:author="Author">
                    <w:rPr>
                      <w:color w:val="000000"/>
                      <w:sz w:val="22"/>
                      <w:szCs w:val="22"/>
                    </w:rPr>
                  </w:rPrChange>
                </w:rPr>
                <w:softHyphen/>
              </w:r>
            </w:del>
            <w:r w:rsidRPr="00D1077B">
              <w:rPr>
                <w:color w:val="000000"/>
                <w:rPrChange w:id="298" w:author="Author">
                  <w:rPr>
                    <w:color w:val="000000"/>
                    <w:sz w:val="22"/>
                    <w:szCs w:val="22"/>
                  </w:rPr>
                </w:rPrChange>
              </w:rPr>
              <w:t>teiligung. Studien 0102 und 0109: ANC ≥ 1,5 x 10</w:t>
            </w:r>
            <w:r w:rsidRPr="00D1077B">
              <w:rPr>
                <w:color w:val="000000"/>
                <w:vertAlign w:val="superscript"/>
                <w:rPrChange w:id="299" w:author="Author">
                  <w:rPr>
                    <w:color w:val="000000"/>
                    <w:sz w:val="22"/>
                    <w:szCs w:val="22"/>
                    <w:vertAlign w:val="superscript"/>
                  </w:rPr>
                </w:rPrChange>
              </w:rPr>
              <w:t>9</w:t>
            </w:r>
            <w:r w:rsidRPr="00D1077B">
              <w:rPr>
                <w:color w:val="000000"/>
                <w:rPrChange w:id="300" w:author="Author">
                  <w:rPr>
                    <w:color w:val="000000"/>
                    <w:sz w:val="22"/>
                    <w:szCs w:val="22"/>
                  </w:rPr>
                </w:rPrChange>
              </w:rPr>
              <w:t>/l, Thrombozyten ≥ 100 x 10</w:t>
            </w:r>
            <w:r w:rsidRPr="00D1077B">
              <w:rPr>
                <w:color w:val="000000"/>
                <w:vertAlign w:val="superscript"/>
                <w:rPrChange w:id="301" w:author="Author">
                  <w:rPr>
                    <w:color w:val="000000"/>
                    <w:sz w:val="22"/>
                    <w:szCs w:val="22"/>
                    <w:vertAlign w:val="superscript"/>
                  </w:rPr>
                </w:rPrChange>
              </w:rPr>
              <w:t>9</w:t>
            </w:r>
            <w:r w:rsidRPr="00D1077B">
              <w:rPr>
                <w:color w:val="000000"/>
                <w:rPrChange w:id="302" w:author="Author">
                  <w:rPr>
                    <w:color w:val="000000"/>
                    <w:sz w:val="22"/>
                    <w:szCs w:val="22"/>
                  </w:rPr>
                </w:rPrChange>
              </w:rPr>
              <w:t>/l, keine Blasten im Blut, Blasten im Knochenmark &lt; 5% und keine extramedulläre Erkrankung.</w:t>
            </w:r>
          </w:p>
          <w:p w14:paraId="7CF3095D" w14:textId="77777777" w:rsidR="003A33A6" w:rsidRPr="00D1077B" w:rsidRDefault="003A33A6" w:rsidP="004E7659">
            <w:pPr>
              <w:ind w:left="885" w:hanging="885"/>
              <w:rPr>
                <w:color w:val="000000"/>
                <w:rPrChange w:id="303" w:author="Author">
                  <w:rPr>
                    <w:color w:val="000000"/>
                    <w:sz w:val="22"/>
                    <w:szCs w:val="22"/>
                  </w:rPr>
                </w:rPrChange>
              </w:rPr>
            </w:pPr>
            <w:r w:rsidRPr="00D1077B">
              <w:rPr>
                <w:color w:val="000000"/>
                <w:rPrChange w:id="304" w:author="Author">
                  <w:rPr>
                    <w:color w:val="000000"/>
                    <w:sz w:val="22"/>
                    <w:szCs w:val="22"/>
                  </w:rPr>
                </w:rPrChange>
              </w:rPr>
              <w:t>NEL</w:t>
            </w:r>
            <w:r w:rsidRPr="00D1077B">
              <w:rPr>
                <w:color w:val="000000"/>
                <w:rPrChange w:id="305" w:author="Author">
                  <w:rPr>
                    <w:color w:val="000000"/>
                    <w:sz w:val="22"/>
                    <w:szCs w:val="22"/>
                  </w:rPr>
                </w:rPrChange>
              </w:rPr>
              <w:tab/>
              <w:t xml:space="preserve">Gleiche Kriterien wie beim </w:t>
            </w:r>
            <w:smartTag w:uri="urn:schemas-microsoft-com:office:smarttags" w:element="stockticker">
              <w:r w:rsidRPr="00D1077B">
                <w:rPr>
                  <w:color w:val="000000"/>
                  <w:rPrChange w:id="306" w:author="Author">
                    <w:rPr>
                      <w:color w:val="000000"/>
                      <w:sz w:val="22"/>
                      <w:szCs w:val="22"/>
                    </w:rPr>
                  </w:rPrChange>
                </w:rPr>
                <w:t>CHR</w:t>
              </w:r>
            </w:smartTag>
            <w:r w:rsidRPr="00D1077B">
              <w:rPr>
                <w:color w:val="000000"/>
                <w:rPrChange w:id="307" w:author="Author">
                  <w:rPr>
                    <w:color w:val="000000"/>
                    <w:sz w:val="22"/>
                    <w:szCs w:val="22"/>
                  </w:rPr>
                </w:rPrChange>
              </w:rPr>
              <w:t xml:space="preserve"> jedoch mit ANC ≥ 1 x 10</w:t>
            </w:r>
            <w:r w:rsidRPr="00D1077B">
              <w:rPr>
                <w:color w:val="000000"/>
                <w:vertAlign w:val="superscript"/>
                <w:rPrChange w:id="308" w:author="Author">
                  <w:rPr>
                    <w:color w:val="000000"/>
                    <w:sz w:val="22"/>
                    <w:szCs w:val="22"/>
                    <w:vertAlign w:val="superscript"/>
                  </w:rPr>
                </w:rPrChange>
              </w:rPr>
              <w:t>9</w:t>
            </w:r>
            <w:r w:rsidRPr="00D1077B">
              <w:rPr>
                <w:color w:val="000000"/>
                <w:rPrChange w:id="309" w:author="Author">
                  <w:rPr>
                    <w:color w:val="000000"/>
                    <w:sz w:val="22"/>
                    <w:szCs w:val="22"/>
                  </w:rPr>
                </w:rPrChange>
              </w:rPr>
              <w:t>/l und Thrombozyten ≥ 20 x 10</w:t>
            </w:r>
            <w:r w:rsidRPr="00D1077B">
              <w:rPr>
                <w:color w:val="000000"/>
                <w:vertAlign w:val="superscript"/>
                <w:rPrChange w:id="310" w:author="Author">
                  <w:rPr>
                    <w:color w:val="000000"/>
                    <w:sz w:val="22"/>
                    <w:szCs w:val="22"/>
                    <w:vertAlign w:val="superscript"/>
                  </w:rPr>
                </w:rPrChange>
              </w:rPr>
              <w:t>9</w:t>
            </w:r>
            <w:r w:rsidRPr="00D1077B">
              <w:rPr>
                <w:color w:val="000000"/>
                <w:rPrChange w:id="311" w:author="Author">
                  <w:rPr>
                    <w:color w:val="000000"/>
                    <w:sz w:val="22"/>
                    <w:szCs w:val="22"/>
                  </w:rPr>
                </w:rPrChange>
              </w:rPr>
              <w:t>/l (nur Studien 0102 und 0109).</w:t>
            </w:r>
          </w:p>
          <w:p w14:paraId="12BB3271" w14:textId="77777777" w:rsidR="003A33A6" w:rsidRPr="00D1077B" w:rsidRDefault="003A33A6" w:rsidP="004E7659">
            <w:pPr>
              <w:ind w:left="885" w:hanging="885"/>
              <w:rPr>
                <w:color w:val="000000"/>
                <w:rPrChange w:id="312" w:author="Author">
                  <w:rPr>
                    <w:color w:val="000000"/>
                    <w:sz w:val="22"/>
                    <w:szCs w:val="22"/>
                  </w:rPr>
                </w:rPrChange>
              </w:rPr>
            </w:pPr>
            <w:smartTag w:uri="urn:schemas-microsoft-com:office:smarttags" w:element="stockticker">
              <w:r w:rsidRPr="00D1077B">
                <w:rPr>
                  <w:color w:val="000000"/>
                  <w:rPrChange w:id="313" w:author="Author">
                    <w:rPr>
                      <w:color w:val="000000"/>
                      <w:sz w:val="22"/>
                      <w:szCs w:val="22"/>
                    </w:rPr>
                  </w:rPrChange>
                </w:rPr>
                <w:t>RTC</w:t>
              </w:r>
            </w:smartTag>
            <w:r w:rsidRPr="00D1077B">
              <w:rPr>
                <w:color w:val="000000"/>
                <w:rPrChange w:id="314" w:author="Author">
                  <w:rPr>
                    <w:color w:val="000000"/>
                    <w:sz w:val="22"/>
                    <w:szCs w:val="22"/>
                  </w:rPr>
                </w:rPrChange>
              </w:rPr>
              <w:tab/>
              <w:t>&lt; 15% Blasten im Knochenmark und peripheren Blut, &lt; 30% Blasten und Promyelozyten im Knochenmark und peripheren Blut, &lt; 20% Basophile im peripheren Blut, keine andere extramedulläre Erkrankung außer Milz und Leber (nur 0102 und 0109).</w:t>
            </w:r>
          </w:p>
          <w:p w14:paraId="328AE40E" w14:textId="77777777" w:rsidR="003A33A6" w:rsidRPr="00D1077B" w:rsidRDefault="003A33A6" w:rsidP="004E7659">
            <w:pPr>
              <w:rPr>
                <w:color w:val="000000"/>
                <w:rPrChange w:id="315" w:author="Author">
                  <w:rPr>
                    <w:color w:val="000000"/>
                    <w:sz w:val="22"/>
                    <w:szCs w:val="22"/>
                  </w:rPr>
                </w:rPrChange>
              </w:rPr>
            </w:pPr>
            <w:r w:rsidRPr="00D1077B">
              <w:rPr>
                <w:b/>
                <w:color w:val="000000"/>
                <w:vertAlign w:val="superscript"/>
                <w:rPrChange w:id="316" w:author="Author">
                  <w:rPr>
                    <w:b/>
                    <w:color w:val="000000"/>
                    <w:sz w:val="22"/>
                    <w:szCs w:val="22"/>
                    <w:vertAlign w:val="superscript"/>
                  </w:rPr>
                </w:rPrChange>
              </w:rPr>
              <w:t xml:space="preserve">2 </w:t>
            </w:r>
            <w:r w:rsidRPr="00D1077B">
              <w:rPr>
                <w:b/>
                <w:color w:val="000000"/>
                <w:rPrChange w:id="317" w:author="Author">
                  <w:rPr>
                    <w:b/>
                    <w:color w:val="000000"/>
                    <w:sz w:val="22"/>
                    <w:szCs w:val="22"/>
                  </w:rPr>
                </w:rPrChange>
              </w:rPr>
              <w:t>Kriterien für zytogenetische Remission:</w:t>
            </w:r>
            <w:r w:rsidRPr="00D1077B">
              <w:rPr>
                <w:b/>
                <w:color w:val="000000"/>
                <w:rPrChange w:id="318" w:author="Author">
                  <w:rPr>
                    <w:b/>
                    <w:color w:val="000000"/>
                    <w:sz w:val="22"/>
                    <w:szCs w:val="22"/>
                  </w:rPr>
                </w:rPrChange>
              </w:rPr>
              <w:br/>
            </w:r>
            <w:r w:rsidRPr="00D1077B">
              <w:rPr>
                <w:color w:val="000000"/>
                <w:rPrChange w:id="319" w:author="Author">
                  <w:rPr>
                    <w:color w:val="000000"/>
                    <w:sz w:val="22"/>
                    <w:szCs w:val="22"/>
                  </w:rPr>
                </w:rPrChange>
              </w:rPr>
              <w:t>Eine gute Remission beinhaltet sowohl komplette als auch partielle Remission. Komplett: 0% Ph+-Metaphasen, partiell: 1–35%.</w:t>
            </w:r>
          </w:p>
          <w:p w14:paraId="155BC01C" w14:textId="2C970DFD" w:rsidR="003A33A6" w:rsidRPr="008A4F40" w:rsidRDefault="003A33A6" w:rsidP="004E7659">
            <w:pPr>
              <w:pStyle w:val="Header"/>
              <w:tabs>
                <w:tab w:val="clear" w:pos="4320"/>
                <w:tab w:val="clear" w:pos="8640"/>
              </w:tabs>
              <w:rPr>
                <w:b/>
                <w:color w:val="000000"/>
                <w:szCs w:val="22"/>
                <w:vertAlign w:val="superscript"/>
              </w:rPr>
            </w:pPr>
            <w:r w:rsidRPr="00D1077B">
              <w:rPr>
                <w:color w:val="000000"/>
                <w:sz w:val="20"/>
                <w:vertAlign w:val="superscript"/>
                <w:rPrChange w:id="320" w:author="Author">
                  <w:rPr>
                    <w:color w:val="000000"/>
                    <w:szCs w:val="22"/>
                    <w:vertAlign w:val="superscript"/>
                  </w:rPr>
                </w:rPrChange>
              </w:rPr>
              <w:t>3</w:t>
            </w:r>
            <w:r w:rsidRPr="00D1077B">
              <w:rPr>
                <w:b/>
                <w:color w:val="000000"/>
                <w:sz w:val="20"/>
                <w:vertAlign w:val="superscript"/>
                <w:rPrChange w:id="321" w:author="Author">
                  <w:rPr>
                    <w:b/>
                    <w:color w:val="000000"/>
                    <w:szCs w:val="22"/>
                    <w:vertAlign w:val="superscript"/>
                  </w:rPr>
                </w:rPrChange>
              </w:rPr>
              <w:t xml:space="preserve"> </w:t>
            </w:r>
            <w:r w:rsidRPr="00D1077B">
              <w:rPr>
                <w:color w:val="000000"/>
                <w:sz w:val="20"/>
                <w:rPrChange w:id="322" w:author="Author">
                  <w:rPr>
                    <w:color w:val="000000"/>
                    <w:szCs w:val="22"/>
                  </w:rPr>
                </w:rPrChange>
              </w:rPr>
              <w:t>Eine komplette zytogenetische Remission wurde durch eine zweite zytogenetische Untersuchung des Knochenmarks bestätigt, die mindestens einen Monat nach der anfänglichen Knochenmarkunter</w:t>
            </w:r>
            <w:del w:id="323" w:author="Author">
              <w:r w:rsidRPr="00D1077B" w:rsidDel="004E7659">
                <w:rPr>
                  <w:color w:val="000000"/>
                  <w:sz w:val="20"/>
                  <w:rPrChange w:id="324" w:author="Author">
                    <w:rPr>
                      <w:color w:val="000000"/>
                      <w:szCs w:val="22"/>
                    </w:rPr>
                  </w:rPrChange>
                </w:rPr>
                <w:softHyphen/>
              </w:r>
            </w:del>
            <w:r w:rsidRPr="00D1077B">
              <w:rPr>
                <w:color w:val="000000"/>
                <w:sz w:val="20"/>
                <w:rPrChange w:id="325" w:author="Author">
                  <w:rPr>
                    <w:color w:val="000000"/>
                    <w:szCs w:val="22"/>
                  </w:rPr>
                </w:rPrChange>
              </w:rPr>
              <w:t>suchung durchgeführt wurde.</w:t>
            </w:r>
          </w:p>
        </w:tc>
      </w:tr>
    </w:tbl>
    <w:p w14:paraId="358C11E8" w14:textId="77777777" w:rsidR="003A33A6" w:rsidRPr="008A4F40" w:rsidRDefault="003A33A6" w:rsidP="004E7659">
      <w:pPr>
        <w:rPr>
          <w:color w:val="000000"/>
          <w:sz w:val="22"/>
          <w:szCs w:val="22"/>
        </w:rPr>
      </w:pPr>
    </w:p>
    <w:p w14:paraId="05305873" w14:textId="49D329AC" w:rsidR="00072317" w:rsidRPr="008A4F40" w:rsidRDefault="003A33A6" w:rsidP="004E7659">
      <w:pPr>
        <w:keepNext/>
        <w:rPr>
          <w:i/>
          <w:color w:val="000000"/>
          <w:sz w:val="22"/>
          <w:szCs w:val="22"/>
          <w:u w:val="single"/>
        </w:rPr>
      </w:pPr>
      <w:r w:rsidRPr="008A4F40">
        <w:rPr>
          <w:i/>
          <w:color w:val="000000"/>
          <w:sz w:val="22"/>
          <w:szCs w:val="22"/>
          <w:u w:val="single"/>
        </w:rPr>
        <w:t>Kinder</w:t>
      </w:r>
      <w:r w:rsidR="00072317" w:rsidRPr="008A4F40">
        <w:rPr>
          <w:i/>
          <w:color w:val="000000"/>
          <w:sz w:val="22"/>
          <w:szCs w:val="22"/>
          <w:u w:val="single"/>
        </w:rPr>
        <w:t xml:space="preserve"> und Jugendliche</w:t>
      </w:r>
    </w:p>
    <w:p w14:paraId="5997C3ED" w14:textId="790D7A49" w:rsidR="003A33A6" w:rsidRPr="008A4F40" w:rsidRDefault="003A33A6" w:rsidP="004E7659">
      <w:pPr>
        <w:rPr>
          <w:color w:val="000000"/>
          <w:sz w:val="22"/>
          <w:szCs w:val="22"/>
        </w:rPr>
      </w:pPr>
      <w:r w:rsidRPr="008A4F40">
        <w:rPr>
          <w:color w:val="000000"/>
          <w:sz w:val="22"/>
          <w:szCs w:val="22"/>
        </w:rPr>
        <w:t>Insgesamt 26 Kinder unter 18 Jahren mit CML in der chronischen Phase (n</w:t>
      </w:r>
      <w:ins w:id="326" w:author="Author">
        <w:r w:rsidR="00CD0876">
          <w:rPr>
            <w:color w:val="000000"/>
            <w:sz w:val="22"/>
            <w:szCs w:val="22"/>
          </w:rPr>
          <w:t> </w:t>
        </w:r>
      </w:ins>
      <w:del w:id="327" w:author="Author">
        <w:r w:rsidRPr="008A4F40" w:rsidDel="00CD0876">
          <w:rPr>
            <w:color w:val="000000"/>
            <w:sz w:val="22"/>
            <w:szCs w:val="22"/>
          </w:rPr>
          <w:delText xml:space="preserve"> </w:delText>
        </w:r>
      </w:del>
      <w:r w:rsidRPr="008A4F40">
        <w:rPr>
          <w:color w:val="000000"/>
          <w:sz w:val="22"/>
          <w:szCs w:val="22"/>
        </w:rPr>
        <w:t>=</w:t>
      </w:r>
      <w:ins w:id="328" w:author="Author">
        <w:r w:rsidR="00CD0876">
          <w:rPr>
            <w:color w:val="000000"/>
            <w:sz w:val="22"/>
            <w:szCs w:val="22"/>
          </w:rPr>
          <w:t> </w:t>
        </w:r>
      </w:ins>
      <w:del w:id="329" w:author="Author">
        <w:r w:rsidRPr="008A4F40" w:rsidDel="00CD0876">
          <w:rPr>
            <w:color w:val="000000"/>
            <w:sz w:val="22"/>
            <w:szCs w:val="22"/>
          </w:rPr>
          <w:delText xml:space="preserve"> </w:delText>
        </w:r>
      </w:del>
      <w:r w:rsidRPr="008A4F40">
        <w:rPr>
          <w:color w:val="000000"/>
          <w:sz w:val="22"/>
          <w:szCs w:val="22"/>
        </w:rPr>
        <w:t>11) oder CML in der Blastenkrise bzw. mit Philadelphia-Chromosom-positiver akuter Leukämie (n</w:t>
      </w:r>
      <w:ins w:id="330" w:author="Author">
        <w:r w:rsidR="00CD0876">
          <w:rPr>
            <w:color w:val="000000"/>
            <w:sz w:val="22"/>
            <w:szCs w:val="22"/>
          </w:rPr>
          <w:t> </w:t>
        </w:r>
      </w:ins>
      <w:del w:id="331" w:author="Author">
        <w:r w:rsidRPr="008A4F40" w:rsidDel="00CD0876">
          <w:rPr>
            <w:color w:val="000000"/>
            <w:sz w:val="22"/>
            <w:szCs w:val="22"/>
          </w:rPr>
          <w:delText xml:space="preserve"> </w:delText>
        </w:r>
      </w:del>
      <w:r w:rsidRPr="008A4F40">
        <w:rPr>
          <w:color w:val="000000"/>
          <w:sz w:val="22"/>
          <w:szCs w:val="22"/>
        </w:rPr>
        <w:t>=</w:t>
      </w:r>
      <w:ins w:id="332" w:author="Author">
        <w:r w:rsidR="00CD0876">
          <w:rPr>
            <w:color w:val="000000"/>
            <w:sz w:val="22"/>
            <w:szCs w:val="22"/>
          </w:rPr>
          <w:t> </w:t>
        </w:r>
      </w:ins>
      <w:del w:id="333" w:author="Author">
        <w:r w:rsidRPr="008A4F40" w:rsidDel="00CD0876">
          <w:rPr>
            <w:color w:val="000000"/>
            <w:sz w:val="22"/>
            <w:szCs w:val="22"/>
          </w:rPr>
          <w:delText xml:space="preserve"> </w:delText>
        </w:r>
      </w:del>
      <w:r w:rsidRPr="008A4F40">
        <w:rPr>
          <w:color w:val="000000"/>
          <w:sz w:val="22"/>
          <w:szCs w:val="22"/>
        </w:rPr>
        <w:t>15) wurden in eine Dosis-Eskala</w:t>
      </w:r>
      <w:del w:id="334" w:author="Author">
        <w:r w:rsidRPr="008A4F40" w:rsidDel="004E7659">
          <w:rPr>
            <w:color w:val="000000"/>
            <w:sz w:val="22"/>
            <w:szCs w:val="22"/>
          </w:rPr>
          <w:softHyphen/>
        </w:r>
      </w:del>
      <w:r w:rsidRPr="008A4F40">
        <w:rPr>
          <w:color w:val="000000"/>
          <w:sz w:val="22"/>
          <w:szCs w:val="22"/>
        </w:rPr>
        <w:t>tionsstudie der Phase I aufgenommen. Es handelte sich um eine Gruppe intensiv vorbehandelter Patien</w:t>
      </w:r>
      <w:del w:id="335" w:author="Author">
        <w:r w:rsidRPr="008A4F40" w:rsidDel="004E7659">
          <w:rPr>
            <w:color w:val="000000"/>
            <w:sz w:val="22"/>
            <w:szCs w:val="22"/>
          </w:rPr>
          <w:softHyphen/>
        </w:r>
      </w:del>
      <w:r w:rsidRPr="008A4F40">
        <w:rPr>
          <w:color w:val="000000"/>
          <w:sz w:val="22"/>
          <w:szCs w:val="22"/>
        </w:rPr>
        <w:t>ten, von denen 46% zuvor eine Knochenmarktransplantation und 73% eine Chemotherapie mit mehre</w:t>
      </w:r>
      <w:del w:id="336" w:author="Author">
        <w:r w:rsidRPr="008A4F40" w:rsidDel="004E7659">
          <w:rPr>
            <w:color w:val="000000"/>
            <w:sz w:val="22"/>
            <w:szCs w:val="22"/>
          </w:rPr>
          <w:softHyphen/>
        </w:r>
      </w:del>
      <w:r w:rsidRPr="008A4F40">
        <w:rPr>
          <w:color w:val="000000"/>
          <w:sz w:val="22"/>
          <w:szCs w:val="22"/>
        </w:rPr>
        <w:t>ren Wirkstoffen erhalten hatten. Die Patienten wurden mit Glivec-Dosierungen von 260 mg/m</w:t>
      </w:r>
      <w:r w:rsidRPr="008A4F40">
        <w:rPr>
          <w:color w:val="000000"/>
          <w:sz w:val="22"/>
          <w:szCs w:val="22"/>
          <w:vertAlign w:val="superscript"/>
        </w:rPr>
        <w:t>2</w:t>
      </w:r>
      <w:r w:rsidRPr="008A4F40">
        <w:rPr>
          <w:color w:val="000000"/>
          <w:sz w:val="22"/>
          <w:szCs w:val="22"/>
        </w:rPr>
        <w:t>/Tag (n</w:t>
      </w:r>
      <w:ins w:id="337" w:author="Author">
        <w:r w:rsidR="00CD0876">
          <w:rPr>
            <w:color w:val="000000"/>
            <w:sz w:val="22"/>
            <w:szCs w:val="22"/>
          </w:rPr>
          <w:t> </w:t>
        </w:r>
      </w:ins>
      <w:del w:id="338" w:author="Author">
        <w:r w:rsidRPr="008A4F40" w:rsidDel="00CD0876">
          <w:rPr>
            <w:color w:val="000000"/>
            <w:sz w:val="22"/>
            <w:szCs w:val="22"/>
          </w:rPr>
          <w:delText xml:space="preserve"> </w:delText>
        </w:r>
      </w:del>
      <w:r w:rsidRPr="008A4F40">
        <w:rPr>
          <w:color w:val="000000"/>
          <w:sz w:val="22"/>
          <w:szCs w:val="22"/>
        </w:rPr>
        <w:t>=</w:t>
      </w:r>
      <w:ins w:id="339" w:author="Author">
        <w:r w:rsidR="00CD0876">
          <w:rPr>
            <w:color w:val="000000"/>
            <w:sz w:val="22"/>
            <w:szCs w:val="22"/>
          </w:rPr>
          <w:t> </w:t>
        </w:r>
      </w:ins>
      <w:del w:id="340" w:author="Author">
        <w:r w:rsidRPr="008A4F40" w:rsidDel="00CD0876">
          <w:rPr>
            <w:color w:val="000000"/>
            <w:sz w:val="22"/>
            <w:szCs w:val="22"/>
          </w:rPr>
          <w:delText xml:space="preserve"> </w:delText>
        </w:r>
      </w:del>
      <w:r w:rsidRPr="008A4F40">
        <w:rPr>
          <w:color w:val="000000"/>
          <w:sz w:val="22"/>
          <w:szCs w:val="22"/>
        </w:rPr>
        <w:t>5), 340 mg/m</w:t>
      </w:r>
      <w:r w:rsidRPr="008A4F40">
        <w:rPr>
          <w:color w:val="000000"/>
          <w:sz w:val="22"/>
          <w:szCs w:val="22"/>
          <w:vertAlign w:val="superscript"/>
        </w:rPr>
        <w:t>2</w:t>
      </w:r>
      <w:r w:rsidRPr="008A4F40">
        <w:rPr>
          <w:color w:val="000000"/>
          <w:sz w:val="22"/>
          <w:szCs w:val="22"/>
        </w:rPr>
        <w:t>/Tag (n</w:t>
      </w:r>
      <w:ins w:id="341" w:author="Author">
        <w:r w:rsidR="00CD0876">
          <w:rPr>
            <w:color w:val="000000"/>
            <w:sz w:val="22"/>
            <w:szCs w:val="22"/>
          </w:rPr>
          <w:t> </w:t>
        </w:r>
      </w:ins>
      <w:del w:id="342" w:author="Author">
        <w:r w:rsidRPr="008A4F40" w:rsidDel="00CD0876">
          <w:rPr>
            <w:color w:val="000000"/>
            <w:sz w:val="22"/>
            <w:szCs w:val="22"/>
          </w:rPr>
          <w:delText xml:space="preserve"> </w:delText>
        </w:r>
      </w:del>
      <w:r w:rsidRPr="008A4F40">
        <w:rPr>
          <w:color w:val="000000"/>
          <w:sz w:val="22"/>
          <w:szCs w:val="22"/>
        </w:rPr>
        <w:t>=</w:t>
      </w:r>
      <w:ins w:id="343" w:author="Author">
        <w:r w:rsidR="00CD0876">
          <w:rPr>
            <w:color w:val="000000"/>
            <w:sz w:val="22"/>
            <w:szCs w:val="22"/>
          </w:rPr>
          <w:t> </w:t>
        </w:r>
      </w:ins>
      <w:del w:id="344" w:author="Author">
        <w:r w:rsidRPr="008A4F40" w:rsidDel="00CD0876">
          <w:rPr>
            <w:color w:val="000000"/>
            <w:sz w:val="22"/>
            <w:szCs w:val="22"/>
          </w:rPr>
          <w:delText xml:space="preserve"> </w:delText>
        </w:r>
      </w:del>
      <w:r w:rsidRPr="008A4F40">
        <w:rPr>
          <w:color w:val="000000"/>
          <w:sz w:val="22"/>
          <w:szCs w:val="22"/>
        </w:rPr>
        <w:t>9), 440 mg/m</w:t>
      </w:r>
      <w:r w:rsidRPr="008A4F40">
        <w:rPr>
          <w:color w:val="000000"/>
          <w:sz w:val="22"/>
          <w:szCs w:val="22"/>
          <w:vertAlign w:val="superscript"/>
        </w:rPr>
        <w:t>2</w:t>
      </w:r>
      <w:r w:rsidRPr="008A4F40">
        <w:rPr>
          <w:color w:val="000000"/>
          <w:sz w:val="22"/>
          <w:szCs w:val="22"/>
        </w:rPr>
        <w:t>/Tag (n</w:t>
      </w:r>
      <w:ins w:id="345" w:author="Author">
        <w:r w:rsidR="00CD0876">
          <w:rPr>
            <w:color w:val="000000"/>
            <w:sz w:val="22"/>
            <w:szCs w:val="22"/>
          </w:rPr>
          <w:t> </w:t>
        </w:r>
      </w:ins>
      <w:del w:id="346" w:author="Author">
        <w:r w:rsidRPr="008A4F40" w:rsidDel="00CD0876">
          <w:rPr>
            <w:color w:val="000000"/>
            <w:sz w:val="22"/>
            <w:szCs w:val="22"/>
          </w:rPr>
          <w:delText xml:space="preserve"> </w:delText>
        </w:r>
      </w:del>
      <w:r w:rsidRPr="008A4F40">
        <w:rPr>
          <w:color w:val="000000"/>
          <w:sz w:val="22"/>
          <w:szCs w:val="22"/>
        </w:rPr>
        <w:t>=</w:t>
      </w:r>
      <w:ins w:id="347" w:author="Author">
        <w:r w:rsidR="00CD0876">
          <w:rPr>
            <w:color w:val="000000"/>
            <w:sz w:val="22"/>
            <w:szCs w:val="22"/>
          </w:rPr>
          <w:t> </w:t>
        </w:r>
      </w:ins>
      <w:del w:id="348" w:author="Author">
        <w:r w:rsidRPr="008A4F40" w:rsidDel="00CD0876">
          <w:rPr>
            <w:color w:val="000000"/>
            <w:sz w:val="22"/>
            <w:szCs w:val="22"/>
          </w:rPr>
          <w:delText xml:space="preserve"> </w:delText>
        </w:r>
      </w:del>
      <w:r w:rsidRPr="008A4F40">
        <w:rPr>
          <w:color w:val="000000"/>
          <w:sz w:val="22"/>
          <w:szCs w:val="22"/>
        </w:rPr>
        <w:t>7) und 570 mg/m</w:t>
      </w:r>
      <w:r w:rsidRPr="008A4F40">
        <w:rPr>
          <w:color w:val="000000"/>
          <w:sz w:val="22"/>
          <w:szCs w:val="22"/>
          <w:vertAlign w:val="superscript"/>
        </w:rPr>
        <w:t>2</w:t>
      </w:r>
      <w:r w:rsidRPr="008A4F40">
        <w:rPr>
          <w:color w:val="000000"/>
          <w:sz w:val="22"/>
          <w:szCs w:val="22"/>
        </w:rPr>
        <w:t>/Tag (n</w:t>
      </w:r>
      <w:ins w:id="349" w:author="Author">
        <w:r w:rsidR="00CD0876">
          <w:rPr>
            <w:color w:val="000000"/>
            <w:sz w:val="22"/>
            <w:szCs w:val="22"/>
          </w:rPr>
          <w:t> </w:t>
        </w:r>
      </w:ins>
      <w:del w:id="350" w:author="Author">
        <w:r w:rsidRPr="008A4F40" w:rsidDel="00CD0876">
          <w:rPr>
            <w:color w:val="000000"/>
            <w:sz w:val="22"/>
            <w:szCs w:val="22"/>
          </w:rPr>
          <w:delText xml:space="preserve"> </w:delText>
        </w:r>
      </w:del>
      <w:r w:rsidRPr="008A4F40">
        <w:rPr>
          <w:color w:val="000000"/>
          <w:sz w:val="22"/>
          <w:szCs w:val="22"/>
        </w:rPr>
        <w:t>=</w:t>
      </w:r>
      <w:ins w:id="351" w:author="Author">
        <w:r w:rsidR="00CD0876">
          <w:rPr>
            <w:color w:val="000000"/>
            <w:sz w:val="22"/>
            <w:szCs w:val="22"/>
          </w:rPr>
          <w:t> </w:t>
        </w:r>
      </w:ins>
      <w:del w:id="352" w:author="Author">
        <w:r w:rsidRPr="008A4F40" w:rsidDel="00CD0876">
          <w:rPr>
            <w:color w:val="000000"/>
            <w:sz w:val="22"/>
            <w:szCs w:val="22"/>
          </w:rPr>
          <w:delText xml:space="preserve"> </w:delText>
        </w:r>
      </w:del>
      <w:r w:rsidRPr="008A4F40">
        <w:rPr>
          <w:color w:val="000000"/>
          <w:sz w:val="22"/>
          <w:szCs w:val="22"/>
        </w:rPr>
        <w:t>5) behandelt. Unter den 9 Patienten mit CML in der chronischen Phase und verfügbaren zytogenetischen Daten erreichten 4 (44%) bzw. 3 (33%) eine komplette bzw. partielle zytogenetische Remission, was einer Rate von 77% guter zytogenetischer Remission entspricht.</w:t>
      </w:r>
    </w:p>
    <w:p w14:paraId="2E44425A" w14:textId="77777777" w:rsidR="003A33A6" w:rsidRPr="008A4F40" w:rsidRDefault="003A33A6" w:rsidP="004E7659">
      <w:pPr>
        <w:rPr>
          <w:color w:val="000000"/>
          <w:sz w:val="22"/>
          <w:szCs w:val="22"/>
        </w:rPr>
      </w:pPr>
    </w:p>
    <w:p w14:paraId="0BB235B7" w14:textId="77777777" w:rsidR="003A33A6" w:rsidRPr="008A4F40" w:rsidRDefault="003A33A6" w:rsidP="004E7659">
      <w:pPr>
        <w:rPr>
          <w:color w:val="000000"/>
          <w:sz w:val="22"/>
          <w:szCs w:val="22"/>
        </w:rPr>
      </w:pPr>
      <w:r w:rsidRPr="008A4F40">
        <w:rPr>
          <w:color w:val="000000"/>
          <w:sz w:val="22"/>
          <w:szCs w:val="22"/>
        </w:rPr>
        <w:t>Insgesamt 51 Kinder mit neu diagnostizierter und unbehandelter CML in der chronischen Phase wurden in eine offene, multizentrische, einarmige Phase-II-Studie eingeschlossen. Die Patienten wurden bei Abwesenheit einer dosislimitierenden Toxizität ununterbrochen mit 340 mg/m</w:t>
      </w:r>
      <w:r w:rsidRPr="008A4F40">
        <w:rPr>
          <w:color w:val="000000"/>
          <w:sz w:val="22"/>
          <w:szCs w:val="22"/>
          <w:vertAlign w:val="superscript"/>
        </w:rPr>
        <w:t>2</w:t>
      </w:r>
      <w:r w:rsidRPr="008A4F40">
        <w:rPr>
          <w:color w:val="000000"/>
          <w:sz w:val="22"/>
          <w:szCs w:val="22"/>
        </w:rPr>
        <w:t>/Tag Glivec behandelt. Die Behandlung mit Glivec induziert bei neu diagnostizierten Kindern mit CML ein rasches Ansprechen mit einer kompletten hämatologischen Ansprechrate von 78% nach 8-wöchiger Therapie. Die hohe komplette hämatologische Ansprechrate geht mit der Entwicklung einer kompletten zytogenetischen Ansprechrate (</w:t>
      </w:r>
      <w:smartTag w:uri="urn:schemas-microsoft-com:office:smarttags" w:element="stockticker">
        <w:r w:rsidRPr="008A4F40">
          <w:rPr>
            <w:color w:val="000000"/>
            <w:sz w:val="22"/>
            <w:szCs w:val="22"/>
          </w:rPr>
          <w:t>CCR</w:t>
        </w:r>
      </w:smartTag>
      <w:r w:rsidRPr="008A4F40">
        <w:rPr>
          <w:color w:val="000000"/>
          <w:sz w:val="22"/>
          <w:szCs w:val="22"/>
        </w:rPr>
        <w:t xml:space="preserve">) in Höhe von 65% einher. Dies ist vergleichbar mit den Ergebnissen, die bei Erwachsenen beobachtet wurden. Zusätzlich wurde bei 16% ein partielles zytogenetisches Ansprechen beobachtet, was insgesamt einer guten zytogenetischen Remissionsrate von 81% entspricht. Die Mehrheit der Patienten, die eine </w:t>
      </w:r>
      <w:smartTag w:uri="urn:schemas-microsoft-com:office:smarttags" w:element="stockticker">
        <w:r w:rsidRPr="008A4F40">
          <w:rPr>
            <w:color w:val="000000"/>
            <w:sz w:val="22"/>
            <w:szCs w:val="22"/>
          </w:rPr>
          <w:t>CCR</w:t>
        </w:r>
      </w:smartTag>
      <w:r w:rsidRPr="008A4F40">
        <w:rPr>
          <w:color w:val="000000"/>
          <w:sz w:val="22"/>
          <w:szCs w:val="22"/>
        </w:rPr>
        <w:t xml:space="preserve"> erreichten, entwickelten die </w:t>
      </w:r>
      <w:smartTag w:uri="urn:schemas-microsoft-com:office:smarttags" w:element="stockticker">
        <w:r w:rsidRPr="008A4F40">
          <w:rPr>
            <w:color w:val="000000"/>
            <w:sz w:val="22"/>
            <w:szCs w:val="22"/>
          </w:rPr>
          <w:t>CCR</w:t>
        </w:r>
      </w:smartTag>
      <w:r w:rsidRPr="008A4F40">
        <w:rPr>
          <w:color w:val="000000"/>
          <w:sz w:val="22"/>
          <w:szCs w:val="22"/>
        </w:rPr>
        <w:t xml:space="preserve"> innerhalb von 3 bis 10 Monaten mit einer medianen Zeit bis zum Ansprechen von 5,6 Monaten, basierend auf der Kaplan-Meier-Schätzung.</w:t>
      </w:r>
    </w:p>
    <w:p w14:paraId="4EC357BD" w14:textId="77777777" w:rsidR="003A33A6" w:rsidRPr="008A4F40" w:rsidRDefault="003A33A6" w:rsidP="004E7659">
      <w:pPr>
        <w:rPr>
          <w:color w:val="000000"/>
          <w:sz w:val="22"/>
          <w:szCs w:val="22"/>
        </w:rPr>
      </w:pPr>
    </w:p>
    <w:p w14:paraId="3709D895" w14:textId="20B5A344" w:rsidR="003A33A6" w:rsidRPr="008A4F40" w:rsidRDefault="003A33A6" w:rsidP="004E7659">
      <w:pPr>
        <w:rPr>
          <w:color w:val="000000"/>
          <w:sz w:val="22"/>
          <w:szCs w:val="22"/>
        </w:rPr>
      </w:pPr>
      <w:r w:rsidRPr="008A4F40">
        <w:rPr>
          <w:color w:val="000000"/>
          <w:sz w:val="22"/>
          <w:szCs w:val="22"/>
        </w:rPr>
        <w:t>Die Europäische Arzneimittel-Agentur hat für Glivec eine Freistellung von der Verpflichtung zur Vorlage von Ergebnissen zu Studien in allen pädiatrischen Altersklassen in Philadelphia-Chromosom (bcr-abl-Translokation)-positiver chronischer myeloischer Leukämie gewährt (siehe Abschnitt</w:t>
      </w:r>
      <w:ins w:id="353" w:author="Author">
        <w:r w:rsidR="00E96CC8">
          <w:rPr>
            <w:color w:val="000000"/>
            <w:sz w:val="22"/>
            <w:szCs w:val="22"/>
          </w:rPr>
          <w:t> </w:t>
        </w:r>
      </w:ins>
      <w:del w:id="354" w:author="Author">
        <w:r w:rsidRPr="008A4F40" w:rsidDel="00E96CC8">
          <w:rPr>
            <w:color w:val="000000"/>
            <w:sz w:val="22"/>
            <w:szCs w:val="22"/>
          </w:rPr>
          <w:delText xml:space="preserve"> </w:delText>
        </w:r>
      </w:del>
      <w:r w:rsidRPr="008A4F40">
        <w:rPr>
          <w:color w:val="000000"/>
          <w:sz w:val="22"/>
          <w:szCs w:val="22"/>
        </w:rPr>
        <w:t>4.2 bzgl. Informationen zur Anwendung bei Kindern und Jugendlichen).</w:t>
      </w:r>
    </w:p>
    <w:p w14:paraId="0FC6ADB0" w14:textId="77777777" w:rsidR="003A33A6" w:rsidRPr="008A4F40" w:rsidRDefault="003A33A6" w:rsidP="004E7659">
      <w:pPr>
        <w:rPr>
          <w:color w:val="000000"/>
          <w:sz w:val="22"/>
          <w:szCs w:val="22"/>
        </w:rPr>
      </w:pPr>
    </w:p>
    <w:p w14:paraId="5401FF72" w14:textId="5843FE92" w:rsidR="003A33A6" w:rsidRPr="008A4F40" w:rsidRDefault="003A33A6" w:rsidP="004E7659">
      <w:pPr>
        <w:keepNext/>
        <w:rPr>
          <w:color w:val="000000"/>
          <w:sz w:val="22"/>
          <w:szCs w:val="22"/>
          <w:u w:val="single"/>
        </w:rPr>
      </w:pPr>
      <w:r w:rsidRPr="008A4F40">
        <w:rPr>
          <w:color w:val="000000"/>
          <w:sz w:val="22"/>
          <w:szCs w:val="22"/>
          <w:u w:val="single"/>
        </w:rPr>
        <w:t>Klinische Studien bei Ph+ </w:t>
      </w:r>
      <w:smartTag w:uri="urn:schemas-microsoft-com:office:smarttags" w:element="stockticker">
        <w:r w:rsidRPr="008A4F40">
          <w:rPr>
            <w:color w:val="000000"/>
            <w:sz w:val="22"/>
            <w:szCs w:val="22"/>
            <w:u w:val="single"/>
          </w:rPr>
          <w:t>ALL</w:t>
        </w:r>
      </w:smartTag>
    </w:p>
    <w:p w14:paraId="438A03A7" w14:textId="77777777" w:rsidR="00072317" w:rsidRPr="008A4F40" w:rsidRDefault="00072317" w:rsidP="004E7659">
      <w:pPr>
        <w:keepNext/>
        <w:rPr>
          <w:color w:val="000000"/>
          <w:sz w:val="22"/>
          <w:szCs w:val="22"/>
          <w:u w:val="single"/>
        </w:rPr>
      </w:pPr>
    </w:p>
    <w:p w14:paraId="67FE0956" w14:textId="60E57CF0" w:rsidR="00072317" w:rsidRPr="008A4F40" w:rsidRDefault="003A33A6" w:rsidP="004E7659">
      <w:pPr>
        <w:keepNext/>
        <w:rPr>
          <w:color w:val="000000"/>
          <w:sz w:val="22"/>
          <w:szCs w:val="22"/>
          <w:u w:val="single"/>
        </w:rPr>
      </w:pPr>
      <w:r w:rsidRPr="008A4F40">
        <w:rPr>
          <w:i/>
          <w:color w:val="000000"/>
          <w:sz w:val="22"/>
          <w:szCs w:val="22"/>
          <w:u w:val="single"/>
        </w:rPr>
        <w:t>Neu diagnostizierte Ph+ </w:t>
      </w:r>
      <w:smartTag w:uri="urn:schemas-microsoft-com:office:smarttags" w:element="stockticker">
        <w:r w:rsidRPr="008A4F40">
          <w:rPr>
            <w:i/>
            <w:color w:val="000000"/>
            <w:sz w:val="22"/>
            <w:szCs w:val="22"/>
            <w:u w:val="single"/>
          </w:rPr>
          <w:t>ALL</w:t>
        </w:r>
      </w:smartTag>
    </w:p>
    <w:p w14:paraId="6BB18F54" w14:textId="3A0074E2" w:rsidR="003A33A6" w:rsidRPr="008A4F40" w:rsidRDefault="003A33A6" w:rsidP="004E7659">
      <w:pPr>
        <w:rPr>
          <w:color w:val="000000"/>
          <w:sz w:val="22"/>
          <w:szCs w:val="22"/>
        </w:rPr>
      </w:pPr>
      <w:r w:rsidRPr="008A4F40">
        <w:rPr>
          <w:color w:val="000000"/>
          <w:sz w:val="22"/>
          <w:szCs w:val="22"/>
        </w:rPr>
        <w:t xml:space="preserve">In einer kontrollierten Studie (ADE10) mit Imatinib vs. </w:t>
      </w:r>
      <w:r w:rsidR="00C22507">
        <w:rPr>
          <w:color w:val="000000"/>
          <w:sz w:val="22"/>
          <w:szCs w:val="22"/>
        </w:rPr>
        <w:t>c</w:t>
      </w:r>
      <w:r w:rsidRPr="008A4F40">
        <w:rPr>
          <w:color w:val="000000"/>
          <w:sz w:val="22"/>
          <w:szCs w:val="22"/>
        </w:rPr>
        <w:t>hemotherapieinduzierter Behandlung bei 55 neu diagnostizierten Patienten im Alter von 55 Jahren und älter erzeugte die Imatinib-Monotherapie eine signifikant höhere komplette hämatologische Ansprechrate als die Chemotherapie (96,3% vs. 50%; p = 0,0001). Wenn Imatinib im Rahmen einer Notfalltherapie bei Patienten, die nicht oder nur schlecht auf die Chemotherapie ansprachen, gegeben wurde, resultierte dies bei 9 von 11 Patienten (81,8%) in einem kompletten hämatologischen Ansprechen. Die klinische Wirkung war nach zweiwöchiger Therapie bei den Imatinib-Patienten mit einer stärkeren Reduktion von bcr-abl-Transkripten verbunden als im Chemotherapie-Arm (p = 0,02). Nachdem alle Patienten Imatinib und eine Konsolidierungschemotherapie (siehe Tabelle </w:t>
      </w:r>
      <w:r w:rsidR="00512273" w:rsidRPr="008A4F40">
        <w:rPr>
          <w:color w:val="000000"/>
          <w:sz w:val="22"/>
          <w:szCs w:val="22"/>
        </w:rPr>
        <w:t>4</w:t>
      </w:r>
      <w:r w:rsidRPr="008A4F40">
        <w:rPr>
          <w:color w:val="000000"/>
          <w:sz w:val="22"/>
          <w:szCs w:val="22"/>
        </w:rPr>
        <w:t>) nach Induktion erhielten, waren die Werte der bcr-abl-Transkripte nach 8 Wochen in beiden Armen identisch. Wie auf Grund des Studiendesigns erwartet, wurden keine Unterschiede bei der Remissionsdauer, dem krankheitsfreien Überleben oder dem Gesamtüberleben beobachtet, obwohl Patienten mit komplettem molekularen Ansprechen und bleibender minimaler Resterkrankung ein besseres Ergebnis sowohl im Hinblick auf die Remissionsdauer (p = 0,01) als auch auf das krankheitsfreie Überleben (p = 0,02) zeigten.</w:t>
      </w:r>
    </w:p>
    <w:p w14:paraId="15D47E55" w14:textId="77777777" w:rsidR="003A33A6" w:rsidRPr="008A4F40" w:rsidRDefault="003A33A6" w:rsidP="004E7659">
      <w:pPr>
        <w:rPr>
          <w:color w:val="000000"/>
          <w:sz w:val="22"/>
          <w:szCs w:val="22"/>
        </w:rPr>
      </w:pPr>
    </w:p>
    <w:p w14:paraId="13FF3D40" w14:textId="77777777" w:rsidR="003A33A6" w:rsidRPr="008A4F40" w:rsidRDefault="003A33A6" w:rsidP="004E7659">
      <w:pPr>
        <w:tabs>
          <w:tab w:val="left" w:pos="1134"/>
        </w:tabs>
        <w:rPr>
          <w:color w:val="000000"/>
          <w:sz w:val="22"/>
          <w:szCs w:val="22"/>
        </w:rPr>
      </w:pPr>
      <w:r w:rsidRPr="008A4F40">
        <w:rPr>
          <w:color w:val="000000"/>
          <w:sz w:val="22"/>
          <w:szCs w:val="22"/>
        </w:rPr>
        <w:t>Die Ergebnisse, die in einer Population von 211 neu diagnostizierten Ph+ </w:t>
      </w:r>
      <w:smartTag w:uri="urn:schemas-microsoft-com:office:smarttags" w:element="stockticker">
        <w:r w:rsidRPr="008A4F40">
          <w:rPr>
            <w:color w:val="000000"/>
            <w:sz w:val="22"/>
            <w:szCs w:val="22"/>
          </w:rPr>
          <w:t>ALL</w:t>
        </w:r>
      </w:smartTag>
      <w:r w:rsidRPr="008A4F40">
        <w:rPr>
          <w:color w:val="000000"/>
          <w:sz w:val="22"/>
          <w:szCs w:val="22"/>
        </w:rPr>
        <w:t>-Patienten in vier unkontrollierten klinischen Studien (AAU02, ADE04, AJP01 und AUS01) beobachtet wurden, stimmen mit den oben beschriebenen Ergebnissen überein. Die Kombination von Imatinib mit chemotherapeutischer Induktion (siehe Tabelle </w:t>
      </w:r>
      <w:r w:rsidR="00512273" w:rsidRPr="008A4F40">
        <w:rPr>
          <w:color w:val="000000"/>
          <w:sz w:val="22"/>
          <w:szCs w:val="22"/>
        </w:rPr>
        <w:t>4</w:t>
      </w:r>
      <w:r w:rsidRPr="008A4F40">
        <w:rPr>
          <w:color w:val="000000"/>
          <w:sz w:val="22"/>
          <w:szCs w:val="22"/>
        </w:rPr>
        <w:t>) resultierte in einer kompletten hämatologischen Ansprechrate von 93% (147 von 158 auswertbaren Patienten) und in einer guten zytogenetischen Ansprechrate von 90% (19 von 21 auswertbaren Patienten). Die komplette molekulare Ansprechrate betrug 48% (49 von 102 auswertbaren Patienten). Das krankheitsfreie Überleben (</w:t>
      </w:r>
      <w:smartTag w:uri="urn:schemas-microsoft-com:office:smarttags" w:element="stockticker">
        <w:r w:rsidRPr="008A4F40">
          <w:rPr>
            <w:color w:val="000000"/>
            <w:sz w:val="22"/>
            <w:szCs w:val="22"/>
          </w:rPr>
          <w:t>DFS</w:t>
        </w:r>
      </w:smartTag>
      <w:r w:rsidRPr="008A4F40">
        <w:rPr>
          <w:color w:val="000000"/>
          <w:sz w:val="22"/>
          <w:szCs w:val="22"/>
        </w:rPr>
        <w:t>) und das Gesamtüberleben (OS) überschritten konstant 1 Jahr und waren der historischen Kontrolle in zwei Studien (AJP01 und AUS01) überlegen (</w:t>
      </w:r>
      <w:smartTag w:uri="urn:schemas-microsoft-com:office:smarttags" w:element="stockticker">
        <w:r w:rsidRPr="008A4F40">
          <w:rPr>
            <w:color w:val="000000"/>
            <w:sz w:val="22"/>
            <w:szCs w:val="22"/>
          </w:rPr>
          <w:t>DFS</w:t>
        </w:r>
      </w:smartTag>
      <w:r w:rsidRPr="008A4F40">
        <w:rPr>
          <w:color w:val="000000"/>
          <w:sz w:val="22"/>
          <w:szCs w:val="22"/>
        </w:rPr>
        <w:t>: p &lt; 0,001; OS: p &lt; 0,0001).</w:t>
      </w:r>
    </w:p>
    <w:p w14:paraId="41DD86D5" w14:textId="77777777" w:rsidR="003A33A6" w:rsidRPr="008A4F40" w:rsidRDefault="003A33A6" w:rsidP="004E7659">
      <w:pPr>
        <w:tabs>
          <w:tab w:val="left" w:pos="1134"/>
        </w:tabs>
        <w:rPr>
          <w:color w:val="000000"/>
          <w:sz w:val="22"/>
          <w:szCs w:val="22"/>
        </w:rPr>
      </w:pPr>
    </w:p>
    <w:p w14:paraId="6A8A7743" w14:textId="77777777" w:rsidR="003A33A6" w:rsidRPr="008A4F40" w:rsidRDefault="003A33A6" w:rsidP="004E7659">
      <w:pPr>
        <w:keepNext/>
        <w:tabs>
          <w:tab w:val="left" w:pos="1134"/>
        </w:tabs>
        <w:rPr>
          <w:b/>
          <w:color w:val="000000"/>
          <w:sz w:val="22"/>
          <w:szCs w:val="22"/>
          <w:lang w:val="de-CH"/>
        </w:rPr>
      </w:pPr>
      <w:r w:rsidRPr="008A4F40">
        <w:rPr>
          <w:b/>
          <w:color w:val="000000"/>
          <w:sz w:val="22"/>
          <w:szCs w:val="22"/>
          <w:lang w:val="de-CH"/>
        </w:rPr>
        <w:t>Tabelle </w:t>
      </w:r>
      <w:r w:rsidR="00512273" w:rsidRPr="008A4F40">
        <w:rPr>
          <w:b/>
          <w:color w:val="000000"/>
          <w:sz w:val="22"/>
          <w:szCs w:val="22"/>
          <w:lang w:val="de-CH"/>
        </w:rPr>
        <w:t>4</w:t>
      </w:r>
      <w:r w:rsidRPr="008A4F40">
        <w:rPr>
          <w:b/>
          <w:color w:val="000000"/>
          <w:sz w:val="22"/>
          <w:szCs w:val="22"/>
          <w:lang w:val="de-CH"/>
        </w:rPr>
        <w:tab/>
        <w:t>Angewendete Chemotherapie-Schemata in Kombination mit Imatinib</w:t>
      </w:r>
    </w:p>
    <w:p w14:paraId="5D0E3608" w14:textId="77777777" w:rsidR="003A33A6" w:rsidRPr="008A4F40" w:rsidRDefault="003A33A6" w:rsidP="004E7659">
      <w:pPr>
        <w:pStyle w:val="EndnoteText"/>
        <w:keepNext/>
        <w:rPr>
          <w:color w:val="000000"/>
          <w:sz w:val="22"/>
          <w:szCs w:val="22"/>
          <w:lang w:val="de-DE"/>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3A33A6" w:rsidRPr="008A4F40" w14:paraId="78A55557" w14:textId="77777777" w:rsidTr="00DA7B0B">
        <w:trPr>
          <w:cantSplit/>
        </w:trPr>
        <w:tc>
          <w:tcPr>
            <w:tcW w:w="2148" w:type="dxa"/>
            <w:tcBorders>
              <w:top w:val="single" w:sz="4" w:space="0" w:color="auto"/>
              <w:bottom w:val="single" w:sz="4" w:space="0" w:color="auto"/>
            </w:tcBorders>
          </w:tcPr>
          <w:p w14:paraId="053BB1F1" w14:textId="77777777" w:rsidR="003A33A6" w:rsidRPr="008A4F40" w:rsidRDefault="003A33A6">
            <w:pPr>
              <w:pStyle w:val="Table"/>
              <w:keepLines w:val="0"/>
              <w:spacing w:before="0" w:after="0"/>
              <w:rPr>
                <w:rFonts w:ascii="Times New Roman" w:hAnsi="Times New Roman"/>
                <w:color w:val="000000"/>
                <w:sz w:val="22"/>
                <w:szCs w:val="22"/>
              </w:rPr>
              <w:pPrChange w:id="355" w:author="Author">
                <w:pPr>
                  <w:pStyle w:val="Table"/>
                  <w:keepLines w:val="0"/>
                </w:pPr>
              </w:pPrChange>
            </w:pPr>
            <w:r w:rsidRPr="008A4F40">
              <w:rPr>
                <w:rFonts w:ascii="Times New Roman" w:hAnsi="Times New Roman"/>
                <w:b/>
                <w:color w:val="000000"/>
                <w:sz w:val="22"/>
                <w:szCs w:val="22"/>
              </w:rPr>
              <w:t>Studie ADE10</w:t>
            </w:r>
          </w:p>
        </w:tc>
        <w:tc>
          <w:tcPr>
            <w:tcW w:w="6732" w:type="dxa"/>
            <w:gridSpan w:val="4"/>
            <w:tcBorders>
              <w:top w:val="single" w:sz="4" w:space="0" w:color="auto"/>
              <w:bottom w:val="single" w:sz="4" w:space="0" w:color="auto"/>
            </w:tcBorders>
          </w:tcPr>
          <w:p w14:paraId="5E2626A4" w14:textId="77777777" w:rsidR="003A33A6" w:rsidRPr="008A4F40" w:rsidRDefault="003A33A6">
            <w:pPr>
              <w:pStyle w:val="Table"/>
              <w:keepLines w:val="0"/>
              <w:spacing w:before="0" w:after="0"/>
              <w:rPr>
                <w:rFonts w:ascii="Times New Roman" w:hAnsi="Times New Roman"/>
                <w:color w:val="000000"/>
                <w:sz w:val="22"/>
                <w:szCs w:val="22"/>
              </w:rPr>
              <w:pPrChange w:id="356" w:author="Author">
                <w:pPr>
                  <w:pStyle w:val="Table"/>
                  <w:keepLines w:val="0"/>
                </w:pPr>
              </w:pPrChange>
            </w:pPr>
          </w:p>
        </w:tc>
      </w:tr>
      <w:tr w:rsidR="003A33A6" w:rsidRPr="008A4F40" w14:paraId="3C2D6295" w14:textId="77777777" w:rsidTr="00DA7B0B">
        <w:trPr>
          <w:cantSplit/>
        </w:trPr>
        <w:tc>
          <w:tcPr>
            <w:tcW w:w="2148" w:type="dxa"/>
            <w:tcBorders>
              <w:top w:val="single" w:sz="4" w:space="0" w:color="auto"/>
              <w:bottom w:val="single" w:sz="4" w:space="0" w:color="auto"/>
            </w:tcBorders>
          </w:tcPr>
          <w:p w14:paraId="79C7DCCB" w14:textId="77777777" w:rsidR="003A33A6" w:rsidRPr="008A4F40" w:rsidRDefault="003A33A6">
            <w:pPr>
              <w:pStyle w:val="Table"/>
              <w:keepLines w:val="0"/>
              <w:spacing w:before="0" w:after="0"/>
              <w:rPr>
                <w:rFonts w:ascii="Times New Roman" w:hAnsi="Times New Roman"/>
                <w:color w:val="000000"/>
                <w:sz w:val="22"/>
                <w:szCs w:val="22"/>
              </w:rPr>
              <w:pPrChange w:id="357" w:author="Author">
                <w:pPr>
                  <w:pStyle w:val="Table"/>
                  <w:keepLines w:val="0"/>
                </w:pPr>
              </w:pPrChange>
            </w:pPr>
            <w:proofErr w:type="spellStart"/>
            <w:r w:rsidRPr="008A4F40">
              <w:rPr>
                <w:rFonts w:ascii="Times New Roman" w:hAnsi="Times New Roman"/>
                <w:color w:val="000000"/>
                <w:sz w:val="22"/>
                <w:szCs w:val="22"/>
              </w:rPr>
              <w:t>Vorphase</w:t>
            </w:r>
            <w:proofErr w:type="spellEnd"/>
          </w:p>
        </w:tc>
        <w:tc>
          <w:tcPr>
            <w:tcW w:w="6732" w:type="dxa"/>
            <w:gridSpan w:val="4"/>
            <w:tcBorders>
              <w:top w:val="single" w:sz="4" w:space="0" w:color="auto"/>
              <w:bottom w:val="single" w:sz="4" w:space="0" w:color="auto"/>
            </w:tcBorders>
          </w:tcPr>
          <w:p w14:paraId="036E510F" w14:textId="074CE7E6" w:rsidR="003A33A6" w:rsidRPr="002C2F28" w:rsidRDefault="003A33A6">
            <w:pPr>
              <w:pStyle w:val="Table"/>
              <w:keepLines w:val="0"/>
              <w:spacing w:before="0" w:after="0"/>
              <w:rPr>
                <w:rFonts w:ascii="Times New Roman" w:hAnsi="Times New Roman"/>
                <w:color w:val="000000"/>
                <w:sz w:val="22"/>
                <w:szCs w:val="22"/>
                <w:lang w:val="da-DK"/>
              </w:rPr>
              <w:pPrChange w:id="358" w:author="Author">
                <w:pPr>
                  <w:pStyle w:val="Table"/>
                  <w:keepLines w:val="0"/>
                </w:pPr>
              </w:pPrChange>
            </w:pPr>
            <w:r w:rsidRPr="002C2F28">
              <w:rPr>
                <w:rFonts w:ascii="Times New Roman" w:hAnsi="Times New Roman"/>
                <w:color w:val="000000"/>
                <w:sz w:val="22"/>
                <w:szCs w:val="22"/>
                <w:lang w:val="da-DK"/>
              </w:rPr>
              <w:t>DEX 10 mg/m</w:t>
            </w:r>
            <w:r w:rsidRPr="002C2F28">
              <w:rPr>
                <w:rFonts w:ascii="Times New Roman" w:hAnsi="Times New Roman"/>
                <w:color w:val="000000"/>
                <w:sz w:val="22"/>
                <w:szCs w:val="22"/>
                <w:vertAlign w:val="superscript"/>
                <w:lang w:val="da-DK"/>
              </w:rPr>
              <w:t>2</w:t>
            </w:r>
            <w:r w:rsidRPr="002C2F28">
              <w:rPr>
                <w:rFonts w:ascii="Times New Roman" w:hAnsi="Times New Roman"/>
                <w:color w:val="000000"/>
                <w:sz w:val="22"/>
                <w:szCs w:val="22"/>
                <w:lang w:val="da-DK"/>
              </w:rPr>
              <w:t xml:space="preserve"> oral, Tage 1</w:t>
            </w:r>
            <w:ins w:id="359" w:author="Author">
              <w:r w:rsidR="001008D0" w:rsidRPr="00DF5410">
                <w:rPr>
                  <w:rFonts w:ascii="Times New Roman" w:hAnsi="Times New Roman"/>
                  <w:color w:val="000000"/>
                  <w:sz w:val="22"/>
                  <w:szCs w:val="22"/>
                </w:rPr>
                <w:t>–</w:t>
              </w:r>
            </w:ins>
            <w:del w:id="360" w:author="Author">
              <w:r w:rsidRPr="002C2F28" w:rsidDel="001008D0">
                <w:rPr>
                  <w:rFonts w:ascii="Times New Roman" w:hAnsi="Times New Roman"/>
                  <w:color w:val="000000"/>
                  <w:sz w:val="22"/>
                  <w:szCs w:val="22"/>
                  <w:lang w:val="da-DK"/>
                </w:rPr>
                <w:delText>-</w:delText>
              </w:r>
            </w:del>
            <w:r w:rsidRPr="002C2F28">
              <w:rPr>
                <w:rFonts w:ascii="Times New Roman" w:hAnsi="Times New Roman"/>
                <w:color w:val="000000"/>
                <w:sz w:val="22"/>
                <w:szCs w:val="22"/>
                <w:lang w:val="da-DK"/>
              </w:rPr>
              <w:t>5;</w:t>
            </w:r>
          </w:p>
          <w:p w14:paraId="3A2862EC" w14:textId="77777777" w:rsidR="003A33A6" w:rsidRPr="008A4F40" w:rsidRDefault="003A33A6">
            <w:pPr>
              <w:pStyle w:val="Table"/>
              <w:keepLines w:val="0"/>
              <w:spacing w:before="0" w:after="0"/>
              <w:rPr>
                <w:rFonts w:ascii="Times New Roman" w:hAnsi="Times New Roman"/>
                <w:color w:val="000000"/>
                <w:sz w:val="22"/>
                <w:szCs w:val="22"/>
                <w:lang w:val="da-DK"/>
              </w:rPr>
              <w:pPrChange w:id="361" w:author="Author">
                <w:pPr>
                  <w:pStyle w:val="Table"/>
                  <w:keepLines w:val="0"/>
                </w:pPr>
              </w:pPrChange>
            </w:pPr>
            <w:r w:rsidRPr="008A4F40">
              <w:rPr>
                <w:rFonts w:ascii="Times New Roman" w:hAnsi="Times New Roman"/>
                <w:color w:val="000000"/>
                <w:sz w:val="22"/>
                <w:szCs w:val="22"/>
                <w:lang w:val="da-DK"/>
              </w:rPr>
              <w:t>CP 200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3, 4, 5;</w:t>
            </w:r>
          </w:p>
          <w:p w14:paraId="3A67D399" w14:textId="77777777" w:rsidR="003A33A6" w:rsidRPr="008A4F40" w:rsidRDefault="003A33A6">
            <w:pPr>
              <w:pStyle w:val="Table"/>
              <w:keepLines w:val="0"/>
              <w:spacing w:before="0" w:after="0"/>
              <w:rPr>
                <w:rFonts w:ascii="Times New Roman" w:hAnsi="Times New Roman"/>
                <w:color w:val="000000"/>
                <w:sz w:val="22"/>
                <w:szCs w:val="22"/>
                <w:lang w:val="da-DK"/>
              </w:rPr>
              <w:pPrChange w:id="362" w:author="Author">
                <w:pPr>
                  <w:pStyle w:val="Table"/>
                  <w:keepLines w:val="0"/>
                </w:pPr>
              </w:pPrChange>
            </w:pPr>
            <w:r w:rsidRPr="008A4F40">
              <w:rPr>
                <w:rFonts w:ascii="Times New Roman" w:hAnsi="Times New Roman"/>
                <w:color w:val="000000"/>
                <w:sz w:val="22"/>
                <w:szCs w:val="22"/>
                <w:lang w:val="da-DK"/>
              </w:rPr>
              <w:t>MTX 12 mg intrathekal, Tag 1</w:t>
            </w:r>
          </w:p>
        </w:tc>
      </w:tr>
      <w:tr w:rsidR="003A33A6" w:rsidRPr="008A4F40" w14:paraId="7D10D669" w14:textId="77777777" w:rsidTr="00DA7B0B">
        <w:trPr>
          <w:cantSplit/>
        </w:trPr>
        <w:tc>
          <w:tcPr>
            <w:tcW w:w="2148" w:type="dxa"/>
            <w:tcBorders>
              <w:top w:val="single" w:sz="4" w:space="0" w:color="auto"/>
              <w:bottom w:val="single" w:sz="4" w:space="0" w:color="auto"/>
            </w:tcBorders>
          </w:tcPr>
          <w:p w14:paraId="342BCB57" w14:textId="77777777" w:rsidR="003A33A6" w:rsidRPr="008A4F40" w:rsidRDefault="003A33A6">
            <w:pPr>
              <w:pStyle w:val="Table"/>
              <w:keepLines w:val="0"/>
              <w:spacing w:before="0" w:after="0"/>
              <w:rPr>
                <w:rFonts w:ascii="Times New Roman" w:hAnsi="Times New Roman"/>
                <w:color w:val="000000"/>
                <w:sz w:val="22"/>
                <w:szCs w:val="22"/>
              </w:rPr>
              <w:pPrChange w:id="363" w:author="Author">
                <w:pPr>
                  <w:pStyle w:val="Table"/>
                  <w:keepLines w:val="0"/>
                </w:pPr>
              </w:pPrChange>
            </w:pPr>
            <w:r w:rsidRPr="008A4F40">
              <w:rPr>
                <w:rFonts w:ascii="Times New Roman" w:hAnsi="Times New Roman"/>
                <w:color w:val="000000"/>
                <w:sz w:val="22"/>
                <w:szCs w:val="22"/>
              </w:rPr>
              <w:t>Remissionsinduktion</w:t>
            </w:r>
          </w:p>
        </w:tc>
        <w:tc>
          <w:tcPr>
            <w:tcW w:w="6732" w:type="dxa"/>
            <w:gridSpan w:val="4"/>
            <w:tcBorders>
              <w:top w:val="single" w:sz="4" w:space="0" w:color="auto"/>
              <w:bottom w:val="single" w:sz="4" w:space="0" w:color="auto"/>
            </w:tcBorders>
          </w:tcPr>
          <w:p w14:paraId="0F24A0F3" w14:textId="67A8E44A" w:rsidR="003A33A6" w:rsidRPr="008A4F40" w:rsidRDefault="003A33A6">
            <w:pPr>
              <w:pStyle w:val="Table"/>
              <w:keepLines w:val="0"/>
              <w:spacing w:before="0" w:after="0"/>
              <w:rPr>
                <w:rFonts w:ascii="Times New Roman" w:hAnsi="Times New Roman"/>
                <w:color w:val="000000"/>
                <w:sz w:val="22"/>
                <w:szCs w:val="22"/>
                <w:lang w:val="da-DK"/>
              </w:rPr>
              <w:pPrChange w:id="364" w:author="Author">
                <w:pPr>
                  <w:pStyle w:val="Table"/>
                  <w:keepLines w:val="0"/>
                </w:pPr>
              </w:pPrChange>
            </w:pPr>
            <w:r w:rsidRPr="008A4F40">
              <w:rPr>
                <w:rFonts w:ascii="Times New Roman" w:hAnsi="Times New Roman"/>
                <w:color w:val="000000"/>
                <w:sz w:val="22"/>
                <w:szCs w:val="22"/>
                <w:lang w:val="da-DK"/>
              </w:rPr>
              <w:t>DEX 10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6</w:t>
            </w:r>
            <w:ins w:id="365" w:author="Author">
              <w:r w:rsidR="00665BF5" w:rsidRPr="00665BF5">
                <w:rPr>
                  <w:rFonts w:ascii="Times New Roman" w:hAnsi="Times New Roman"/>
                  <w:color w:val="000000"/>
                  <w:sz w:val="22"/>
                  <w:szCs w:val="22"/>
                  <w:lang w:val="da-DK"/>
                </w:rPr>
                <w:t>–</w:t>
              </w:r>
            </w:ins>
            <w:del w:id="366" w:author="Author">
              <w:r w:rsidRPr="008A4F40" w:rsidDel="00665BF5">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7, 13</w:t>
            </w:r>
            <w:ins w:id="367" w:author="Author">
              <w:r w:rsidR="002222CA" w:rsidRPr="002222CA">
                <w:rPr>
                  <w:rFonts w:ascii="Times New Roman" w:hAnsi="Times New Roman"/>
                  <w:color w:val="000000"/>
                  <w:sz w:val="22"/>
                  <w:szCs w:val="22"/>
                  <w:lang w:val="da-DK"/>
                </w:rPr>
                <w:t>–</w:t>
              </w:r>
            </w:ins>
            <w:del w:id="368"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16;</w:t>
            </w:r>
          </w:p>
          <w:p w14:paraId="0B3F43AD" w14:textId="77777777" w:rsidR="003A33A6" w:rsidRPr="008A4F40" w:rsidRDefault="003A33A6">
            <w:pPr>
              <w:pStyle w:val="Table"/>
              <w:keepLines w:val="0"/>
              <w:spacing w:before="0" w:after="0"/>
              <w:rPr>
                <w:rFonts w:ascii="Times New Roman" w:hAnsi="Times New Roman"/>
                <w:color w:val="000000"/>
                <w:sz w:val="22"/>
                <w:szCs w:val="22"/>
                <w:lang w:val="da-DK"/>
              </w:rPr>
              <w:pPrChange w:id="369" w:author="Author">
                <w:pPr>
                  <w:pStyle w:val="Table"/>
                  <w:keepLines w:val="0"/>
                </w:pPr>
              </w:pPrChange>
            </w:pPr>
            <w:r w:rsidRPr="008A4F40">
              <w:rPr>
                <w:rFonts w:ascii="Times New Roman" w:hAnsi="Times New Roman"/>
                <w:color w:val="000000"/>
                <w:sz w:val="22"/>
                <w:szCs w:val="22"/>
                <w:lang w:val="da-DK"/>
              </w:rPr>
              <w:t>VCR 1 mg i.v., Tage 7, 14;</w:t>
            </w:r>
          </w:p>
          <w:p w14:paraId="1513FC92" w14:textId="3E90D100" w:rsidR="003A33A6" w:rsidRPr="008A4F40" w:rsidRDefault="003A33A6">
            <w:pPr>
              <w:pStyle w:val="Table"/>
              <w:keepLines w:val="0"/>
              <w:spacing w:before="0" w:after="0"/>
              <w:rPr>
                <w:rFonts w:ascii="Times New Roman" w:hAnsi="Times New Roman"/>
                <w:color w:val="000000"/>
                <w:sz w:val="22"/>
                <w:szCs w:val="22"/>
                <w:lang w:val="pt-PT"/>
              </w:rPr>
              <w:pPrChange w:id="370" w:author="Author">
                <w:pPr>
                  <w:pStyle w:val="Table"/>
                  <w:keepLines w:val="0"/>
                </w:pPr>
              </w:pPrChange>
            </w:pPr>
            <w:r w:rsidRPr="008A4F40">
              <w:rPr>
                <w:rFonts w:ascii="Times New Roman" w:hAnsi="Times New Roman"/>
                <w:color w:val="000000"/>
                <w:sz w:val="22"/>
                <w:szCs w:val="22"/>
                <w:lang w:val="pt-PT"/>
              </w:rPr>
              <w:t>IDA 8 mg/m</w:t>
            </w:r>
            <w:r w:rsidRPr="008A4F40">
              <w:rPr>
                <w:rFonts w:ascii="Times New Roman" w:hAnsi="Times New Roman"/>
                <w:color w:val="000000"/>
                <w:sz w:val="22"/>
                <w:szCs w:val="22"/>
                <w:vertAlign w:val="superscript"/>
                <w:lang w:val="pt-PT"/>
              </w:rPr>
              <w:t>2</w:t>
            </w:r>
            <w:r w:rsidRPr="008A4F40">
              <w:rPr>
                <w:rFonts w:ascii="Times New Roman" w:hAnsi="Times New Roman"/>
                <w:color w:val="000000"/>
                <w:sz w:val="22"/>
                <w:szCs w:val="22"/>
                <w:lang w:val="pt-PT"/>
              </w:rPr>
              <w:t xml:space="preserve"> i.v. (0</w:t>
            </w:r>
            <w:r w:rsidR="00C22507">
              <w:rPr>
                <w:rFonts w:ascii="Times New Roman" w:hAnsi="Times New Roman"/>
                <w:color w:val="000000"/>
                <w:sz w:val="22"/>
                <w:szCs w:val="22"/>
                <w:lang w:val="pt-PT"/>
              </w:rPr>
              <w:t>,</w:t>
            </w:r>
            <w:r w:rsidRPr="008A4F40">
              <w:rPr>
                <w:rFonts w:ascii="Times New Roman" w:hAnsi="Times New Roman"/>
                <w:color w:val="000000"/>
                <w:sz w:val="22"/>
                <w:szCs w:val="22"/>
                <w:lang w:val="pt-PT"/>
              </w:rPr>
              <w:t>5 h), Tage 7, 8, 14, 15;</w:t>
            </w:r>
          </w:p>
          <w:p w14:paraId="3ACD33C6" w14:textId="17F18244" w:rsidR="003A33A6" w:rsidRPr="008A4F40" w:rsidRDefault="003A33A6">
            <w:pPr>
              <w:pStyle w:val="Table"/>
              <w:keepLines w:val="0"/>
              <w:spacing w:before="0" w:after="0"/>
              <w:rPr>
                <w:rFonts w:ascii="Times New Roman" w:hAnsi="Times New Roman"/>
                <w:color w:val="000000"/>
                <w:sz w:val="22"/>
                <w:szCs w:val="22"/>
                <w:lang w:val="de-DE"/>
              </w:rPr>
              <w:pPrChange w:id="371" w:author="Author">
                <w:pPr>
                  <w:pStyle w:val="Table"/>
                  <w:keepLines w:val="0"/>
                </w:pPr>
              </w:pPrChange>
            </w:pPr>
            <w:r w:rsidRPr="008A4F40">
              <w:rPr>
                <w:rFonts w:ascii="Times New Roman" w:hAnsi="Times New Roman"/>
                <w:color w:val="000000"/>
                <w:sz w:val="22"/>
                <w:szCs w:val="22"/>
                <w:lang w:val="de-DE"/>
              </w:rPr>
              <w:t>CP 500 mg/m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w:t>
            </w:r>
            <w:r w:rsidR="00C22507">
              <w:rPr>
                <w:rFonts w:ascii="Times New Roman" w:hAnsi="Times New Roman"/>
                <w:color w:val="000000"/>
                <w:sz w:val="22"/>
                <w:szCs w:val="22"/>
                <w:lang w:val="de-DE"/>
              </w:rPr>
              <w:t xml:space="preserve"> </w:t>
            </w:r>
            <w:r w:rsidRPr="008A4F40">
              <w:rPr>
                <w:rFonts w:ascii="Times New Roman" w:hAnsi="Times New Roman"/>
                <w:color w:val="000000"/>
                <w:sz w:val="22"/>
                <w:szCs w:val="22"/>
                <w:lang w:val="de-DE"/>
              </w:rPr>
              <w:t>(1 h) Tag 1;</w:t>
            </w:r>
          </w:p>
          <w:p w14:paraId="6D47F863" w14:textId="69C420E6" w:rsidR="003A33A6" w:rsidRPr="008A4F40" w:rsidRDefault="003A33A6">
            <w:pPr>
              <w:pStyle w:val="Table"/>
              <w:keepLines w:val="0"/>
              <w:spacing w:before="0" w:after="0"/>
              <w:rPr>
                <w:rFonts w:ascii="Times New Roman" w:hAnsi="Times New Roman"/>
                <w:color w:val="000000"/>
                <w:sz w:val="22"/>
                <w:szCs w:val="22"/>
                <w:lang w:val="da-DK"/>
              </w:rPr>
              <w:pPrChange w:id="372" w:author="Author">
                <w:pPr>
                  <w:pStyle w:val="Table"/>
                  <w:keepLines w:val="0"/>
                </w:pPr>
              </w:pPrChange>
            </w:pPr>
            <w:r w:rsidRPr="008A4F40">
              <w:rPr>
                <w:rFonts w:ascii="Times New Roman" w:hAnsi="Times New Roman"/>
                <w:color w:val="000000"/>
                <w:sz w:val="22"/>
                <w:szCs w:val="22"/>
                <w:lang w:val="da-DK"/>
              </w:rPr>
              <w:t>Ara-C 60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22</w:t>
            </w:r>
            <w:ins w:id="373" w:author="Author">
              <w:r w:rsidR="00665BF5" w:rsidRPr="00665BF5">
                <w:rPr>
                  <w:rFonts w:ascii="Times New Roman" w:hAnsi="Times New Roman"/>
                  <w:color w:val="000000"/>
                  <w:sz w:val="22"/>
                  <w:szCs w:val="22"/>
                  <w:lang w:val="da-DK"/>
                </w:rPr>
                <w:t>–</w:t>
              </w:r>
            </w:ins>
            <w:del w:id="374" w:author="Author">
              <w:r w:rsidRPr="008A4F40" w:rsidDel="00665BF5">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25, 29</w:t>
            </w:r>
            <w:ins w:id="375" w:author="Author">
              <w:r w:rsidR="00665BF5" w:rsidRPr="00665BF5">
                <w:rPr>
                  <w:rFonts w:ascii="Times New Roman" w:hAnsi="Times New Roman"/>
                  <w:color w:val="000000"/>
                  <w:sz w:val="22"/>
                  <w:szCs w:val="22"/>
                  <w:lang w:val="da-DK"/>
                </w:rPr>
                <w:t>–</w:t>
              </w:r>
            </w:ins>
            <w:del w:id="376" w:author="Author">
              <w:r w:rsidRPr="008A4F40" w:rsidDel="00665BF5">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32</w:t>
            </w:r>
          </w:p>
        </w:tc>
      </w:tr>
      <w:tr w:rsidR="003A33A6" w:rsidRPr="00FA2E9E" w14:paraId="2D8E6721" w14:textId="77777777" w:rsidTr="00DA7B0B">
        <w:trPr>
          <w:cantSplit/>
        </w:trPr>
        <w:tc>
          <w:tcPr>
            <w:tcW w:w="2148" w:type="dxa"/>
            <w:tcBorders>
              <w:top w:val="single" w:sz="4" w:space="0" w:color="auto"/>
              <w:bottom w:val="single" w:sz="4" w:space="0" w:color="auto"/>
            </w:tcBorders>
          </w:tcPr>
          <w:p w14:paraId="09FE8271" w14:textId="77777777" w:rsidR="003A33A6" w:rsidRPr="008A4F40" w:rsidRDefault="003A33A6">
            <w:pPr>
              <w:pStyle w:val="Table"/>
              <w:keepLines w:val="0"/>
              <w:spacing w:before="0" w:after="0"/>
              <w:rPr>
                <w:rFonts w:ascii="Times New Roman" w:hAnsi="Times New Roman"/>
                <w:color w:val="000000"/>
                <w:sz w:val="22"/>
                <w:szCs w:val="22"/>
                <w:lang w:val="de-DE"/>
              </w:rPr>
              <w:pPrChange w:id="377" w:author="Author">
                <w:pPr>
                  <w:pStyle w:val="Table"/>
                  <w:keepLines w:val="0"/>
                </w:pPr>
              </w:pPrChange>
            </w:pPr>
            <w:r w:rsidRPr="008A4F40">
              <w:rPr>
                <w:rFonts w:ascii="Times New Roman" w:hAnsi="Times New Roman"/>
                <w:color w:val="000000"/>
                <w:sz w:val="22"/>
                <w:szCs w:val="22"/>
                <w:lang w:val="de-DE"/>
              </w:rPr>
              <w:t xml:space="preserve">Konsolidierungs-therapie I, </w:t>
            </w:r>
            <w:smartTag w:uri="urn:schemas-microsoft-com:office:smarttags" w:element="stockticker">
              <w:r w:rsidRPr="008A4F40">
                <w:rPr>
                  <w:rFonts w:ascii="Times New Roman" w:hAnsi="Times New Roman"/>
                  <w:color w:val="000000"/>
                  <w:sz w:val="22"/>
                  <w:szCs w:val="22"/>
                  <w:lang w:val="de-DE"/>
                </w:rPr>
                <w:t>III</w:t>
              </w:r>
            </w:smartTag>
            <w:r w:rsidRPr="008A4F40">
              <w:rPr>
                <w:rFonts w:ascii="Times New Roman" w:hAnsi="Times New Roman"/>
                <w:color w:val="000000"/>
                <w:sz w:val="22"/>
                <w:szCs w:val="22"/>
                <w:lang w:val="de-DE"/>
              </w:rPr>
              <w:t>, V</w:t>
            </w:r>
          </w:p>
        </w:tc>
        <w:tc>
          <w:tcPr>
            <w:tcW w:w="6732" w:type="dxa"/>
            <w:gridSpan w:val="4"/>
            <w:tcBorders>
              <w:top w:val="single" w:sz="4" w:space="0" w:color="auto"/>
              <w:bottom w:val="single" w:sz="4" w:space="0" w:color="auto"/>
            </w:tcBorders>
          </w:tcPr>
          <w:p w14:paraId="03DEEC1E" w14:textId="77777777" w:rsidR="003A33A6" w:rsidRPr="008A4F40" w:rsidRDefault="003A33A6">
            <w:pPr>
              <w:pStyle w:val="Table"/>
              <w:keepLines w:val="0"/>
              <w:spacing w:before="0" w:after="0"/>
              <w:rPr>
                <w:rFonts w:ascii="Times New Roman" w:hAnsi="Times New Roman"/>
                <w:color w:val="000000"/>
                <w:sz w:val="22"/>
                <w:szCs w:val="22"/>
                <w:lang w:val="sv-SE"/>
              </w:rPr>
              <w:pPrChange w:id="378" w:author="Author">
                <w:pPr>
                  <w:pStyle w:val="Table"/>
                  <w:keepLines w:val="0"/>
                </w:pPr>
              </w:pPrChange>
            </w:pPr>
            <w:smartTag w:uri="urn:schemas-microsoft-com:office:smarttags" w:element="stockticker">
              <w:r w:rsidRPr="008A4F40">
                <w:rPr>
                  <w:rFonts w:ascii="Times New Roman" w:hAnsi="Times New Roman"/>
                  <w:color w:val="000000"/>
                  <w:sz w:val="22"/>
                  <w:szCs w:val="22"/>
                  <w:lang w:val="sv-SE"/>
                </w:rPr>
                <w:t>MTX</w:t>
              </w:r>
            </w:smartTag>
            <w:r w:rsidRPr="008A4F40">
              <w:rPr>
                <w:rFonts w:ascii="Times New Roman" w:hAnsi="Times New Roman"/>
                <w:color w:val="000000"/>
                <w:sz w:val="22"/>
                <w:szCs w:val="22"/>
                <w:lang w:val="sv-SE"/>
              </w:rPr>
              <w:t xml:space="preserve"> 500 mg/m</w:t>
            </w:r>
            <w:r w:rsidRPr="008A4F40">
              <w:rPr>
                <w:rFonts w:ascii="Times New Roman" w:hAnsi="Times New Roman"/>
                <w:color w:val="000000"/>
                <w:sz w:val="22"/>
                <w:szCs w:val="22"/>
                <w:vertAlign w:val="superscript"/>
                <w:lang w:val="sv-SE"/>
              </w:rPr>
              <w:t>2</w:t>
            </w:r>
            <w:r w:rsidRPr="008A4F40">
              <w:rPr>
                <w:rFonts w:ascii="Times New Roman" w:hAnsi="Times New Roman"/>
                <w:color w:val="000000"/>
                <w:sz w:val="22"/>
                <w:szCs w:val="22"/>
                <w:lang w:val="sv-SE"/>
              </w:rPr>
              <w:t xml:space="preserve"> i.v. (24 h), Tage 1, 15;</w:t>
            </w:r>
          </w:p>
          <w:p w14:paraId="1A14DDD1" w14:textId="1B7DC916" w:rsidR="003A33A6" w:rsidRPr="008A4F40" w:rsidRDefault="003A33A6">
            <w:pPr>
              <w:pStyle w:val="Table"/>
              <w:keepLines w:val="0"/>
              <w:spacing w:before="0" w:after="0"/>
              <w:rPr>
                <w:rFonts w:ascii="Times New Roman" w:hAnsi="Times New Roman"/>
                <w:color w:val="000000"/>
                <w:sz w:val="22"/>
                <w:szCs w:val="22"/>
                <w:lang w:val="sv-SE"/>
              </w:rPr>
              <w:pPrChange w:id="379" w:author="Author">
                <w:pPr>
                  <w:pStyle w:val="Table"/>
                  <w:keepLines w:val="0"/>
                </w:pPr>
              </w:pPrChange>
            </w:pPr>
            <w:r w:rsidRPr="008A4F40">
              <w:rPr>
                <w:rFonts w:ascii="Times New Roman" w:hAnsi="Times New Roman"/>
                <w:color w:val="000000"/>
                <w:sz w:val="22"/>
                <w:szCs w:val="22"/>
                <w:lang w:val="sv-SE"/>
              </w:rPr>
              <w:t>6-MP 25 mg/m</w:t>
            </w:r>
            <w:r w:rsidRPr="008A4F40">
              <w:rPr>
                <w:rFonts w:ascii="Times New Roman" w:hAnsi="Times New Roman"/>
                <w:color w:val="000000"/>
                <w:sz w:val="22"/>
                <w:szCs w:val="22"/>
                <w:vertAlign w:val="superscript"/>
                <w:lang w:val="sv-SE"/>
              </w:rPr>
              <w:t>2</w:t>
            </w:r>
            <w:r w:rsidRPr="008A4F40">
              <w:rPr>
                <w:rFonts w:ascii="Times New Roman" w:hAnsi="Times New Roman"/>
                <w:color w:val="000000"/>
                <w:sz w:val="22"/>
                <w:szCs w:val="22"/>
                <w:lang w:val="sv-SE"/>
              </w:rPr>
              <w:t xml:space="preserve"> oral, Tage 1</w:t>
            </w:r>
            <w:ins w:id="380" w:author="Author">
              <w:r w:rsidR="00665BF5" w:rsidRPr="00665BF5">
                <w:rPr>
                  <w:rFonts w:ascii="Times New Roman" w:hAnsi="Times New Roman"/>
                  <w:color w:val="000000"/>
                  <w:sz w:val="22"/>
                  <w:szCs w:val="22"/>
                  <w:lang w:val="sv-SE"/>
                </w:rPr>
                <w:t>–</w:t>
              </w:r>
            </w:ins>
            <w:del w:id="381" w:author="Author">
              <w:r w:rsidRPr="008A4F40" w:rsidDel="00665BF5">
                <w:rPr>
                  <w:rFonts w:ascii="Times New Roman" w:hAnsi="Times New Roman"/>
                  <w:color w:val="000000"/>
                  <w:sz w:val="22"/>
                  <w:szCs w:val="22"/>
                  <w:lang w:val="sv-SE"/>
                </w:rPr>
                <w:delText>-</w:delText>
              </w:r>
            </w:del>
            <w:r w:rsidRPr="008A4F40">
              <w:rPr>
                <w:rFonts w:ascii="Times New Roman" w:hAnsi="Times New Roman"/>
                <w:color w:val="000000"/>
                <w:sz w:val="22"/>
                <w:szCs w:val="22"/>
                <w:lang w:val="sv-SE"/>
              </w:rPr>
              <w:t>20</w:t>
            </w:r>
          </w:p>
        </w:tc>
      </w:tr>
      <w:tr w:rsidR="003A33A6" w:rsidRPr="008A4F40" w14:paraId="46C3618E" w14:textId="77777777" w:rsidTr="00DA7B0B">
        <w:trPr>
          <w:cantSplit/>
        </w:trPr>
        <w:tc>
          <w:tcPr>
            <w:tcW w:w="2148" w:type="dxa"/>
            <w:tcBorders>
              <w:top w:val="single" w:sz="4" w:space="0" w:color="auto"/>
              <w:bottom w:val="single" w:sz="4" w:space="0" w:color="auto"/>
            </w:tcBorders>
          </w:tcPr>
          <w:p w14:paraId="4B172C69" w14:textId="77777777" w:rsidR="003A33A6" w:rsidRPr="008A4F40" w:rsidRDefault="003A33A6">
            <w:pPr>
              <w:pStyle w:val="Table"/>
              <w:keepNext w:val="0"/>
              <w:keepLines w:val="0"/>
              <w:spacing w:before="0" w:after="0"/>
              <w:rPr>
                <w:rFonts w:ascii="Times New Roman" w:hAnsi="Times New Roman"/>
                <w:color w:val="000000"/>
                <w:sz w:val="22"/>
                <w:szCs w:val="22"/>
              </w:rPr>
              <w:pPrChange w:id="382" w:author="Author">
                <w:pPr>
                  <w:pStyle w:val="Table"/>
                  <w:keepNext w:val="0"/>
                  <w:keepLines w:val="0"/>
                </w:pPr>
              </w:pPrChange>
            </w:pPr>
            <w:proofErr w:type="spellStart"/>
            <w:r w:rsidRPr="008A4F40">
              <w:rPr>
                <w:rFonts w:ascii="Times New Roman" w:hAnsi="Times New Roman"/>
                <w:color w:val="000000"/>
                <w:sz w:val="22"/>
                <w:szCs w:val="22"/>
              </w:rPr>
              <w:t>Konsolidierungs-therapie</w:t>
            </w:r>
            <w:proofErr w:type="spellEnd"/>
            <w:r w:rsidRPr="008A4F40">
              <w:rPr>
                <w:rFonts w:ascii="Times New Roman" w:hAnsi="Times New Roman"/>
                <w:color w:val="000000"/>
                <w:sz w:val="22"/>
                <w:szCs w:val="22"/>
              </w:rPr>
              <w:t xml:space="preserve"> II, IV</w:t>
            </w:r>
          </w:p>
        </w:tc>
        <w:tc>
          <w:tcPr>
            <w:tcW w:w="6732" w:type="dxa"/>
            <w:gridSpan w:val="4"/>
            <w:tcBorders>
              <w:top w:val="single" w:sz="4" w:space="0" w:color="auto"/>
              <w:bottom w:val="single" w:sz="4" w:space="0" w:color="auto"/>
            </w:tcBorders>
          </w:tcPr>
          <w:p w14:paraId="530FA6AA" w14:textId="658BF0DF" w:rsidR="003A33A6" w:rsidRPr="008A4F40" w:rsidRDefault="003A33A6">
            <w:pPr>
              <w:pStyle w:val="Table"/>
              <w:keepNext w:val="0"/>
              <w:keepLines w:val="0"/>
              <w:spacing w:before="0" w:after="0"/>
              <w:rPr>
                <w:rFonts w:ascii="Times New Roman" w:hAnsi="Times New Roman"/>
                <w:color w:val="000000"/>
                <w:sz w:val="22"/>
                <w:szCs w:val="22"/>
                <w:lang w:val="pt-BR"/>
              </w:rPr>
              <w:pPrChange w:id="383" w:author="Author">
                <w:pPr>
                  <w:pStyle w:val="Table"/>
                  <w:keepNext w:val="0"/>
                  <w:keepLines w:val="0"/>
                </w:pPr>
              </w:pPrChange>
            </w:pPr>
            <w:r w:rsidRPr="008A4F40">
              <w:rPr>
                <w:rFonts w:ascii="Times New Roman" w:hAnsi="Times New Roman"/>
                <w:color w:val="000000"/>
                <w:sz w:val="22"/>
                <w:szCs w:val="22"/>
                <w:lang w:val="pt-BR"/>
              </w:rPr>
              <w:t>Ara-C 75 mg/m</w:t>
            </w:r>
            <w:r w:rsidRPr="008A4F40">
              <w:rPr>
                <w:rFonts w:ascii="Times New Roman" w:hAnsi="Times New Roman"/>
                <w:color w:val="000000"/>
                <w:sz w:val="22"/>
                <w:szCs w:val="22"/>
                <w:vertAlign w:val="superscript"/>
                <w:lang w:val="pt-BR"/>
              </w:rPr>
              <w:t>2</w:t>
            </w:r>
            <w:r w:rsidRPr="008A4F40">
              <w:rPr>
                <w:rFonts w:ascii="Times New Roman" w:hAnsi="Times New Roman"/>
                <w:color w:val="000000"/>
                <w:sz w:val="22"/>
                <w:szCs w:val="22"/>
                <w:lang w:val="pt-BR"/>
              </w:rPr>
              <w:t xml:space="preserve"> i.v. (1 h), Tage 1</w:t>
            </w:r>
            <w:ins w:id="384" w:author="Author">
              <w:r w:rsidR="00665BF5" w:rsidRPr="00665BF5">
                <w:rPr>
                  <w:rFonts w:ascii="Times New Roman" w:hAnsi="Times New Roman"/>
                  <w:color w:val="000000"/>
                  <w:sz w:val="22"/>
                  <w:szCs w:val="22"/>
                  <w:lang w:val="pt-BR"/>
                </w:rPr>
                <w:t>–</w:t>
              </w:r>
            </w:ins>
            <w:del w:id="385" w:author="Author">
              <w:r w:rsidRPr="008A4F40" w:rsidDel="00665BF5">
                <w:rPr>
                  <w:rFonts w:ascii="Times New Roman" w:hAnsi="Times New Roman"/>
                  <w:color w:val="000000"/>
                  <w:sz w:val="22"/>
                  <w:szCs w:val="22"/>
                  <w:lang w:val="pt-BR"/>
                </w:rPr>
                <w:delText>-</w:delText>
              </w:r>
            </w:del>
            <w:r w:rsidRPr="008A4F40">
              <w:rPr>
                <w:rFonts w:ascii="Times New Roman" w:hAnsi="Times New Roman"/>
                <w:color w:val="000000"/>
                <w:sz w:val="22"/>
                <w:szCs w:val="22"/>
                <w:lang w:val="pt-BR"/>
              </w:rPr>
              <w:t>5;</w:t>
            </w:r>
          </w:p>
          <w:p w14:paraId="1A799E87" w14:textId="63552787" w:rsidR="003A33A6" w:rsidRPr="008A4F40" w:rsidRDefault="003A33A6">
            <w:pPr>
              <w:pStyle w:val="Table"/>
              <w:keepNext w:val="0"/>
              <w:keepLines w:val="0"/>
              <w:spacing w:before="0" w:after="0"/>
              <w:rPr>
                <w:rFonts w:ascii="Times New Roman" w:hAnsi="Times New Roman"/>
                <w:color w:val="000000"/>
                <w:sz w:val="22"/>
                <w:szCs w:val="22"/>
                <w:lang w:val="da-DK"/>
              </w:rPr>
              <w:pPrChange w:id="386" w:author="Author">
                <w:pPr>
                  <w:pStyle w:val="Table"/>
                  <w:keepNext w:val="0"/>
                  <w:keepLines w:val="0"/>
                </w:pPr>
              </w:pPrChange>
            </w:pPr>
            <w:r w:rsidRPr="008A4F40">
              <w:rPr>
                <w:rFonts w:ascii="Times New Roman" w:hAnsi="Times New Roman"/>
                <w:color w:val="000000"/>
                <w:sz w:val="22"/>
                <w:szCs w:val="22"/>
                <w:lang w:val="da-DK"/>
              </w:rPr>
              <w:t>VM26 60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(1 h), Tage 1</w:t>
            </w:r>
            <w:ins w:id="387" w:author="Author">
              <w:r w:rsidR="00665BF5" w:rsidRPr="00665BF5">
                <w:rPr>
                  <w:rFonts w:ascii="Times New Roman" w:hAnsi="Times New Roman"/>
                  <w:color w:val="000000"/>
                  <w:sz w:val="22"/>
                  <w:szCs w:val="22"/>
                  <w:lang w:val="da-DK"/>
                </w:rPr>
                <w:t>–</w:t>
              </w:r>
            </w:ins>
            <w:del w:id="388" w:author="Author">
              <w:r w:rsidRPr="008A4F40" w:rsidDel="00665BF5">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tc>
      </w:tr>
      <w:tr w:rsidR="003A33A6" w:rsidRPr="008A4F40" w14:paraId="56C8D3FB" w14:textId="77777777" w:rsidTr="00DA7B0B">
        <w:trPr>
          <w:cantSplit/>
        </w:trPr>
        <w:tc>
          <w:tcPr>
            <w:tcW w:w="2148" w:type="dxa"/>
            <w:tcBorders>
              <w:top w:val="single" w:sz="4" w:space="0" w:color="auto"/>
              <w:bottom w:val="single" w:sz="4" w:space="0" w:color="auto"/>
            </w:tcBorders>
          </w:tcPr>
          <w:p w14:paraId="50826D7C" w14:textId="77777777" w:rsidR="003A33A6" w:rsidRPr="008A4F40" w:rsidRDefault="003A33A6">
            <w:pPr>
              <w:pStyle w:val="Table"/>
              <w:keepLines w:val="0"/>
              <w:spacing w:before="0" w:after="0"/>
              <w:rPr>
                <w:rFonts w:ascii="Times New Roman" w:hAnsi="Times New Roman"/>
                <w:b/>
                <w:color w:val="000000"/>
                <w:sz w:val="22"/>
                <w:szCs w:val="22"/>
              </w:rPr>
              <w:pPrChange w:id="389" w:author="Author">
                <w:pPr>
                  <w:pStyle w:val="Table"/>
                  <w:keepLines w:val="0"/>
                </w:pPr>
              </w:pPrChange>
            </w:pPr>
            <w:r w:rsidRPr="008A4F40">
              <w:rPr>
                <w:rFonts w:ascii="Times New Roman" w:hAnsi="Times New Roman"/>
                <w:b/>
                <w:color w:val="000000"/>
                <w:sz w:val="22"/>
                <w:szCs w:val="22"/>
              </w:rPr>
              <w:t>Studie AAU02</w:t>
            </w:r>
          </w:p>
        </w:tc>
        <w:tc>
          <w:tcPr>
            <w:tcW w:w="2652" w:type="dxa"/>
            <w:tcBorders>
              <w:top w:val="single" w:sz="4" w:space="0" w:color="auto"/>
              <w:bottom w:val="single" w:sz="4" w:space="0" w:color="auto"/>
            </w:tcBorders>
          </w:tcPr>
          <w:p w14:paraId="36AF1347" w14:textId="77777777" w:rsidR="003A33A6" w:rsidRPr="008A4F40" w:rsidRDefault="003A33A6">
            <w:pPr>
              <w:pStyle w:val="Table"/>
              <w:keepLines w:val="0"/>
              <w:spacing w:before="0" w:after="0"/>
              <w:rPr>
                <w:rFonts w:ascii="Times New Roman" w:hAnsi="Times New Roman"/>
                <w:color w:val="000000"/>
                <w:sz w:val="22"/>
                <w:szCs w:val="22"/>
              </w:rPr>
              <w:pPrChange w:id="390" w:author="Author">
                <w:pPr>
                  <w:pStyle w:val="Table"/>
                  <w:keepLines w:val="0"/>
                </w:pPr>
              </w:pPrChange>
            </w:pPr>
          </w:p>
        </w:tc>
        <w:tc>
          <w:tcPr>
            <w:tcW w:w="1080" w:type="dxa"/>
            <w:tcBorders>
              <w:top w:val="single" w:sz="4" w:space="0" w:color="auto"/>
              <w:bottom w:val="single" w:sz="4" w:space="0" w:color="auto"/>
            </w:tcBorders>
          </w:tcPr>
          <w:p w14:paraId="75834D7A" w14:textId="77777777" w:rsidR="003A33A6" w:rsidRPr="008A4F40" w:rsidRDefault="003A33A6">
            <w:pPr>
              <w:pStyle w:val="Table"/>
              <w:keepLines w:val="0"/>
              <w:spacing w:before="0" w:after="0"/>
              <w:rPr>
                <w:rFonts w:ascii="Times New Roman" w:hAnsi="Times New Roman"/>
                <w:color w:val="000000"/>
                <w:sz w:val="22"/>
                <w:szCs w:val="22"/>
              </w:rPr>
              <w:pPrChange w:id="391" w:author="Author">
                <w:pPr>
                  <w:pStyle w:val="Table"/>
                  <w:keepLines w:val="0"/>
                </w:pPr>
              </w:pPrChange>
            </w:pPr>
          </w:p>
        </w:tc>
        <w:tc>
          <w:tcPr>
            <w:tcW w:w="1380" w:type="dxa"/>
            <w:tcBorders>
              <w:top w:val="single" w:sz="4" w:space="0" w:color="auto"/>
              <w:bottom w:val="single" w:sz="4" w:space="0" w:color="auto"/>
            </w:tcBorders>
          </w:tcPr>
          <w:p w14:paraId="4940347C" w14:textId="77777777" w:rsidR="003A33A6" w:rsidRPr="008A4F40" w:rsidRDefault="003A33A6">
            <w:pPr>
              <w:pStyle w:val="Table"/>
              <w:keepLines w:val="0"/>
              <w:spacing w:before="0" w:after="0"/>
              <w:rPr>
                <w:rFonts w:ascii="Times New Roman" w:hAnsi="Times New Roman"/>
                <w:color w:val="000000"/>
                <w:sz w:val="22"/>
                <w:szCs w:val="22"/>
              </w:rPr>
              <w:pPrChange w:id="392" w:author="Author">
                <w:pPr>
                  <w:pStyle w:val="Table"/>
                  <w:keepLines w:val="0"/>
                </w:pPr>
              </w:pPrChange>
            </w:pPr>
          </w:p>
        </w:tc>
        <w:tc>
          <w:tcPr>
            <w:tcW w:w="1620" w:type="dxa"/>
            <w:tcBorders>
              <w:top w:val="single" w:sz="4" w:space="0" w:color="auto"/>
              <w:bottom w:val="single" w:sz="4" w:space="0" w:color="auto"/>
            </w:tcBorders>
          </w:tcPr>
          <w:p w14:paraId="3F2A59EE" w14:textId="77777777" w:rsidR="003A33A6" w:rsidRPr="008A4F40" w:rsidRDefault="003A33A6">
            <w:pPr>
              <w:pStyle w:val="Table"/>
              <w:keepLines w:val="0"/>
              <w:spacing w:before="0" w:after="0"/>
              <w:rPr>
                <w:rFonts w:ascii="Times New Roman" w:hAnsi="Times New Roman"/>
                <w:color w:val="000000"/>
                <w:sz w:val="22"/>
                <w:szCs w:val="22"/>
              </w:rPr>
              <w:pPrChange w:id="393" w:author="Author">
                <w:pPr>
                  <w:pStyle w:val="Table"/>
                  <w:keepLines w:val="0"/>
                </w:pPr>
              </w:pPrChange>
            </w:pPr>
          </w:p>
        </w:tc>
      </w:tr>
      <w:tr w:rsidR="003A33A6" w:rsidRPr="008A4F40" w14:paraId="4BC54208" w14:textId="77777777" w:rsidTr="00DA7B0B">
        <w:trPr>
          <w:cantSplit/>
        </w:trPr>
        <w:tc>
          <w:tcPr>
            <w:tcW w:w="2148" w:type="dxa"/>
            <w:tcBorders>
              <w:top w:val="single" w:sz="4" w:space="0" w:color="auto"/>
              <w:bottom w:val="single" w:sz="4" w:space="0" w:color="auto"/>
            </w:tcBorders>
          </w:tcPr>
          <w:p w14:paraId="717919D3" w14:textId="77777777" w:rsidR="003A33A6" w:rsidRPr="008A4F40" w:rsidRDefault="003A33A6">
            <w:pPr>
              <w:pStyle w:val="Table"/>
              <w:keepLines w:val="0"/>
              <w:spacing w:before="0" w:after="0"/>
              <w:rPr>
                <w:rFonts w:ascii="Times New Roman" w:hAnsi="Times New Roman"/>
                <w:color w:val="000000"/>
                <w:sz w:val="22"/>
                <w:szCs w:val="22"/>
                <w:lang w:val="de-DE"/>
              </w:rPr>
              <w:pPrChange w:id="394" w:author="Author">
                <w:pPr>
                  <w:pStyle w:val="Table"/>
                  <w:keepLines w:val="0"/>
                </w:pPr>
              </w:pPrChange>
            </w:pPr>
            <w:r w:rsidRPr="008A4F40">
              <w:rPr>
                <w:rFonts w:ascii="Times New Roman" w:hAnsi="Times New Roman"/>
                <w:color w:val="000000"/>
                <w:sz w:val="22"/>
                <w:szCs w:val="22"/>
                <w:lang w:val="de-DE"/>
              </w:rPr>
              <w:t>Induktionstherapie (</w:t>
            </w:r>
            <w:r w:rsidRPr="008A4F40">
              <w:rPr>
                <w:rFonts w:ascii="Times New Roman" w:hAnsi="Times New Roman"/>
                <w:i/>
                <w:color w:val="000000"/>
                <w:sz w:val="22"/>
                <w:szCs w:val="22"/>
                <w:lang w:val="de-DE"/>
              </w:rPr>
              <w:t>de novo</w:t>
            </w:r>
            <w:r w:rsidRPr="008A4F40">
              <w:rPr>
                <w:rFonts w:ascii="Times New Roman" w:hAnsi="Times New Roman"/>
                <w:color w:val="000000"/>
                <w:sz w:val="22"/>
                <w:szCs w:val="22"/>
                <w:lang w:val="de-DE"/>
              </w:rPr>
              <w:t xml:space="preserve"> Ph+ </w:t>
            </w:r>
            <w:smartTag w:uri="urn:schemas-microsoft-com:office:smarttags" w:element="stockticker">
              <w:r w:rsidRPr="008A4F40">
                <w:rPr>
                  <w:rFonts w:ascii="Times New Roman" w:hAnsi="Times New Roman"/>
                  <w:color w:val="000000"/>
                  <w:sz w:val="22"/>
                  <w:szCs w:val="22"/>
                  <w:lang w:val="de-DE"/>
                </w:rPr>
                <w:t>ALL</w:t>
              </w:r>
            </w:smartTag>
            <w:r w:rsidRPr="008A4F40">
              <w:rPr>
                <w:rFonts w:ascii="Times New Roman" w:hAnsi="Times New Roman"/>
                <w:color w:val="000000"/>
                <w:sz w:val="22"/>
                <w:szCs w:val="22"/>
                <w:lang w:val="de-DE"/>
              </w:rPr>
              <w:t>)</w:t>
            </w:r>
          </w:p>
        </w:tc>
        <w:tc>
          <w:tcPr>
            <w:tcW w:w="6732" w:type="dxa"/>
            <w:gridSpan w:val="4"/>
            <w:tcBorders>
              <w:top w:val="single" w:sz="4" w:space="0" w:color="auto"/>
              <w:bottom w:val="single" w:sz="4" w:space="0" w:color="auto"/>
            </w:tcBorders>
          </w:tcPr>
          <w:p w14:paraId="4DE0A518" w14:textId="22D7D0B1" w:rsidR="003A33A6" w:rsidRPr="008A4F40" w:rsidRDefault="003A33A6">
            <w:pPr>
              <w:pStyle w:val="Table"/>
              <w:keepLines w:val="0"/>
              <w:spacing w:before="0" w:after="0"/>
              <w:rPr>
                <w:rFonts w:ascii="Times New Roman" w:hAnsi="Times New Roman"/>
                <w:color w:val="000000"/>
                <w:sz w:val="22"/>
                <w:szCs w:val="22"/>
                <w:lang w:val="da-DK"/>
              </w:rPr>
              <w:pPrChange w:id="395" w:author="Author">
                <w:pPr>
                  <w:pStyle w:val="Table"/>
                  <w:keepLines w:val="0"/>
                </w:pPr>
              </w:pPrChange>
            </w:pPr>
            <w:r w:rsidRPr="008A4F40">
              <w:rPr>
                <w:rFonts w:ascii="Times New Roman" w:hAnsi="Times New Roman"/>
                <w:color w:val="000000"/>
                <w:sz w:val="22"/>
                <w:szCs w:val="22"/>
                <w:lang w:val="da-DK"/>
              </w:rPr>
              <w:t>Daunorubicin 30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1</w:t>
            </w:r>
            <w:ins w:id="396" w:author="Author">
              <w:r w:rsidR="00665BF5" w:rsidRPr="00665BF5">
                <w:rPr>
                  <w:rFonts w:ascii="Times New Roman" w:hAnsi="Times New Roman"/>
                  <w:color w:val="000000"/>
                  <w:sz w:val="22"/>
                  <w:szCs w:val="22"/>
                  <w:lang w:val="da-DK"/>
                </w:rPr>
                <w:t>–</w:t>
              </w:r>
            </w:ins>
            <w:del w:id="397" w:author="Author">
              <w:r w:rsidRPr="008A4F40" w:rsidDel="00665BF5">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3, 15</w:t>
            </w:r>
            <w:ins w:id="398" w:author="Author">
              <w:r w:rsidR="00665BF5" w:rsidRPr="00665BF5">
                <w:rPr>
                  <w:rFonts w:ascii="Times New Roman" w:hAnsi="Times New Roman"/>
                  <w:color w:val="000000"/>
                  <w:sz w:val="22"/>
                  <w:szCs w:val="22"/>
                  <w:lang w:val="da-DK"/>
                </w:rPr>
                <w:t>–</w:t>
              </w:r>
            </w:ins>
            <w:del w:id="399" w:author="Author">
              <w:r w:rsidRPr="008A4F40" w:rsidDel="00665BF5">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16;</w:t>
            </w:r>
          </w:p>
          <w:p w14:paraId="3E2A63DC" w14:textId="77777777" w:rsidR="003A33A6" w:rsidRPr="008A4F40" w:rsidRDefault="003A33A6">
            <w:pPr>
              <w:pStyle w:val="Table"/>
              <w:keepLines w:val="0"/>
              <w:spacing w:before="0" w:after="0"/>
              <w:rPr>
                <w:rFonts w:ascii="Times New Roman" w:hAnsi="Times New Roman"/>
                <w:color w:val="000000"/>
                <w:sz w:val="22"/>
                <w:szCs w:val="22"/>
                <w:lang w:val="da-DK"/>
              </w:rPr>
              <w:pPrChange w:id="400" w:author="Author">
                <w:pPr>
                  <w:pStyle w:val="Table"/>
                  <w:keepLines w:val="0"/>
                </w:pPr>
              </w:pPrChange>
            </w:pPr>
            <w:r w:rsidRPr="008A4F40">
              <w:rPr>
                <w:rFonts w:ascii="Times New Roman" w:hAnsi="Times New Roman"/>
                <w:color w:val="000000"/>
                <w:sz w:val="22"/>
                <w:szCs w:val="22"/>
                <w:lang w:val="da-DK"/>
              </w:rPr>
              <w:t>VCR 2 mg Gesamtdosis i.v., Tage 1, 8, 15, 22;</w:t>
            </w:r>
          </w:p>
          <w:p w14:paraId="7B45B61A" w14:textId="77777777" w:rsidR="003A33A6" w:rsidRPr="008A4F40" w:rsidRDefault="003A33A6">
            <w:pPr>
              <w:pStyle w:val="Table"/>
              <w:keepLines w:val="0"/>
              <w:spacing w:before="0" w:after="0"/>
              <w:rPr>
                <w:rFonts w:ascii="Times New Roman" w:hAnsi="Times New Roman"/>
                <w:color w:val="000000"/>
                <w:sz w:val="22"/>
                <w:szCs w:val="22"/>
                <w:lang w:val="da-DK"/>
              </w:rPr>
              <w:pPrChange w:id="401" w:author="Author">
                <w:pPr>
                  <w:pStyle w:val="Table"/>
                  <w:keepLines w:val="0"/>
                </w:pPr>
              </w:pPrChange>
            </w:pPr>
            <w:r w:rsidRPr="008A4F40">
              <w:rPr>
                <w:rFonts w:ascii="Times New Roman" w:hAnsi="Times New Roman"/>
                <w:color w:val="000000"/>
                <w:sz w:val="22"/>
                <w:szCs w:val="22"/>
                <w:lang w:val="da-DK"/>
              </w:rPr>
              <w:t>CP 750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1, 8;</w:t>
            </w:r>
          </w:p>
          <w:p w14:paraId="3C67F2B7" w14:textId="7E6124A4" w:rsidR="003A33A6" w:rsidRPr="008A4F40" w:rsidRDefault="003A33A6">
            <w:pPr>
              <w:pStyle w:val="Table"/>
              <w:keepLines w:val="0"/>
              <w:spacing w:before="0" w:after="0"/>
              <w:rPr>
                <w:rFonts w:ascii="Times New Roman" w:hAnsi="Times New Roman"/>
                <w:color w:val="000000"/>
                <w:sz w:val="22"/>
                <w:szCs w:val="22"/>
                <w:lang w:val="da-DK"/>
              </w:rPr>
              <w:pPrChange w:id="402" w:author="Author">
                <w:pPr>
                  <w:pStyle w:val="Table"/>
                  <w:keepLines w:val="0"/>
                </w:pPr>
              </w:pPrChange>
            </w:pPr>
            <w:r w:rsidRPr="008A4F40">
              <w:rPr>
                <w:rFonts w:ascii="Times New Roman" w:hAnsi="Times New Roman"/>
                <w:color w:val="000000"/>
                <w:sz w:val="22"/>
                <w:szCs w:val="22"/>
                <w:lang w:val="da-DK"/>
              </w:rPr>
              <w:t>Prednison 60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1</w:t>
            </w:r>
            <w:ins w:id="403" w:author="Author">
              <w:r w:rsidR="002222CA" w:rsidRPr="002222CA">
                <w:rPr>
                  <w:rFonts w:ascii="Times New Roman" w:hAnsi="Times New Roman"/>
                  <w:color w:val="000000"/>
                  <w:sz w:val="22"/>
                  <w:szCs w:val="22"/>
                  <w:lang w:val="da-DK"/>
                </w:rPr>
                <w:t>–</w:t>
              </w:r>
            </w:ins>
            <w:del w:id="404"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7, 15</w:t>
            </w:r>
            <w:ins w:id="405" w:author="Author">
              <w:r w:rsidR="002222CA" w:rsidRPr="002222CA">
                <w:rPr>
                  <w:rFonts w:ascii="Times New Roman" w:hAnsi="Times New Roman"/>
                  <w:color w:val="000000"/>
                  <w:sz w:val="22"/>
                  <w:szCs w:val="22"/>
                  <w:lang w:val="da-DK"/>
                </w:rPr>
                <w:t>–</w:t>
              </w:r>
            </w:ins>
            <w:del w:id="406"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21;</w:t>
            </w:r>
          </w:p>
          <w:p w14:paraId="7AD72647" w14:textId="6F7AF233" w:rsidR="003A33A6" w:rsidRPr="008A4F40" w:rsidRDefault="003A33A6">
            <w:pPr>
              <w:pStyle w:val="Table"/>
              <w:keepLines w:val="0"/>
              <w:spacing w:before="0" w:after="0"/>
              <w:rPr>
                <w:rFonts w:ascii="Times New Roman" w:hAnsi="Times New Roman"/>
                <w:color w:val="000000"/>
                <w:sz w:val="22"/>
                <w:szCs w:val="22"/>
                <w:lang w:val="da-DK"/>
              </w:rPr>
              <w:pPrChange w:id="407" w:author="Author">
                <w:pPr>
                  <w:pStyle w:val="Table"/>
                  <w:keepLines w:val="0"/>
                </w:pPr>
              </w:pPrChange>
            </w:pPr>
            <w:r w:rsidRPr="008A4F40">
              <w:rPr>
                <w:rFonts w:ascii="Times New Roman" w:hAnsi="Times New Roman"/>
                <w:color w:val="000000"/>
                <w:sz w:val="22"/>
                <w:szCs w:val="22"/>
                <w:lang w:val="da-DK"/>
              </w:rPr>
              <w:t>IDA 9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1</w:t>
            </w:r>
            <w:ins w:id="408" w:author="Author">
              <w:r w:rsidR="002222CA" w:rsidRPr="002222CA">
                <w:rPr>
                  <w:rFonts w:ascii="Times New Roman" w:hAnsi="Times New Roman"/>
                  <w:color w:val="000000"/>
                  <w:sz w:val="22"/>
                  <w:szCs w:val="22"/>
                  <w:lang w:val="da-DK"/>
                </w:rPr>
                <w:t>–</w:t>
              </w:r>
            </w:ins>
            <w:del w:id="409"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 xml:space="preserve">28; </w:t>
            </w:r>
            <w:smartTag w:uri="urn:schemas-microsoft-com:office:smarttags" w:element="stockticker">
              <w:r w:rsidRPr="008A4F40">
                <w:rPr>
                  <w:rFonts w:ascii="Times New Roman" w:hAnsi="Times New Roman"/>
                  <w:color w:val="000000"/>
                  <w:sz w:val="22"/>
                  <w:szCs w:val="22"/>
                  <w:lang w:val="da-DK"/>
                </w:rPr>
                <w:t>MTX</w:t>
              </w:r>
            </w:smartTag>
            <w:r w:rsidRPr="008A4F40">
              <w:rPr>
                <w:rFonts w:ascii="Times New Roman" w:hAnsi="Times New Roman"/>
                <w:color w:val="000000"/>
                <w:sz w:val="22"/>
                <w:szCs w:val="22"/>
                <w:lang w:val="da-DK"/>
              </w:rPr>
              <w:t xml:space="preserve"> 15 mg intrathekal, Tage 1, 8, 15, 22;</w:t>
            </w:r>
          </w:p>
          <w:p w14:paraId="2AE45CCB" w14:textId="77777777" w:rsidR="003A33A6" w:rsidRPr="008A4F40" w:rsidRDefault="003A33A6">
            <w:pPr>
              <w:pStyle w:val="Table"/>
              <w:keepLines w:val="0"/>
              <w:spacing w:before="0" w:after="0"/>
              <w:rPr>
                <w:rFonts w:ascii="Times New Roman" w:hAnsi="Times New Roman"/>
                <w:color w:val="000000"/>
                <w:sz w:val="22"/>
                <w:szCs w:val="22"/>
                <w:lang w:val="da-DK"/>
              </w:rPr>
              <w:pPrChange w:id="410" w:author="Author">
                <w:pPr>
                  <w:pStyle w:val="Table"/>
                  <w:keepLines w:val="0"/>
                </w:pPr>
              </w:pPrChange>
            </w:pPr>
            <w:r w:rsidRPr="008A4F40">
              <w:rPr>
                <w:rFonts w:ascii="Times New Roman" w:hAnsi="Times New Roman"/>
                <w:color w:val="000000"/>
                <w:sz w:val="22"/>
                <w:szCs w:val="22"/>
                <w:lang w:val="da-DK"/>
              </w:rPr>
              <w:t>Ara-C 40 mg intrathekal, Tage 1, 8, 15, 22;</w:t>
            </w:r>
          </w:p>
          <w:p w14:paraId="15C899E9" w14:textId="77777777" w:rsidR="003A33A6" w:rsidRPr="008A4F40" w:rsidRDefault="003A33A6">
            <w:pPr>
              <w:pStyle w:val="Table"/>
              <w:keepLines w:val="0"/>
              <w:spacing w:before="0" w:after="0"/>
              <w:rPr>
                <w:rFonts w:ascii="Times New Roman" w:hAnsi="Times New Roman"/>
                <w:color w:val="000000"/>
                <w:sz w:val="22"/>
                <w:szCs w:val="22"/>
                <w:lang w:val="de-DE"/>
              </w:rPr>
              <w:pPrChange w:id="411" w:author="Author">
                <w:pPr>
                  <w:pStyle w:val="Table"/>
                  <w:keepLines w:val="0"/>
                </w:pPr>
              </w:pPrChange>
            </w:pPr>
            <w:r w:rsidRPr="008A4F40">
              <w:rPr>
                <w:rFonts w:ascii="Times New Roman" w:hAnsi="Times New Roman"/>
                <w:color w:val="000000"/>
                <w:sz w:val="22"/>
                <w:szCs w:val="22"/>
                <w:lang w:val="de-DE"/>
              </w:rPr>
              <w:t xml:space="preserve">Methylprednisolon 40 mg intrathekal, Tage 1, 8, 15, 22 </w:t>
            </w:r>
          </w:p>
        </w:tc>
      </w:tr>
      <w:tr w:rsidR="003A33A6" w:rsidRPr="008A4F40" w14:paraId="3BDA9503" w14:textId="77777777" w:rsidTr="00DA7B0B">
        <w:trPr>
          <w:cantSplit/>
        </w:trPr>
        <w:tc>
          <w:tcPr>
            <w:tcW w:w="2148" w:type="dxa"/>
            <w:tcBorders>
              <w:top w:val="single" w:sz="4" w:space="0" w:color="auto"/>
              <w:bottom w:val="single" w:sz="4" w:space="0" w:color="auto"/>
            </w:tcBorders>
          </w:tcPr>
          <w:p w14:paraId="69830432" w14:textId="77777777" w:rsidR="003A33A6" w:rsidRPr="008A4F40" w:rsidRDefault="003A33A6">
            <w:pPr>
              <w:pStyle w:val="Table"/>
              <w:keepNext w:val="0"/>
              <w:keepLines w:val="0"/>
              <w:spacing w:before="0" w:after="0"/>
              <w:rPr>
                <w:rFonts w:ascii="Times New Roman" w:hAnsi="Times New Roman"/>
                <w:color w:val="000000"/>
                <w:sz w:val="22"/>
                <w:szCs w:val="22"/>
                <w:lang w:val="de-DE"/>
              </w:rPr>
              <w:pPrChange w:id="412" w:author="Author">
                <w:pPr>
                  <w:pStyle w:val="Table"/>
                  <w:keepNext w:val="0"/>
                  <w:keepLines w:val="0"/>
                </w:pPr>
              </w:pPrChange>
            </w:pPr>
            <w:r w:rsidRPr="008A4F40">
              <w:rPr>
                <w:rFonts w:ascii="Times New Roman" w:hAnsi="Times New Roman"/>
                <w:color w:val="000000"/>
                <w:sz w:val="22"/>
                <w:szCs w:val="22"/>
                <w:lang w:val="de-DE"/>
              </w:rPr>
              <w:t>Konsolidierung (</w:t>
            </w:r>
            <w:r w:rsidRPr="008A4F40">
              <w:rPr>
                <w:rFonts w:ascii="Times New Roman" w:hAnsi="Times New Roman"/>
                <w:i/>
                <w:color w:val="000000"/>
                <w:sz w:val="22"/>
                <w:szCs w:val="22"/>
                <w:lang w:val="de-DE"/>
              </w:rPr>
              <w:t>de novo</w:t>
            </w:r>
            <w:r w:rsidRPr="008A4F40">
              <w:rPr>
                <w:rFonts w:ascii="Times New Roman" w:hAnsi="Times New Roman"/>
                <w:color w:val="000000"/>
                <w:sz w:val="22"/>
                <w:szCs w:val="22"/>
                <w:lang w:val="de-DE"/>
              </w:rPr>
              <w:t xml:space="preserve"> Ph+ </w:t>
            </w:r>
            <w:smartTag w:uri="urn:schemas-microsoft-com:office:smarttags" w:element="stockticker">
              <w:r w:rsidRPr="008A4F40">
                <w:rPr>
                  <w:rFonts w:ascii="Times New Roman" w:hAnsi="Times New Roman"/>
                  <w:color w:val="000000"/>
                  <w:sz w:val="22"/>
                  <w:szCs w:val="22"/>
                  <w:lang w:val="de-DE"/>
                </w:rPr>
                <w:t>ALL</w:t>
              </w:r>
            </w:smartTag>
            <w:r w:rsidRPr="008A4F40">
              <w:rPr>
                <w:rFonts w:ascii="Times New Roman" w:hAnsi="Times New Roman"/>
                <w:color w:val="000000"/>
                <w:sz w:val="22"/>
                <w:szCs w:val="22"/>
                <w:lang w:val="de-DE"/>
              </w:rPr>
              <w:t>)</w:t>
            </w:r>
          </w:p>
        </w:tc>
        <w:tc>
          <w:tcPr>
            <w:tcW w:w="6732" w:type="dxa"/>
            <w:gridSpan w:val="4"/>
            <w:tcBorders>
              <w:top w:val="single" w:sz="4" w:space="0" w:color="auto"/>
              <w:bottom w:val="single" w:sz="4" w:space="0" w:color="auto"/>
            </w:tcBorders>
          </w:tcPr>
          <w:p w14:paraId="6244E374" w14:textId="2331191D" w:rsidR="003A33A6" w:rsidRPr="008A4F40" w:rsidRDefault="003A33A6">
            <w:pPr>
              <w:pStyle w:val="Table"/>
              <w:keepNext w:val="0"/>
              <w:keepLines w:val="0"/>
              <w:spacing w:before="0" w:after="0"/>
              <w:rPr>
                <w:rFonts w:ascii="Times New Roman" w:hAnsi="Times New Roman"/>
                <w:color w:val="000000"/>
                <w:sz w:val="22"/>
                <w:szCs w:val="22"/>
                <w:lang w:val="pt-PT"/>
              </w:rPr>
              <w:pPrChange w:id="413" w:author="Author">
                <w:pPr>
                  <w:pStyle w:val="Table"/>
                  <w:keepNext w:val="0"/>
                  <w:keepLines w:val="0"/>
                </w:pPr>
              </w:pPrChange>
            </w:pPr>
            <w:r w:rsidRPr="008A4F40">
              <w:rPr>
                <w:rFonts w:ascii="Times New Roman" w:hAnsi="Times New Roman"/>
                <w:color w:val="000000"/>
                <w:sz w:val="22"/>
                <w:szCs w:val="22"/>
                <w:lang w:val="pt-PT"/>
              </w:rPr>
              <w:t>Ara-C 1</w:t>
            </w:r>
            <w:ins w:id="414" w:author="Author">
              <w:r w:rsidR="00C85770">
                <w:rPr>
                  <w:rFonts w:ascii="Times New Roman" w:hAnsi="Times New Roman"/>
                  <w:color w:val="000000"/>
                  <w:sz w:val="22"/>
                  <w:szCs w:val="22"/>
                  <w:lang w:val="pt-PT"/>
                </w:rPr>
                <w:t> </w:t>
              </w:r>
            </w:ins>
            <w:del w:id="415" w:author="Author">
              <w:r w:rsidRPr="008A4F40" w:rsidDel="00C85770">
                <w:rPr>
                  <w:rFonts w:ascii="Times New Roman" w:hAnsi="Times New Roman"/>
                  <w:color w:val="000000"/>
                  <w:sz w:val="22"/>
                  <w:szCs w:val="22"/>
                  <w:lang w:val="pt-PT"/>
                </w:rPr>
                <w:delText>.</w:delText>
              </w:r>
            </w:del>
            <w:r w:rsidRPr="008A4F40">
              <w:rPr>
                <w:rFonts w:ascii="Times New Roman" w:hAnsi="Times New Roman"/>
                <w:color w:val="000000"/>
                <w:sz w:val="22"/>
                <w:szCs w:val="22"/>
                <w:lang w:val="pt-PT"/>
              </w:rPr>
              <w:t>000 mg/m</w:t>
            </w:r>
            <w:r w:rsidRPr="008A4F40">
              <w:rPr>
                <w:rFonts w:ascii="Times New Roman" w:hAnsi="Times New Roman"/>
                <w:color w:val="000000"/>
                <w:sz w:val="22"/>
                <w:szCs w:val="22"/>
                <w:vertAlign w:val="superscript"/>
                <w:lang w:val="pt-PT"/>
              </w:rPr>
              <w:t>2</w:t>
            </w:r>
            <w:r w:rsidRPr="008A4F40">
              <w:rPr>
                <w:rFonts w:ascii="Times New Roman" w:hAnsi="Times New Roman"/>
                <w:color w:val="000000"/>
                <w:sz w:val="22"/>
                <w:szCs w:val="22"/>
                <w:lang w:val="pt-PT"/>
              </w:rPr>
              <w:t>/12 h i.v.</w:t>
            </w:r>
            <w:r w:rsidR="00C22507">
              <w:rPr>
                <w:rFonts w:ascii="Times New Roman" w:hAnsi="Times New Roman"/>
                <w:color w:val="000000"/>
                <w:sz w:val="22"/>
                <w:szCs w:val="22"/>
                <w:lang w:val="pt-PT"/>
              </w:rPr>
              <w:t xml:space="preserve"> </w:t>
            </w:r>
            <w:r w:rsidRPr="008A4F40">
              <w:rPr>
                <w:rFonts w:ascii="Times New Roman" w:hAnsi="Times New Roman"/>
                <w:color w:val="000000"/>
                <w:sz w:val="22"/>
                <w:szCs w:val="22"/>
                <w:lang w:val="pt-PT"/>
              </w:rPr>
              <w:t>(3 h), Tage 1</w:t>
            </w:r>
            <w:ins w:id="416" w:author="Author">
              <w:r w:rsidR="002222CA" w:rsidRPr="002222CA">
                <w:rPr>
                  <w:rFonts w:ascii="Times New Roman" w:hAnsi="Times New Roman"/>
                  <w:color w:val="000000"/>
                  <w:sz w:val="22"/>
                  <w:szCs w:val="22"/>
                  <w:lang w:val="pt-PT"/>
                </w:rPr>
                <w:t>–</w:t>
              </w:r>
            </w:ins>
            <w:del w:id="417" w:author="Author">
              <w:r w:rsidRPr="008A4F40" w:rsidDel="002222CA">
                <w:rPr>
                  <w:rFonts w:ascii="Times New Roman" w:hAnsi="Times New Roman"/>
                  <w:color w:val="000000"/>
                  <w:sz w:val="22"/>
                  <w:szCs w:val="22"/>
                  <w:lang w:val="pt-PT"/>
                </w:rPr>
                <w:delText>-</w:delText>
              </w:r>
            </w:del>
            <w:r w:rsidRPr="008A4F40">
              <w:rPr>
                <w:rFonts w:ascii="Times New Roman" w:hAnsi="Times New Roman"/>
                <w:color w:val="000000"/>
                <w:sz w:val="22"/>
                <w:szCs w:val="22"/>
                <w:lang w:val="pt-PT"/>
              </w:rPr>
              <w:t>4;</w:t>
            </w:r>
          </w:p>
          <w:p w14:paraId="07D6CB8F" w14:textId="591A40EE" w:rsidR="003A33A6" w:rsidRPr="008A4F40" w:rsidRDefault="003A33A6">
            <w:pPr>
              <w:pStyle w:val="Table"/>
              <w:keepNext w:val="0"/>
              <w:keepLines w:val="0"/>
              <w:spacing w:before="0" w:after="0"/>
              <w:rPr>
                <w:rFonts w:ascii="Times New Roman" w:hAnsi="Times New Roman"/>
                <w:color w:val="000000"/>
                <w:sz w:val="22"/>
                <w:szCs w:val="22"/>
                <w:lang w:val="da-DK"/>
              </w:rPr>
              <w:pPrChange w:id="418" w:author="Author">
                <w:pPr>
                  <w:pStyle w:val="Table"/>
                  <w:keepNext w:val="0"/>
                  <w:keepLines w:val="0"/>
                </w:pPr>
              </w:pPrChange>
            </w:pPr>
            <w:r w:rsidRPr="008A4F40">
              <w:rPr>
                <w:rFonts w:ascii="Times New Roman" w:hAnsi="Times New Roman"/>
                <w:color w:val="000000"/>
                <w:sz w:val="22"/>
                <w:szCs w:val="22"/>
                <w:lang w:val="da-DK"/>
              </w:rPr>
              <w:t>Mitoxantron 10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3</w:t>
            </w:r>
            <w:ins w:id="419" w:author="Author">
              <w:r w:rsidR="002222CA" w:rsidRPr="002222CA">
                <w:rPr>
                  <w:rFonts w:ascii="Times New Roman" w:hAnsi="Times New Roman"/>
                  <w:color w:val="000000"/>
                  <w:sz w:val="22"/>
                  <w:szCs w:val="22"/>
                  <w:lang w:val="da-DK"/>
                </w:rPr>
                <w:t>–</w:t>
              </w:r>
            </w:ins>
            <w:del w:id="420"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p w14:paraId="564BEE6F" w14:textId="77777777" w:rsidR="003A33A6" w:rsidRPr="008A4F40" w:rsidRDefault="003A33A6">
            <w:pPr>
              <w:pStyle w:val="Table"/>
              <w:keepNext w:val="0"/>
              <w:keepLines w:val="0"/>
              <w:spacing w:before="0" w:after="0"/>
              <w:rPr>
                <w:rFonts w:ascii="Times New Roman" w:hAnsi="Times New Roman"/>
                <w:color w:val="000000"/>
                <w:sz w:val="22"/>
                <w:szCs w:val="22"/>
                <w:lang w:val="da-DK"/>
              </w:rPr>
              <w:pPrChange w:id="421" w:author="Author">
                <w:pPr>
                  <w:pStyle w:val="Table"/>
                  <w:keepNext w:val="0"/>
                  <w:keepLines w:val="0"/>
                </w:pPr>
              </w:pPrChange>
            </w:pPr>
            <w:r w:rsidRPr="008A4F40">
              <w:rPr>
                <w:rFonts w:ascii="Times New Roman" w:hAnsi="Times New Roman"/>
                <w:color w:val="000000"/>
                <w:sz w:val="22"/>
                <w:szCs w:val="22"/>
                <w:lang w:val="da-DK"/>
              </w:rPr>
              <w:t>MTX 15 mg intrathekal, Tag 1;</w:t>
            </w:r>
          </w:p>
          <w:p w14:paraId="3A070F16" w14:textId="77777777" w:rsidR="003A33A6" w:rsidRPr="008A4F40" w:rsidRDefault="003A33A6">
            <w:pPr>
              <w:pStyle w:val="Table"/>
              <w:keepNext w:val="0"/>
              <w:keepLines w:val="0"/>
              <w:spacing w:before="0" w:after="0"/>
              <w:rPr>
                <w:rFonts w:ascii="Times New Roman" w:hAnsi="Times New Roman"/>
                <w:color w:val="000000"/>
                <w:sz w:val="22"/>
                <w:szCs w:val="22"/>
                <w:lang w:val="da-DK"/>
              </w:rPr>
              <w:pPrChange w:id="422" w:author="Author">
                <w:pPr>
                  <w:pStyle w:val="Table"/>
                  <w:keepNext w:val="0"/>
                  <w:keepLines w:val="0"/>
                </w:pPr>
              </w:pPrChange>
            </w:pPr>
            <w:r w:rsidRPr="008A4F40">
              <w:rPr>
                <w:rFonts w:ascii="Times New Roman" w:hAnsi="Times New Roman"/>
                <w:color w:val="000000"/>
                <w:sz w:val="22"/>
                <w:szCs w:val="22"/>
                <w:lang w:val="da-DK"/>
              </w:rPr>
              <w:t>Methylprednisolon 40 mg intrathekal, Tag 1</w:t>
            </w:r>
          </w:p>
        </w:tc>
      </w:tr>
      <w:tr w:rsidR="003A33A6" w:rsidRPr="008A4F40" w14:paraId="586169D6" w14:textId="77777777" w:rsidTr="00DA7B0B">
        <w:trPr>
          <w:cantSplit/>
        </w:trPr>
        <w:tc>
          <w:tcPr>
            <w:tcW w:w="4800" w:type="dxa"/>
            <w:gridSpan w:val="2"/>
            <w:tcBorders>
              <w:top w:val="single" w:sz="4" w:space="0" w:color="auto"/>
              <w:bottom w:val="single" w:sz="4" w:space="0" w:color="auto"/>
            </w:tcBorders>
          </w:tcPr>
          <w:p w14:paraId="4B935BA5" w14:textId="77777777" w:rsidR="003A33A6" w:rsidRPr="008A4F40" w:rsidRDefault="003A33A6">
            <w:pPr>
              <w:pStyle w:val="Table"/>
              <w:keepLines w:val="0"/>
              <w:spacing w:before="0" w:after="0"/>
              <w:rPr>
                <w:rFonts w:ascii="Times New Roman" w:hAnsi="Times New Roman"/>
                <w:b/>
                <w:color w:val="000000"/>
                <w:sz w:val="22"/>
                <w:szCs w:val="22"/>
              </w:rPr>
              <w:pPrChange w:id="423" w:author="Author">
                <w:pPr>
                  <w:pStyle w:val="Table"/>
                  <w:keepLines w:val="0"/>
                </w:pPr>
              </w:pPrChange>
            </w:pPr>
            <w:r w:rsidRPr="008A4F40">
              <w:rPr>
                <w:rFonts w:ascii="Times New Roman" w:hAnsi="Times New Roman"/>
                <w:b/>
                <w:color w:val="000000"/>
                <w:sz w:val="22"/>
                <w:szCs w:val="22"/>
              </w:rPr>
              <w:t>Studie ADE04</w:t>
            </w:r>
          </w:p>
        </w:tc>
        <w:tc>
          <w:tcPr>
            <w:tcW w:w="1080" w:type="dxa"/>
            <w:tcBorders>
              <w:top w:val="single" w:sz="4" w:space="0" w:color="auto"/>
              <w:bottom w:val="single" w:sz="4" w:space="0" w:color="auto"/>
            </w:tcBorders>
          </w:tcPr>
          <w:p w14:paraId="6F2FB4B0" w14:textId="77777777" w:rsidR="003A33A6" w:rsidRPr="008A4F40" w:rsidRDefault="003A33A6">
            <w:pPr>
              <w:pStyle w:val="Table"/>
              <w:keepLines w:val="0"/>
              <w:spacing w:before="0" w:after="0"/>
              <w:rPr>
                <w:rFonts w:ascii="Times New Roman" w:hAnsi="Times New Roman"/>
                <w:color w:val="000000"/>
                <w:sz w:val="22"/>
                <w:szCs w:val="22"/>
              </w:rPr>
              <w:pPrChange w:id="424" w:author="Author">
                <w:pPr>
                  <w:pStyle w:val="Table"/>
                  <w:keepLines w:val="0"/>
                </w:pPr>
              </w:pPrChange>
            </w:pPr>
          </w:p>
        </w:tc>
        <w:tc>
          <w:tcPr>
            <w:tcW w:w="1380" w:type="dxa"/>
            <w:tcBorders>
              <w:top w:val="single" w:sz="4" w:space="0" w:color="auto"/>
              <w:bottom w:val="single" w:sz="4" w:space="0" w:color="auto"/>
            </w:tcBorders>
          </w:tcPr>
          <w:p w14:paraId="1433A56C" w14:textId="77777777" w:rsidR="003A33A6" w:rsidRPr="008A4F40" w:rsidRDefault="003A33A6">
            <w:pPr>
              <w:pStyle w:val="Table"/>
              <w:keepLines w:val="0"/>
              <w:spacing w:before="0" w:after="0"/>
              <w:rPr>
                <w:rFonts w:ascii="Times New Roman" w:hAnsi="Times New Roman"/>
                <w:color w:val="000000"/>
                <w:sz w:val="22"/>
                <w:szCs w:val="22"/>
              </w:rPr>
              <w:pPrChange w:id="425" w:author="Author">
                <w:pPr>
                  <w:pStyle w:val="Table"/>
                  <w:keepLines w:val="0"/>
                </w:pPr>
              </w:pPrChange>
            </w:pPr>
          </w:p>
        </w:tc>
        <w:tc>
          <w:tcPr>
            <w:tcW w:w="1620" w:type="dxa"/>
            <w:tcBorders>
              <w:top w:val="single" w:sz="4" w:space="0" w:color="auto"/>
              <w:bottom w:val="single" w:sz="4" w:space="0" w:color="auto"/>
            </w:tcBorders>
          </w:tcPr>
          <w:p w14:paraId="1C5DDFDA" w14:textId="77777777" w:rsidR="003A33A6" w:rsidRPr="008A4F40" w:rsidRDefault="003A33A6">
            <w:pPr>
              <w:pStyle w:val="Table"/>
              <w:keepLines w:val="0"/>
              <w:spacing w:before="0" w:after="0"/>
              <w:rPr>
                <w:rFonts w:ascii="Times New Roman" w:hAnsi="Times New Roman"/>
                <w:color w:val="000000"/>
                <w:sz w:val="22"/>
                <w:szCs w:val="22"/>
              </w:rPr>
              <w:pPrChange w:id="426" w:author="Author">
                <w:pPr>
                  <w:pStyle w:val="Table"/>
                  <w:keepLines w:val="0"/>
                </w:pPr>
              </w:pPrChange>
            </w:pPr>
          </w:p>
        </w:tc>
      </w:tr>
      <w:tr w:rsidR="003A33A6" w:rsidRPr="008A4F40" w14:paraId="15B02E0B" w14:textId="77777777" w:rsidTr="00DA7B0B">
        <w:trPr>
          <w:cantSplit/>
        </w:trPr>
        <w:tc>
          <w:tcPr>
            <w:tcW w:w="2148" w:type="dxa"/>
            <w:tcBorders>
              <w:top w:val="single" w:sz="4" w:space="0" w:color="auto"/>
              <w:bottom w:val="single" w:sz="4" w:space="0" w:color="auto"/>
            </w:tcBorders>
          </w:tcPr>
          <w:p w14:paraId="2C262710" w14:textId="77777777" w:rsidR="003A33A6" w:rsidRPr="008A4F40" w:rsidRDefault="003A33A6">
            <w:pPr>
              <w:pStyle w:val="Table"/>
              <w:keepLines w:val="0"/>
              <w:spacing w:before="0" w:after="0"/>
              <w:rPr>
                <w:rFonts w:ascii="Times New Roman" w:hAnsi="Times New Roman"/>
                <w:color w:val="000000"/>
                <w:sz w:val="22"/>
                <w:szCs w:val="22"/>
              </w:rPr>
              <w:pPrChange w:id="427" w:author="Author">
                <w:pPr>
                  <w:pStyle w:val="Table"/>
                  <w:keepLines w:val="0"/>
                </w:pPr>
              </w:pPrChange>
            </w:pPr>
            <w:proofErr w:type="spellStart"/>
            <w:r w:rsidRPr="008A4F40">
              <w:rPr>
                <w:rFonts w:ascii="Times New Roman" w:hAnsi="Times New Roman"/>
                <w:color w:val="000000"/>
                <w:sz w:val="22"/>
                <w:szCs w:val="22"/>
              </w:rPr>
              <w:t>Vorphase</w:t>
            </w:r>
            <w:proofErr w:type="spellEnd"/>
          </w:p>
        </w:tc>
        <w:tc>
          <w:tcPr>
            <w:tcW w:w="6732" w:type="dxa"/>
            <w:gridSpan w:val="4"/>
            <w:tcBorders>
              <w:top w:val="single" w:sz="4" w:space="0" w:color="auto"/>
              <w:bottom w:val="single" w:sz="4" w:space="0" w:color="auto"/>
            </w:tcBorders>
          </w:tcPr>
          <w:p w14:paraId="4EB54F01" w14:textId="04ACCC0F" w:rsidR="003A33A6" w:rsidRPr="008A4F40" w:rsidRDefault="003A33A6">
            <w:pPr>
              <w:pStyle w:val="Table"/>
              <w:keepLines w:val="0"/>
              <w:spacing w:before="0" w:after="0"/>
              <w:rPr>
                <w:rFonts w:ascii="Times New Roman" w:hAnsi="Times New Roman"/>
                <w:color w:val="000000"/>
                <w:sz w:val="22"/>
                <w:szCs w:val="22"/>
                <w:lang w:val="da-DK"/>
              </w:rPr>
              <w:pPrChange w:id="428" w:author="Author">
                <w:pPr>
                  <w:pStyle w:val="Table"/>
                  <w:keepLines w:val="0"/>
                </w:pPr>
              </w:pPrChange>
            </w:pPr>
            <w:r w:rsidRPr="008A4F40">
              <w:rPr>
                <w:rFonts w:ascii="Times New Roman" w:hAnsi="Times New Roman"/>
                <w:color w:val="000000"/>
                <w:sz w:val="22"/>
                <w:szCs w:val="22"/>
                <w:lang w:val="da-DK"/>
              </w:rPr>
              <w:t>DEX 10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1</w:t>
            </w:r>
            <w:ins w:id="429" w:author="Author">
              <w:r w:rsidR="002222CA" w:rsidRPr="002222CA">
                <w:rPr>
                  <w:rFonts w:ascii="Times New Roman" w:hAnsi="Times New Roman"/>
                  <w:color w:val="000000"/>
                  <w:sz w:val="22"/>
                  <w:szCs w:val="22"/>
                  <w:lang w:val="da-DK"/>
                </w:rPr>
                <w:t>–</w:t>
              </w:r>
            </w:ins>
            <w:del w:id="430"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p w14:paraId="1CA4AA10" w14:textId="55867D0E" w:rsidR="003A33A6" w:rsidRPr="008A4F40" w:rsidRDefault="003A33A6">
            <w:pPr>
              <w:pStyle w:val="Table"/>
              <w:keepLines w:val="0"/>
              <w:spacing w:before="0" w:after="0"/>
              <w:rPr>
                <w:rFonts w:ascii="Times New Roman" w:hAnsi="Times New Roman"/>
                <w:color w:val="000000"/>
                <w:sz w:val="22"/>
                <w:szCs w:val="22"/>
                <w:lang w:val="da-DK"/>
              </w:rPr>
              <w:pPrChange w:id="431" w:author="Author">
                <w:pPr>
                  <w:pStyle w:val="Table"/>
                  <w:keepLines w:val="0"/>
                </w:pPr>
              </w:pPrChange>
            </w:pPr>
            <w:r w:rsidRPr="008A4F40">
              <w:rPr>
                <w:rFonts w:ascii="Times New Roman" w:hAnsi="Times New Roman"/>
                <w:color w:val="000000"/>
                <w:sz w:val="22"/>
                <w:szCs w:val="22"/>
                <w:lang w:val="da-DK"/>
              </w:rPr>
              <w:t>CP 200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3</w:t>
            </w:r>
            <w:ins w:id="432" w:author="Author">
              <w:r w:rsidR="002222CA" w:rsidRPr="002222CA">
                <w:rPr>
                  <w:rFonts w:ascii="Times New Roman" w:hAnsi="Times New Roman"/>
                  <w:color w:val="000000"/>
                  <w:sz w:val="22"/>
                  <w:szCs w:val="22"/>
                  <w:lang w:val="da-DK"/>
                </w:rPr>
                <w:t>–</w:t>
              </w:r>
            </w:ins>
            <w:del w:id="433"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p w14:paraId="741CF356" w14:textId="77777777" w:rsidR="003A33A6" w:rsidRPr="008A4F40" w:rsidRDefault="003A33A6">
            <w:pPr>
              <w:pStyle w:val="Table"/>
              <w:keepLines w:val="0"/>
              <w:spacing w:before="0" w:after="0"/>
              <w:rPr>
                <w:rFonts w:ascii="Times New Roman" w:hAnsi="Times New Roman"/>
                <w:color w:val="000000"/>
                <w:sz w:val="22"/>
                <w:szCs w:val="22"/>
                <w:lang w:val="da-DK"/>
              </w:rPr>
              <w:pPrChange w:id="434" w:author="Author">
                <w:pPr>
                  <w:pStyle w:val="Table"/>
                  <w:keepLines w:val="0"/>
                </w:pPr>
              </w:pPrChange>
            </w:pPr>
            <w:r w:rsidRPr="008A4F40">
              <w:rPr>
                <w:rFonts w:ascii="Times New Roman" w:hAnsi="Times New Roman"/>
                <w:color w:val="000000"/>
                <w:sz w:val="22"/>
                <w:szCs w:val="22"/>
                <w:lang w:val="da-DK"/>
              </w:rPr>
              <w:t>MTX 15 mg intrathekal, Tag 1</w:t>
            </w:r>
          </w:p>
        </w:tc>
      </w:tr>
      <w:tr w:rsidR="003A33A6" w:rsidRPr="008A4F40" w14:paraId="35EB3B4B" w14:textId="77777777" w:rsidTr="00DA7B0B">
        <w:trPr>
          <w:cantSplit/>
        </w:trPr>
        <w:tc>
          <w:tcPr>
            <w:tcW w:w="2148" w:type="dxa"/>
            <w:tcBorders>
              <w:top w:val="single" w:sz="4" w:space="0" w:color="auto"/>
              <w:bottom w:val="single" w:sz="4" w:space="0" w:color="auto"/>
            </w:tcBorders>
          </w:tcPr>
          <w:p w14:paraId="22E322F5" w14:textId="77777777" w:rsidR="003A33A6" w:rsidRPr="008A4F40" w:rsidRDefault="003A33A6">
            <w:pPr>
              <w:pStyle w:val="Table"/>
              <w:keepLines w:val="0"/>
              <w:spacing w:before="0" w:after="0"/>
              <w:rPr>
                <w:rFonts w:ascii="Times New Roman" w:hAnsi="Times New Roman"/>
                <w:color w:val="000000"/>
                <w:sz w:val="22"/>
                <w:szCs w:val="22"/>
              </w:rPr>
              <w:pPrChange w:id="435" w:author="Author">
                <w:pPr>
                  <w:pStyle w:val="Table"/>
                  <w:keepLines w:val="0"/>
                </w:pPr>
              </w:pPrChange>
            </w:pPr>
            <w:proofErr w:type="spellStart"/>
            <w:r w:rsidRPr="008A4F40">
              <w:rPr>
                <w:rFonts w:ascii="Times New Roman" w:hAnsi="Times New Roman"/>
                <w:color w:val="000000"/>
                <w:sz w:val="22"/>
                <w:szCs w:val="22"/>
              </w:rPr>
              <w:t>Induktionstherapie</w:t>
            </w:r>
            <w:proofErr w:type="spellEnd"/>
            <w:r w:rsidRPr="008A4F40">
              <w:rPr>
                <w:rFonts w:ascii="Times New Roman" w:hAnsi="Times New Roman"/>
                <w:color w:val="000000"/>
                <w:sz w:val="22"/>
                <w:szCs w:val="22"/>
              </w:rPr>
              <w:t xml:space="preserve"> I</w:t>
            </w:r>
          </w:p>
        </w:tc>
        <w:tc>
          <w:tcPr>
            <w:tcW w:w="6732" w:type="dxa"/>
            <w:gridSpan w:val="4"/>
            <w:tcBorders>
              <w:top w:val="single" w:sz="4" w:space="0" w:color="auto"/>
              <w:bottom w:val="single" w:sz="4" w:space="0" w:color="auto"/>
            </w:tcBorders>
          </w:tcPr>
          <w:p w14:paraId="7EC0C500" w14:textId="3E9E0ECB" w:rsidR="003A33A6" w:rsidRPr="008A4F40" w:rsidRDefault="003A33A6">
            <w:pPr>
              <w:pStyle w:val="Table"/>
              <w:keepLines w:val="0"/>
              <w:spacing w:before="0" w:after="0"/>
              <w:rPr>
                <w:rFonts w:ascii="Times New Roman" w:hAnsi="Times New Roman"/>
                <w:color w:val="000000"/>
                <w:sz w:val="22"/>
                <w:szCs w:val="22"/>
                <w:lang w:val="da-DK"/>
              </w:rPr>
              <w:pPrChange w:id="436" w:author="Author">
                <w:pPr>
                  <w:pStyle w:val="Table"/>
                  <w:keepLines w:val="0"/>
                </w:pPr>
              </w:pPrChange>
            </w:pPr>
            <w:r w:rsidRPr="008A4F40">
              <w:rPr>
                <w:rFonts w:ascii="Times New Roman" w:hAnsi="Times New Roman"/>
                <w:color w:val="000000"/>
                <w:sz w:val="22"/>
                <w:szCs w:val="22"/>
                <w:lang w:val="da-DK"/>
              </w:rPr>
              <w:t>DEX 10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1</w:t>
            </w:r>
            <w:ins w:id="437" w:author="Author">
              <w:r w:rsidR="00553599" w:rsidRPr="002222CA">
                <w:rPr>
                  <w:rFonts w:ascii="Times New Roman" w:hAnsi="Times New Roman"/>
                  <w:color w:val="000000"/>
                  <w:sz w:val="22"/>
                  <w:szCs w:val="22"/>
                  <w:lang w:val="da-DK"/>
                </w:rPr>
                <w:t>–</w:t>
              </w:r>
            </w:ins>
            <w:del w:id="438"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p w14:paraId="44529373" w14:textId="77777777" w:rsidR="003A33A6" w:rsidRPr="008A4F40" w:rsidRDefault="003A33A6">
            <w:pPr>
              <w:pStyle w:val="Table"/>
              <w:keepLines w:val="0"/>
              <w:spacing w:before="0" w:after="0"/>
              <w:rPr>
                <w:rFonts w:ascii="Times New Roman" w:hAnsi="Times New Roman"/>
                <w:color w:val="000000"/>
                <w:sz w:val="22"/>
                <w:szCs w:val="22"/>
                <w:lang w:val="da-DK"/>
              </w:rPr>
              <w:pPrChange w:id="439" w:author="Author">
                <w:pPr>
                  <w:pStyle w:val="Table"/>
                  <w:keepLines w:val="0"/>
                </w:pPr>
              </w:pPrChange>
            </w:pPr>
            <w:r w:rsidRPr="008A4F40">
              <w:rPr>
                <w:rFonts w:ascii="Times New Roman" w:hAnsi="Times New Roman"/>
                <w:color w:val="000000"/>
                <w:sz w:val="22"/>
                <w:szCs w:val="22"/>
                <w:lang w:val="da-DK"/>
              </w:rPr>
              <w:t>VCR 2 mg i.v., Tage 6, 13, 20;</w:t>
            </w:r>
          </w:p>
          <w:p w14:paraId="2EEF85C2" w14:textId="6110CC1F" w:rsidR="003A33A6" w:rsidRPr="008A4F40" w:rsidRDefault="003A33A6">
            <w:pPr>
              <w:pStyle w:val="Table"/>
              <w:keepLines w:val="0"/>
              <w:spacing w:before="0" w:after="0"/>
              <w:rPr>
                <w:rFonts w:ascii="Times New Roman" w:hAnsi="Times New Roman"/>
                <w:color w:val="000000"/>
                <w:sz w:val="22"/>
                <w:szCs w:val="22"/>
                <w:lang w:val="da-DK"/>
              </w:rPr>
              <w:pPrChange w:id="440" w:author="Author">
                <w:pPr>
                  <w:pStyle w:val="Table"/>
                  <w:keepLines w:val="0"/>
                </w:pPr>
              </w:pPrChange>
            </w:pPr>
            <w:r w:rsidRPr="008A4F40">
              <w:rPr>
                <w:rFonts w:ascii="Times New Roman" w:hAnsi="Times New Roman"/>
                <w:color w:val="000000"/>
                <w:sz w:val="22"/>
                <w:szCs w:val="22"/>
                <w:lang w:val="da-DK"/>
              </w:rPr>
              <w:t>Daunorubicin 45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6</w:t>
            </w:r>
            <w:ins w:id="441" w:author="Author">
              <w:r w:rsidR="002222CA" w:rsidRPr="002222CA">
                <w:rPr>
                  <w:rFonts w:ascii="Times New Roman" w:hAnsi="Times New Roman"/>
                  <w:color w:val="000000"/>
                  <w:sz w:val="22"/>
                  <w:szCs w:val="22"/>
                  <w:lang w:val="da-DK"/>
                </w:rPr>
                <w:t>–</w:t>
              </w:r>
            </w:ins>
            <w:del w:id="442"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7, 13</w:t>
            </w:r>
            <w:ins w:id="443" w:author="Author">
              <w:r w:rsidR="002222CA" w:rsidRPr="002222CA">
                <w:rPr>
                  <w:rFonts w:ascii="Times New Roman" w:hAnsi="Times New Roman"/>
                  <w:color w:val="000000"/>
                  <w:sz w:val="22"/>
                  <w:szCs w:val="22"/>
                  <w:lang w:val="da-DK"/>
                </w:rPr>
                <w:t>–</w:t>
              </w:r>
            </w:ins>
            <w:del w:id="444"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14</w:t>
            </w:r>
          </w:p>
        </w:tc>
      </w:tr>
      <w:tr w:rsidR="003A33A6" w:rsidRPr="00FA2E9E" w14:paraId="24702685" w14:textId="77777777" w:rsidTr="00DA7B0B">
        <w:trPr>
          <w:cantSplit/>
        </w:trPr>
        <w:tc>
          <w:tcPr>
            <w:tcW w:w="2148" w:type="dxa"/>
            <w:tcBorders>
              <w:top w:val="single" w:sz="4" w:space="0" w:color="auto"/>
              <w:bottom w:val="single" w:sz="4" w:space="0" w:color="auto"/>
            </w:tcBorders>
          </w:tcPr>
          <w:p w14:paraId="1C4E8198" w14:textId="77777777" w:rsidR="003A33A6" w:rsidRPr="008A4F40" w:rsidRDefault="003A33A6">
            <w:pPr>
              <w:pStyle w:val="Table"/>
              <w:keepLines w:val="0"/>
              <w:spacing w:before="0" w:after="0"/>
              <w:rPr>
                <w:rFonts w:ascii="Times New Roman" w:hAnsi="Times New Roman"/>
                <w:color w:val="000000"/>
                <w:sz w:val="22"/>
                <w:szCs w:val="22"/>
              </w:rPr>
              <w:pPrChange w:id="445" w:author="Author">
                <w:pPr>
                  <w:pStyle w:val="Table"/>
                  <w:keepLines w:val="0"/>
                </w:pPr>
              </w:pPrChange>
            </w:pPr>
            <w:proofErr w:type="spellStart"/>
            <w:r w:rsidRPr="008A4F40">
              <w:rPr>
                <w:rFonts w:ascii="Times New Roman" w:hAnsi="Times New Roman"/>
                <w:color w:val="000000"/>
                <w:sz w:val="22"/>
                <w:szCs w:val="22"/>
              </w:rPr>
              <w:t>Induktionstherapie</w:t>
            </w:r>
            <w:proofErr w:type="spellEnd"/>
            <w:r w:rsidRPr="008A4F40">
              <w:rPr>
                <w:rFonts w:ascii="Times New Roman" w:hAnsi="Times New Roman"/>
                <w:color w:val="000000"/>
                <w:sz w:val="22"/>
                <w:szCs w:val="22"/>
              </w:rPr>
              <w:t xml:space="preserve"> II</w:t>
            </w:r>
          </w:p>
        </w:tc>
        <w:tc>
          <w:tcPr>
            <w:tcW w:w="6732" w:type="dxa"/>
            <w:gridSpan w:val="4"/>
            <w:tcBorders>
              <w:top w:val="single" w:sz="4" w:space="0" w:color="auto"/>
              <w:bottom w:val="single" w:sz="4" w:space="0" w:color="auto"/>
            </w:tcBorders>
          </w:tcPr>
          <w:p w14:paraId="0ACE536D" w14:textId="162A6841" w:rsidR="003A33A6" w:rsidRPr="008A4F40" w:rsidRDefault="003A33A6">
            <w:pPr>
              <w:pStyle w:val="Table"/>
              <w:keepLines w:val="0"/>
              <w:spacing w:before="0" w:after="0"/>
              <w:rPr>
                <w:rFonts w:ascii="Times New Roman" w:hAnsi="Times New Roman"/>
                <w:color w:val="000000"/>
                <w:sz w:val="22"/>
                <w:szCs w:val="22"/>
                <w:lang w:val="da-DK"/>
              </w:rPr>
              <w:pPrChange w:id="446" w:author="Author">
                <w:pPr>
                  <w:pStyle w:val="Table"/>
                  <w:keepLines w:val="0"/>
                </w:pPr>
              </w:pPrChange>
            </w:pPr>
            <w:r w:rsidRPr="008A4F40">
              <w:rPr>
                <w:rFonts w:ascii="Times New Roman" w:hAnsi="Times New Roman"/>
                <w:color w:val="000000"/>
                <w:sz w:val="22"/>
                <w:szCs w:val="22"/>
                <w:lang w:val="da-DK"/>
              </w:rPr>
              <w:t>CP 1 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(1 h), Tage 26, 46;</w:t>
            </w:r>
          </w:p>
          <w:p w14:paraId="286340B6" w14:textId="4DCA4F47" w:rsidR="003A33A6" w:rsidRPr="008A4F40" w:rsidRDefault="003A33A6">
            <w:pPr>
              <w:pStyle w:val="Table"/>
              <w:keepLines w:val="0"/>
              <w:spacing w:before="0" w:after="0"/>
              <w:rPr>
                <w:rFonts w:ascii="Times New Roman" w:hAnsi="Times New Roman"/>
                <w:color w:val="000000"/>
                <w:sz w:val="22"/>
                <w:szCs w:val="22"/>
                <w:lang w:val="pt-PT"/>
              </w:rPr>
              <w:pPrChange w:id="447" w:author="Author">
                <w:pPr>
                  <w:pStyle w:val="Table"/>
                  <w:keepLines w:val="0"/>
                </w:pPr>
              </w:pPrChange>
            </w:pPr>
            <w:r w:rsidRPr="008A4F40">
              <w:rPr>
                <w:rFonts w:ascii="Times New Roman" w:hAnsi="Times New Roman"/>
                <w:color w:val="000000"/>
                <w:sz w:val="22"/>
                <w:szCs w:val="22"/>
                <w:lang w:val="pt-PT"/>
              </w:rPr>
              <w:t>Ara-C 75 mg/m</w:t>
            </w:r>
            <w:r w:rsidRPr="008A4F40">
              <w:rPr>
                <w:rFonts w:ascii="Times New Roman" w:hAnsi="Times New Roman"/>
                <w:color w:val="000000"/>
                <w:sz w:val="22"/>
                <w:szCs w:val="22"/>
                <w:vertAlign w:val="superscript"/>
                <w:lang w:val="pt-PT"/>
              </w:rPr>
              <w:t>2</w:t>
            </w:r>
            <w:r w:rsidRPr="008A4F40">
              <w:rPr>
                <w:rFonts w:ascii="Times New Roman" w:hAnsi="Times New Roman"/>
                <w:color w:val="000000"/>
                <w:sz w:val="22"/>
                <w:szCs w:val="22"/>
                <w:lang w:val="pt-PT"/>
              </w:rPr>
              <w:t xml:space="preserve"> i.v. (1 h), Tage 28</w:t>
            </w:r>
            <w:ins w:id="448" w:author="Author">
              <w:r w:rsidR="002222CA" w:rsidRPr="002222CA">
                <w:rPr>
                  <w:rFonts w:ascii="Times New Roman" w:hAnsi="Times New Roman"/>
                  <w:color w:val="000000"/>
                  <w:sz w:val="22"/>
                  <w:szCs w:val="22"/>
                  <w:lang w:val="pt-PT"/>
                </w:rPr>
                <w:t>–</w:t>
              </w:r>
            </w:ins>
            <w:del w:id="449" w:author="Author">
              <w:r w:rsidRPr="008A4F40" w:rsidDel="002222CA">
                <w:rPr>
                  <w:rFonts w:ascii="Times New Roman" w:hAnsi="Times New Roman"/>
                  <w:color w:val="000000"/>
                  <w:sz w:val="22"/>
                  <w:szCs w:val="22"/>
                  <w:lang w:val="pt-PT"/>
                </w:rPr>
                <w:delText>-</w:delText>
              </w:r>
            </w:del>
            <w:r w:rsidRPr="008A4F40">
              <w:rPr>
                <w:rFonts w:ascii="Times New Roman" w:hAnsi="Times New Roman"/>
                <w:color w:val="000000"/>
                <w:sz w:val="22"/>
                <w:szCs w:val="22"/>
                <w:lang w:val="pt-PT"/>
              </w:rPr>
              <w:t>31, 35</w:t>
            </w:r>
            <w:ins w:id="450" w:author="Author">
              <w:r w:rsidR="002222CA" w:rsidRPr="002222CA">
                <w:rPr>
                  <w:rFonts w:ascii="Times New Roman" w:hAnsi="Times New Roman"/>
                  <w:color w:val="000000"/>
                  <w:sz w:val="22"/>
                  <w:szCs w:val="22"/>
                  <w:lang w:val="pt-PT"/>
                </w:rPr>
                <w:t>–</w:t>
              </w:r>
            </w:ins>
            <w:del w:id="451" w:author="Author">
              <w:r w:rsidRPr="008A4F40" w:rsidDel="002222CA">
                <w:rPr>
                  <w:rFonts w:ascii="Times New Roman" w:hAnsi="Times New Roman"/>
                  <w:color w:val="000000"/>
                  <w:sz w:val="22"/>
                  <w:szCs w:val="22"/>
                  <w:lang w:val="pt-PT"/>
                </w:rPr>
                <w:delText>-</w:delText>
              </w:r>
            </w:del>
            <w:r w:rsidRPr="008A4F40">
              <w:rPr>
                <w:rFonts w:ascii="Times New Roman" w:hAnsi="Times New Roman"/>
                <w:color w:val="000000"/>
                <w:sz w:val="22"/>
                <w:szCs w:val="22"/>
                <w:lang w:val="pt-PT"/>
              </w:rPr>
              <w:t>38, 42</w:t>
            </w:r>
            <w:ins w:id="452" w:author="Author">
              <w:r w:rsidR="002222CA" w:rsidRPr="002222CA">
                <w:rPr>
                  <w:rFonts w:ascii="Times New Roman" w:hAnsi="Times New Roman"/>
                  <w:color w:val="000000"/>
                  <w:sz w:val="22"/>
                  <w:szCs w:val="22"/>
                  <w:lang w:val="pt-PT"/>
                </w:rPr>
                <w:t>–</w:t>
              </w:r>
            </w:ins>
            <w:del w:id="453" w:author="Author">
              <w:r w:rsidRPr="008A4F40" w:rsidDel="002222CA">
                <w:rPr>
                  <w:rFonts w:ascii="Times New Roman" w:hAnsi="Times New Roman"/>
                  <w:color w:val="000000"/>
                  <w:sz w:val="22"/>
                  <w:szCs w:val="22"/>
                  <w:lang w:val="pt-PT"/>
                </w:rPr>
                <w:delText>-</w:delText>
              </w:r>
            </w:del>
            <w:r w:rsidRPr="008A4F40">
              <w:rPr>
                <w:rFonts w:ascii="Times New Roman" w:hAnsi="Times New Roman"/>
                <w:color w:val="000000"/>
                <w:sz w:val="22"/>
                <w:szCs w:val="22"/>
                <w:lang w:val="pt-PT"/>
              </w:rPr>
              <w:t>45;</w:t>
            </w:r>
          </w:p>
          <w:p w14:paraId="02B63DDE" w14:textId="602F03C0" w:rsidR="003A33A6" w:rsidRPr="008A4F40" w:rsidRDefault="003A33A6">
            <w:pPr>
              <w:pStyle w:val="Table"/>
              <w:keepLines w:val="0"/>
              <w:spacing w:before="0" w:after="0"/>
              <w:rPr>
                <w:rFonts w:ascii="Times New Roman" w:hAnsi="Times New Roman"/>
                <w:color w:val="000000"/>
                <w:sz w:val="22"/>
                <w:szCs w:val="22"/>
                <w:lang w:val="da-DK"/>
              </w:rPr>
              <w:pPrChange w:id="454" w:author="Author">
                <w:pPr>
                  <w:pStyle w:val="Table"/>
                  <w:keepLines w:val="0"/>
                </w:pPr>
              </w:pPrChange>
            </w:pPr>
            <w:r w:rsidRPr="008A4F40">
              <w:rPr>
                <w:rFonts w:ascii="Times New Roman" w:hAnsi="Times New Roman"/>
                <w:color w:val="000000"/>
                <w:sz w:val="22"/>
                <w:szCs w:val="22"/>
                <w:lang w:val="da-DK"/>
              </w:rPr>
              <w:t>6-MP 60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26</w:t>
            </w:r>
            <w:ins w:id="455" w:author="Author">
              <w:r w:rsidR="002222CA" w:rsidRPr="002222CA">
                <w:rPr>
                  <w:rFonts w:ascii="Times New Roman" w:hAnsi="Times New Roman"/>
                  <w:color w:val="000000"/>
                  <w:sz w:val="22"/>
                  <w:szCs w:val="22"/>
                  <w:lang w:val="da-DK"/>
                </w:rPr>
                <w:t>–</w:t>
              </w:r>
            </w:ins>
            <w:del w:id="456"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46</w:t>
            </w:r>
          </w:p>
        </w:tc>
      </w:tr>
      <w:tr w:rsidR="003A33A6" w:rsidRPr="008A4F40" w14:paraId="1066A3C6" w14:textId="77777777" w:rsidTr="00807BCC">
        <w:trPr>
          <w:cantSplit/>
        </w:trPr>
        <w:tc>
          <w:tcPr>
            <w:tcW w:w="2148" w:type="dxa"/>
            <w:tcBorders>
              <w:top w:val="nil"/>
              <w:bottom w:val="single" w:sz="4" w:space="0" w:color="auto"/>
            </w:tcBorders>
          </w:tcPr>
          <w:p w14:paraId="7D8290FC" w14:textId="77777777" w:rsidR="003A33A6" w:rsidRPr="008A4F40" w:rsidRDefault="003A33A6">
            <w:pPr>
              <w:pStyle w:val="Table"/>
              <w:keepNext w:val="0"/>
              <w:keepLines w:val="0"/>
              <w:spacing w:before="0" w:after="0"/>
              <w:rPr>
                <w:rFonts w:ascii="Times New Roman" w:hAnsi="Times New Roman"/>
                <w:color w:val="000000"/>
                <w:sz w:val="22"/>
                <w:szCs w:val="22"/>
              </w:rPr>
              <w:pPrChange w:id="457" w:author="Author">
                <w:pPr>
                  <w:pStyle w:val="Table"/>
                  <w:keepNext w:val="0"/>
                  <w:keepLines w:val="0"/>
                </w:pPr>
              </w:pPrChange>
            </w:pPr>
            <w:proofErr w:type="spellStart"/>
            <w:r w:rsidRPr="008A4F40">
              <w:rPr>
                <w:rFonts w:ascii="Times New Roman" w:hAnsi="Times New Roman"/>
                <w:color w:val="000000"/>
                <w:sz w:val="22"/>
                <w:szCs w:val="22"/>
              </w:rPr>
              <w:t>Konsolidierungs-therapie</w:t>
            </w:r>
            <w:proofErr w:type="spellEnd"/>
          </w:p>
        </w:tc>
        <w:tc>
          <w:tcPr>
            <w:tcW w:w="6732" w:type="dxa"/>
            <w:gridSpan w:val="4"/>
            <w:tcBorders>
              <w:top w:val="nil"/>
              <w:bottom w:val="single" w:sz="4" w:space="0" w:color="auto"/>
            </w:tcBorders>
          </w:tcPr>
          <w:p w14:paraId="15010E22" w14:textId="0D79E582" w:rsidR="003A33A6" w:rsidRPr="008A4F40" w:rsidRDefault="003A33A6">
            <w:pPr>
              <w:pStyle w:val="Table"/>
              <w:keepNext w:val="0"/>
              <w:keepLines w:val="0"/>
              <w:spacing w:before="0" w:after="0"/>
              <w:rPr>
                <w:rFonts w:ascii="Times New Roman" w:hAnsi="Times New Roman"/>
                <w:color w:val="000000"/>
                <w:sz w:val="22"/>
                <w:szCs w:val="22"/>
                <w:lang w:val="da-DK"/>
              </w:rPr>
              <w:pPrChange w:id="458" w:author="Author">
                <w:pPr>
                  <w:pStyle w:val="Table"/>
                  <w:keepNext w:val="0"/>
                  <w:keepLines w:val="0"/>
                </w:pPr>
              </w:pPrChange>
            </w:pPr>
            <w:r w:rsidRPr="008A4F40">
              <w:rPr>
                <w:rFonts w:ascii="Times New Roman" w:hAnsi="Times New Roman"/>
                <w:color w:val="000000"/>
                <w:sz w:val="22"/>
                <w:szCs w:val="22"/>
                <w:lang w:val="da-DK"/>
              </w:rPr>
              <w:t>DEX 10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oral, Tage 1</w:t>
            </w:r>
            <w:ins w:id="459" w:author="Author">
              <w:r w:rsidR="002222CA" w:rsidRPr="002222CA">
                <w:rPr>
                  <w:rFonts w:ascii="Times New Roman" w:hAnsi="Times New Roman"/>
                  <w:color w:val="000000"/>
                  <w:sz w:val="22"/>
                  <w:szCs w:val="22"/>
                  <w:lang w:val="da-DK"/>
                </w:rPr>
                <w:t>–</w:t>
              </w:r>
            </w:ins>
            <w:del w:id="460"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p w14:paraId="6487E81F" w14:textId="77777777" w:rsidR="003A33A6" w:rsidRPr="008A4F40" w:rsidRDefault="003A33A6">
            <w:pPr>
              <w:pStyle w:val="Table"/>
              <w:keepNext w:val="0"/>
              <w:keepLines w:val="0"/>
              <w:spacing w:before="0" w:after="0"/>
              <w:rPr>
                <w:rFonts w:ascii="Times New Roman" w:hAnsi="Times New Roman"/>
                <w:color w:val="000000"/>
                <w:sz w:val="22"/>
                <w:szCs w:val="22"/>
                <w:lang w:val="de-DE"/>
              </w:rPr>
              <w:pPrChange w:id="461" w:author="Author">
                <w:pPr>
                  <w:pStyle w:val="Table"/>
                  <w:keepNext w:val="0"/>
                  <w:keepLines w:val="0"/>
                </w:pPr>
              </w:pPrChange>
            </w:pPr>
            <w:r w:rsidRPr="008A4F40">
              <w:rPr>
                <w:rFonts w:ascii="Times New Roman" w:hAnsi="Times New Roman"/>
                <w:color w:val="000000"/>
                <w:sz w:val="22"/>
                <w:szCs w:val="22"/>
                <w:lang w:val="de-DE"/>
              </w:rPr>
              <w:t>Vindesin 3 mg/m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Tag 1;</w:t>
            </w:r>
          </w:p>
          <w:p w14:paraId="4CE0C8D3" w14:textId="77777777" w:rsidR="003A33A6" w:rsidRPr="008A4F40" w:rsidRDefault="003A33A6">
            <w:pPr>
              <w:pStyle w:val="Table"/>
              <w:keepNext w:val="0"/>
              <w:keepLines w:val="0"/>
              <w:spacing w:before="0" w:after="0"/>
              <w:rPr>
                <w:rFonts w:ascii="Times New Roman" w:hAnsi="Times New Roman"/>
                <w:color w:val="000000"/>
                <w:sz w:val="22"/>
                <w:szCs w:val="22"/>
                <w:lang w:val="de-DE"/>
              </w:rPr>
              <w:pPrChange w:id="462" w:author="Author">
                <w:pPr>
                  <w:pStyle w:val="Table"/>
                  <w:keepNext w:val="0"/>
                  <w:keepLines w:val="0"/>
                </w:pPr>
              </w:pPrChange>
            </w:pPr>
            <w:r w:rsidRPr="008A4F40">
              <w:rPr>
                <w:rFonts w:ascii="Times New Roman" w:hAnsi="Times New Roman"/>
                <w:color w:val="000000"/>
                <w:sz w:val="22"/>
                <w:szCs w:val="22"/>
                <w:lang w:val="de-DE"/>
              </w:rPr>
              <w:t>MTX 1,5 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(24 h), Tag 1;</w:t>
            </w:r>
          </w:p>
          <w:p w14:paraId="66851F24" w14:textId="7927D6D1" w:rsidR="003A33A6" w:rsidRPr="008A4F40" w:rsidRDefault="003A33A6">
            <w:pPr>
              <w:pStyle w:val="Table"/>
              <w:keepNext w:val="0"/>
              <w:keepLines w:val="0"/>
              <w:spacing w:before="0" w:after="0"/>
              <w:rPr>
                <w:rFonts w:ascii="Times New Roman" w:hAnsi="Times New Roman"/>
                <w:color w:val="000000"/>
                <w:sz w:val="22"/>
                <w:szCs w:val="22"/>
                <w:lang w:val="da-DK"/>
              </w:rPr>
              <w:pPrChange w:id="463" w:author="Author">
                <w:pPr>
                  <w:pStyle w:val="Table"/>
                  <w:keepNext w:val="0"/>
                  <w:keepLines w:val="0"/>
                </w:pPr>
              </w:pPrChange>
            </w:pPr>
            <w:r w:rsidRPr="008A4F40">
              <w:rPr>
                <w:rFonts w:ascii="Times New Roman" w:hAnsi="Times New Roman"/>
                <w:color w:val="000000"/>
                <w:sz w:val="22"/>
                <w:szCs w:val="22"/>
                <w:lang w:val="da-DK"/>
              </w:rPr>
              <w:t>Etoposid 250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(1 h) Tage 4</w:t>
            </w:r>
            <w:ins w:id="464" w:author="Author">
              <w:r w:rsidR="002222CA" w:rsidRPr="002222CA">
                <w:rPr>
                  <w:rFonts w:ascii="Times New Roman" w:hAnsi="Times New Roman"/>
                  <w:color w:val="000000"/>
                  <w:sz w:val="22"/>
                  <w:szCs w:val="22"/>
                  <w:lang w:val="da-DK"/>
                </w:rPr>
                <w:t>–</w:t>
              </w:r>
            </w:ins>
            <w:del w:id="465" w:author="Author">
              <w:r w:rsidRPr="008A4F40" w:rsidDel="002222CA">
                <w:rPr>
                  <w:rFonts w:ascii="Times New Roman" w:hAnsi="Times New Roman"/>
                  <w:color w:val="000000"/>
                  <w:sz w:val="22"/>
                  <w:szCs w:val="22"/>
                  <w:lang w:val="da-DK"/>
                </w:rPr>
                <w:delText>-</w:delText>
              </w:r>
            </w:del>
            <w:r w:rsidRPr="008A4F40">
              <w:rPr>
                <w:rFonts w:ascii="Times New Roman" w:hAnsi="Times New Roman"/>
                <w:color w:val="000000"/>
                <w:sz w:val="22"/>
                <w:szCs w:val="22"/>
                <w:lang w:val="da-DK"/>
              </w:rPr>
              <w:t>5;</w:t>
            </w:r>
          </w:p>
          <w:p w14:paraId="1C0895C7" w14:textId="0EEBBEC1" w:rsidR="003A33A6" w:rsidRPr="008A4F40" w:rsidRDefault="003A33A6">
            <w:pPr>
              <w:pStyle w:val="Table"/>
              <w:keepNext w:val="0"/>
              <w:keepLines w:val="0"/>
              <w:spacing w:before="0" w:after="0"/>
              <w:rPr>
                <w:rFonts w:ascii="Times New Roman" w:hAnsi="Times New Roman"/>
                <w:color w:val="000000"/>
                <w:sz w:val="22"/>
                <w:szCs w:val="22"/>
                <w:lang w:val="pt-PT"/>
              </w:rPr>
              <w:pPrChange w:id="466" w:author="Author">
                <w:pPr>
                  <w:pStyle w:val="Table"/>
                  <w:keepNext w:val="0"/>
                  <w:keepLines w:val="0"/>
                </w:pPr>
              </w:pPrChange>
            </w:pPr>
            <w:r w:rsidRPr="008A4F40">
              <w:rPr>
                <w:rFonts w:ascii="Times New Roman" w:hAnsi="Times New Roman"/>
                <w:color w:val="000000"/>
                <w:sz w:val="22"/>
                <w:szCs w:val="22"/>
                <w:lang w:val="pt-PT"/>
              </w:rPr>
              <w:t>Ara-C 2x</w:t>
            </w:r>
            <w:ins w:id="467" w:author="Author">
              <w:r w:rsidR="00EE2F71">
                <w:rPr>
                  <w:rFonts w:ascii="Times New Roman" w:hAnsi="Times New Roman"/>
                  <w:color w:val="000000"/>
                  <w:sz w:val="22"/>
                  <w:szCs w:val="22"/>
                  <w:lang w:val="pt-PT"/>
                </w:rPr>
                <w:t xml:space="preserve"> </w:t>
              </w:r>
            </w:ins>
            <w:r w:rsidRPr="008A4F40">
              <w:rPr>
                <w:rFonts w:ascii="Times New Roman" w:hAnsi="Times New Roman"/>
                <w:color w:val="000000"/>
                <w:sz w:val="22"/>
                <w:szCs w:val="22"/>
                <w:lang w:val="pt-PT"/>
              </w:rPr>
              <w:t>2 g/m</w:t>
            </w:r>
            <w:r w:rsidRPr="008A4F40">
              <w:rPr>
                <w:rFonts w:ascii="Times New Roman" w:hAnsi="Times New Roman"/>
                <w:color w:val="000000"/>
                <w:sz w:val="22"/>
                <w:szCs w:val="22"/>
                <w:vertAlign w:val="superscript"/>
                <w:lang w:val="pt-PT"/>
              </w:rPr>
              <w:t>2</w:t>
            </w:r>
            <w:r w:rsidRPr="008A4F40">
              <w:rPr>
                <w:rFonts w:ascii="Times New Roman" w:hAnsi="Times New Roman"/>
                <w:color w:val="000000"/>
                <w:sz w:val="22"/>
                <w:szCs w:val="22"/>
                <w:lang w:val="pt-PT"/>
              </w:rPr>
              <w:t xml:space="preserve"> i.v. (3 h, q 12 h), Tag 5</w:t>
            </w:r>
          </w:p>
        </w:tc>
      </w:tr>
      <w:tr w:rsidR="003A33A6" w:rsidRPr="008A4F40" w14:paraId="12745B75" w14:textId="77777777" w:rsidTr="00807BCC">
        <w:trPr>
          <w:cantSplit/>
        </w:trPr>
        <w:tc>
          <w:tcPr>
            <w:tcW w:w="2148" w:type="dxa"/>
            <w:tcBorders>
              <w:top w:val="single" w:sz="4" w:space="0" w:color="auto"/>
              <w:bottom w:val="single" w:sz="4" w:space="0" w:color="auto"/>
            </w:tcBorders>
          </w:tcPr>
          <w:p w14:paraId="4CA5AA69" w14:textId="77777777" w:rsidR="003A33A6" w:rsidRPr="008A4F40" w:rsidRDefault="003A33A6">
            <w:pPr>
              <w:pStyle w:val="Table"/>
              <w:keepLines w:val="0"/>
              <w:spacing w:before="0" w:after="0"/>
              <w:rPr>
                <w:rFonts w:ascii="Times New Roman" w:hAnsi="Times New Roman"/>
                <w:b/>
                <w:color w:val="000000"/>
                <w:sz w:val="22"/>
                <w:szCs w:val="22"/>
              </w:rPr>
              <w:pPrChange w:id="468" w:author="Author">
                <w:pPr>
                  <w:pStyle w:val="Table"/>
                  <w:keepLines w:val="0"/>
                </w:pPr>
              </w:pPrChange>
            </w:pPr>
            <w:r w:rsidRPr="008A4F40">
              <w:rPr>
                <w:rFonts w:ascii="Times New Roman" w:hAnsi="Times New Roman"/>
                <w:b/>
                <w:color w:val="000000"/>
                <w:sz w:val="22"/>
                <w:szCs w:val="22"/>
              </w:rPr>
              <w:t>Studie AJP01</w:t>
            </w:r>
          </w:p>
        </w:tc>
        <w:tc>
          <w:tcPr>
            <w:tcW w:w="2652" w:type="dxa"/>
            <w:tcBorders>
              <w:top w:val="single" w:sz="4" w:space="0" w:color="auto"/>
              <w:bottom w:val="single" w:sz="4" w:space="0" w:color="auto"/>
            </w:tcBorders>
          </w:tcPr>
          <w:p w14:paraId="0A8762ED" w14:textId="77777777" w:rsidR="003A33A6" w:rsidRPr="008A4F40" w:rsidRDefault="003A33A6">
            <w:pPr>
              <w:pStyle w:val="Table"/>
              <w:keepLines w:val="0"/>
              <w:spacing w:before="0" w:after="0"/>
              <w:rPr>
                <w:rFonts w:ascii="Times New Roman" w:hAnsi="Times New Roman"/>
                <w:color w:val="000000"/>
                <w:sz w:val="22"/>
                <w:szCs w:val="22"/>
              </w:rPr>
              <w:pPrChange w:id="469" w:author="Author">
                <w:pPr>
                  <w:pStyle w:val="Table"/>
                  <w:keepLines w:val="0"/>
                </w:pPr>
              </w:pPrChange>
            </w:pPr>
          </w:p>
        </w:tc>
        <w:tc>
          <w:tcPr>
            <w:tcW w:w="1080" w:type="dxa"/>
            <w:tcBorders>
              <w:top w:val="single" w:sz="4" w:space="0" w:color="auto"/>
              <w:bottom w:val="single" w:sz="4" w:space="0" w:color="auto"/>
            </w:tcBorders>
          </w:tcPr>
          <w:p w14:paraId="06EADD57" w14:textId="77777777" w:rsidR="003A33A6" w:rsidRPr="008A4F40" w:rsidRDefault="003A33A6">
            <w:pPr>
              <w:pStyle w:val="Table"/>
              <w:keepLines w:val="0"/>
              <w:spacing w:before="0" w:after="0"/>
              <w:rPr>
                <w:rFonts w:ascii="Times New Roman" w:hAnsi="Times New Roman"/>
                <w:color w:val="000000"/>
                <w:sz w:val="22"/>
                <w:szCs w:val="22"/>
              </w:rPr>
              <w:pPrChange w:id="470" w:author="Author">
                <w:pPr>
                  <w:pStyle w:val="Table"/>
                  <w:keepLines w:val="0"/>
                </w:pPr>
              </w:pPrChange>
            </w:pPr>
          </w:p>
        </w:tc>
        <w:tc>
          <w:tcPr>
            <w:tcW w:w="1380" w:type="dxa"/>
            <w:tcBorders>
              <w:top w:val="single" w:sz="4" w:space="0" w:color="auto"/>
              <w:bottom w:val="single" w:sz="4" w:space="0" w:color="auto"/>
            </w:tcBorders>
          </w:tcPr>
          <w:p w14:paraId="7B3A11C4" w14:textId="77777777" w:rsidR="003A33A6" w:rsidRPr="008A4F40" w:rsidRDefault="003A33A6">
            <w:pPr>
              <w:pStyle w:val="Table"/>
              <w:keepLines w:val="0"/>
              <w:spacing w:before="0" w:after="0"/>
              <w:rPr>
                <w:rFonts w:ascii="Times New Roman" w:hAnsi="Times New Roman"/>
                <w:color w:val="000000"/>
                <w:sz w:val="22"/>
                <w:szCs w:val="22"/>
              </w:rPr>
              <w:pPrChange w:id="471" w:author="Author">
                <w:pPr>
                  <w:pStyle w:val="Table"/>
                  <w:keepLines w:val="0"/>
                </w:pPr>
              </w:pPrChange>
            </w:pPr>
          </w:p>
        </w:tc>
        <w:tc>
          <w:tcPr>
            <w:tcW w:w="1620" w:type="dxa"/>
            <w:tcBorders>
              <w:top w:val="single" w:sz="4" w:space="0" w:color="auto"/>
              <w:bottom w:val="single" w:sz="4" w:space="0" w:color="auto"/>
            </w:tcBorders>
          </w:tcPr>
          <w:p w14:paraId="7DC8911F" w14:textId="77777777" w:rsidR="003A33A6" w:rsidRPr="008A4F40" w:rsidRDefault="003A33A6">
            <w:pPr>
              <w:pStyle w:val="Table"/>
              <w:keepLines w:val="0"/>
              <w:spacing w:before="0" w:after="0"/>
              <w:rPr>
                <w:rFonts w:ascii="Times New Roman" w:hAnsi="Times New Roman"/>
                <w:color w:val="000000"/>
                <w:sz w:val="22"/>
                <w:szCs w:val="22"/>
              </w:rPr>
              <w:pPrChange w:id="472" w:author="Author">
                <w:pPr>
                  <w:pStyle w:val="Table"/>
                  <w:keepLines w:val="0"/>
                </w:pPr>
              </w:pPrChange>
            </w:pPr>
          </w:p>
        </w:tc>
      </w:tr>
      <w:tr w:rsidR="003A33A6" w:rsidRPr="008A4F40" w14:paraId="22231B4F" w14:textId="77777777" w:rsidTr="00807BCC">
        <w:trPr>
          <w:cantSplit/>
        </w:trPr>
        <w:tc>
          <w:tcPr>
            <w:tcW w:w="2148" w:type="dxa"/>
            <w:tcBorders>
              <w:top w:val="single" w:sz="4" w:space="0" w:color="auto"/>
              <w:bottom w:val="single" w:sz="4" w:space="0" w:color="auto"/>
            </w:tcBorders>
          </w:tcPr>
          <w:p w14:paraId="14E56176" w14:textId="77777777" w:rsidR="003A33A6" w:rsidRPr="008A4F40" w:rsidRDefault="003A33A6">
            <w:pPr>
              <w:pStyle w:val="Table"/>
              <w:keepLines w:val="0"/>
              <w:spacing w:before="0" w:after="0"/>
              <w:jc w:val="both"/>
              <w:rPr>
                <w:rFonts w:ascii="Times New Roman" w:hAnsi="Times New Roman"/>
                <w:color w:val="000000"/>
                <w:sz w:val="22"/>
                <w:szCs w:val="22"/>
              </w:rPr>
              <w:pPrChange w:id="473" w:author="Author">
                <w:pPr>
                  <w:pStyle w:val="Table"/>
                  <w:keepLines w:val="0"/>
                  <w:jc w:val="both"/>
                </w:pPr>
              </w:pPrChange>
            </w:pPr>
            <w:proofErr w:type="spellStart"/>
            <w:r w:rsidRPr="008A4F40">
              <w:rPr>
                <w:rFonts w:ascii="Times New Roman" w:hAnsi="Times New Roman"/>
                <w:color w:val="000000"/>
                <w:sz w:val="22"/>
                <w:szCs w:val="22"/>
              </w:rPr>
              <w:t>Induktionstherapie</w:t>
            </w:r>
            <w:proofErr w:type="spellEnd"/>
          </w:p>
        </w:tc>
        <w:tc>
          <w:tcPr>
            <w:tcW w:w="6732" w:type="dxa"/>
            <w:gridSpan w:val="4"/>
            <w:tcBorders>
              <w:top w:val="single" w:sz="4" w:space="0" w:color="auto"/>
              <w:bottom w:val="single" w:sz="4" w:space="0" w:color="auto"/>
            </w:tcBorders>
          </w:tcPr>
          <w:p w14:paraId="3ED8AA0F" w14:textId="77777777" w:rsidR="003A33A6" w:rsidRPr="008A4F40" w:rsidRDefault="003A33A6">
            <w:pPr>
              <w:pStyle w:val="Table"/>
              <w:keepLines w:val="0"/>
              <w:spacing w:before="0" w:after="0"/>
              <w:rPr>
                <w:rFonts w:ascii="Times New Roman" w:hAnsi="Times New Roman"/>
                <w:color w:val="000000"/>
                <w:sz w:val="22"/>
                <w:szCs w:val="22"/>
                <w:lang w:val="de-DE"/>
              </w:rPr>
              <w:pPrChange w:id="474" w:author="Author">
                <w:pPr>
                  <w:pStyle w:val="Table"/>
                  <w:keepLines w:val="0"/>
                </w:pPr>
              </w:pPrChange>
            </w:pPr>
            <w:r w:rsidRPr="008A4F40">
              <w:rPr>
                <w:rFonts w:ascii="Times New Roman" w:hAnsi="Times New Roman"/>
                <w:color w:val="000000"/>
                <w:sz w:val="22"/>
                <w:szCs w:val="22"/>
                <w:lang w:val="de-DE"/>
              </w:rPr>
              <w:t>CP 1,2 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(3 h), Tag 1;</w:t>
            </w:r>
          </w:p>
          <w:p w14:paraId="1900D226" w14:textId="4556ABCC" w:rsidR="003A33A6" w:rsidRPr="008A4F40" w:rsidRDefault="003A33A6">
            <w:pPr>
              <w:pStyle w:val="Table"/>
              <w:keepLines w:val="0"/>
              <w:spacing w:before="0" w:after="0"/>
              <w:rPr>
                <w:rFonts w:ascii="Times New Roman" w:hAnsi="Times New Roman"/>
                <w:color w:val="000000"/>
                <w:sz w:val="22"/>
                <w:szCs w:val="22"/>
                <w:lang w:val="de-DE"/>
              </w:rPr>
              <w:pPrChange w:id="475" w:author="Author">
                <w:pPr>
                  <w:pStyle w:val="Table"/>
                  <w:keepLines w:val="0"/>
                </w:pPr>
              </w:pPrChange>
            </w:pPr>
            <w:r w:rsidRPr="008A4F40">
              <w:rPr>
                <w:rFonts w:ascii="Times New Roman" w:hAnsi="Times New Roman"/>
                <w:color w:val="000000"/>
                <w:sz w:val="22"/>
                <w:szCs w:val="22"/>
                <w:lang w:val="de-DE"/>
              </w:rPr>
              <w:t>Daunorubicin 60 mg/m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(1 h), Tag 1</w:t>
            </w:r>
            <w:ins w:id="476" w:author="Author">
              <w:r w:rsidR="002222CA" w:rsidRPr="002222CA">
                <w:rPr>
                  <w:rFonts w:ascii="Times New Roman" w:hAnsi="Times New Roman"/>
                  <w:color w:val="000000"/>
                  <w:sz w:val="22"/>
                  <w:szCs w:val="22"/>
                  <w:lang w:val="de-DE"/>
                </w:rPr>
                <w:t>–</w:t>
              </w:r>
            </w:ins>
            <w:del w:id="477" w:author="Author">
              <w:r w:rsidRPr="008A4F40" w:rsidDel="002222CA">
                <w:rPr>
                  <w:rFonts w:ascii="Times New Roman" w:hAnsi="Times New Roman"/>
                  <w:color w:val="000000"/>
                  <w:sz w:val="22"/>
                  <w:szCs w:val="22"/>
                  <w:lang w:val="de-DE"/>
                </w:rPr>
                <w:delText>-</w:delText>
              </w:r>
            </w:del>
            <w:r w:rsidRPr="008A4F40">
              <w:rPr>
                <w:rFonts w:ascii="Times New Roman" w:hAnsi="Times New Roman"/>
                <w:color w:val="000000"/>
                <w:sz w:val="22"/>
                <w:szCs w:val="22"/>
                <w:lang w:val="de-DE"/>
              </w:rPr>
              <w:t>3;</w:t>
            </w:r>
          </w:p>
          <w:p w14:paraId="4F8AC755" w14:textId="77777777" w:rsidR="003A33A6" w:rsidRPr="008A4F40" w:rsidRDefault="003A33A6">
            <w:pPr>
              <w:pStyle w:val="Table"/>
              <w:keepLines w:val="0"/>
              <w:spacing w:before="0" w:after="0"/>
              <w:rPr>
                <w:rFonts w:ascii="Times New Roman" w:hAnsi="Times New Roman"/>
                <w:color w:val="000000"/>
                <w:sz w:val="22"/>
                <w:szCs w:val="22"/>
                <w:lang w:val="da-DK"/>
              </w:rPr>
              <w:pPrChange w:id="478" w:author="Author">
                <w:pPr>
                  <w:pStyle w:val="Table"/>
                  <w:keepLines w:val="0"/>
                </w:pPr>
              </w:pPrChange>
            </w:pPr>
            <w:r w:rsidRPr="008A4F40">
              <w:rPr>
                <w:rFonts w:ascii="Times New Roman" w:hAnsi="Times New Roman"/>
                <w:color w:val="000000"/>
                <w:sz w:val="22"/>
                <w:szCs w:val="22"/>
                <w:lang w:val="da-DK"/>
              </w:rPr>
              <w:t>Vincristin 1,3 mg/m</w:t>
            </w:r>
            <w:r w:rsidRPr="008A4F40">
              <w:rPr>
                <w:rFonts w:ascii="Times New Roman" w:hAnsi="Times New Roman"/>
                <w:color w:val="000000"/>
                <w:sz w:val="22"/>
                <w:szCs w:val="22"/>
                <w:vertAlign w:val="superscript"/>
                <w:lang w:val="da-DK"/>
              </w:rPr>
              <w:t>2</w:t>
            </w:r>
            <w:r w:rsidRPr="008A4F40">
              <w:rPr>
                <w:rFonts w:ascii="Times New Roman" w:hAnsi="Times New Roman"/>
                <w:color w:val="000000"/>
                <w:sz w:val="22"/>
                <w:szCs w:val="22"/>
                <w:lang w:val="da-DK"/>
              </w:rPr>
              <w:t xml:space="preserve"> i.v., Tage 1, 8, 15, 21;</w:t>
            </w:r>
          </w:p>
          <w:p w14:paraId="1A0DE551" w14:textId="77777777" w:rsidR="003A33A6" w:rsidRPr="008A4F40" w:rsidRDefault="003A33A6">
            <w:pPr>
              <w:pStyle w:val="Table"/>
              <w:keepLines w:val="0"/>
              <w:spacing w:before="0" w:after="0"/>
              <w:rPr>
                <w:rFonts w:ascii="Times New Roman" w:hAnsi="Times New Roman"/>
                <w:color w:val="000000"/>
                <w:sz w:val="22"/>
                <w:szCs w:val="22"/>
                <w:lang w:val="nb-NO"/>
              </w:rPr>
              <w:pPrChange w:id="479" w:author="Author">
                <w:pPr>
                  <w:pStyle w:val="Table"/>
                  <w:keepLines w:val="0"/>
                </w:pPr>
              </w:pPrChange>
            </w:pPr>
            <w:r w:rsidRPr="008A4F40">
              <w:rPr>
                <w:rFonts w:ascii="Times New Roman" w:hAnsi="Times New Roman"/>
                <w:color w:val="000000"/>
                <w:sz w:val="22"/>
                <w:szCs w:val="22"/>
                <w:lang w:val="nb-NO"/>
              </w:rPr>
              <w:t>Prednisolon 60 mg/m</w:t>
            </w:r>
            <w:r w:rsidRPr="008A4F40">
              <w:rPr>
                <w:rFonts w:ascii="Times New Roman" w:hAnsi="Times New Roman"/>
                <w:color w:val="000000"/>
                <w:sz w:val="22"/>
                <w:szCs w:val="22"/>
                <w:vertAlign w:val="superscript"/>
                <w:lang w:val="nb-NO"/>
              </w:rPr>
              <w:t>2</w:t>
            </w:r>
            <w:r w:rsidRPr="008A4F40">
              <w:rPr>
                <w:rFonts w:ascii="Times New Roman" w:hAnsi="Times New Roman"/>
                <w:color w:val="000000"/>
                <w:sz w:val="22"/>
                <w:szCs w:val="22"/>
                <w:lang w:val="nb-NO"/>
              </w:rPr>
              <w:t>/Tag oral</w:t>
            </w:r>
          </w:p>
        </w:tc>
      </w:tr>
      <w:tr w:rsidR="003A33A6" w:rsidRPr="008A4F40" w14:paraId="0CA2FFA2" w14:textId="77777777" w:rsidTr="00DA7B0B">
        <w:trPr>
          <w:cantSplit/>
        </w:trPr>
        <w:tc>
          <w:tcPr>
            <w:tcW w:w="2148" w:type="dxa"/>
            <w:tcBorders>
              <w:top w:val="single" w:sz="4" w:space="0" w:color="auto"/>
              <w:bottom w:val="single" w:sz="4" w:space="0" w:color="auto"/>
            </w:tcBorders>
          </w:tcPr>
          <w:p w14:paraId="37DB7918" w14:textId="77777777" w:rsidR="003A33A6" w:rsidRPr="008A4F40" w:rsidRDefault="003A33A6">
            <w:pPr>
              <w:pStyle w:val="Table"/>
              <w:keepLines w:val="0"/>
              <w:tabs>
                <w:tab w:val="left" w:pos="0"/>
              </w:tabs>
              <w:spacing w:before="0" w:after="0"/>
              <w:rPr>
                <w:rFonts w:ascii="Times New Roman" w:hAnsi="Times New Roman"/>
                <w:color w:val="000000"/>
                <w:sz w:val="22"/>
                <w:szCs w:val="22"/>
              </w:rPr>
              <w:pPrChange w:id="480" w:author="Author">
                <w:pPr>
                  <w:pStyle w:val="Table"/>
                  <w:keepLines w:val="0"/>
                  <w:tabs>
                    <w:tab w:val="left" w:pos="0"/>
                  </w:tabs>
                </w:pPr>
              </w:pPrChange>
            </w:pPr>
            <w:proofErr w:type="spellStart"/>
            <w:r w:rsidRPr="008A4F40">
              <w:rPr>
                <w:rFonts w:ascii="Times New Roman" w:hAnsi="Times New Roman"/>
                <w:color w:val="000000"/>
                <w:sz w:val="22"/>
                <w:szCs w:val="22"/>
              </w:rPr>
              <w:t>Konsolidierungs-therapie</w:t>
            </w:r>
            <w:proofErr w:type="spellEnd"/>
          </w:p>
        </w:tc>
        <w:tc>
          <w:tcPr>
            <w:tcW w:w="6732" w:type="dxa"/>
            <w:gridSpan w:val="4"/>
            <w:tcBorders>
              <w:top w:val="single" w:sz="4" w:space="0" w:color="auto"/>
              <w:bottom w:val="single" w:sz="4" w:space="0" w:color="auto"/>
            </w:tcBorders>
          </w:tcPr>
          <w:p w14:paraId="79C16DEC" w14:textId="2BB07837" w:rsidR="003A33A6" w:rsidRPr="008A4F40" w:rsidRDefault="003A33A6">
            <w:pPr>
              <w:pStyle w:val="Table"/>
              <w:keepLines w:val="0"/>
              <w:spacing w:before="0" w:after="0"/>
              <w:rPr>
                <w:rFonts w:ascii="Times New Roman" w:hAnsi="Times New Roman"/>
                <w:color w:val="000000"/>
                <w:sz w:val="22"/>
                <w:szCs w:val="22"/>
                <w:lang w:val="de-DE"/>
              </w:rPr>
              <w:pPrChange w:id="481" w:author="Author">
                <w:pPr>
                  <w:pStyle w:val="Table"/>
                  <w:keepLines w:val="0"/>
                </w:pPr>
              </w:pPrChange>
            </w:pPr>
            <w:r w:rsidRPr="008A4F40">
              <w:rPr>
                <w:rFonts w:ascii="Times New Roman" w:hAnsi="Times New Roman"/>
                <w:color w:val="000000"/>
                <w:sz w:val="22"/>
                <w:szCs w:val="22"/>
                <w:lang w:val="de-DE"/>
              </w:rPr>
              <w:t xml:space="preserve">Alternierender Chemotherapiezyklus: Hochdosis-Chemotherapie mit </w:t>
            </w:r>
            <w:smartTag w:uri="urn:schemas-microsoft-com:office:smarttags" w:element="stockticker">
              <w:r w:rsidRPr="008A4F40">
                <w:rPr>
                  <w:rFonts w:ascii="Times New Roman" w:hAnsi="Times New Roman"/>
                  <w:color w:val="000000"/>
                  <w:sz w:val="22"/>
                  <w:szCs w:val="22"/>
                  <w:lang w:val="de-DE"/>
                </w:rPr>
                <w:t>MTX</w:t>
              </w:r>
            </w:smartTag>
            <w:r w:rsidRPr="008A4F40">
              <w:rPr>
                <w:rFonts w:ascii="Times New Roman" w:hAnsi="Times New Roman"/>
                <w:color w:val="000000"/>
                <w:sz w:val="22"/>
                <w:szCs w:val="22"/>
                <w:lang w:val="de-DE"/>
              </w:rPr>
              <w:t xml:space="preserve"> 1 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(24 h), Tag 1, und Ara-C 2 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(q 12 h), Tage 2</w:t>
            </w:r>
            <w:ins w:id="482" w:author="Author">
              <w:r w:rsidR="002222CA" w:rsidRPr="002222CA">
                <w:rPr>
                  <w:rFonts w:ascii="Times New Roman" w:hAnsi="Times New Roman"/>
                  <w:color w:val="000000"/>
                  <w:sz w:val="22"/>
                  <w:szCs w:val="22"/>
                  <w:lang w:val="de-DE"/>
                </w:rPr>
                <w:t>–</w:t>
              </w:r>
            </w:ins>
            <w:del w:id="483" w:author="Author">
              <w:r w:rsidRPr="008A4F40" w:rsidDel="002222CA">
                <w:rPr>
                  <w:rFonts w:ascii="Times New Roman" w:hAnsi="Times New Roman"/>
                  <w:color w:val="000000"/>
                  <w:sz w:val="22"/>
                  <w:szCs w:val="22"/>
                  <w:lang w:val="de-DE"/>
                </w:rPr>
                <w:delText>-</w:delText>
              </w:r>
            </w:del>
            <w:r w:rsidRPr="008A4F40">
              <w:rPr>
                <w:rFonts w:ascii="Times New Roman" w:hAnsi="Times New Roman"/>
                <w:color w:val="000000"/>
                <w:sz w:val="22"/>
                <w:szCs w:val="22"/>
                <w:lang w:val="de-DE"/>
              </w:rPr>
              <w:t>3, über 4 Zyklen</w:t>
            </w:r>
          </w:p>
        </w:tc>
      </w:tr>
      <w:tr w:rsidR="003A33A6" w:rsidRPr="00FA2E9E" w14:paraId="5CE85FB7" w14:textId="77777777" w:rsidTr="00DA7B0B">
        <w:trPr>
          <w:cantSplit/>
        </w:trPr>
        <w:tc>
          <w:tcPr>
            <w:tcW w:w="2148" w:type="dxa"/>
            <w:tcBorders>
              <w:top w:val="single" w:sz="4" w:space="0" w:color="auto"/>
              <w:bottom w:val="single" w:sz="4" w:space="0" w:color="auto"/>
            </w:tcBorders>
          </w:tcPr>
          <w:p w14:paraId="643597EE" w14:textId="77777777" w:rsidR="003A33A6" w:rsidRPr="008A4F40" w:rsidRDefault="003A33A6">
            <w:pPr>
              <w:pStyle w:val="Table"/>
              <w:keepNext w:val="0"/>
              <w:keepLines w:val="0"/>
              <w:tabs>
                <w:tab w:val="left" w:pos="0"/>
              </w:tabs>
              <w:spacing w:before="0" w:after="0"/>
              <w:rPr>
                <w:rFonts w:ascii="Times New Roman" w:hAnsi="Times New Roman"/>
                <w:color w:val="000000"/>
                <w:sz w:val="22"/>
                <w:szCs w:val="22"/>
              </w:rPr>
              <w:pPrChange w:id="484" w:author="Author">
                <w:pPr>
                  <w:pStyle w:val="Table"/>
                  <w:keepNext w:val="0"/>
                  <w:keepLines w:val="0"/>
                  <w:tabs>
                    <w:tab w:val="left" w:pos="0"/>
                  </w:tabs>
                </w:pPr>
              </w:pPrChange>
            </w:pPr>
            <w:proofErr w:type="spellStart"/>
            <w:r w:rsidRPr="008A4F40">
              <w:rPr>
                <w:rFonts w:ascii="Times New Roman" w:hAnsi="Times New Roman"/>
                <w:color w:val="000000"/>
                <w:sz w:val="22"/>
                <w:szCs w:val="22"/>
              </w:rPr>
              <w:t>Erhaltung</w:t>
            </w:r>
            <w:proofErr w:type="spellEnd"/>
          </w:p>
        </w:tc>
        <w:tc>
          <w:tcPr>
            <w:tcW w:w="6732" w:type="dxa"/>
            <w:gridSpan w:val="4"/>
            <w:tcBorders>
              <w:top w:val="single" w:sz="4" w:space="0" w:color="auto"/>
              <w:bottom w:val="single" w:sz="4" w:space="0" w:color="auto"/>
            </w:tcBorders>
          </w:tcPr>
          <w:p w14:paraId="77127A7F" w14:textId="77777777" w:rsidR="003A33A6" w:rsidRPr="008A4F40" w:rsidRDefault="003A33A6">
            <w:pPr>
              <w:pStyle w:val="Table"/>
              <w:keepNext w:val="0"/>
              <w:keepLines w:val="0"/>
              <w:spacing w:before="0" w:after="0"/>
              <w:rPr>
                <w:rFonts w:ascii="Times New Roman" w:hAnsi="Times New Roman"/>
                <w:color w:val="000000"/>
                <w:sz w:val="22"/>
                <w:szCs w:val="22"/>
                <w:lang w:val="sv-SE"/>
              </w:rPr>
              <w:pPrChange w:id="485" w:author="Author">
                <w:pPr>
                  <w:pStyle w:val="Table"/>
                  <w:keepNext w:val="0"/>
                  <w:keepLines w:val="0"/>
                </w:pPr>
              </w:pPrChange>
            </w:pPr>
            <w:smartTag w:uri="urn:schemas-microsoft-com:office:smarttags" w:element="stockticker">
              <w:r w:rsidRPr="008A4F40">
                <w:rPr>
                  <w:rFonts w:ascii="Times New Roman" w:hAnsi="Times New Roman"/>
                  <w:color w:val="000000"/>
                  <w:sz w:val="22"/>
                  <w:szCs w:val="22"/>
                  <w:lang w:val="sv-SE"/>
                </w:rPr>
                <w:t>VCR</w:t>
              </w:r>
            </w:smartTag>
            <w:r w:rsidRPr="008A4F40">
              <w:rPr>
                <w:rFonts w:ascii="Times New Roman" w:hAnsi="Times New Roman"/>
                <w:color w:val="000000"/>
                <w:sz w:val="22"/>
                <w:szCs w:val="22"/>
                <w:lang w:val="sv-SE"/>
              </w:rPr>
              <w:t xml:space="preserve"> 1,3 g/m</w:t>
            </w:r>
            <w:r w:rsidRPr="008A4F40">
              <w:rPr>
                <w:rFonts w:ascii="Times New Roman" w:hAnsi="Times New Roman"/>
                <w:color w:val="000000"/>
                <w:sz w:val="22"/>
                <w:szCs w:val="22"/>
                <w:vertAlign w:val="superscript"/>
                <w:lang w:val="sv-SE"/>
              </w:rPr>
              <w:t>2</w:t>
            </w:r>
            <w:r w:rsidRPr="008A4F40">
              <w:rPr>
                <w:rFonts w:ascii="Times New Roman" w:hAnsi="Times New Roman"/>
                <w:color w:val="000000"/>
                <w:sz w:val="22"/>
                <w:szCs w:val="22"/>
                <w:lang w:val="sv-SE"/>
              </w:rPr>
              <w:t xml:space="preserve"> i.v., Tag 1;</w:t>
            </w:r>
          </w:p>
          <w:p w14:paraId="1AF24FB4" w14:textId="64029546" w:rsidR="003A33A6" w:rsidRPr="008A4F40" w:rsidRDefault="003A33A6">
            <w:pPr>
              <w:pStyle w:val="Table"/>
              <w:keepNext w:val="0"/>
              <w:keepLines w:val="0"/>
              <w:spacing w:before="0" w:after="0"/>
              <w:rPr>
                <w:rFonts w:ascii="Times New Roman" w:hAnsi="Times New Roman"/>
                <w:color w:val="000000"/>
                <w:sz w:val="22"/>
                <w:szCs w:val="22"/>
                <w:lang w:val="sv-SE"/>
              </w:rPr>
              <w:pPrChange w:id="486" w:author="Author">
                <w:pPr>
                  <w:pStyle w:val="Table"/>
                  <w:keepNext w:val="0"/>
                  <w:keepLines w:val="0"/>
                </w:pPr>
              </w:pPrChange>
            </w:pPr>
            <w:r w:rsidRPr="008A4F40">
              <w:rPr>
                <w:rFonts w:ascii="Times New Roman" w:hAnsi="Times New Roman"/>
                <w:color w:val="000000"/>
                <w:sz w:val="22"/>
                <w:szCs w:val="22"/>
                <w:lang w:val="sv-SE"/>
              </w:rPr>
              <w:t>Prednisolon 60 mg/m</w:t>
            </w:r>
            <w:r w:rsidRPr="008A4F40">
              <w:rPr>
                <w:rFonts w:ascii="Times New Roman" w:hAnsi="Times New Roman"/>
                <w:color w:val="000000"/>
                <w:sz w:val="22"/>
                <w:szCs w:val="22"/>
                <w:vertAlign w:val="superscript"/>
                <w:lang w:val="sv-SE"/>
              </w:rPr>
              <w:t>2</w:t>
            </w:r>
            <w:r w:rsidRPr="008A4F40">
              <w:rPr>
                <w:rFonts w:ascii="Times New Roman" w:hAnsi="Times New Roman"/>
                <w:color w:val="000000"/>
                <w:sz w:val="22"/>
                <w:szCs w:val="22"/>
                <w:lang w:val="sv-SE"/>
              </w:rPr>
              <w:t xml:space="preserve"> oral, Tage 1</w:t>
            </w:r>
            <w:ins w:id="487" w:author="Author">
              <w:r w:rsidR="002222CA" w:rsidRPr="002222CA">
                <w:rPr>
                  <w:rFonts w:ascii="Times New Roman" w:hAnsi="Times New Roman"/>
                  <w:color w:val="000000"/>
                  <w:sz w:val="22"/>
                  <w:szCs w:val="22"/>
                  <w:lang w:val="sv-SE"/>
                </w:rPr>
                <w:t>–</w:t>
              </w:r>
            </w:ins>
            <w:del w:id="488" w:author="Author">
              <w:r w:rsidRPr="008A4F40" w:rsidDel="002222CA">
                <w:rPr>
                  <w:rFonts w:ascii="Times New Roman" w:hAnsi="Times New Roman"/>
                  <w:color w:val="000000"/>
                  <w:sz w:val="22"/>
                  <w:szCs w:val="22"/>
                  <w:lang w:val="sv-SE"/>
                </w:rPr>
                <w:delText>-</w:delText>
              </w:r>
            </w:del>
            <w:r w:rsidRPr="008A4F40">
              <w:rPr>
                <w:rFonts w:ascii="Times New Roman" w:hAnsi="Times New Roman"/>
                <w:color w:val="000000"/>
                <w:sz w:val="22"/>
                <w:szCs w:val="22"/>
                <w:lang w:val="sv-SE"/>
              </w:rPr>
              <w:t>5</w:t>
            </w:r>
          </w:p>
        </w:tc>
      </w:tr>
      <w:tr w:rsidR="003A33A6" w:rsidRPr="008A4F40" w14:paraId="7CFB37B6" w14:textId="77777777" w:rsidTr="00DA7B0B">
        <w:trPr>
          <w:cantSplit/>
        </w:trPr>
        <w:tc>
          <w:tcPr>
            <w:tcW w:w="4800" w:type="dxa"/>
            <w:gridSpan w:val="2"/>
            <w:tcBorders>
              <w:top w:val="single" w:sz="4" w:space="0" w:color="auto"/>
              <w:bottom w:val="single" w:sz="4" w:space="0" w:color="auto"/>
            </w:tcBorders>
          </w:tcPr>
          <w:p w14:paraId="59ACD994" w14:textId="77777777" w:rsidR="003A33A6" w:rsidRPr="008A4F40" w:rsidRDefault="003A33A6">
            <w:pPr>
              <w:pStyle w:val="Table"/>
              <w:keepLines w:val="0"/>
              <w:spacing w:before="0" w:after="0"/>
              <w:rPr>
                <w:rFonts w:ascii="Times New Roman" w:hAnsi="Times New Roman"/>
                <w:color w:val="000000"/>
                <w:sz w:val="22"/>
                <w:szCs w:val="22"/>
              </w:rPr>
              <w:pPrChange w:id="489" w:author="Author">
                <w:pPr>
                  <w:pStyle w:val="Table"/>
                  <w:keepLines w:val="0"/>
                </w:pPr>
              </w:pPrChange>
            </w:pPr>
            <w:r w:rsidRPr="008A4F40">
              <w:rPr>
                <w:rFonts w:ascii="Times New Roman" w:hAnsi="Times New Roman"/>
                <w:b/>
                <w:color w:val="000000"/>
                <w:sz w:val="22"/>
                <w:szCs w:val="22"/>
              </w:rPr>
              <w:t>Studie AUS01</w:t>
            </w:r>
          </w:p>
        </w:tc>
        <w:tc>
          <w:tcPr>
            <w:tcW w:w="1080" w:type="dxa"/>
            <w:tcBorders>
              <w:top w:val="single" w:sz="4" w:space="0" w:color="auto"/>
              <w:bottom w:val="single" w:sz="4" w:space="0" w:color="auto"/>
            </w:tcBorders>
          </w:tcPr>
          <w:p w14:paraId="5723E465" w14:textId="77777777" w:rsidR="003A33A6" w:rsidRPr="008A4F40" w:rsidRDefault="003A33A6">
            <w:pPr>
              <w:pStyle w:val="Table"/>
              <w:keepLines w:val="0"/>
              <w:spacing w:before="0" w:after="0"/>
              <w:rPr>
                <w:rFonts w:ascii="Times New Roman" w:hAnsi="Times New Roman"/>
                <w:color w:val="000000"/>
                <w:sz w:val="22"/>
                <w:szCs w:val="22"/>
              </w:rPr>
              <w:pPrChange w:id="490" w:author="Author">
                <w:pPr>
                  <w:pStyle w:val="Table"/>
                  <w:keepLines w:val="0"/>
                </w:pPr>
              </w:pPrChange>
            </w:pPr>
          </w:p>
        </w:tc>
        <w:tc>
          <w:tcPr>
            <w:tcW w:w="1380" w:type="dxa"/>
            <w:tcBorders>
              <w:top w:val="single" w:sz="4" w:space="0" w:color="auto"/>
              <w:bottom w:val="single" w:sz="4" w:space="0" w:color="auto"/>
            </w:tcBorders>
          </w:tcPr>
          <w:p w14:paraId="16FDEA89" w14:textId="77777777" w:rsidR="003A33A6" w:rsidRPr="008A4F40" w:rsidRDefault="003A33A6">
            <w:pPr>
              <w:pStyle w:val="Table"/>
              <w:keepLines w:val="0"/>
              <w:spacing w:before="0" w:after="0"/>
              <w:rPr>
                <w:rFonts w:ascii="Times New Roman" w:hAnsi="Times New Roman"/>
                <w:color w:val="000000"/>
                <w:sz w:val="22"/>
                <w:szCs w:val="22"/>
              </w:rPr>
              <w:pPrChange w:id="491" w:author="Author">
                <w:pPr>
                  <w:pStyle w:val="Table"/>
                  <w:keepLines w:val="0"/>
                </w:pPr>
              </w:pPrChange>
            </w:pPr>
          </w:p>
        </w:tc>
        <w:tc>
          <w:tcPr>
            <w:tcW w:w="1620" w:type="dxa"/>
            <w:tcBorders>
              <w:top w:val="single" w:sz="4" w:space="0" w:color="auto"/>
              <w:bottom w:val="single" w:sz="4" w:space="0" w:color="auto"/>
            </w:tcBorders>
          </w:tcPr>
          <w:p w14:paraId="261B3634" w14:textId="77777777" w:rsidR="003A33A6" w:rsidRPr="008A4F40" w:rsidRDefault="003A33A6">
            <w:pPr>
              <w:pStyle w:val="Table"/>
              <w:keepLines w:val="0"/>
              <w:spacing w:before="0" w:after="0"/>
              <w:rPr>
                <w:rFonts w:ascii="Times New Roman" w:hAnsi="Times New Roman"/>
                <w:color w:val="000000"/>
                <w:sz w:val="22"/>
                <w:szCs w:val="22"/>
              </w:rPr>
              <w:pPrChange w:id="492" w:author="Author">
                <w:pPr>
                  <w:pStyle w:val="Table"/>
                  <w:keepLines w:val="0"/>
                </w:pPr>
              </w:pPrChange>
            </w:pPr>
          </w:p>
        </w:tc>
      </w:tr>
      <w:tr w:rsidR="003A33A6" w:rsidRPr="008A4F40" w14:paraId="5DA7F528" w14:textId="77777777" w:rsidTr="00DA7B0B">
        <w:trPr>
          <w:cantSplit/>
        </w:trPr>
        <w:tc>
          <w:tcPr>
            <w:tcW w:w="2148" w:type="dxa"/>
            <w:tcBorders>
              <w:top w:val="single" w:sz="4" w:space="0" w:color="auto"/>
              <w:bottom w:val="single" w:sz="4" w:space="0" w:color="auto"/>
            </w:tcBorders>
          </w:tcPr>
          <w:p w14:paraId="4C95449E" w14:textId="77777777" w:rsidR="003A33A6" w:rsidRPr="008A4F40" w:rsidRDefault="003A33A6">
            <w:pPr>
              <w:pStyle w:val="Table"/>
              <w:keepLines w:val="0"/>
              <w:spacing w:before="0" w:after="0"/>
              <w:rPr>
                <w:rFonts w:ascii="Times New Roman" w:hAnsi="Times New Roman"/>
                <w:color w:val="000000"/>
                <w:sz w:val="22"/>
                <w:szCs w:val="22"/>
              </w:rPr>
              <w:pPrChange w:id="493" w:author="Author">
                <w:pPr>
                  <w:pStyle w:val="Table"/>
                  <w:keepLines w:val="0"/>
                </w:pPr>
              </w:pPrChange>
            </w:pPr>
            <w:proofErr w:type="spellStart"/>
            <w:r w:rsidRPr="008A4F40">
              <w:rPr>
                <w:rFonts w:ascii="Times New Roman" w:hAnsi="Times New Roman"/>
                <w:color w:val="000000"/>
                <w:sz w:val="22"/>
                <w:szCs w:val="22"/>
              </w:rPr>
              <w:t>Induktions-Konsolidierungs-therapie</w:t>
            </w:r>
            <w:proofErr w:type="spellEnd"/>
          </w:p>
        </w:tc>
        <w:tc>
          <w:tcPr>
            <w:tcW w:w="6732" w:type="dxa"/>
            <w:gridSpan w:val="4"/>
            <w:tcBorders>
              <w:top w:val="single" w:sz="4" w:space="0" w:color="auto"/>
              <w:bottom w:val="single" w:sz="4" w:space="0" w:color="auto"/>
            </w:tcBorders>
          </w:tcPr>
          <w:p w14:paraId="157632D9" w14:textId="0E2008CA" w:rsidR="003A33A6" w:rsidRPr="008A4F40" w:rsidRDefault="003A33A6">
            <w:pPr>
              <w:pStyle w:val="Table"/>
              <w:keepLines w:val="0"/>
              <w:spacing w:before="0" w:after="0"/>
              <w:rPr>
                <w:rFonts w:ascii="Times New Roman" w:hAnsi="Times New Roman"/>
                <w:color w:val="000000"/>
                <w:sz w:val="22"/>
                <w:szCs w:val="22"/>
              </w:rPr>
              <w:pPrChange w:id="494" w:author="Author">
                <w:pPr>
                  <w:pStyle w:val="Table"/>
                  <w:keepLines w:val="0"/>
                </w:pPr>
              </w:pPrChange>
            </w:pPr>
            <w:r w:rsidRPr="008A4F40">
              <w:rPr>
                <w:rFonts w:ascii="Times New Roman" w:hAnsi="Times New Roman"/>
                <w:color w:val="000000"/>
                <w:sz w:val="22"/>
                <w:szCs w:val="22"/>
              </w:rPr>
              <w:t>Hyper-CVAD-Regime: CP 300 mg/m</w:t>
            </w:r>
            <w:r w:rsidRPr="008A4F40">
              <w:rPr>
                <w:rFonts w:ascii="Times New Roman" w:hAnsi="Times New Roman"/>
                <w:color w:val="000000"/>
                <w:sz w:val="22"/>
                <w:szCs w:val="22"/>
                <w:vertAlign w:val="superscript"/>
              </w:rPr>
              <w:t>2</w:t>
            </w:r>
            <w:r w:rsidRPr="008A4F40">
              <w:rPr>
                <w:rFonts w:ascii="Times New Roman" w:hAnsi="Times New Roman"/>
                <w:color w:val="000000"/>
                <w:sz w:val="22"/>
                <w:szCs w:val="22"/>
              </w:rPr>
              <w:t xml:space="preserve"> </w:t>
            </w:r>
            <w:proofErr w:type="spellStart"/>
            <w:r w:rsidRPr="008A4F40">
              <w:rPr>
                <w:rFonts w:ascii="Times New Roman" w:hAnsi="Times New Roman"/>
                <w:color w:val="000000"/>
                <w:sz w:val="22"/>
                <w:szCs w:val="22"/>
              </w:rPr>
              <w:t>i.v.</w:t>
            </w:r>
            <w:proofErr w:type="spellEnd"/>
            <w:r w:rsidRPr="008A4F40">
              <w:rPr>
                <w:rFonts w:ascii="Times New Roman" w:hAnsi="Times New Roman"/>
                <w:color w:val="000000"/>
                <w:sz w:val="22"/>
                <w:szCs w:val="22"/>
              </w:rPr>
              <w:t xml:space="preserve"> (3 h, q 12 h), Tage 1</w:t>
            </w:r>
            <w:ins w:id="495" w:author="Author">
              <w:r w:rsidR="002222CA" w:rsidRPr="002222CA">
                <w:rPr>
                  <w:rFonts w:ascii="Times New Roman" w:hAnsi="Times New Roman"/>
                  <w:color w:val="000000"/>
                  <w:sz w:val="22"/>
                  <w:szCs w:val="22"/>
                </w:rPr>
                <w:t>–</w:t>
              </w:r>
            </w:ins>
            <w:del w:id="496" w:author="Author">
              <w:r w:rsidRPr="008A4F40" w:rsidDel="002222CA">
                <w:rPr>
                  <w:rFonts w:ascii="Times New Roman" w:hAnsi="Times New Roman"/>
                  <w:color w:val="000000"/>
                  <w:sz w:val="22"/>
                  <w:szCs w:val="22"/>
                </w:rPr>
                <w:delText>-</w:delText>
              </w:r>
            </w:del>
            <w:r w:rsidRPr="008A4F40">
              <w:rPr>
                <w:rFonts w:ascii="Times New Roman" w:hAnsi="Times New Roman"/>
                <w:color w:val="000000"/>
                <w:sz w:val="22"/>
                <w:szCs w:val="22"/>
              </w:rPr>
              <w:t xml:space="preserve">3; </w:t>
            </w:r>
            <w:proofErr w:type="spellStart"/>
            <w:r w:rsidRPr="008A4F40">
              <w:rPr>
                <w:rFonts w:ascii="Times New Roman" w:hAnsi="Times New Roman"/>
                <w:color w:val="000000"/>
                <w:sz w:val="22"/>
                <w:szCs w:val="22"/>
              </w:rPr>
              <w:t>Vincristin</w:t>
            </w:r>
            <w:proofErr w:type="spellEnd"/>
            <w:r w:rsidRPr="008A4F40">
              <w:rPr>
                <w:rFonts w:ascii="Times New Roman" w:hAnsi="Times New Roman"/>
                <w:color w:val="000000"/>
                <w:sz w:val="22"/>
                <w:szCs w:val="22"/>
              </w:rPr>
              <w:t xml:space="preserve"> 2 mg </w:t>
            </w:r>
            <w:proofErr w:type="spellStart"/>
            <w:r w:rsidRPr="008A4F40">
              <w:rPr>
                <w:rFonts w:ascii="Times New Roman" w:hAnsi="Times New Roman"/>
                <w:color w:val="000000"/>
                <w:sz w:val="22"/>
                <w:szCs w:val="22"/>
              </w:rPr>
              <w:t>i.v.</w:t>
            </w:r>
            <w:proofErr w:type="spellEnd"/>
            <w:r w:rsidRPr="008A4F40">
              <w:rPr>
                <w:rFonts w:ascii="Times New Roman" w:hAnsi="Times New Roman"/>
                <w:color w:val="000000"/>
                <w:sz w:val="22"/>
                <w:szCs w:val="22"/>
              </w:rPr>
              <w:t>, Tage 4, 11;</w:t>
            </w:r>
          </w:p>
          <w:p w14:paraId="72897350" w14:textId="77777777" w:rsidR="003A33A6" w:rsidRPr="008A4F40" w:rsidRDefault="003A33A6">
            <w:pPr>
              <w:pStyle w:val="Table"/>
              <w:keepLines w:val="0"/>
              <w:spacing w:before="0" w:after="0"/>
              <w:rPr>
                <w:rFonts w:ascii="Times New Roman" w:hAnsi="Times New Roman"/>
                <w:color w:val="000000"/>
                <w:sz w:val="22"/>
                <w:szCs w:val="22"/>
              </w:rPr>
              <w:pPrChange w:id="497" w:author="Author">
                <w:pPr>
                  <w:pStyle w:val="Table"/>
                  <w:keepLines w:val="0"/>
                </w:pPr>
              </w:pPrChange>
            </w:pPr>
            <w:r w:rsidRPr="008A4F40">
              <w:rPr>
                <w:rFonts w:ascii="Times New Roman" w:hAnsi="Times New Roman"/>
                <w:color w:val="000000"/>
                <w:sz w:val="22"/>
                <w:szCs w:val="22"/>
              </w:rPr>
              <w:t>Doxorubicin 50 mg/m</w:t>
            </w:r>
            <w:r w:rsidRPr="008A4F40">
              <w:rPr>
                <w:rFonts w:ascii="Times New Roman" w:hAnsi="Times New Roman"/>
                <w:color w:val="000000"/>
                <w:sz w:val="22"/>
                <w:szCs w:val="22"/>
                <w:vertAlign w:val="superscript"/>
              </w:rPr>
              <w:t>2</w:t>
            </w:r>
            <w:r w:rsidRPr="008A4F40">
              <w:rPr>
                <w:rFonts w:ascii="Times New Roman" w:hAnsi="Times New Roman"/>
                <w:color w:val="000000"/>
                <w:sz w:val="22"/>
                <w:szCs w:val="22"/>
              </w:rPr>
              <w:t xml:space="preserve"> </w:t>
            </w:r>
            <w:proofErr w:type="spellStart"/>
            <w:r w:rsidRPr="008A4F40">
              <w:rPr>
                <w:rFonts w:ascii="Times New Roman" w:hAnsi="Times New Roman"/>
                <w:color w:val="000000"/>
                <w:sz w:val="22"/>
                <w:szCs w:val="22"/>
              </w:rPr>
              <w:t>i.v.</w:t>
            </w:r>
            <w:proofErr w:type="spellEnd"/>
            <w:r w:rsidRPr="008A4F40">
              <w:rPr>
                <w:rFonts w:ascii="Times New Roman" w:hAnsi="Times New Roman"/>
                <w:color w:val="000000"/>
                <w:sz w:val="22"/>
                <w:szCs w:val="22"/>
              </w:rPr>
              <w:t xml:space="preserve"> (24 h), Tag 4;</w:t>
            </w:r>
          </w:p>
          <w:p w14:paraId="1E19C504" w14:textId="60DF5064" w:rsidR="003A33A6" w:rsidRPr="008A4F40" w:rsidRDefault="003A33A6">
            <w:pPr>
              <w:pStyle w:val="Table"/>
              <w:keepLines w:val="0"/>
              <w:spacing w:before="0" w:after="0"/>
              <w:rPr>
                <w:rFonts w:ascii="Times New Roman" w:hAnsi="Times New Roman"/>
                <w:color w:val="000000"/>
                <w:sz w:val="22"/>
                <w:szCs w:val="22"/>
                <w:lang w:val="de-DE"/>
              </w:rPr>
              <w:pPrChange w:id="498" w:author="Author">
                <w:pPr>
                  <w:pStyle w:val="Table"/>
                  <w:keepLines w:val="0"/>
                </w:pPr>
              </w:pPrChange>
            </w:pPr>
            <w:r w:rsidRPr="008A4F40">
              <w:rPr>
                <w:rFonts w:ascii="Times New Roman" w:hAnsi="Times New Roman"/>
                <w:color w:val="000000"/>
                <w:sz w:val="22"/>
                <w:szCs w:val="22"/>
                <w:lang w:val="de-DE"/>
              </w:rPr>
              <w:t>DEX 40 mg/Tag an den Tagen 1</w:t>
            </w:r>
            <w:ins w:id="499" w:author="Author">
              <w:r w:rsidR="002222CA" w:rsidRPr="002222CA">
                <w:rPr>
                  <w:rFonts w:ascii="Times New Roman" w:hAnsi="Times New Roman"/>
                  <w:color w:val="000000"/>
                  <w:sz w:val="22"/>
                  <w:szCs w:val="22"/>
                  <w:lang w:val="de-DE"/>
                </w:rPr>
                <w:t>–</w:t>
              </w:r>
            </w:ins>
            <w:del w:id="500" w:author="Author">
              <w:r w:rsidRPr="008A4F40" w:rsidDel="002222CA">
                <w:rPr>
                  <w:rFonts w:ascii="Times New Roman" w:hAnsi="Times New Roman"/>
                  <w:color w:val="000000"/>
                  <w:sz w:val="22"/>
                  <w:szCs w:val="22"/>
                  <w:lang w:val="de-DE"/>
                </w:rPr>
                <w:delText>-</w:delText>
              </w:r>
            </w:del>
            <w:r w:rsidRPr="008A4F40">
              <w:rPr>
                <w:rFonts w:ascii="Times New Roman" w:hAnsi="Times New Roman"/>
                <w:color w:val="000000"/>
                <w:sz w:val="22"/>
                <w:szCs w:val="22"/>
                <w:lang w:val="de-DE"/>
              </w:rPr>
              <w:t>4 und 11</w:t>
            </w:r>
            <w:ins w:id="501" w:author="Author">
              <w:r w:rsidR="002222CA" w:rsidRPr="002222CA">
                <w:rPr>
                  <w:rFonts w:ascii="Times New Roman" w:hAnsi="Times New Roman"/>
                  <w:color w:val="000000"/>
                  <w:sz w:val="22"/>
                  <w:szCs w:val="22"/>
                  <w:lang w:val="de-DE"/>
                </w:rPr>
                <w:t>–</w:t>
              </w:r>
            </w:ins>
            <w:del w:id="502" w:author="Author">
              <w:r w:rsidRPr="008A4F40" w:rsidDel="002222CA">
                <w:rPr>
                  <w:rFonts w:ascii="Times New Roman" w:hAnsi="Times New Roman"/>
                  <w:color w:val="000000"/>
                  <w:sz w:val="22"/>
                  <w:szCs w:val="22"/>
                  <w:lang w:val="de-DE"/>
                </w:rPr>
                <w:delText>-</w:delText>
              </w:r>
            </w:del>
            <w:r w:rsidRPr="008A4F40">
              <w:rPr>
                <w:rFonts w:ascii="Times New Roman" w:hAnsi="Times New Roman"/>
                <w:color w:val="000000"/>
                <w:sz w:val="22"/>
                <w:szCs w:val="22"/>
                <w:lang w:val="de-DE"/>
              </w:rPr>
              <w:t xml:space="preserve">14, alternierend mit </w:t>
            </w:r>
            <w:smartTag w:uri="urn:schemas-microsoft-com:office:smarttags" w:element="stockticker">
              <w:r w:rsidRPr="008A4F40">
                <w:rPr>
                  <w:rFonts w:ascii="Times New Roman" w:hAnsi="Times New Roman"/>
                  <w:color w:val="000000"/>
                  <w:sz w:val="22"/>
                  <w:szCs w:val="22"/>
                  <w:lang w:val="de-DE"/>
                </w:rPr>
                <w:t>MTX</w:t>
              </w:r>
            </w:smartTag>
            <w:r w:rsidRPr="008A4F40">
              <w:rPr>
                <w:rFonts w:ascii="Times New Roman" w:hAnsi="Times New Roman"/>
                <w:color w:val="000000"/>
                <w:sz w:val="22"/>
                <w:szCs w:val="22"/>
                <w:lang w:val="de-DE"/>
              </w:rPr>
              <w:t xml:space="preserve"> 1 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(24 h), Tag 1, Ara-C 1 g/m</w:t>
            </w:r>
            <w:r w:rsidRPr="008A4F40">
              <w:rPr>
                <w:rFonts w:ascii="Times New Roman" w:hAnsi="Times New Roman"/>
                <w:color w:val="000000"/>
                <w:sz w:val="22"/>
                <w:szCs w:val="22"/>
                <w:vertAlign w:val="superscript"/>
                <w:lang w:val="de-DE"/>
              </w:rPr>
              <w:t>2</w:t>
            </w:r>
            <w:r w:rsidRPr="008A4F40">
              <w:rPr>
                <w:rFonts w:ascii="Times New Roman" w:hAnsi="Times New Roman"/>
                <w:color w:val="000000"/>
                <w:sz w:val="22"/>
                <w:szCs w:val="22"/>
                <w:lang w:val="de-DE"/>
              </w:rPr>
              <w:t xml:space="preserve"> i.v. (2 h, q 12 h), Tage 2</w:t>
            </w:r>
            <w:ins w:id="503" w:author="Author">
              <w:r w:rsidR="002222CA" w:rsidRPr="002222CA">
                <w:rPr>
                  <w:rFonts w:ascii="Times New Roman" w:hAnsi="Times New Roman"/>
                  <w:color w:val="000000"/>
                  <w:sz w:val="22"/>
                  <w:szCs w:val="22"/>
                  <w:lang w:val="de-DE"/>
                </w:rPr>
                <w:t>–</w:t>
              </w:r>
            </w:ins>
            <w:del w:id="504" w:author="Author">
              <w:r w:rsidRPr="008A4F40" w:rsidDel="002222CA">
                <w:rPr>
                  <w:rFonts w:ascii="Times New Roman" w:hAnsi="Times New Roman"/>
                  <w:color w:val="000000"/>
                  <w:sz w:val="22"/>
                  <w:szCs w:val="22"/>
                  <w:lang w:val="de-DE"/>
                </w:rPr>
                <w:delText>-</w:delText>
              </w:r>
            </w:del>
            <w:r w:rsidRPr="008A4F40">
              <w:rPr>
                <w:rFonts w:ascii="Times New Roman" w:hAnsi="Times New Roman"/>
                <w:color w:val="000000"/>
                <w:sz w:val="22"/>
                <w:szCs w:val="22"/>
                <w:lang w:val="de-DE"/>
              </w:rPr>
              <w:t>3 (insgesamt 8 Zyklen)</w:t>
            </w:r>
          </w:p>
        </w:tc>
      </w:tr>
      <w:tr w:rsidR="003A33A6" w:rsidRPr="008A4F40" w14:paraId="2C300C65" w14:textId="77777777" w:rsidTr="00DA7B0B">
        <w:trPr>
          <w:cantSplit/>
        </w:trPr>
        <w:tc>
          <w:tcPr>
            <w:tcW w:w="2148" w:type="dxa"/>
            <w:tcBorders>
              <w:top w:val="single" w:sz="4" w:space="0" w:color="auto"/>
              <w:bottom w:val="single" w:sz="4" w:space="0" w:color="auto"/>
            </w:tcBorders>
          </w:tcPr>
          <w:p w14:paraId="0F74DD0C" w14:textId="77777777" w:rsidR="003A33A6" w:rsidRPr="008A4F40" w:rsidRDefault="003A33A6">
            <w:pPr>
              <w:pStyle w:val="Table"/>
              <w:keepLines w:val="0"/>
              <w:spacing w:before="0" w:after="0"/>
              <w:rPr>
                <w:rFonts w:ascii="Times New Roman" w:hAnsi="Times New Roman"/>
                <w:color w:val="000000"/>
                <w:sz w:val="22"/>
                <w:szCs w:val="22"/>
              </w:rPr>
              <w:pPrChange w:id="505" w:author="Author">
                <w:pPr>
                  <w:pStyle w:val="Table"/>
                  <w:keepLines w:val="0"/>
                </w:pPr>
              </w:pPrChange>
            </w:pPr>
            <w:proofErr w:type="spellStart"/>
            <w:r w:rsidRPr="008A4F40">
              <w:rPr>
                <w:rFonts w:ascii="Times New Roman" w:hAnsi="Times New Roman"/>
                <w:color w:val="000000"/>
                <w:sz w:val="22"/>
                <w:szCs w:val="22"/>
              </w:rPr>
              <w:t>Erhaltung</w:t>
            </w:r>
            <w:proofErr w:type="spellEnd"/>
          </w:p>
        </w:tc>
        <w:tc>
          <w:tcPr>
            <w:tcW w:w="6732" w:type="dxa"/>
            <w:gridSpan w:val="4"/>
            <w:tcBorders>
              <w:top w:val="single" w:sz="4" w:space="0" w:color="auto"/>
              <w:bottom w:val="single" w:sz="4" w:space="0" w:color="auto"/>
            </w:tcBorders>
          </w:tcPr>
          <w:p w14:paraId="1150BCDA" w14:textId="77777777" w:rsidR="003A33A6" w:rsidRPr="008A4F40" w:rsidRDefault="003A33A6">
            <w:pPr>
              <w:pStyle w:val="Table"/>
              <w:keepLines w:val="0"/>
              <w:spacing w:before="0" w:after="0"/>
              <w:rPr>
                <w:rFonts w:ascii="Times New Roman" w:hAnsi="Times New Roman"/>
                <w:color w:val="000000"/>
                <w:sz w:val="22"/>
                <w:szCs w:val="22"/>
                <w:lang w:val="de-DE"/>
              </w:rPr>
              <w:pPrChange w:id="506" w:author="Author">
                <w:pPr>
                  <w:pStyle w:val="Table"/>
                  <w:keepLines w:val="0"/>
                </w:pPr>
              </w:pPrChange>
            </w:pPr>
            <w:smartTag w:uri="urn:schemas-microsoft-com:office:smarttags" w:element="stockticker">
              <w:r w:rsidRPr="008A4F40">
                <w:rPr>
                  <w:rFonts w:ascii="Times New Roman" w:hAnsi="Times New Roman"/>
                  <w:color w:val="000000"/>
                  <w:sz w:val="22"/>
                  <w:szCs w:val="22"/>
                  <w:lang w:val="de-DE"/>
                </w:rPr>
                <w:t>VCR</w:t>
              </w:r>
            </w:smartTag>
            <w:r w:rsidRPr="008A4F40">
              <w:rPr>
                <w:rFonts w:ascii="Times New Roman" w:hAnsi="Times New Roman"/>
                <w:color w:val="000000"/>
                <w:sz w:val="22"/>
                <w:szCs w:val="22"/>
                <w:lang w:val="de-DE"/>
              </w:rPr>
              <w:t xml:space="preserve"> 2 mg i.v. monatlich über 13 Monate;</w:t>
            </w:r>
          </w:p>
          <w:p w14:paraId="6169A01B" w14:textId="77777777" w:rsidR="003A33A6" w:rsidRPr="008A4F40" w:rsidRDefault="003A33A6">
            <w:pPr>
              <w:pStyle w:val="Table"/>
              <w:keepLines w:val="0"/>
              <w:spacing w:before="0" w:after="0"/>
              <w:rPr>
                <w:rFonts w:ascii="Times New Roman" w:hAnsi="Times New Roman"/>
                <w:color w:val="000000"/>
                <w:sz w:val="22"/>
                <w:szCs w:val="22"/>
                <w:lang w:val="de-DE"/>
              </w:rPr>
              <w:pPrChange w:id="507" w:author="Author">
                <w:pPr>
                  <w:pStyle w:val="Table"/>
                  <w:keepLines w:val="0"/>
                </w:pPr>
              </w:pPrChange>
            </w:pPr>
            <w:r w:rsidRPr="008A4F40">
              <w:rPr>
                <w:rFonts w:ascii="Times New Roman" w:hAnsi="Times New Roman"/>
                <w:color w:val="000000"/>
                <w:sz w:val="22"/>
                <w:szCs w:val="22"/>
                <w:lang w:val="de-DE"/>
              </w:rPr>
              <w:t>Prednisolon 200 mg oral, 5 Tage pro Monat über 13 Monate</w:t>
            </w:r>
          </w:p>
        </w:tc>
      </w:tr>
      <w:tr w:rsidR="003A33A6" w:rsidRPr="008A4F40" w14:paraId="354FC45F" w14:textId="77777777" w:rsidTr="00DA7B0B">
        <w:trPr>
          <w:cantSplit/>
        </w:trPr>
        <w:tc>
          <w:tcPr>
            <w:tcW w:w="8880" w:type="dxa"/>
            <w:gridSpan w:val="5"/>
            <w:tcBorders>
              <w:top w:val="single" w:sz="4" w:space="0" w:color="auto"/>
              <w:bottom w:val="single" w:sz="4" w:space="0" w:color="auto"/>
            </w:tcBorders>
          </w:tcPr>
          <w:p w14:paraId="4A583756" w14:textId="77777777" w:rsidR="003A33A6" w:rsidRPr="008A4F40" w:rsidRDefault="003A33A6">
            <w:pPr>
              <w:pStyle w:val="Table"/>
              <w:keepLines w:val="0"/>
              <w:spacing w:before="0" w:after="0"/>
              <w:rPr>
                <w:rFonts w:ascii="Times New Roman" w:hAnsi="Times New Roman"/>
                <w:color w:val="000000"/>
                <w:sz w:val="22"/>
                <w:szCs w:val="22"/>
                <w:lang w:val="de-DE"/>
              </w:rPr>
              <w:pPrChange w:id="508" w:author="Author">
                <w:pPr>
                  <w:pStyle w:val="Table"/>
                  <w:keepLines w:val="0"/>
                </w:pPr>
              </w:pPrChange>
            </w:pPr>
            <w:r w:rsidRPr="008A4F40">
              <w:rPr>
                <w:rFonts w:ascii="Times New Roman" w:hAnsi="Times New Roman"/>
                <w:color w:val="000000"/>
                <w:sz w:val="22"/>
                <w:szCs w:val="22"/>
                <w:lang w:val="de-DE"/>
              </w:rPr>
              <w:t>Alle Behandlungsregime schließen die Gabe von Steroiden zur ZNS-Prophylaxe ein.</w:t>
            </w:r>
          </w:p>
        </w:tc>
      </w:tr>
      <w:tr w:rsidR="003A33A6" w:rsidRPr="008A4F40" w14:paraId="721A6C6E" w14:textId="77777777" w:rsidTr="00DA7B0B">
        <w:trPr>
          <w:cantSplit/>
        </w:trPr>
        <w:tc>
          <w:tcPr>
            <w:tcW w:w="8880" w:type="dxa"/>
            <w:gridSpan w:val="5"/>
            <w:tcBorders>
              <w:top w:val="single" w:sz="4" w:space="0" w:color="auto"/>
              <w:bottom w:val="single" w:sz="4" w:space="0" w:color="auto"/>
            </w:tcBorders>
          </w:tcPr>
          <w:p w14:paraId="502D3A17" w14:textId="791F059E" w:rsidR="003A33A6" w:rsidRPr="00D1077B" w:rsidRDefault="003A33A6">
            <w:pPr>
              <w:pStyle w:val="Table"/>
              <w:keepNext w:val="0"/>
              <w:keepLines w:val="0"/>
              <w:spacing w:before="0" w:after="0"/>
              <w:rPr>
                <w:rFonts w:ascii="Times New Roman" w:hAnsi="Times New Roman"/>
                <w:color w:val="000000"/>
                <w:lang w:val="de-DE"/>
                <w:rPrChange w:id="509" w:author="Author">
                  <w:rPr>
                    <w:rFonts w:ascii="Times New Roman" w:hAnsi="Times New Roman"/>
                    <w:color w:val="000000"/>
                    <w:sz w:val="22"/>
                    <w:szCs w:val="22"/>
                    <w:lang w:val="de-DE"/>
                  </w:rPr>
                </w:rPrChange>
              </w:rPr>
              <w:pPrChange w:id="510" w:author="Author">
                <w:pPr>
                  <w:pStyle w:val="Table"/>
                  <w:keepNext w:val="0"/>
                  <w:keepLines w:val="0"/>
                </w:pPr>
              </w:pPrChange>
            </w:pPr>
            <w:r w:rsidRPr="00D1077B">
              <w:rPr>
                <w:rFonts w:ascii="Times New Roman" w:hAnsi="Times New Roman"/>
                <w:color w:val="000000"/>
                <w:lang w:val="de-DE"/>
                <w:rPrChange w:id="511" w:author="Author">
                  <w:rPr>
                    <w:rFonts w:ascii="Times New Roman" w:hAnsi="Times New Roman"/>
                    <w:color w:val="000000"/>
                    <w:sz w:val="22"/>
                    <w:szCs w:val="22"/>
                    <w:lang w:val="de-DE"/>
                  </w:rPr>
                </w:rPrChange>
              </w:rPr>
              <w:t xml:space="preserve">Ara-C: Cytosinarabinosid; CP: Cyclophosphamid; DEX: Dexamethason; </w:t>
            </w:r>
            <w:smartTag w:uri="urn:schemas-microsoft-com:office:smarttags" w:element="stockticker">
              <w:r w:rsidRPr="00D1077B">
                <w:rPr>
                  <w:rFonts w:ascii="Times New Roman" w:hAnsi="Times New Roman"/>
                  <w:color w:val="000000"/>
                  <w:lang w:val="de-DE"/>
                  <w:rPrChange w:id="512" w:author="Author">
                    <w:rPr>
                      <w:rFonts w:ascii="Times New Roman" w:hAnsi="Times New Roman"/>
                      <w:color w:val="000000"/>
                      <w:sz w:val="22"/>
                      <w:szCs w:val="22"/>
                      <w:lang w:val="de-DE"/>
                    </w:rPr>
                  </w:rPrChange>
                </w:rPr>
                <w:t>MTX</w:t>
              </w:r>
            </w:smartTag>
            <w:r w:rsidRPr="00D1077B">
              <w:rPr>
                <w:rFonts w:ascii="Times New Roman" w:hAnsi="Times New Roman"/>
                <w:color w:val="000000"/>
                <w:lang w:val="de-DE"/>
                <w:rPrChange w:id="513" w:author="Author">
                  <w:rPr>
                    <w:rFonts w:ascii="Times New Roman" w:hAnsi="Times New Roman"/>
                    <w:color w:val="000000"/>
                    <w:sz w:val="22"/>
                    <w:szCs w:val="22"/>
                    <w:lang w:val="de-DE"/>
                  </w:rPr>
                </w:rPrChange>
              </w:rPr>
              <w:t>: Methotrexat; 6</w:t>
            </w:r>
            <w:del w:id="514" w:author="Author">
              <w:r w:rsidRPr="00D1077B" w:rsidDel="008A10B3">
                <w:rPr>
                  <w:rFonts w:ascii="Times New Roman" w:hAnsi="Times New Roman"/>
                  <w:color w:val="000000"/>
                  <w:lang w:val="de-DE"/>
                  <w:rPrChange w:id="515" w:author="Author">
                    <w:rPr>
                      <w:rFonts w:ascii="Times New Roman" w:hAnsi="Times New Roman"/>
                      <w:color w:val="000000"/>
                      <w:sz w:val="22"/>
                      <w:szCs w:val="22"/>
                      <w:lang w:val="de-DE"/>
                    </w:rPr>
                  </w:rPrChange>
                </w:rPr>
                <w:delText>-</w:delText>
              </w:r>
            </w:del>
            <w:ins w:id="516" w:author="Author">
              <w:r w:rsidR="008A10B3">
                <w:rPr>
                  <w:rFonts w:ascii="Times New Roman" w:hAnsi="Times New Roman"/>
                  <w:color w:val="000000"/>
                  <w:lang w:val="de-DE"/>
                </w:rPr>
                <w:noBreakHyphen/>
              </w:r>
            </w:ins>
            <w:r w:rsidRPr="00D1077B">
              <w:rPr>
                <w:rFonts w:ascii="Times New Roman" w:hAnsi="Times New Roman"/>
                <w:color w:val="000000"/>
                <w:lang w:val="de-DE"/>
                <w:rPrChange w:id="517" w:author="Author">
                  <w:rPr>
                    <w:rFonts w:ascii="Times New Roman" w:hAnsi="Times New Roman"/>
                    <w:color w:val="000000"/>
                    <w:sz w:val="22"/>
                    <w:szCs w:val="22"/>
                    <w:lang w:val="de-DE"/>
                  </w:rPr>
                </w:rPrChange>
              </w:rPr>
              <w:t>MP: 6</w:t>
            </w:r>
            <w:del w:id="518" w:author="Author">
              <w:r w:rsidRPr="00D1077B" w:rsidDel="008A10B3">
                <w:rPr>
                  <w:rFonts w:ascii="Times New Roman" w:hAnsi="Times New Roman"/>
                  <w:color w:val="000000"/>
                  <w:lang w:val="de-DE"/>
                  <w:rPrChange w:id="519" w:author="Author">
                    <w:rPr>
                      <w:rFonts w:ascii="Times New Roman" w:hAnsi="Times New Roman"/>
                      <w:color w:val="000000"/>
                      <w:sz w:val="22"/>
                      <w:szCs w:val="22"/>
                      <w:lang w:val="de-DE"/>
                    </w:rPr>
                  </w:rPrChange>
                </w:rPr>
                <w:delText>-</w:delText>
              </w:r>
            </w:del>
            <w:ins w:id="520" w:author="Author">
              <w:r w:rsidR="008A10B3">
                <w:rPr>
                  <w:rFonts w:ascii="Times New Roman" w:hAnsi="Times New Roman"/>
                  <w:color w:val="000000"/>
                  <w:lang w:val="de-DE"/>
                </w:rPr>
                <w:noBreakHyphen/>
              </w:r>
            </w:ins>
            <w:r w:rsidRPr="00D1077B">
              <w:rPr>
                <w:rFonts w:ascii="Times New Roman" w:hAnsi="Times New Roman"/>
                <w:color w:val="000000"/>
                <w:lang w:val="de-DE"/>
                <w:rPrChange w:id="521" w:author="Author">
                  <w:rPr>
                    <w:rFonts w:ascii="Times New Roman" w:hAnsi="Times New Roman"/>
                    <w:color w:val="000000"/>
                    <w:sz w:val="22"/>
                    <w:szCs w:val="22"/>
                    <w:lang w:val="de-DE"/>
                  </w:rPr>
                </w:rPrChange>
              </w:rPr>
              <w:t xml:space="preserve">Mercaptopurin; VM26: Teniposid; </w:t>
            </w:r>
            <w:smartTag w:uri="urn:schemas-microsoft-com:office:smarttags" w:element="stockticker">
              <w:r w:rsidRPr="00D1077B">
                <w:rPr>
                  <w:rFonts w:ascii="Times New Roman" w:hAnsi="Times New Roman"/>
                  <w:color w:val="000000"/>
                  <w:lang w:val="de-DE"/>
                  <w:rPrChange w:id="522" w:author="Author">
                    <w:rPr>
                      <w:rFonts w:ascii="Times New Roman" w:hAnsi="Times New Roman"/>
                      <w:color w:val="000000"/>
                      <w:sz w:val="22"/>
                      <w:szCs w:val="22"/>
                      <w:lang w:val="de-DE"/>
                    </w:rPr>
                  </w:rPrChange>
                </w:rPr>
                <w:t>VCR</w:t>
              </w:r>
            </w:smartTag>
            <w:r w:rsidRPr="00D1077B">
              <w:rPr>
                <w:rFonts w:ascii="Times New Roman" w:hAnsi="Times New Roman"/>
                <w:color w:val="000000"/>
                <w:lang w:val="de-DE"/>
                <w:rPrChange w:id="523" w:author="Author">
                  <w:rPr>
                    <w:rFonts w:ascii="Times New Roman" w:hAnsi="Times New Roman"/>
                    <w:color w:val="000000"/>
                    <w:sz w:val="22"/>
                    <w:szCs w:val="22"/>
                    <w:lang w:val="de-DE"/>
                  </w:rPr>
                </w:rPrChange>
              </w:rPr>
              <w:t xml:space="preserve">: Vincristin; </w:t>
            </w:r>
            <w:smartTag w:uri="urn:schemas-microsoft-com:office:smarttags" w:element="stockticker">
              <w:r w:rsidRPr="00D1077B">
                <w:rPr>
                  <w:rFonts w:ascii="Times New Roman" w:hAnsi="Times New Roman"/>
                  <w:color w:val="000000"/>
                  <w:lang w:val="de-DE"/>
                  <w:rPrChange w:id="524" w:author="Author">
                    <w:rPr>
                      <w:rFonts w:ascii="Times New Roman" w:hAnsi="Times New Roman"/>
                      <w:color w:val="000000"/>
                      <w:sz w:val="22"/>
                      <w:szCs w:val="22"/>
                      <w:lang w:val="de-DE"/>
                    </w:rPr>
                  </w:rPrChange>
                </w:rPr>
                <w:t>IDA</w:t>
              </w:r>
            </w:smartTag>
            <w:r w:rsidRPr="00D1077B">
              <w:rPr>
                <w:rFonts w:ascii="Times New Roman" w:hAnsi="Times New Roman"/>
                <w:color w:val="000000"/>
                <w:lang w:val="de-DE"/>
                <w:rPrChange w:id="525" w:author="Author">
                  <w:rPr>
                    <w:rFonts w:ascii="Times New Roman" w:hAnsi="Times New Roman"/>
                    <w:color w:val="000000"/>
                    <w:sz w:val="22"/>
                    <w:szCs w:val="22"/>
                    <w:lang w:val="de-DE"/>
                  </w:rPr>
                </w:rPrChange>
              </w:rPr>
              <w:t>: Idarubicin; i.v.: intravenös</w:t>
            </w:r>
          </w:p>
        </w:tc>
      </w:tr>
    </w:tbl>
    <w:p w14:paraId="7ABE9D43" w14:textId="77777777" w:rsidR="003A33A6" w:rsidRPr="008A4F40" w:rsidRDefault="003A33A6" w:rsidP="004E7659">
      <w:pPr>
        <w:pStyle w:val="EndnoteText"/>
        <w:rPr>
          <w:color w:val="000000"/>
          <w:sz w:val="22"/>
          <w:szCs w:val="22"/>
          <w:lang w:val="de-DE"/>
        </w:rPr>
      </w:pPr>
    </w:p>
    <w:p w14:paraId="232F929D" w14:textId="4025603B" w:rsidR="00072317" w:rsidRPr="008A4F40" w:rsidRDefault="003A33A6" w:rsidP="004E7659">
      <w:pPr>
        <w:pStyle w:val="EndnoteText"/>
        <w:keepNext/>
        <w:rPr>
          <w:color w:val="000000"/>
          <w:sz w:val="22"/>
          <w:szCs w:val="22"/>
          <w:u w:val="single"/>
          <w:lang w:val="de-DE"/>
        </w:rPr>
      </w:pPr>
      <w:r w:rsidRPr="008A4F40">
        <w:rPr>
          <w:i/>
          <w:color w:val="000000"/>
          <w:sz w:val="22"/>
          <w:szCs w:val="22"/>
          <w:u w:val="single"/>
          <w:lang w:val="de-DE"/>
        </w:rPr>
        <w:t>Kinder</w:t>
      </w:r>
      <w:r w:rsidR="00072317" w:rsidRPr="008A4F40">
        <w:rPr>
          <w:i/>
          <w:color w:val="000000"/>
          <w:sz w:val="22"/>
          <w:szCs w:val="22"/>
          <w:u w:val="single"/>
          <w:lang w:val="de-DE"/>
        </w:rPr>
        <w:t xml:space="preserve"> und Jugendliche</w:t>
      </w:r>
    </w:p>
    <w:p w14:paraId="7DA4035B" w14:textId="434A98B0" w:rsidR="003A33A6" w:rsidRPr="008A4F40" w:rsidRDefault="003A33A6" w:rsidP="004E7659">
      <w:pPr>
        <w:pStyle w:val="EndnoteText"/>
        <w:rPr>
          <w:color w:val="000000"/>
          <w:sz w:val="22"/>
          <w:szCs w:val="22"/>
          <w:lang w:val="de-DE"/>
        </w:rPr>
      </w:pPr>
      <w:r w:rsidRPr="008A4F40">
        <w:rPr>
          <w:color w:val="000000"/>
          <w:sz w:val="22"/>
          <w:szCs w:val="22"/>
          <w:lang w:val="de-DE"/>
        </w:rPr>
        <w:t>In der Studie I2301 wurde eine Gesamtanzahl von 93 Kindern, Jugendlichen und jungen erwachsenen Patienten (im Alter von 1 bis 22 Jahren) mit Ph+ ALL in eine offene, multizentrische, sequenzielle, nicht-randomisierte Phase-III-Kohortenstudie eingeschlossen und nach einer Induktions-Phase mit Glivec (340 mg/m²/Tag) in Kombination mit einer intensiven Chemotherapie behandelt. Glivec wurde in den Kohorten 1 bis 5 intermittierend mit ansteigender Dauer und zunehmend früherem Behandlungsstart von Kohorte zu Kohorte verabreicht. Kohorte 1 erhielt Glivec in der niedrigsten und Kohorte 5 in der höchsten Intensität (längste Dauer in Tagen mit kontinuierlicher täglicher Dosierung mit Glivec während des ersten Chemotherapie-Zyklus). Die kontinuierliche tägliche Gabe von Glivec bei Patienten aus Kohorte 5 (n</w:t>
      </w:r>
      <w:ins w:id="526" w:author="Author">
        <w:r w:rsidR="00CD0876">
          <w:rPr>
            <w:color w:val="000000"/>
            <w:sz w:val="22"/>
            <w:szCs w:val="22"/>
            <w:lang w:val="de-DE"/>
          </w:rPr>
          <w:t> </w:t>
        </w:r>
      </w:ins>
      <w:r w:rsidRPr="008A4F40">
        <w:rPr>
          <w:color w:val="000000"/>
          <w:sz w:val="22"/>
          <w:szCs w:val="22"/>
          <w:lang w:val="de-DE"/>
        </w:rPr>
        <w:t>=</w:t>
      </w:r>
      <w:ins w:id="527" w:author="Author">
        <w:r w:rsidR="00CD0876">
          <w:rPr>
            <w:color w:val="000000"/>
            <w:sz w:val="22"/>
            <w:szCs w:val="22"/>
            <w:lang w:val="de-DE"/>
          </w:rPr>
          <w:t> </w:t>
        </w:r>
      </w:ins>
      <w:r w:rsidRPr="008A4F40">
        <w:rPr>
          <w:color w:val="000000"/>
          <w:sz w:val="22"/>
          <w:szCs w:val="22"/>
          <w:lang w:val="de-DE"/>
        </w:rPr>
        <w:t>50) in Kombination mit einer Chemotherapie in der frühen Behandlungsphase verbesserte die Ereignis-freie Überlebenszeit (EFS) über 4 Jahre, verglichen mit historischen Kontrollen (n</w:t>
      </w:r>
      <w:ins w:id="528" w:author="Author">
        <w:r w:rsidR="00CD0876">
          <w:rPr>
            <w:color w:val="000000"/>
            <w:sz w:val="22"/>
            <w:szCs w:val="22"/>
            <w:lang w:val="de-DE"/>
          </w:rPr>
          <w:t> </w:t>
        </w:r>
      </w:ins>
      <w:r w:rsidRPr="008A4F40">
        <w:rPr>
          <w:color w:val="000000"/>
          <w:sz w:val="22"/>
          <w:szCs w:val="22"/>
          <w:lang w:val="de-DE"/>
        </w:rPr>
        <w:t>=</w:t>
      </w:r>
      <w:ins w:id="529" w:author="Author">
        <w:r w:rsidR="00CD0876">
          <w:rPr>
            <w:color w:val="000000"/>
            <w:sz w:val="22"/>
            <w:szCs w:val="22"/>
            <w:lang w:val="de-DE"/>
          </w:rPr>
          <w:t> </w:t>
        </w:r>
      </w:ins>
      <w:r w:rsidRPr="008A4F40">
        <w:rPr>
          <w:color w:val="000000"/>
          <w:sz w:val="22"/>
          <w:szCs w:val="22"/>
          <w:lang w:val="de-DE"/>
        </w:rPr>
        <w:t>120), die eine Standardchemotherapie ohne Glivec erhielten (entspricht 69,6% vs</w:t>
      </w:r>
      <w:r w:rsidR="00C22507">
        <w:rPr>
          <w:color w:val="000000"/>
          <w:sz w:val="22"/>
          <w:szCs w:val="22"/>
          <w:lang w:val="de-DE"/>
        </w:rPr>
        <w:t>.</w:t>
      </w:r>
      <w:r w:rsidRPr="008A4F40">
        <w:rPr>
          <w:color w:val="000000"/>
          <w:sz w:val="22"/>
          <w:szCs w:val="22"/>
          <w:lang w:val="de-DE"/>
        </w:rPr>
        <w:t xml:space="preserve"> 31,6%). Das geschätzte 4-Jahres-Gesamtüberleben bei Patienten in Kohorte 5 lag bei 83,6% verglichen mit 44,8% bei den historischen Kontrollen. 20 von 50 (40%) Patienten in Kohorte 5 bekamen hämatopoetische Stammzelltransplantationen.</w:t>
      </w:r>
    </w:p>
    <w:p w14:paraId="1821A92E" w14:textId="77777777" w:rsidR="003A33A6" w:rsidRPr="008A4F40" w:rsidRDefault="003A33A6" w:rsidP="004E7659">
      <w:pPr>
        <w:pStyle w:val="EndnoteText"/>
        <w:rPr>
          <w:color w:val="000000"/>
          <w:sz w:val="22"/>
          <w:szCs w:val="22"/>
          <w:lang w:val="de-DE"/>
        </w:rPr>
      </w:pPr>
    </w:p>
    <w:p w14:paraId="5E640B92" w14:textId="77777777" w:rsidR="003A33A6" w:rsidRPr="008A4F40" w:rsidRDefault="003A33A6" w:rsidP="004E7659">
      <w:pPr>
        <w:pStyle w:val="EndnoteText"/>
        <w:keepNext/>
        <w:keepLines/>
        <w:ind w:left="1134" w:hanging="1134"/>
        <w:rPr>
          <w:b/>
          <w:color w:val="000000"/>
          <w:sz w:val="22"/>
          <w:szCs w:val="22"/>
          <w:lang w:val="de-CH"/>
        </w:rPr>
      </w:pPr>
      <w:r w:rsidRPr="008A4F40">
        <w:rPr>
          <w:b/>
          <w:color w:val="000000"/>
          <w:sz w:val="22"/>
          <w:szCs w:val="22"/>
          <w:lang w:val="de-CH"/>
        </w:rPr>
        <w:t>Tabelle </w:t>
      </w:r>
      <w:r w:rsidR="00512273" w:rsidRPr="008A4F40">
        <w:rPr>
          <w:b/>
          <w:color w:val="000000"/>
          <w:sz w:val="22"/>
          <w:szCs w:val="22"/>
          <w:lang w:val="de-CH"/>
        </w:rPr>
        <w:t>5</w:t>
      </w:r>
      <w:r w:rsidRPr="008A4F40">
        <w:rPr>
          <w:b/>
          <w:color w:val="000000"/>
          <w:sz w:val="22"/>
          <w:szCs w:val="22"/>
          <w:lang w:val="de-CH"/>
        </w:rPr>
        <w:tab/>
        <w:t>Angewendete Chemotherapie-Schemata in Kombination mit Imatinib in der Studie I2301</w:t>
      </w:r>
    </w:p>
    <w:p w14:paraId="3F1CD347" w14:textId="77777777" w:rsidR="003A33A6" w:rsidRPr="008A4F40" w:rsidRDefault="003A33A6" w:rsidP="004E7659">
      <w:pPr>
        <w:pStyle w:val="EndnoteText"/>
        <w:keepNext/>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30"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56"/>
        <w:gridCol w:w="6660"/>
        <w:gridCol w:w="39"/>
        <w:tblGridChange w:id="531">
          <w:tblGrid>
            <w:gridCol w:w="360"/>
            <w:gridCol w:w="360"/>
            <w:gridCol w:w="1636"/>
            <w:gridCol w:w="6660"/>
            <w:gridCol w:w="39"/>
          </w:tblGrid>
        </w:tblGridChange>
      </w:tblGrid>
      <w:tr w:rsidR="003A33A6" w:rsidRPr="008A4F40" w14:paraId="07FD74B5" w14:textId="77777777" w:rsidTr="00D1077B">
        <w:trPr>
          <w:cantSplit/>
          <w:trPrChange w:id="532" w:author="Author">
            <w:trPr>
              <w:gridAfter w:val="0"/>
              <w:cantSplit/>
            </w:trPr>
          </w:trPrChange>
        </w:trPr>
        <w:tc>
          <w:tcPr>
            <w:tcW w:w="2356" w:type="dxa"/>
            <w:tcPrChange w:id="533" w:author="Author">
              <w:tcPr>
                <w:tcW w:w="2358" w:type="dxa"/>
              </w:tcPr>
            </w:tcPrChange>
          </w:tcPr>
          <w:p w14:paraId="4FE23291" w14:textId="77777777" w:rsidR="003A33A6" w:rsidRPr="008A4F40" w:rsidRDefault="003A33A6" w:rsidP="004E7659">
            <w:pPr>
              <w:pStyle w:val="EndnoteText"/>
              <w:keepNext/>
              <w:rPr>
                <w:color w:val="000000"/>
                <w:sz w:val="22"/>
                <w:szCs w:val="22"/>
                <w:lang w:val="es-ES"/>
              </w:rPr>
            </w:pPr>
            <w:proofErr w:type="spellStart"/>
            <w:r w:rsidRPr="78EBE7F7">
              <w:rPr>
                <w:color w:val="000000" w:themeColor="text1"/>
                <w:sz w:val="22"/>
                <w:szCs w:val="22"/>
                <w:lang w:val="es-ES"/>
              </w:rPr>
              <w:t>Konsolidierungsblock</w:t>
            </w:r>
            <w:proofErr w:type="spellEnd"/>
            <w:r w:rsidRPr="78EBE7F7">
              <w:rPr>
                <w:color w:val="000000" w:themeColor="text1"/>
                <w:sz w:val="22"/>
                <w:szCs w:val="22"/>
                <w:lang w:val="es-ES"/>
              </w:rPr>
              <w:t> 1</w:t>
            </w:r>
          </w:p>
          <w:p w14:paraId="33BAD478" w14:textId="77777777" w:rsidR="003A33A6" w:rsidRPr="008A4F40" w:rsidRDefault="003A33A6" w:rsidP="004E7659">
            <w:pPr>
              <w:pStyle w:val="EndnoteText"/>
              <w:keepNext/>
              <w:rPr>
                <w:color w:val="000000"/>
                <w:sz w:val="22"/>
                <w:szCs w:val="22"/>
                <w:lang w:val="es-ES"/>
              </w:rPr>
            </w:pPr>
            <w:r w:rsidRPr="78EBE7F7">
              <w:rPr>
                <w:color w:val="000000" w:themeColor="text1"/>
                <w:sz w:val="22"/>
                <w:szCs w:val="22"/>
                <w:lang w:val="es-ES"/>
              </w:rPr>
              <w:t>(3 </w:t>
            </w:r>
            <w:proofErr w:type="spellStart"/>
            <w:r w:rsidRPr="78EBE7F7">
              <w:rPr>
                <w:color w:val="000000" w:themeColor="text1"/>
                <w:sz w:val="22"/>
                <w:szCs w:val="22"/>
                <w:lang w:val="es-ES"/>
              </w:rPr>
              <w:t>Wochen</w:t>
            </w:r>
            <w:proofErr w:type="spellEnd"/>
            <w:r w:rsidRPr="78EBE7F7">
              <w:rPr>
                <w:color w:val="000000" w:themeColor="text1"/>
                <w:sz w:val="22"/>
                <w:szCs w:val="22"/>
                <w:lang w:val="es-ES"/>
              </w:rPr>
              <w:t>)</w:t>
            </w:r>
          </w:p>
        </w:tc>
        <w:tc>
          <w:tcPr>
            <w:tcW w:w="6699" w:type="dxa"/>
            <w:gridSpan w:val="2"/>
            <w:tcPrChange w:id="534" w:author="Author">
              <w:tcPr>
                <w:tcW w:w="6923" w:type="dxa"/>
              </w:tcPr>
            </w:tcPrChange>
          </w:tcPr>
          <w:p w14:paraId="2175D9BC" w14:textId="06EAE16D" w:rsidR="003A33A6" w:rsidRPr="008A4F40" w:rsidRDefault="003A33A6" w:rsidP="004E7659">
            <w:pPr>
              <w:pStyle w:val="EndnoteText"/>
              <w:keepNext/>
              <w:rPr>
                <w:color w:val="000000"/>
                <w:sz w:val="22"/>
                <w:szCs w:val="22"/>
                <w:lang w:val="da-DK"/>
              </w:rPr>
            </w:pPr>
            <w:r w:rsidRPr="008A4F40">
              <w:rPr>
                <w:color w:val="000000"/>
                <w:sz w:val="22"/>
                <w:szCs w:val="22"/>
                <w:lang w:val="da-DK"/>
              </w:rPr>
              <w:t>VP-16 (100 mg/m</w:t>
            </w:r>
            <w:r w:rsidRPr="008A4F40">
              <w:rPr>
                <w:color w:val="000000"/>
                <w:sz w:val="22"/>
                <w:szCs w:val="22"/>
                <w:vertAlign w:val="superscript"/>
                <w:lang w:val="da-DK"/>
              </w:rPr>
              <w:t>2</w:t>
            </w:r>
            <w:r w:rsidRPr="008A4F40">
              <w:rPr>
                <w:color w:val="000000"/>
                <w:sz w:val="22"/>
                <w:szCs w:val="22"/>
                <w:lang w:val="da-DK"/>
              </w:rPr>
              <w:t>/Tag, i.v.): Tage 1</w:t>
            </w:r>
            <w:ins w:id="535" w:author="Author">
              <w:r w:rsidR="00EE2F71" w:rsidRPr="00EE2F71">
                <w:rPr>
                  <w:color w:val="000000"/>
                  <w:sz w:val="22"/>
                  <w:szCs w:val="22"/>
                  <w:lang w:val="da-DK"/>
                </w:rPr>
                <w:t>–</w:t>
              </w:r>
            </w:ins>
            <w:del w:id="536" w:author="Author">
              <w:r w:rsidRPr="008A4F40" w:rsidDel="00EE2F71">
                <w:rPr>
                  <w:color w:val="000000"/>
                  <w:sz w:val="22"/>
                  <w:szCs w:val="22"/>
                  <w:lang w:val="da-DK"/>
                </w:rPr>
                <w:noBreakHyphen/>
              </w:r>
            </w:del>
            <w:r w:rsidRPr="008A4F40">
              <w:rPr>
                <w:color w:val="000000"/>
                <w:sz w:val="22"/>
                <w:szCs w:val="22"/>
                <w:lang w:val="da-DK"/>
              </w:rPr>
              <w:t>5</w:t>
            </w:r>
          </w:p>
          <w:p w14:paraId="412EC87B" w14:textId="2E5E4F71" w:rsidR="003A33A6" w:rsidRPr="008A4F40" w:rsidRDefault="003A33A6" w:rsidP="004E7659">
            <w:pPr>
              <w:pStyle w:val="EndnoteText"/>
              <w:keepNext/>
              <w:rPr>
                <w:color w:val="000000"/>
                <w:sz w:val="22"/>
                <w:szCs w:val="22"/>
                <w:lang w:val="da-DK"/>
              </w:rPr>
            </w:pPr>
            <w:r w:rsidRPr="008A4F40">
              <w:rPr>
                <w:color w:val="000000"/>
                <w:sz w:val="22"/>
                <w:szCs w:val="22"/>
                <w:lang w:val="da-DK"/>
              </w:rPr>
              <w:t>Ifosfamid (1,8 g/m</w:t>
            </w:r>
            <w:r w:rsidRPr="008A4F40">
              <w:rPr>
                <w:color w:val="000000"/>
                <w:sz w:val="22"/>
                <w:szCs w:val="22"/>
                <w:vertAlign w:val="superscript"/>
                <w:lang w:val="da-DK"/>
              </w:rPr>
              <w:t>2</w:t>
            </w:r>
            <w:r w:rsidRPr="008A4F40">
              <w:rPr>
                <w:color w:val="000000"/>
                <w:sz w:val="22"/>
                <w:szCs w:val="22"/>
                <w:lang w:val="da-DK"/>
              </w:rPr>
              <w:t>/Tag, i.v.): Tage 1</w:t>
            </w:r>
            <w:ins w:id="537" w:author="Author">
              <w:r w:rsidR="00EE2F71" w:rsidRPr="00EE2F71">
                <w:rPr>
                  <w:color w:val="000000"/>
                  <w:sz w:val="22"/>
                  <w:szCs w:val="22"/>
                  <w:lang w:val="da-DK"/>
                </w:rPr>
                <w:t>–</w:t>
              </w:r>
            </w:ins>
            <w:del w:id="538" w:author="Author">
              <w:r w:rsidRPr="008A4F40" w:rsidDel="00EE2F71">
                <w:rPr>
                  <w:color w:val="000000"/>
                  <w:sz w:val="22"/>
                  <w:szCs w:val="22"/>
                  <w:lang w:val="da-DK"/>
                </w:rPr>
                <w:noBreakHyphen/>
              </w:r>
            </w:del>
            <w:r w:rsidRPr="008A4F40">
              <w:rPr>
                <w:color w:val="000000"/>
                <w:sz w:val="22"/>
                <w:szCs w:val="22"/>
                <w:lang w:val="da-DK"/>
              </w:rPr>
              <w:t>5</w:t>
            </w:r>
          </w:p>
          <w:p w14:paraId="3ACDDF97" w14:textId="6E677755" w:rsidR="003A33A6" w:rsidRPr="008A4F40" w:rsidRDefault="003A33A6" w:rsidP="004E7659">
            <w:pPr>
              <w:pStyle w:val="EndnoteText"/>
              <w:keepNext/>
              <w:rPr>
                <w:color w:val="000000"/>
                <w:sz w:val="22"/>
                <w:szCs w:val="22"/>
                <w:lang w:val="da-DK"/>
              </w:rPr>
            </w:pPr>
            <w:r w:rsidRPr="008A4F40">
              <w:rPr>
                <w:color w:val="000000"/>
                <w:sz w:val="22"/>
                <w:szCs w:val="22"/>
                <w:lang w:val="da-DK"/>
              </w:rPr>
              <w:t>MESNA (360 mg/m</w:t>
            </w:r>
            <w:r w:rsidRPr="008A4F40">
              <w:rPr>
                <w:color w:val="000000"/>
                <w:sz w:val="22"/>
                <w:szCs w:val="22"/>
                <w:vertAlign w:val="superscript"/>
                <w:lang w:val="da-DK"/>
              </w:rPr>
              <w:t>2</w:t>
            </w:r>
            <w:r w:rsidRPr="008A4F40">
              <w:rPr>
                <w:color w:val="000000"/>
                <w:sz w:val="22"/>
                <w:szCs w:val="22"/>
                <w:lang w:val="da-DK"/>
              </w:rPr>
              <w:t>/Dosis q3h, x 8 Dosen/Tag, i.v.): Tage 1</w:t>
            </w:r>
            <w:ins w:id="539" w:author="Author">
              <w:r w:rsidR="00EE2F71" w:rsidRPr="00EE2F71">
                <w:rPr>
                  <w:color w:val="000000"/>
                  <w:sz w:val="22"/>
                  <w:szCs w:val="22"/>
                  <w:lang w:val="da-DK"/>
                </w:rPr>
                <w:t>–</w:t>
              </w:r>
            </w:ins>
            <w:del w:id="540" w:author="Author">
              <w:r w:rsidRPr="008A4F40" w:rsidDel="00EE2F71">
                <w:rPr>
                  <w:color w:val="000000"/>
                  <w:sz w:val="22"/>
                  <w:szCs w:val="22"/>
                  <w:lang w:val="da-DK"/>
                </w:rPr>
                <w:noBreakHyphen/>
              </w:r>
            </w:del>
            <w:r w:rsidRPr="008A4F40">
              <w:rPr>
                <w:color w:val="000000"/>
                <w:sz w:val="22"/>
                <w:szCs w:val="22"/>
                <w:lang w:val="da-DK"/>
              </w:rPr>
              <w:t>5</w:t>
            </w:r>
          </w:p>
          <w:p w14:paraId="07077395" w14:textId="77777777" w:rsidR="003A33A6" w:rsidRPr="008A4F40" w:rsidRDefault="003A33A6" w:rsidP="004E7659">
            <w:pPr>
              <w:pStyle w:val="EndnoteText"/>
              <w:keepNext/>
              <w:rPr>
                <w:color w:val="000000"/>
                <w:sz w:val="22"/>
                <w:szCs w:val="22"/>
                <w:lang w:val="da-DK"/>
              </w:rPr>
            </w:pPr>
            <w:r w:rsidRPr="008A4F40">
              <w:rPr>
                <w:color w:val="000000"/>
                <w:sz w:val="22"/>
                <w:szCs w:val="22"/>
                <w:lang w:val="da-DK"/>
              </w:rPr>
              <w:t>G-CSF (5 </w:t>
            </w:r>
            <w:r w:rsidRPr="008A4F40">
              <w:rPr>
                <w:color w:val="000000"/>
                <w:sz w:val="22"/>
                <w:szCs w:val="22"/>
              </w:rPr>
              <w:t>μ</w:t>
            </w:r>
            <w:r w:rsidRPr="008A4F40">
              <w:rPr>
                <w:color w:val="000000"/>
                <w:sz w:val="22"/>
                <w:szCs w:val="22"/>
                <w:lang w:val="da-DK"/>
              </w:rPr>
              <w:t>g/kg, s.c.): Tage 6</w:t>
            </w:r>
            <w:r w:rsidRPr="008A4F40">
              <w:rPr>
                <w:color w:val="000000"/>
                <w:sz w:val="22"/>
                <w:szCs w:val="22"/>
                <w:lang w:val="da-DK"/>
              </w:rPr>
              <w:noBreakHyphen/>
              <w:t>15 oder bis ANC &gt; 1500 post nadir</w:t>
            </w:r>
          </w:p>
          <w:p w14:paraId="43E9D8CC" w14:textId="77777777" w:rsidR="003A33A6" w:rsidRPr="008A4F40" w:rsidRDefault="003A33A6" w:rsidP="004E7659">
            <w:pPr>
              <w:pStyle w:val="EndnoteText"/>
              <w:keepNext/>
              <w:rPr>
                <w:color w:val="000000"/>
                <w:sz w:val="22"/>
                <w:szCs w:val="22"/>
                <w:lang w:val="de-DE"/>
              </w:rPr>
            </w:pPr>
            <w:r w:rsidRPr="008A4F40">
              <w:rPr>
                <w:color w:val="000000"/>
                <w:sz w:val="22"/>
                <w:szCs w:val="22"/>
                <w:lang w:val="de-DE"/>
              </w:rPr>
              <w:t>i.th. Methotrexat (alters-angepasst): Tag 1 AUSSCHLIESSLICH</w:t>
            </w:r>
          </w:p>
          <w:p w14:paraId="7D2ED064" w14:textId="77777777" w:rsidR="003A33A6" w:rsidRPr="008A4F40" w:rsidRDefault="003A33A6" w:rsidP="004E7659">
            <w:pPr>
              <w:pStyle w:val="EndnoteText"/>
              <w:keepNext/>
              <w:rPr>
                <w:color w:val="000000"/>
                <w:sz w:val="22"/>
                <w:szCs w:val="22"/>
                <w:lang w:val="de-DE"/>
              </w:rPr>
            </w:pPr>
            <w:r w:rsidRPr="008A4F40">
              <w:rPr>
                <w:color w:val="000000"/>
                <w:sz w:val="22"/>
                <w:szCs w:val="22"/>
                <w:lang w:val="de-DE"/>
              </w:rPr>
              <w:t>Dreifach-i.th.-Therapie (alters-angepasst): Tag 8, 15</w:t>
            </w:r>
          </w:p>
        </w:tc>
      </w:tr>
      <w:tr w:rsidR="003A33A6" w:rsidRPr="008A4F40" w14:paraId="3E051F2B" w14:textId="77777777" w:rsidTr="00D1077B">
        <w:trPr>
          <w:cantSplit/>
          <w:trPrChange w:id="541" w:author="Author">
            <w:trPr>
              <w:gridAfter w:val="0"/>
              <w:cantSplit/>
            </w:trPr>
          </w:trPrChange>
        </w:trPr>
        <w:tc>
          <w:tcPr>
            <w:tcW w:w="2356" w:type="dxa"/>
            <w:tcPrChange w:id="542" w:author="Author">
              <w:tcPr>
                <w:tcW w:w="2358" w:type="dxa"/>
              </w:tcPr>
            </w:tcPrChange>
          </w:tcPr>
          <w:p w14:paraId="2172F848" w14:textId="77777777" w:rsidR="003A33A6" w:rsidRPr="008A4F40" w:rsidRDefault="003A33A6" w:rsidP="004E7659">
            <w:pPr>
              <w:pStyle w:val="EndnoteText"/>
              <w:rPr>
                <w:color w:val="000000"/>
                <w:sz w:val="22"/>
                <w:szCs w:val="22"/>
                <w:lang w:val="de-DE"/>
              </w:rPr>
            </w:pPr>
            <w:r w:rsidRPr="008A4F40">
              <w:rPr>
                <w:color w:val="000000"/>
                <w:sz w:val="22"/>
                <w:szCs w:val="22"/>
                <w:lang w:val="de-DE"/>
              </w:rPr>
              <w:t>Konsolidierungsblock 2</w:t>
            </w:r>
          </w:p>
          <w:p w14:paraId="52ABA24B" w14:textId="77777777" w:rsidR="003A33A6" w:rsidRPr="008A4F40" w:rsidRDefault="003A33A6" w:rsidP="004E7659">
            <w:pPr>
              <w:pStyle w:val="EndnoteText"/>
              <w:rPr>
                <w:color w:val="000000"/>
                <w:sz w:val="22"/>
                <w:szCs w:val="22"/>
                <w:lang w:val="de-DE"/>
              </w:rPr>
            </w:pPr>
            <w:r w:rsidRPr="008A4F40">
              <w:rPr>
                <w:color w:val="000000"/>
                <w:sz w:val="22"/>
                <w:szCs w:val="22"/>
                <w:lang w:val="de-DE"/>
              </w:rPr>
              <w:t>(3 Wochen)</w:t>
            </w:r>
          </w:p>
        </w:tc>
        <w:tc>
          <w:tcPr>
            <w:tcW w:w="6699" w:type="dxa"/>
            <w:gridSpan w:val="2"/>
            <w:tcPrChange w:id="543" w:author="Author">
              <w:tcPr>
                <w:tcW w:w="6923" w:type="dxa"/>
              </w:tcPr>
            </w:tcPrChange>
          </w:tcPr>
          <w:p w14:paraId="1D7E03AB" w14:textId="77777777" w:rsidR="003A33A6" w:rsidRPr="008A4F40" w:rsidRDefault="003A33A6" w:rsidP="004E7659">
            <w:pPr>
              <w:pStyle w:val="EndnoteText"/>
              <w:rPr>
                <w:color w:val="000000"/>
                <w:sz w:val="22"/>
                <w:szCs w:val="22"/>
                <w:lang w:val="de-DE"/>
              </w:rPr>
            </w:pPr>
            <w:r w:rsidRPr="008A4F40">
              <w:rPr>
                <w:color w:val="000000"/>
                <w:sz w:val="22"/>
                <w:szCs w:val="22"/>
                <w:lang w:val="de-DE"/>
              </w:rPr>
              <w:t>Methotrexat (5 g/m</w:t>
            </w:r>
            <w:r w:rsidRPr="008A4F40">
              <w:rPr>
                <w:color w:val="000000"/>
                <w:sz w:val="22"/>
                <w:szCs w:val="22"/>
                <w:vertAlign w:val="superscript"/>
                <w:lang w:val="de-DE"/>
              </w:rPr>
              <w:t>2</w:t>
            </w:r>
            <w:r w:rsidRPr="008A4F40">
              <w:rPr>
                <w:color w:val="000000"/>
                <w:sz w:val="22"/>
                <w:szCs w:val="22"/>
                <w:lang w:val="de-DE"/>
              </w:rPr>
              <w:t xml:space="preserve"> über 24 Stunden, i.v.): Tag 1</w:t>
            </w:r>
          </w:p>
          <w:p w14:paraId="065F8A98" w14:textId="77777777" w:rsidR="003A33A6" w:rsidRPr="008A4F40" w:rsidRDefault="003A33A6" w:rsidP="004E7659">
            <w:pPr>
              <w:pStyle w:val="EndnoteText"/>
              <w:rPr>
                <w:color w:val="000000"/>
                <w:sz w:val="22"/>
                <w:szCs w:val="22"/>
                <w:lang w:val="de-DE"/>
              </w:rPr>
            </w:pPr>
            <w:r w:rsidRPr="008A4F40">
              <w:rPr>
                <w:color w:val="000000"/>
                <w:sz w:val="22"/>
                <w:szCs w:val="22"/>
                <w:lang w:val="de-DE"/>
              </w:rPr>
              <w:t>Leucovorin (75 mg/m</w:t>
            </w:r>
            <w:r w:rsidRPr="008A4F40">
              <w:rPr>
                <w:color w:val="000000"/>
                <w:sz w:val="22"/>
                <w:szCs w:val="22"/>
                <w:vertAlign w:val="superscript"/>
                <w:lang w:val="de-DE"/>
              </w:rPr>
              <w:t>2</w:t>
            </w:r>
            <w:r w:rsidRPr="008A4F40">
              <w:rPr>
                <w:color w:val="000000"/>
                <w:sz w:val="22"/>
                <w:szCs w:val="22"/>
                <w:lang w:val="de-DE"/>
              </w:rPr>
              <w:t xml:space="preserve"> bei Stunde 36, i.v.; 15 mg/m</w:t>
            </w:r>
            <w:r w:rsidRPr="008A4F40">
              <w:rPr>
                <w:color w:val="000000"/>
                <w:sz w:val="22"/>
                <w:szCs w:val="22"/>
                <w:vertAlign w:val="superscript"/>
                <w:lang w:val="de-DE"/>
              </w:rPr>
              <w:t>2</w:t>
            </w:r>
            <w:r w:rsidRPr="008A4F40">
              <w:rPr>
                <w:color w:val="000000"/>
                <w:sz w:val="22"/>
                <w:szCs w:val="22"/>
                <w:lang w:val="de-DE"/>
              </w:rPr>
              <w:t xml:space="preserve"> i.v. oder p.o. q6h x 6 Dosen)iii: Tage 2 und 3</w:t>
            </w:r>
          </w:p>
          <w:p w14:paraId="1A54AA09" w14:textId="77777777" w:rsidR="003A33A6" w:rsidRPr="008A4F40" w:rsidRDefault="003A33A6" w:rsidP="004E7659">
            <w:pPr>
              <w:pStyle w:val="EndnoteText"/>
              <w:rPr>
                <w:color w:val="000000"/>
                <w:sz w:val="22"/>
                <w:szCs w:val="22"/>
                <w:lang w:val="de-DE"/>
              </w:rPr>
            </w:pPr>
            <w:r w:rsidRPr="008A4F40">
              <w:rPr>
                <w:color w:val="000000"/>
                <w:sz w:val="22"/>
                <w:szCs w:val="22"/>
                <w:lang w:val="de-DE"/>
              </w:rPr>
              <w:t>Dreifach-i.th.-Therapie (alters-angepasst): Tag 1</w:t>
            </w:r>
          </w:p>
          <w:p w14:paraId="3D0BD351" w14:textId="77777777" w:rsidR="003A33A6" w:rsidRPr="008A4F40" w:rsidRDefault="003A33A6" w:rsidP="004E7659">
            <w:pPr>
              <w:pStyle w:val="EndnoteText"/>
              <w:rPr>
                <w:color w:val="000000"/>
                <w:sz w:val="22"/>
                <w:szCs w:val="22"/>
                <w:lang w:val="de-DE"/>
              </w:rPr>
            </w:pPr>
            <w:r w:rsidRPr="008A4F40">
              <w:rPr>
                <w:color w:val="000000"/>
                <w:sz w:val="22"/>
                <w:szCs w:val="22"/>
                <w:lang w:val="de-DE"/>
              </w:rPr>
              <w:t>ARA-C (3 g/m</w:t>
            </w:r>
            <w:r w:rsidRPr="008A4F40">
              <w:rPr>
                <w:color w:val="000000"/>
                <w:sz w:val="22"/>
                <w:szCs w:val="22"/>
                <w:vertAlign w:val="superscript"/>
                <w:lang w:val="de-DE"/>
              </w:rPr>
              <w:t>2</w:t>
            </w:r>
            <w:r w:rsidRPr="008A4F40">
              <w:rPr>
                <w:color w:val="000000"/>
                <w:sz w:val="22"/>
                <w:szCs w:val="22"/>
                <w:lang w:val="de-DE"/>
              </w:rPr>
              <w:t>/Dosis q 12 h x 4, i.v.): Tage 2 und 3</w:t>
            </w:r>
          </w:p>
          <w:p w14:paraId="09B69F2C" w14:textId="76A717D5" w:rsidR="003A33A6" w:rsidRPr="008A4F40" w:rsidRDefault="003A33A6" w:rsidP="004E7659">
            <w:pPr>
              <w:pStyle w:val="EndnoteText"/>
              <w:rPr>
                <w:color w:val="000000"/>
                <w:sz w:val="22"/>
                <w:szCs w:val="22"/>
                <w:lang w:val="de-DE"/>
              </w:rPr>
            </w:pPr>
            <w:r w:rsidRPr="008A4F40">
              <w:rPr>
                <w:color w:val="000000"/>
                <w:sz w:val="22"/>
                <w:szCs w:val="22"/>
                <w:lang w:val="de-DE"/>
              </w:rPr>
              <w:t>G-CSF (5 </w:t>
            </w:r>
            <w:r w:rsidRPr="008A4F40">
              <w:rPr>
                <w:color w:val="000000"/>
                <w:sz w:val="22"/>
                <w:szCs w:val="22"/>
              </w:rPr>
              <w:t>μ</w:t>
            </w:r>
            <w:r w:rsidRPr="008A4F40">
              <w:rPr>
                <w:color w:val="000000"/>
                <w:sz w:val="22"/>
                <w:szCs w:val="22"/>
                <w:lang w:val="de-DE"/>
              </w:rPr>
              <w:t>g/kg, s.c.): Tage 4</w:t>
            </w:r>
            <w:ins w:id="544" w:author="Author">
              <w:r w:rsidR="00EE2F71" w:rsidRPr="00EE2F71">
                <w:rPr>
                  <w:color w:val="000000"/>
                  <w:sz w:val="22"/>
                  <w:szCs w:val="22"/>
                  <w:lang w:val="de-DE"/>
                </w:rPr>
                <w:t>–</w:t>
              </w:r>
            </w:ins>
            <w:del w:id="545" w:author="Author">
              <w:r w:rsidRPr="008A4F40" w:rsidDel="00EE2F71">
                <w:rPr>
                  <w:color w:val="000000"/>
                  <w:sz w:val="22"/>
                  <w:szCs w:val="22"/>
                  <w:lang w:val="de-DE"/>
                </w:rPr>
                <w:noBreakHyphen/>
              </w:r>
            </w:del>
            <w:r w:rsidRPr="008A4F40">
              <w:rPr>
                <w:color w:val="000000"/>
                <w:sz w:val="22"/>
                <w:szCs w:val="22"/>
                <w:lang w:val="de-DE"/>
              </w:rPr>
              <w:t>13 oder bis ANC &gt; 1500 post nadir</w:t>
            </w:r>
          </w:p>
        </w:tc>
      </w:tr>
      <w:tr w:rsidR="003A33A6" w:rsidRPr="008A4F40" w14:paraId="2A4F83C3" w14:textId="77777777" w:rsidTr="00D1077B">
        <w:trPr>
          <w:cantSplit/>
          <w:trPrChange w:id="546" w:author="Author">
            <w:trPr>
              <w:gridAfter w:val="0"/>
              <w:cantSplit/>
            </w:trPr>
          </w:trPrChange>
        </w:trPr>
        <w:tc>
          <w:tcPr>
            <w:tcW w:w="2356" w:type="dxa"/>
            <w:tcPrChange w:id="547" w:author="Author">
              <w:tcPr>
                <w:tcW w:w="2358" w:type="dxa"/>
              </w:tcPr>
            </w:tcPrChange>
          </w:tcPr>
          <w:p w14:paraId="658999B3" w14:textId="77777777" w:rsidR="003A33A6" w:rsidRPr="008A4F40" w:rsidRDefault="003A33A6" w:rsidP="004E7659">
            <w:pPr>
              <w:pStyle w:val="EndnoteText"/>
              <w:rPr>
                <w:color w:val="000000"/>
                <w:sz w:val="22"/>
                <w:szCs w:val="22"/>
                <w:lang w:val="es-ES"/>
              </w:rPr>
            </w:pPr>
            <w:proofErr w:type="spellStart"/>
            <w:r w:rsidRPr="78EBE7F7">
              <w:rPr>
                <w:color w:val="000000" w:themeColor="text1"/>
                <w:sz w:val="22"/>
                <w:szCs w:val="22"/>
                <w:lang w:val="es-ES"/>
              </w:rPr>
              <w:t>Reinduktionsblock</w:t>
            </w:r>
            <w:proofErr w:type="spellEnd"/>
            <w:r w:rsidRPr="78EBE7F7">
              <w:rPr>
                <w:color w:val="000000" w:themeColor="text1"/>
                <w:sz w:val="22"/>
                <w:szCs w:val="22"/>
                <w:lang w:val="es-ES"/>
              </w:rPr>
              <w:t> 1</w:t>
            </w:r>
          </w:p>
          <w:p w14:paraId="6ADA4323" w14:textId="77777777" w:rsidR="003A33A6" w:rsidRPr="008A4F40" w:rsidRDefault="003A33A6" w:rsidP="004E7659">
            <w:pPr>
              <w:pStyle w:val="EndnoteText"/>
              <w:rPr>
                <w:color w:val="000000"/>
                <w:sz w:val="22"/>
                <w:szCs w:val="22"/>
                <w:lang w:val="es-ES"/>
              </w:rPr>
            </w:pPr>
            <w:r w:rsidRPr="78EBE7F7">
              <w:rPr>
                <w:color w:val="000000" w:themeColor="text1"/>
                <w:sz w:val="22"/>
                <w:szCs w:val="22"/>
                <w:lang w:val="es-ES"/>
              </w:rPr>
              <w:t>(3 </w:t>
            </w:r>
            <w:proofErr w:type="spellStart"/>
            <w:r w:rsidRPr="78EBE7F7">
              <w:rPr>
                <w:color w:val="000000" w:themeColor="text1"/>
                <w:sz w:val="22"/>
                <w:szCs w:val="22"/>
                <w:lang w:val="es-ES"/>
              </w:rPr>
              <w:t>Wochen</w:t>
            </w:r>
            <w:proofErr w:type="spellEnd"/>
            <w:r w:rsidRPr="78EBE7F7">
              <w:rPr>
                <w:color w:val="000000" w:themeColor="text1"/>
                <w:sz w:val="22"/>
                <w:szCs w:val="22"/>
                <w:lang w:val="es-ES"/>
              </w:rPr>
              <w:t>)</w:t>
            </w:r>
          </w:p>
        </w:tc>
        <w:tc>
          <w:tcPr>
            <w:tcW w:w="6699" w:type="dxa"/>
            <w:gridSpan w:val="2"/>
            <w:tcPrChange w:id="548" w:author="Author">
              <w:tcPr>
                <w:tcW w:w="6923" w:type="dxa"/>
              </w:tcPr>
            </w:tcPrChange>
          </w:tcPr>
          <w:p w14:paraId="524E911F" w14:textId="5C4F2C1B" w:rsidR="003A33A6" w:rsidRPr="008A4F40" w:rsidRDefault="003A33A6" w:rsidP="004E7659">
            <w:pPr>
              <w:pStyle w:val="EndnoteText"/>
              <w:rPr>
                <w:color w:val="000000"/>
                <w:sz w:val="22"/>
                <w:szCs w:val="22"/>
                <w:lang w:val="de-DE"/>
              </w:rPr>
            </w:pPr>
            <w:r w:rsidRPr="008A4F40">
              <w:rPr>
                <w:color w:val="000000"/>
                <w:sz w:val="22"/>
                <w:szCs w:val="22"/>
                <w:lang w:val="de-DE"/>
              </w:rPr>
              <w:t>VCR (1,5 mg/m</w:t>
            </w:r>
            <w:r w:rsidRPr="008A4F40">
              <w:rPr>
                <w:color w:val="000000"/>
                <w:sz w:val="22"/>
                <w:szCs w:val="22"/>
                <w:vertAlign w:val="superscript"/>
                <w:lang w:val="de-DE"/>
              </w:rPr>
              <w:t>2</w:t>
            </w:r>
            <w:r w:rsidRPr="008A4F40">
              <w:rPr>
                <w:color w:val="000000"/>
                <w:sz w:val="22"/>
                <w:szCs w:val="22"/>
                <w:lang w:val="de-DE"/>
              </w:rPr>
              <w:t>/Tag, i.v.): Tage 1, 8, und 15</w:t>
            </w:r>
          </w:p>
          <w:p w14:paraId="2B223265" w14:textId="77777777" w:rsidR="003A33A6" w:rsidRPr="008A4F40" w:rsidRDefault="003A33A6" w:rsidP="004E7659">
            <w:pPr>
              <w:pStyle w:val="EndnoteText"/>
              <w:rPr>
                <w:color w:val="000000"/>
                <w:sz w:val="22"/>
                <w:szCs w:val="22"/>
                <w:lang w:val="de-CH"/>
              </w:rPr>
            </w:pPr>
            <w:r w:rsidRPr="008A4F40">
              <w:rPr>
                <w:color w:val="000000"/>
                <w:sz w:val="22"/>
                <w:szCs w:val="22"/>
                <w:lang w:val="de-CH"/>
              </w:rPr>
              <w:t>DAUN (45 mg/m</w:t>
            </w:r>
            <w:r w:rsidRPr="008A4F40">
              <w:rPr>
                <w:color w:val="000000"/>
                <w:sz w:val="22"/>
                <w:szCs w:val="22"/>
                <w:vertAlign w:val="superscript"/>
                <w:lang w:val="de-CH"/>
              </w:rPr>
              <w:t>2</w:t>
            </w:r>
            <w:r w:rsidRPr="008A4F40">
              <w:rPr>
                <w:color w:val="000000"/>
                <w:sz w:val="22"/>
                <w:szCs w:val="22"/>
                <w:lang w:val="de-CH"/>
              </w:rPr>
              <w:t xml:space="preserve">/Tag </w:t>
            </w:r>
            <w:r w:rsidRPr="008A4F40">
              <w:rPr>
                <w:color w:val="000000"/>
                <w:sz w:val="22"/>
                <w:szCs w:val="22"/>
                <w:lang w:val="de-DE"/>
              </w:rPr>
              <w:t>Bolus</w:t>
            </w:r>
            <w:r w:rsidRPr="008A4F40">
              <w:rPr>
                <w:color w:val="000000"/>
                <w:sz w:val="22"/>
                <w:szCs w:val="22"/>
                <w:lang w:val="de-CH"/>
              </w:rPr>
              <w:t xml:space="preserve">, </w:t>
            </w:r>
            <w:r w:rsidRPr="008A4F40">
              <w:rPr>
                <w:color w:val="000000"/>
                <w:sz w:val="22"/>
                <w:szCs w:val="22"/>
                <w:lang w:val="de-DE"/>
              </w:rPr>
              <w:t>i.v.</w:t>
            </w:r>
            <w:r w:rsidRPr="008A4F40">
              <w:rPr>
                <w:color w:val="000000"/>
                <w:sz w:val="22"/>
                <w:szCs w:val="22"/>
                <w:lang w:val="de-CH"/>
              </w:rPr>
              <w:t xml:space="preserve">): </w:t>
            </w:r>
            <w:r w:rsidRPr="008A4F40">
              <w:rPr>
                <w:color w:val="000000"/>
                <w:sz w:val="22"/>
                <w:szCs w:val="22"/>
                <w:lang w:val="de-DE"/>
              </w:rPr>
              <w:t>Tage 1 u</w:t>
            </w:r>
            <w:r w:rsidRPr="008A4F40">
              <w:rPr>
                <w:color w:val="000000"/>
                <w:sz w:val="22"/>
                <w:szCs w:val="22"/>
                <w:lang w:val="de-CH"/>
              </w:rPr>
              <w:t>nd 2</w:t>
            </w:r>
          </w:p>
          <w:p w14:paraId="59F42841" w14:textId="77777777" w:rsidR="003A33A6" w:rsidRPr="008A4F40" w:rsidRDefault="003A33A6" w:rsidP="004E7659">
            <w:pPr>
              <w:pStyle w:val="EndnoteText"/>
              <w:rPr>
                <w:color w:val="000000"/>
                <w:sz w:val="22"/>
                <w:szCs w:val="22"/>
                <w:lang w:val="de-CH"/>
              </w:rPr>
            </w:pPr>
            <w:r w:rsidRPr="008A4F40">
              <w:rPr>
                <w:color w:val="000000"/>
                <w:sz w:val="22"/>
                <w:szCs w:val="22"/>
                <w:lang w:val="de-CH"/>
              </w:rPr>
              <w:t>CPM (250 mg/m</w:t>
            </w:r>
            <w:r w:rsidRPr="008A4F40">
              <w:rPr>
                <w:color w:val="000000"/>
                <w:sz w:val="22"/>
                <w:szCs w:val="22"/>
                <w:vertAlign w:val="superscript"/>
                <w:lang w:val="de-CH"/>
              </w:rPr>
              <w:t>2</w:t>
            </w:r>
            <w:r w:rsidRPr="008A4F40">
              <w:rPr>
                <w:color w:val="000000"/>
                <w:sz w:val="22"/>
                <w:szCs w:val="22"/>
                <w:lang w:val="de-CH"/>
              </w:rPr>
              <w:t xml:space="preserve">/Dosis q12h x 4 Dosen, i.v.): </w:t>
            </w:r>
            <w:r w:rsidRPr="008A4F40">
              <w:rPr>
                <w:color w:val="000000"/>
                <w:sz w:val="22"/>
                <w:szCs w:val="22"/>
                <w:lang w:val="de-DE"/>
              </w:rPr>
              <w:t>Tage</w:t>
            </w:r>
            <w:r w:rsidRPr="008A4F40">
              <w:rPr>
                <w:color w:val="000000"/>
                <w:sz w:val="22"/>
                <w:szCs w:val="22"/>
                <w:lang w:val="de-CH"/>
              </w:rPr>
              <w:t> 3 und 4</w:t>
            </w:r>
          </w:p>
          <w:p w14:paraId="06B91E1B" w14:textId="77777777" w:rsidR="003A33A6" w:rsidRPr="008A4F40" w:rsidRDefault="003A33A6" w:rsidP="004E7659">
            <w:pPr>
              <w:pStyle w:val="EndnoteText"/>
              <w:rPr>
                <w:color w:val="000000"/>
                <w:sz w:val="22"/>
                <w:szCs w:val="22"/>
                <w:lang w:val="de-CH"/>
              </w:rPr>
            </w:pPr>
            <w:r w:rsidRPr="008A4F40">
              <w:rPr>
                <w:color w:val="000000"/>
                <w:sz w:val="22"/>
                <w:szCs w:val="22"/>
                <w:lang w:val="de-CH"/>
              </w:rPr>
              <w:t>PEG-ASP (2500 </w:t>
            </w:r>
            <w:r w:rsidRPr="008A4F40">
              <w:rPr>
                <w:color w:val="000000"/>
                <w:sz w:val="22"/>
                <w:szCs w:val="22"/>
                <w:lang w:val="de-DE"/>
              </w:rPr>
              <w:t>IE/</w:t>
            </w:r>
            <w:r w:rsidRPr="008A4F40">
              <w:rPr>
                <w:color w:val="000000"/>
                <w:sz w:val="22"/>
                <w:szCs w:val="22"/>
                <w:lang w:val="de-CH"/>
              </w:rPr>
              <w:t>m</w:t>
            </w:r>
            <w:r w:rsidRPr="008A4F40">
              <w:rPr>
                <w:color w:val="000000"/>
                <w:sz w:val="22"/>
                <w:szCs w:val="22"/>
                <w:vertAlign w:val="superscript"/>
                <w:lang w:val="de-CH"/>
              </w:rPr>
              <w:t>2</w:t>
            </w:r>
            <w:r w:rsidRPr="008A4F40">
              <w:rPr>
                <w:color w:val="000000"/>
                <w:sz w:val="22"/>
                <w:szCs w:val="22"/>
                <w:lang w:val="de-CH"/>
              </w:rPr>
              <w:t xml:space="preserve">, </w:t>
            </w:r>
            <w:r w:rsidRPr="008A4F40">
              <w:rPr>
                <w:color w:val="000000"/>
                <w:sz w:val="22"/>
                <w:szCs w:val="22"/>
                <w:lang w:val="de-DE"/>
              </w:rPr>
              <w:t>i.m.</w:t>
            </w:r>
            <w:r w:rsidRPr="008A4F40">
              <w:rPr>
                <w:color w:val="000000"/>
                <w:sz w:val="22"/>
                <w:szCs w:val="22"/>
                <w:lang w:val="de-CH"/>
              </w:rPr>
              <w:t>): Tag 4</w:t>
            </w:r>
          </w:p>
          <w:p w14:paraId="06C4B925" w14:textId="512D106C" w:rsidR="003A33A6" w:rsidRPr="008A4F40" w:rsidRDefault="003A33A6" w:rsidP="004E7659">
            <w:pPr>
              <w:pStyle w:val="EndnoteText"/>
              <w:rPr>
                <w:color w:val="000000"/>
                <w:sz w:val="22"/>
                <w:szCs w:val="22"/>
                <w:lang w:val="de-CH"/>
              </w:rPr>
            </w:pPr>
            <w:r w:rsidRPr="008A4F40">
              <w:rPr>
                <w:color w:val="000000"/>
                <w:sz w:val="22"/>
                <w:szCs w:val="22"/>
                <w:lang w:val="de-CH"/>
              </w:rPr>
              <w:t>G-CSF (5 </w:t>
            </w:r>
            <w:r w:rsidRPr="008A4F40">
              <w:rPr>
                <w:color w:val="000000"/>
                <w:sz w:val="22"/>
                <w:szCs w:val="22"/>
              </w:rPr>
              <w:t>μ</w:t>
            </w:r>
            <w:r w:rsidRPr="008A4F40">
              <w:rPr>
                <w:color w:val="000000"/>
                <w:sz w:val="22"/>
                <w:szCs w:val="22"/>
                <w:lang w:val="de-CH"/>
              </w:rPr>
              <w:t>g/kg, s.c.): Tage 5</w:t>
            </w:r>
            <w:del w:id="549" w:author="Author">
              <w:r w:rsidRPr="008A4F40" w:rsidDel="00553599">
                <w:rPr>
                  <w:color w:val="000000"/>
                  <w:sz w:val="22"/>
                  <w:szCs w:val="22"/>
                  <w:lang w:val="de-CH"/>
                </w:rPr>
                <w:noBreakHyphen/>
              </w:r>
            </w:del>
            <w:ins w:id="550" w:author="Author">
              <w:r w:rsidR="00553599" w:rsidRPr="002222CA">
                <w:rPr>
                  <w:color w:val="000000"/>
                  <w:sz w:val="22"/>
                  <w:szCs w:val="22"/>
                  <w:lang w:val="da-DK"/>
                </w:rPr>
                <w:t>–</w:t>
              </w:r>
            </w:ins>
            <w:r w:rsidRPr="008A4F40">
              <w:rPr>
                <w:color w:val="000000"/>
                <w:sz w:val="22"/>
                <w:szCs w:val="22"/>
                <w:lang w:val="de-CH"/>
              </w:rPr>
              <w:t>14 oder bis ANC &gt; 1500 post nadir</w:t>
            </w:r>
          </w:p>
          <w:p w14:paraId="43FF70EC" w14:textId="77777777" w:rsidR="003A33A6" w:rsidRPr="008A4F40" w:rsidRDefault="003A33A6" w:rsidP="004E7659">
            <w:pPr>
              <w:pStyle w:val="EndnoteText"/>
              <w:rPr>
                <w:color w:val="000000"/>
                <w:sz w:val="22"/>
                <w:szCs w:val="22"/>
                <w:lang w:val="de-DE"/>
              </w:rPr>
            </w:pPr>
            <w:r w:rsidRPr="008A4F40">
              <w:rPr>
                <w:color w:val="000000"/>
                <w:sz w:val="22"/>
                <w:szCs w:val="22"/>
                <w:lang w:val="de-DE"/>
              </w:rPr>
              <w:t xml:space="preserve">Dreifach-i.th.-Therapie </w:t>
            </w:r>
            <w:r w:rsidRPr="008A4F40">
              <w:rPr>
                <w:color w:val="000000"/>
                <w:sz w:val="22"/>
                <w:szCs w:val="22"/>
                <w:lang w:val="de-CH"/>
              </w:rPr>
              <w:t>(</w:t>
            </w:r>
            <w:r w:rsidRPr="008A4F40">
              <w:rPr>
                <w:color w:val="000000"/>
                <w:sz w:val="22"/>
                <w:szCs w:val="22"/>
                <w:lang w:val="de-DE"/>
              </w:rPr>
              <w:t>alters-angepasst</w:t>
            </w:r>
            <w:r w:rsidRPr="008A4F40">
              <w:rPr>
                <w:color w:val="000000"/>
                <w:sz w:val="22"/>
                <w:szCs w:val="22"/>
                <w:lang w:val="de-CH"/>
              </w:rPr>
              <w:t>): Tage</w:t>
            </w:r>
            <w:r w:rsidRPr="008A4F40">
              <w:rPr>
                <w:color w:val="000000"/>
                <w:sz w:val="22"/>
                <w:szCs w:val="22"/>
                <w:lang w:val="de-DE"/>
              </w:rPr>
              <w:t> 1 und 15</w:t>
            </w:r>
          </w:p>
          <w:p w14:paraId="399BD537" w14:textId="4C0393D8" w:rsidR="003A33A6" w:rsidRPr="008A4F40" w:rsidRDefault="003A33A6" w:rsidP="004E7659">
            <w:pPr>
              <w:pStyle w:val="EndnoteText"/>
              <w:rPr>
                <w:color w:val="000000"/>
                <w:sz w:val="22"/>
                <w:szCs w:val="22"/>
                <w:lang w:val="de-DE"/>
              </w:rPr>
            </w:pPr>
            <w:r w:rsidRPr="008A4F40">
              <w:rPr>
                <w:color w:val="000000"/>
                <w:sz w:val="22"/>
                <w:szCs w:val="22"/>
                <w:lang w:val="de-DE"/>
              </w:rPr>
              <w:t>DEX (6 mg/m</w:t>
            </w:r>
            <w:r w:rsidRPr="008A4F40">
              <w:rPr>
                <w:color w:val="000000"/>
                <w:sz w:val="22"/>
                <w:szCs w:val="22"/>
                <w:vertAlign w:val="superscript"/>
                <w:lang w:val="de-DE"/>
              </w:rPr>
              <w:t>2</w:t>
            </w:r>
            <w:r w:rsidRPr="008A4F40">
              <w:rPr>
                <w:color w:val="000000"/>
                <w:sz w:val="22"/>
                <w:szCs w:val="22"/>
                <w:lang w:val="de-DE"/>
              </w:rPr>
              <w:t>/Tag, p.o.): Tage 1</w:t>
            </w:r>
            <w:ins w:id="551" w:author="Author">
              <w:r w:rsidR="00EE2F71" w:rsidRPr="00EE2F71">
                <w:rPr>
                  <w:color w:val="000000"/>
                  <w:sz w:val="22"/>
                  <w:szCs w:val="22"/>
                  <w:lang w:val="de-DE"/>
                </w:rPr>
                <w:t>–</w:t>
              </w:r>
            </w:ins>
            <w:del w:id="552" w:author="Author">
              <w:r w:rsidRPr="008A4F40" w:rsidDel="00EE2F71">
                <w:rPr>
                  <w:color w:val="000000"/>
                  <w:sz w:val="22"/>
                  <w:szCs w:val="22"/>
                  <w:lang w:val="de-DE"/>
                </w:rPr>
                <w:noBreakHyphen/>
              </w:r>
            </w:del>
            <w:r w:rsidRPr="008A4F40">
              <w:rPr>
                <w:color w:val="000000"/>
                <w:sz w:val="22"/>
                <w:szCs w:val="22"/>
                <w:lang w:val="de-DE"/>
              </w:rPr>
              <w:t>7 und 15</w:t>
            </w:r>
            <w:ins w:id="553" w:author="Author">
              <w:r w:rsidR="00EE2F71" w:rsidRPr="00EE2F71">
                <w:rPr>
                  <w:color w:val="000000"/>
                  <w:sz w:val="22"/>
                  <w:szCs w:val="22"/>
                  <w:lang w:val="de-DE"/>
                </w:rPr>
                <w:t>–</w:t>
              </w:r>
            </w:ins>
            <w:del w:id="554" w:author="Author">
              <w:r w:rsidRPr="008A4F40" w:rsidDel="00EE2F71">
                <w:rPr>
                  <w:color w:val="000000"/>
                  <w:sz w:val="22"/>
                  <w:szCs w:val="22"/>
                  <w:lang w:val="de-DE"/>
                </w:rPr>
                <w:noBreakHyphen/>
              </w:r>
            </w:del>
            <w:r w:rsidRPr="008A4F40">
              <w:rPr>
                <w:color w:val="000000"/>
                <w:sz w:val="22"/>
                <w:szCs w:val="22"/>
                <w:lang w:val="de-DE"/>
              </w:rPr>
              <w:t>21</w:t>
            </w:r>
          </w:p>
        </w:tc>
      </w:tr>
      <w:tr w:rsidR="003A33A6" w:rsidRPr="008A4F40" w14:paraId="5881DFDE" w14:textId="77777777" w:rsidTr="00D1077B">
        <w:trPr>
          <w:cantSplit/>
          <w:trPrChange w:id="555" w:author="Author">
            <w:trPr>
              <w:gridAfter w:val="0"/>
              <w:cantSplit/>
            </w:trPr>
          </w:trPrChange>
        </w:trPr>
        <w:tc>
          <w:tcPr>
            <w:tcW w:w="2356" w:type="dxa"/>
            <w:tcPrChange w:id="556" w:author="Author">
              <w:tcPr>
                <w:tcW w:w="2358" w:type="dxa"/>
              </w:tcPr>
            </w:tcPrChange>
          </w:tcPr>
          <w:p w14:paraId="477E8F14" w14:textId="77777777" w:rsidR="003A33A6" w:rsidRPr="008A4F40" w:rsidRDefault="003A33A6" w:rsidP="004E7659">
            <w:pPr>
              <w:pStyle w:val="EndnoteText"/>
              <w:rPr>
                <w:color w:val="000000"/>
                <w:sz w:val="22"/>
                <w:szCs w:val="22"/>
                <w:lang w:val="es-ES"/>
              </w:rPr>
            </w:pPr>
            <w:proofErr w:type="spellStart"/>
            <w:r w:rsidRPr="78EBE7F7">
              <w:rPr>
                <w:color w:val="000000" w:themeColor="text1"/>
                <w:sz w:val="22"/>
                <w:szCs w:val="22"/>
                <w:lang w:val="es-ES"/>
              </w:rPr>
              <w:t>Intensivierungsblock</w:t>
            </w:r>
            <w:proofErr w:type="spellEnd"/>
            <w:r w:rsidRPr="78EBE7F7">
              <w:rPr>
                <w:color w:val="000000" w:themeColor="text1"/>
                <w:sz w:val="22"/>
                <w:szCs w:val="22"/>
                <w:lang w:val="es-ES"/>
              </w:rPr>
              <w:t> 1</w:t>
            </w:r>
          </w:p>
          <w:p w14:paraId="5D43D7CB" w14:textId="77777777" w:rsidR="003A33A6" w:rsidRPr="008A4F40" w:rsidRDefault="003A33A6" w:rsidP="004E7659">
            <w:pPr>
              <w:pStyle w:val="EndnoteText"/>
              <w:rPr>
                <w:color w:val="000000"/>
                <w:sz w:val="22"/>
                <w:szCs w:val="22"/>
                <w:lang w:val="es-ES"/>
              </w:rPr>
            </w:pPr>
            <w:r w:rsidRPr="78EBE7F7">
              <w:rPr>
                <w:color w:val="000000" w:themeColor="text1"/>
                <w:sz w:val="22"/>
                <w:szCs w:val="22"/>
                <w:lang w:val="es-ES"/>
              </w:rPr>
              <w:t>(9 </w:t>
            </w:r>
            <w:proofErr w:type="spellStart"/>
            <w:r w:rsidRPr="78EBE7F7">
              <w:rPr>
                <w:color w:val="000000" w:themeColor="text1"/>
                <w:sz w:val="22"/>
                <w:szCs w:val="22"/>
                <w:lang w:val="es-ES"/>
              </w:rPr>
              <w:t>Wochen</w:t>
            </w:r>
            <w:proofErr w:type="spellEnd"/>
            <w:r w:rsidRPr="78EBE7F7">
              <w:rPr>
                <w:color w:val="000000" w:themeColor="text1"/>
                <w:sz w:val="22"/>
                <w:szCs w:val="22"/>
                <w:lang w:val="es-ES"/>
              </w:rPr>
              <w:t>)</w:t>
            </w:r>
          </w:p>
        </w:tc>
        <w:tc>
          <w:tcPr>
            <w:tcW w:w="6699" w:type="dxa"/>
            <w:gridSpan w:val="2"/>
            <w:tcPrChange w:id="557" w:author="Author">
              <w:tcPr>
                <w:tcW w:w="6923" w:type="dxa"/>
              </w:tcPr>
            </w:tcPrChange>
          </w:tcPr>
          <w:p w14:paraId="0EBA654F" w14:textId="77777777" w:rsidR="003A33A6" w:rsidRPr="008A4F40" w:rsidRDefault="003A33A6" w:rsidP="004E7659">
            <w:pPr>
              <w:pStyle w:val="EndnoteText"/>
              <w:rPr>
                <w:color w:val="000000"/>
                <w:sz w:val="22"/>
                <w:szCs w:val="22"/>
                <w:lang w:val="de-DE"/>
              </w:rPr>
            </w:pPr>
            <w:r w:rsidRPr="008A4F40">
              <w:rPr>
                <w:color w:val="000000"/>
                <w:sz w:val="22"/>
                <w:szCs w:val="22"/>
                <w:lang w:val="de-DE"/>
              </w:rPr>
              <w:t>Methotrexat (5 g/m</w:t>
            </w:r>
            <w:r w:rsidRPr="008A4F40">
              <w:rPr>
                <w:color w:val="000000"/>
                <w:sz w:val="22"/>
                <w:szCs w:val="22"/>
                <w:vertAlign w:val="superscript"/>
                <w:lang w:val="de-DE"/>
              </w:rPr>
              <w:t>2</w:t>
            </w:r>
            <w:r w:rsidRPr="008A4F40">
              <w:rPr>
                <w:color w:val="000000"/>
                <w:sz w:val="22"/>
                <w:szCs w:val="22"/>
                <w:lang w:val="de-DE"/>
              </w:rPr>
              <w:t xml:space="preserve"> über 24 Stunden, i.v.): Tage 1 und 15</w:t>
            </w:r>
          </w:p>
          <w:p w14:paraId="1FCD4405" w14:textId="54AED11A" w:rsidR="003A33A6" w:rsidRPr="008A4F40" w:rsidRDefault="003A33A6" w:rsidP="004E7659">
            <w:pPr>
              <w:pStyle w:val="EndnoteText"/>
              <w:rPr>
                <w:color w:val="000000"/>
                <w:sz w:val="22"/>
                <w:szCs w:val="22"/>
                <w:lang w:val="de-DE"/>
              </w:rPr>
            </w:pPr>
            <w:r w:rsidRPr="008A4F40">
              <w:rPr>
                <w:color w:val="000000"/>
                <w:sz w:val="22"/>
                <w:szCs w:val="22"/>
                <w:lang w:val="de-DE"/>
              </w:rPr>
              <w:t>Leucovorin (75 mg/m</w:t>
            </w:r>
            <w:r w:rsidRPr="008A4F40">
              <w:rPr>
                <w:color w:val="000000"/>
                <w:sz w:val="22"/>
                <w:szCs w:val="22"/>
                <w:vertAlign w:val="superscript"/>
                <w:lang w:val="de-DE"/>
              </w:rPr>
              <w:t>2</w:t>
            </w:r>
            <w:r w:rsidRPr="008A4F40">
              <w:rPr>
                <w:color w:val="000000"/>
                <w:sz w:val="22"/>
                <w:szCs w:val="22"/>
                <w:lang w:val="de-DE"/>
              </w:rPr>
              <w:t xml:space="preserve"> bei Stunde 36, i.v.; 15 mg/m</w:t>
            </w:r>
            <w:r w:rsidRPr="008A4F40">
              <w:rPr>
                <w:color w:val="000000"/>
                <w:sz w:val="22"/>
                <w:szCs w:val="22"/>
                <w:vertAlign w:val="superscript"/>
                <w:lang w:val="de-DE"/>
              </w:rPr>
              <w:t>2</w:t>
            </w:r>
            <w:r w:rsidRPr="008A4F40">
              <w:rPr>
                <w:color w:val="000000"/>
                <w:sz w:val="22"/>
                <w:szCs w:val="22"/>
                <w:lang w:val="de-DE"/>
              </w:rPr>
              <w:t xml:space="preserve"> i.v. oder p.o. q6h x 6 Dosen)iii: Tage 2, 3, 16 </w:t>
            </w:r>
            <w:r w:rsidR="00952054">
              <w:rPr>
                <w:color w:val="000000"/>
                <w:sz w:val="22"/>
                <w:szCs w:val="22"/>
                <w:lang w:val="de-DE"/>
              </w:rPr>
              <w:t>u</w:t>
            </w:r>
            <w:r w:rsidRPr="008A4F40">
              <w:rPr>
                <w:color w:val="000000"/>
                <w:sz w:val="22"/>
                <w:szCs w:val="22"/>
                <w:lang w:val="de-DE"/>
              </w:rPr>
              <w:t>nd 17</w:t>
            </w:r>
          </w:p>
          <w:p w14:paraId="20B72FC3" w14:textId="77777777" w:rsidR="003A33A6" w:rsidRPr="008A4F40" w:rsidRDefault="003A33A6" w:rsidP="004E7659">
            <w:pPr>
              <w:pStyle w:val="EndnoteText"/>
              <w:rPr>
                <w:color w:val="000000"/>
                <w:sz w:val="22"/>
                <w:szCs w:val="22"/>
                <w:lang w:val="de-DE"/>
              </w:rPr>
            </w:pPr>
            <w:r w:rsidRPr="008A4F40">
              <w:rPr>
                <w:color w:val="000000"/>
                <w:sz w:val="22"/>
                <w:szCs w:val="22"/>
                <w:lang w:val="de-DE"/>
              </w:rPr>
              <w:t>Dreifach-i.th.-Therapie (alters-angepasst): Tage 1 und 22</w:t>
            </w:r>
          </w:p>
          <w:p w14:paraId="2EB00B4E" w14:textId="4880C99B" w:rsidR="003A33A6" w:rsidRPr="008A4F40" w:rsidRDefault="003A33A6" w:rsidP="004E7659">
            <w:pPr>
              <w:pStyle w:val="EndnoteText"/>
              <w:rPr>
                <w:color w:val="000000"/>
                <w:sz w:val="22"/>
                <w:szCs w:val="22"/>
                <w:lang w:val="da-DK"/>
              </w:rPr>
            </w:pPr>
            <w:r w:rsidRPr="008A4F40">
              <w:rPr>
                <w:color w:val="000000"/>
                <w:sz w:val="22"/>
                <w:szCs w:val="22"/>
                <w:lang w:val="da-DK"/>
              </w:rPr>
              <w:t>VP-16 (100 mg/m</w:t>
            </w:r>
            <w:r w:rsidRPr="008A4F40">
              <w:rPr>
                <w:color w:val="000000"/>
                <w:sz w:val="22"/>
                <w:szCs w:val="22"/>
                <w:vertAlign w:val="superscript"/>
                <w:lang w:val="da-DK"/>
              </w:rPr>
              <w:t>2</w:t>
            </w:r>
            <w:r w:rsidRPr="008A4F40">
              <w:rPr>
                <w:color w:val="000000"/>
                <w:sz w:val="22"/>
                <w:szCs w:val="22"/>
                <w:lang w:val="da-DK"/>
              </w:rPr>
              <w:t>/Tag, i.v.): Tage 22</w:t>
            </w:r>
            <w:ins w:id="558" w:author="Author">
              <w:r w:rsidR="00EE2F71" w:rsidRPr="00EE2F71">
                <w:rPr>
                  <w:color w:val="000000"/>
                  <w:sz w:val="22"/>
                  <w:szCs w:val="22"/>
                  <w:lang w:val="da-DK"/>
                </w:rPr>
                <w:t>–</w:t>
              </w:r>
            </w:ins>
            <w:del w:id="559" w:author="Author">
              <w:r w:rsidRPr="008A4F40" w:rsidDel="00EE2F71">
                <w:rPr>
                  <w:color w:val="000000"/>
                  <w:sz w:val="22"/>
                  <w:szCs w:val="22"/>
                  <w:lang w:val="da-DK"/>
                </w:rPr>
                <w:noBreakHyphen/>
              </w:r>
            </w:del>
            <w:r w:rsidRPr="008A4F40">
              <w:rPr>
                <w:color w:val="000000"/>
                <w:sz w:val="22"/>
                <w:szCs w:val="22"/>
                <w:lang w:val="da-DK"/>
              </w:rPr>
              <w:t>26</w:t>
            </w:r>
          </w:p>
          <w:p w14:paraId="32AE8368" w14:textId="5FC6D622" w:rsidR="003A33A6" w:rsidRPr="008A4F40" w:rsidRDefault="003A33A6" w:rsidP="004E7659">
            <w:pPr>
              <w:pStyle w:val="EndnoteText"/>
              <w:rPr>
                <w:color w:val="000000"/>
                <w:sz w:val="22"/>
                <w:szCs w:val="22"/>
                <w:lang w:val="da-DK"/>
              </w:rPr>
            </w:pPr>
            <w:r w:rsidRPr="008A4F40">
              <w:rPr>
                <w:color w:val="000000"/>
                <w:sz w:val="22"/>
                <w:szCs w:val="22"/>
                <w:lang w:val="da-DK"/>
              </w:rPr>
              <w:t>CPM (300 mg/m</w:t>
            </w:r>
            <w:r w:rsidRPr="008A4F40">
              <w:rPr>
                <w:color w:val="000000"/>
                <w:sz w:val="22"/>
                <w:szCs w:val="22"/>
                <w:vertAlign w:val="superscript"/>
                <w:lang w:val="da-DK"/>
              </w:rPr>
              <w:t>2</w:t>
            </w:r>
            <w:r w:rsidRPr="008A4F40">
              <w:rPr>
                <w:color w:val="000000"/>
                <w:sz w:val="22"/>
                <w:szCs w:val="22"/>
                <w:lang w:val="da-DK"/>
              </w:rPr>
              <w:t>/Tag, i.v.): Tage 22</w:t>
            </w:r>
            <w:ins w:id="560" w:author="Author">
              <w:r w:rsidR="00EE2F71" w:rsidRPr="00EE2F71">
                <w:rPr>
                  <w:color w:val="000000"/>
                  <w:sz w:val="22"/>
                  <w:szCs w:val="22"/>
                  <w:lang w:val="da-DK"/>
                </w:rPr>
                <w:t>–</w:t>
              </w:r>
            </w:ins>
            <w:del w:id="561" w:author="Author">
              <w:r w:rsidRPr="008A4F40" w:rsidDel="00EE2F71">
                <w:rPr>
                  <w:color w:val="000000"/>
                  <w:sz w:val="22"/>
                  <w:szCs w:val="22"/>
                  <w:lang w:val="da-DK"/>
                </w:rPr>
                <w:noBreakHyphen/>
              </w:r>
            </w:del>
            <w:r w:rsidRPr="008A4F40">
              <w:rPr>
                <w:color w:val="000000"/>
                <w:sz w:val="22"/>
                <w:szCs w:val="22"/>
                <w:lang w:val="da-DK"/>
              </w:rPr>
              <w:t>26</w:t>
            </w:r>
          </w:p>
          <w:p w14:paraId="6BF3FEFA" w14:textId="5BF6D385" w:rsidR="003A33A6" w:rsidRPr="008A4F40" w:rsidRDefault="003A33A6" w:rsidP="004E7659">
            <w:pPr>
              <w:pStyle w:val="EndnoteText"/>
              <w:rPr>
                <w:color w:val="000000"/>
                <w:sz w:val="22"/>
                <w:szCs w:val="22"/>
                <w:lang w:val="da-DK"/>
              </w:rPr>
            </w:pPr>
            <w:r w:rsidRPr="008A4F40">
              <w:rPr>
                <w:color w:val="000000"/>
                <w:sz w:val="22"/>
                <w:szCs w:val="22"/>
                <w:lang w:val="da-DK"/>
              </w:rPr>
              <w:t>MESNA (150 mg/m</w:t>
            </w:r>
            <w:r w:rsidRPr="008A4F40">
              <w:rPr>
                <w:color w:val="000000"/>
                <w:sz w:val="22"/>
                <w:szCs w:val="22"/>
                <w:vertAlign w:val="superscript"/>
                <w:lang w:val="da-DK"/>
              </w:rPr>
              <w:t>2</w:t>
            </w:r>
            <w:r w:rsidRPr="008A4F40">
              <w:rPr>
                <w:color w:val="000000"/>
                <w:sz w:val="22"/>
                <w:szCs w:val="22"/>
                <w:lang w:val="da-DK"/>
              </w:rPr>
              <w:t>/Tag, i.v.): Tage 22</w:t>
            </w:r>
            <w:ins w:id="562" w:author="Author">
              <w:r w:rsidR="00EE2F71" w:rsidRPr="00EE2F71">
                <w:rPr>
                  <w:color w:val="000000"/>
                  <w:sz w:val="22"/>
                  <w:szCs w:val="22"/>
                  <w:lang w:val="da-DK"/>
                </w:rPr>
                <w:t>–</w:t>
              </w:r>
            </w:ins>
            <w:del w:id="563" w:author="Author">
              <w:r w:rsidRPr="008A4F40" w:rsidDel="00EE2F71">
                <w:rPr>
                  <w:color w:val="000000"/>
                  <w:sz w:val="22"/>
                  <w:szCs w:val="22"/>
                  <w:lang w:val="da-DK"/>
                </w:rPr>
                <w:noBreakHyphen/>
              </w:r>
            </w:del>
            <w:r w:rsidRPr="008A4F40">
              <w:rPr>
                <w:color w:val="000000"/>
                <w:sz w:val="22"/>
                <w:szCs w:val="22"/>
                <w:lang w:val="da-DK"/>
              </w:rPr>
              <w:t>26</w:t>
            </w:r>
          </w:p>
          <w:p w14:paraId="0A89A0A1" w14:textId="3E35EE5B" w:rsidR="003A33A6" w:rsidRPr="008A4F40" w:rsidRDefault="003A33A6" w:rsidP="004E7659">
            <w:pPr>
              <w:pStyle w:val="EndnoteText"/>
              <w:rPr>
                <w:color w:val="000000"/>
                <w:sz w:val="22"/>
                <w:szCs w:val="22"/>
                <w:lang w:val="da-DK"/>
              </w:rPr>
            </w:pPr>
            <w:r w:rsidRPr="008A4F40">
              <w:rPr>
                <w:color w:val="000000"/>
                <w:sz w:val="22"/>
                <w:szCs w:val="22"/>
                <w:lang w:val="da-DK"/>
              </w:rPr>
              <w:t>G-CSF (5 </w:t>
            </w:r>
            <w:r w:rsidRPr="008A4F40">
              <w:rPr>
                <w:color w:val="000000"/>
                <w:sz w:val="22"/>
                <w:szCs w:val="22"/>
              </w:rPr>
              <w:t>μ</w:t>
            </w:r>
            <w:r w:rsidRPr="008A4F40">
              <w:rPr>
                <w:color w:val="000000"/>
                <w:sz w:val="22"/>
                <w:szCs w:val="22"/>
                <w:lang w:val="da-DK"/>
              </w:rPr>
              <w:t>g/kg, s.c.): Tage 27</w:t>
            </w:r>
            <w:ins w:id="564" w:author="Author">
              <w:r w:rsidR="00EE2F71" w:rsidRPr="00EE2F71">
                <w:rPr>
                  <w:color w:val="000000"/>
                  <w:sz w:val="22"/>
                  <w:szCs w:val="22"/>
                  <w:lang w:val="da-DK"/>
                </w:rPr>
                <w:t>–</w:t>
              </w:r>
            </w:ins>
            <w:del w:id="565" w:author="Author">
              <w:r w:rsidRPr="008A4F40" w:rsidDel="00EE2F71">
                <w:rPr>
                  <w:color w:val="000000"/>
                  <w:sz w:val="22"/>
                  <w:szCs w:val="22"/>
                  <w:lang w:val="da-DK"/>
                </w:rPr>
                <w:noBreakHyphen/>
              </w:r>
            </w:del>
            <w:r w:rsidRPr="008A4F40">
              <w:rPr>
                <w:color w:val="000000"/>
                <w:sz w:val="22"/>
                <w:szCs w:val="22"/>
                <w:lang w:val="da-DK"/>
              </w:rPr>
              <w:t>36 oder bis ANC &gt; 1500 post nadir</w:t>
            </w:r>
          </w:p>
          <w:p w14:paraId="5CE3F1DD" w14:textId="77777777" w:rsidR="003A33A6" w:rsidRPr="008A4F40" w:rsidRDefault="003A33A6" w:rsidP="004E7659">
            <w:pPr>
              <w:pStyle w:val="EndnoteText"/>
              <w:rPr>
                <w:color w:val="000000"/>
                <w:sz w:val="22"/>
                <w:szCs w:val="22"/>
                <w:lang w:val="pt-PT"/>
              </w:rPr>
            </w:pPr>
            <w:r w:rsidRPr="008A4F40">
              <w:rPr>
                <w:color w:val="000000"/>
                <w:sz w:val="22"/>
                <w:szCs w:val="22"/>
                <w:lang w:val="pt-PT"/>
              </w:rPr>
              <w:t>ARA-C (3 g/m</w:t>
            </w:r>
            <w:r w:rsidRPr="008A4F40">
              <w:rPr>
                <w:color w:val="000000"/>
                <w:sz w:val="22"/>
                <w:szCs w:val="22"/>
                <w:vertAlign w:val="superscript"/>
                <w:lang w:val="pt-PT"/>
              </w:rPr>
              <w:t>2</w:t>
            </w:r>
            <w:r w:rsidRPr="008A4F40">
              <w:rPr>
                <w:color w:val="000000"/>
                <w:sz w:val="22"/>
                <w:szCs w:val="22"/>
                <w:lang w:val="pt-PT"/>
              </w:rPr>
              <w:t>, q12h, i.v.): Tage 43, 44</w:t>
            </w:r>
          </w:p>
          <w:p w14:paraId="2FC2A006" w14:textId="6842225E" w:rsidR="003A33A6" w:rsidRPr="008A4F40" w:rsidRDefault="003A33A6" w:rsidP="004E7659">
            <w:pPr>
              <w:pStyle w:val="EndnoteText"/>
              <w:rPr>
                <w:color w:val="000000"/>
                <w:sz w:val="22"/>
                <w:szCs w:val="22"/>
                <w:lang w:val="de-DE"/>
              </w:rPr>
            </w:pPr>
            <w:r w:rsidRPr="008A4F40">
              <w:rPr>
                <w:color w:val="000000"/>
                <w:sz w:val="22"/>
                <w:szCs w:val="22"/>
                <w:lang w:val="de-DE"/>
              </w:rPr>
              <w:t>L-ASP (6</w:t>
            </w:r>
            <w:ins w:id="566" w:author="Author">
              <w:r w:rsidR="00C85770">
                <w:rPr>
                  <w:color w:val="000000"/>
                  <w:sz w:val="22"/>
                  <w:szCs w:val="22"/>
                  <w:lang w:val="de-DE"/>
                </w:rPr>
                <w:t> </w:t>
              </w:r>
            </w:ins>
            <w:r w:rsidRPr="008A4F40">
              <w:rPr>
                <w:color w:val="000000"/>
                <w:sz w:val="22"/>
                <w:szCs w:val="22"/>
                <w:lang w:val="de-DE"/>
              </w:rPr>
              <w:t>000 IE/m</w:t>
            </w:r>
            <w:r w:rsidRPr="008A4F40">
              <w:rPr>
                <w:color w:val="000000"/>
                <w:sz w:val="22"/>
                <w:szCs w:val="22"/>
                <w:vertAlign w:val="superscript"/>
                <w:lang w:val="de-DE"/>
              </w:rPr>
              <w:t>2</w:t>
            </w:r>
            <w:r w:rsidRPr="008A4F40">
              <w:rPr>
                <w:color w:val="000000"/>
                <w:sz w:val="22"/>
                <w:szCs w:val="22"/>
                <w:lang w:val="de-DE"/>
              </w:rPr>
              <w:t>, i.m.): Tag 44</w:t>
            </w:r>
          </w:p>
        </w:tc>
      </w:tr>
      <w:tr w:rsidR="003A33A6" w:rsidRPr="008A4F40" w14:paraId="391E39E0" w14:textId="77777777" w:rsidTr="00D1077B">
        <w:trPr>
          <w:cantSplit/>
          <w:trPrChange w:id="567" w:author="Author">
            <w:trPr>
              <w:gridAfter w:val="0"/>
              <w:cantSplit/>
            </w:trPr>
          </w:trPrChange>
        </w:trPr>
        <w:tc>
          <w:tcPr>
            <w:tcW w:w="2356" w:type="dxa"/>
            <w:tcPrChange w:id="568" w:author="Author">
              <w:tcPr>
                <w:tcW w:w="2358" w:type="dxa"/>
              </w:tcPr>
            </w:tcPrChange>
          </w:tcPr>
          <w:p w14:paraId="097631C0" w14:textId="77777777" w:rsidR="003A33A6" w:rsidRPr="008A4F40" w:rsidRDefault="003A33A6" w:rsidP="004E7659">
            <w:pPr>
              <w:pStyle w:val="EndnoteText"/>
              <w:rPr>
                <w:color w:val="000000"/>
                <w:sz w:val="22"/>
                <w:szCs w:val="22"/>
                <w:lang w:val="es-ES"/>
              </w:rPr>
            </w:pPr>
            <w:proofErr w:type="spellStart"/>
            <w:r w:rsidRPr="78EBE7F7">
              <w:rPr>
                <w:color w:val="000000" w:themeColor="text1"/>
                <w:sz w:val="22"/>
                <w:szCs w:val="22"/>
                <w:lang w:val="es-ES"/>
              </w:rPr>
              <w:t>Reinduktionsblock</w:t>
            </w:r>
            <w:proofErr w:type="spellEnd"/>
            <w:r w:rsidRPr="78EBE7F7">
              <w:rPr>
                <w:color w:val="000000" w:themeColor="text1"/>
                <w:sz w:val="22"/>
                <w:szCs w:val="22"/>
                <w:lang w:val="es-ES"/>
              </w:rPr>
              <w:t> 2</w:t>
            </w:r>
          </w:p>
          <w:p w14:paraId="165F4E05" w14:textId="77777777" w:rsidR="003A33A6" w:rsidRPr="008A4F40" w:rsidRDefault="003A33A6" w:rsidP="004E7659">
            <w:pPr>
              <w:pStyle w:val="EndnoteText"/>
              <w:rPr>
                <w:color w:val="000000"/>
                <w:sz w:val="22"/>
                <w:szCs w:val="22"/>
                <w:lang w:val="es-ES"/>
              </w:rPr>
            </w:pPr>
            <w:r w:rsidRPr="78EBE7F7">
              <w:rPr>
                <w:color w:val="000000" w:themeColor="text1"/>
                <w:sz w:val="22"/>
                <w:szCs w:val="22"/>
                <w:lang w:val="es-ES"/>
              </w:rPr>
              <w:t>(3 </w:t>
            </w:r>
            <w:proofErr w:type="spellStart"/>
            <w:r w:rsidRPr="78EBE7F7">
              <w:rPr>
                <w:color w:val="000000" w:themeColor="text1"/>
                <w:sz w:val="22"/>
                <w:szCs w:val="22"/>
                <w:lang w:val="es-ES"/>
              </w:rPr>
              <w:t>Wochen</w:t>
            </w:r>
            <w:proofErr w:type="spellEnd"/>
            <w:r w:rsidRPr="78EBE7F7">
              <w:rPr>
                <w:color w:val="000000" w:themeColor="text1"/>
                <w:sz w:val="22"/>
                <w:szCs w:val="22"/>
                <w:lang w:val="es-ES"/>
              </w:rPr>
              <w:t>)</w:t>
            </w:r>
          </w:p>
        </w:tc>
        <w:tc>
          <w:tcPr>
            <w:tcW w:w="6699" w:type="dxa"/>
            <w:gridSpan w:val="2"/>
            <w:tcPrChange w:id="569" w:author="Author">
              <w:tcPr>
                <w:tcW w:w="6923" w:type="dxa"/>
              </w:tcPr>
            </w:tcPrChange>
          </w:tcPr>
          <w:p w14:paraId="6140E34A" w14:textId="77777777" w:rsidR="003A33A6" w:rsidRPr="008A4F40" w:rsidRDefault="003A33A6" w:rsidP="004E7659">
            <w:pPr>
              <w:pStyle w:val="EndnoteText"/>
              <w:rPr>
                <w:color w:val="000000"/>
                <w:sz w:val="22"/>
                <w:szCs w:val="22"/>
                <w:lang w:val="de-DE"/>
              </w:rPr>
            </w:pPr>
            <w:r w:rsidRPr="008A4F40">
              <w:rPr>
                <w:color w:val="000000"/>
                <w:sz w:val="22"/>
                <w:szCs w:val="22"/>
                <w:lang w:val="de-DE"/>
              </w:rPr>
              <w:t>VCR (1,5 mg/m</w:t>
            </w:r>
            <w:r w:rsidRPr="008A4F40">
              <w:rPr>
                <w:color w:val="000000"/>
                <w:sz w:val="22"/>
                <w:szCs w:val="22"/>
                <w:vertAlign w:val="superscript"/>
                <w:lang w:val="de-DE"/>
              </w:rPr>
              <w:t>2</w:t>
            </w:r>
            <w:r w:rsidRPr="008A4F40">
              <w:rPr>
                <w:color w:val="000000"/>
                <w:sz w:val="22"/>
                <w:szCs w:val="22"/>
                <w:lang w:val="de-DE"/>
              </w:rPr>
              <w:t>/Tag, i.v.): Tage 1, 8 und 15</w:t>
            </w:r>
          </w:p>
          <w:p w14:paraId="115C870C" w14:textId="77777777" w:rsidR="003A33A6" w:rsidRPr="008A4F40" w:rsidRDefault="003A33A6" w:rsidP="004E7659">
            <w:pPr>
              <w:pStyle w:val="EndnoteText"/>
              <w:rPr>
                <w:color w:val="000000"/>
                <w:sz w:val="22"/>
                <w:szCs w:val="22"/>
                <w:lang w:val="de-DE"/>
              </w:rPr>
            </w:pPr>
            <w:r w:rsidRPr="008A4F40">
              <w:rPr>
                <w:color w:val="000000"/>
                <w:sz w:val="22"/>
                <w:szCs w:val="22"/>
                <w:lang w:val="de-DE"/>
              </w:rPr>
              <w:t>DAUN (45 mg/m</w:t>
            </w:r>
            <w:r w:rsidRPr="008A4F40">
              <w:rPr>
                <w:color w:val="000000"/>
                <w:sz w:val="22"/>
                <w:szCs w:val="22"/>
                <w:vertAlign w:val="superscript"/>
                <w:lang w:val="de-DE"/>
              </w:rPr>
              <w:t>2</w:t>
            </w:r>
            <w:r w:rsidRPr="008A4F40">
              <w:rPr>
                <w:color w:val="000000"/>
                <w:sz w:val="22"/>
                <w:szCs w:val="22"/>
                <w:lang w:val="de-DE"/>
              </w:rPr>
              <w:t>/Tag Bolus, i.v.): Tage 1 und 2</w:t>
            </w:r>
          </w:p>
          <w:p w14:paraId="25B57FD3" w14:textId="77777777" w:rsidR="003A33A6" w:rsidRPr="008A4F40" w:rsidRDefault="003A33A6" w:rsidP="004E7659">
            <w:pPr>
              <w:pStyle w:val="EndnoteText"/>
              <w:rPr>
                <w:color w:val="000000"/>
                <w:sz w:val="22"/>
                <w:szCs w:val="22"/>
                <w:lang w:val="de-DE"/>
              </w:rPr>
            </w:pPr>
            <w:r w:rsidRPr="008A4F40">
              <w:rPr>
                <w:color w:val="000000"/>
                <w:sz w:val="22"/>
                <w:szCs w:val="22"/>
                <w:lang w:val="de-DE"/>
              </w:rPr>
              <w:t>CPM (250 mg/m</w:t>
            </w:r>
            <w:r w:rsidRPr="008A4F40">
              <w:rPr>
                <w:color w:val="000000"/>
                <w:sz w:val="22"/>
                <w:szCs w:val="22"/>
                <w:vertAlign w:val="superscript"/>
                <w:lang w:val="de-DE"/>
              </w:rPr>
              <w:t>2</w:t>
            </w:r>
            <w:r w:rsidRPr="008A4F40">
              <w:rPr>
                <w:color w:val="000000"/>
                <w:sz w:val="22"/>
                <w:szCs w:val="22"/>
                <w:lang w:val="de-DE"/>
              </w:rPr>
              <w:t>/Dosis q12h x 4 Dosen, i.v.): Tage 3 und 4</w:t>
            </w:r>
          </w:p>
          <w:p w14:paraId="3EF5786D" w14:textId="77777777" w:rsidR="003A33A6" w:rsidRPr="008A4F40" w:rsidRDefault="003A33A6" w:rsidP="004E7659">
            <w:pPr>
              <w:pStyle w:val="EndnoteText"/>
              <w:rPr>
                <w:color w:val="000000"/>
                <w:sz w:val="22"/>
                <w:szCs w:val="22"/>
                <w:lang w:val="de-DE"/>
              </w:rPr>
            </w:pPr>
            <w:r w:rsidRPr="008A4F40">
              <w:rPr>
                <w:color w:val="000000"/>
                <w:sz w:val="22"/>
                <w:szCs w:val="22"/>
                <w:lang w:val="de-DE"/>
              </w:rPr>
              <w:t>PEG-ASP (2500 IE/m</w:t>
            </w:r>
            <w:r w:rsidRPr="008A4F40">
              <w:rPr>
                <w:color w:val="000000"/>
                <w:sz w:val="22"/>
                <w:szCs w:val="22"/>
                <w:vertAlign w:val="superscript"/>
                <w:lang w:val="de-DE"/>
              </w:rPr>
              <w:t>2</w:t>
            </w:r>
            <w:r w:rsidRPr="008A4F40">
              <w:rPr>
                <w:color w:val="000000"/>
                <w:sz w:val="22"/>
                <w:szCs w:val="22"/>
                <w:lang w:val="de-DE"/>
              </w:rPr>
              <w:t>, i.m.): Tag 4</w:t>
            </w:r>
          </w:p>
          <w:p w14:paraId="6A19BEF8" w14:textId="3CDEABBB" w:rsidR="003A33A6" w:rsidRPr="008A4F40" w:rsidRDefault="003A33A6" w:rsidP="004E7659">
            <w:pPr>
              <w:pStyle w:val="EndnoteText"/>
              <w:rPr>
                <w:color w:val="000000"/>
                <w:sz w:val="22"/>
                <w:szCs w:val="22"/>
                <w:lang w:val="de-DE"/>
              </w:rPr>
            </w:pPr>
            <w:r w:rsidRPr="008A4F40">
              <w:rPr>
                <w:color w:val="000000"/>
                <w:sz w:val="22"/>
                <w:szCs w:val="22"/>
                <w:lang w:val="de-DE"/>
              </w:rPr>
              <w:t>G-CSF (5 </w:t>
            </w:r>
            <w:r w:rsidRPr="008A4F40">
              <w:rPr>
                <w:color w:val="000000"/>
                <w:sz w:val="22"/>
                <w:szCs w:val="22"/>
              </w:rPr>
              <w:t>μ</w:t>
            </w:r>
            <w:r w:rsidRPr="008A4F40">
              <w:rPr>
                <w:color w:val="000000"/>
                <w:sz w:val="22"/>
                <w:szCs w:val="22"/>
                <w:lang w:val="de-DE"/>
              </w:rPr>
              <w:t>g/kg, s.c.): Tage 5</w:t>
            </w:r>
            <w:ins w:id="570" w:author="Author">
              <w:r w:rsidR="00553599" w:rsidRPr="002222CA">
                <w:rPr>
                  <w:color w:val="000000"/>
                  <w:sz w:val="22"/>
                  <w:szCs w:val="22"/>
                  <w:lang w:val="da-DK"/>
                </w:rPr>
                <w:t>–</w:t>
              </w:r>
            </w:ins>
            <w:del w:id="571" w:author="Author">
              <w:r w:rsidRPr="008A4F40" w:rsidDel="00553599">
                <w:rPr>
                  <w:color w:val="000000"/>
                  <w:sz w:val="22"/>
                  <w:szCs w:val="22"/>
                  <w:lang w:val="de-DE"/>
                </w:rPr>
                <w:noBreakHyphen/>
              </w:r>
            </w:del>
            <w:r w:rsidRPr="008A4F40">
              <w:rPr>
                <w:color w:val="000000"/>
                <w:sz w:val="22"/>
                <w:szCs w:val="22"/>
                <w:lang w:val="de-DE"/>
              </w:rPr>
              <w:t>14 oder bis ANC &gt; 1500 post nadir</w:t>
            </w:r>
          </w:p>
          <w:p w14:paraId="78C013F8" w14:textId="77777777" w:rsidR="003A33A6" w:rsidRPr="008A4F40" w:rsidRDefault="003A33A6" w:rsidP="004E7659">
            <w:pPr>
              <w:pStyle w:val="EndnoteText"/>
              <w:rPr>
                <w:color w:val="000000"/>
                <w:sz w:val="22"/>
                <w:szCs w:val="22"/>
                <w:lang w:val="de-DE"/>
              </w:rPr>
            </w:pPr>
            <w:r w:rsidRPr="008A4F40">
              <w:rPr>
                <w:color w:val="000000"/>
                <w:sz w:val="22"/>
                <w:szCs w:val="22"/>
                <w:lang w:val="de-DE"/>
              </w:rPr>
              <w:t>Dreifach-i.th.-Therapie (alters-angepasst): Tage 1 und 15</w:t>
            </w:r>
          </w:p>
          <w:p w14:paraId="7BCB162A" w14:textId="0CB198B2" w:rsidR="003A33A6" w:rsidRPr="008A4F40" w:rsidRDefault="003A33A6" w:rsidP="004E7659">
            <w:pPr>
              <w:pStyle w:val="EndnoteText"/>
              <w:rPr>
                <w:color w:val="000000"/>
                <w:sz w:val="22"/>
                <w:szCs w:val="22"/>
                <w:lang w:val="de-DE"/>
              </w:rPr>
            </w:pPr>
            <w:r w:rsidRPr="008A4F40">
              <w:rPr>
                <w:color w:val="000000"/>
                <w:sz w:val="22"/>
                <w:szCs w:val="22"/>
                <w:lang w:val="de-DE"/>
              </w:rPr>
              <w:t>DEX (6 mg/m</w:t>
            </w:r>
            <w:r w:rsidRPr="008A4F40">
              <w:rPr>
                <w:color w:val="000000"/>
                <w:sz w:val="22"/>
                <w:szCs w:val="22"/>
                <w:vertAlign w:val="superscript"/>
                <w:lang w:val="de-DE"/>
              </w:rPr>
              <w:t>2</w:t>
            </w:r>
            <w:r w:rsidRPr="008A4F40">
              <w:rPr>
                <w:color w:val="000000"/>
                <w:sz w:val="22"/>
                <w:szCs w:val="22"/>
                <w:lang w:val="de-DE"/>
              </w:rPr>
              <w:t>/Tag, p.o.): Tage 1</w:t>
            </w:r>
            <w:ins w:id="572" w:author="Author">
              <w:r w:rsidR="00EE2F71" w:rsidRPr="00EE2F71">
                <w:rPr>
                  <w:color w:val="000000"/>
                  <w:sz w:val="22"/>
                  <w:szCs w:val="22"/>
                  <w:lang w:val="de-DE"/>
                </w:rPr>
                <w:t>–</w:t>
              </w:r>
            </w:ins>
            <w:del w:id="573" w:author="Author">
              <w:r w:rsidRPr="008A4F40" w:rsidDel="00EE2F71">
                <w:rPr>
                  <w:color w:val="000000"/>
                  <w:sz w:val="22"/>
                  <w:szCs w:val="22"/>
                  <w:lang w:val="de-DE"/>
                </w:rPr>
                <w:noBreakHyphen/>
              </w:r>
            </w:del>
            <w:r w:rsidRPr="008A4F40">
              <w:rPr>
                <w:color w:val="000000"/>
                <w:sz w:val="22"/>
                <w:szCs w:val="22"/>
                <w:lang w:val="de-DE"/>
              </w:rPr>
              <w:t>7 und 15</w:t>
            </w:r>
            <w:ins w:id="574" w:author="Author">
              <w:r w:rsidR="00EE2F71" w:rsidRPr="00EE2F71">
                <w:rPr>
                  <w:color w:val="000000"/>
                  <w:sz w:val="22"/>
                  <w:szCs w:val="22"/>
                  <w:lang w:val="de-DE"/>
                </w:rPr>
                <w:t>–</w:t>
              </w:r>
            </w:ins>
            <w:del w:id="575" w:author="Author">
              <w:r w:rsidRPr="008A4F40" w:rsidDel="00EE2F71">
                <w:rPr>
                  <w:color w:val="000000"/>
                  <w:sz w:val="22"/>
                  <w:szCs w:val="22"/>
                  <w:lang w:val="de-DE"/>
                </w:rPr>
                <w:noBreakHyphen/>
              </w:r>
            </w:del>
            <w:r w:rsidRPr="008A4F40">
              <w:rPr>
                <w:color w:val="000000"/>
                <w:sz w:val="22"/>
                <w:szCs w:val="22"/>
                <w:lang w:val="de-DE"/>
              </w:rPr>
              <w:t>21</w:t>
            </w:r>
          </w:p>
        </w:tc>
      </w:tr>
      <w:tr w:rsidR="003A33A6" w:rsidRPr="008A4F40" w14:paraId="32A4AED7" w14:textId="77777777" w:rsidTr="00D1077B">
        <w:trPr>
          <w:cantSplit/>
          <w:trPrChange w:id="576" w:author="Author">
            <w:trPr>
              <w:gridAfter w:val="0"/>
              <w:cantSplit/>
            </w:trPr>
          </w:trPrChange>
        </w:trPr>
        <w:tc>
          <w:tcPr>
            <w:tcW w:w="2356" w:type="dxa"/>
            <w:tcPrChange w:id="577" w:author="Author">
              <w:tcPr>
                <w:tcW w:w="2358" w:type="dxa"/>
              </w:tcPr>
            </w:tcPrChange>
          </w:tcPr>
          <w:p w14:paraId="579F2083" w14:textId="77777777" w:rsidR="003A33A6" w:rsidRPr="008A4F40" w:rsidRDefault="003A33A6" w:rsidP="004E7659">
            <w:pPr>
              <w:pStyle w:val="EndnoteText"/>
              <w:rPr>
                <w:color w:val="000000"/>
                <w:sz w:val="22"/>
                <w:szCs w:val="22"/>
                <w:lang w:val="es-ES"/>
              </w:rPr>
            </w:pPr>
            <w:proofErr w:type="spellStart"/>
            <w:r w:rsidRPr="78EBE7F7">
              <w:rPr>
                <w:color w:val="000000" w:themeColor="text1"/>
                <w:sz w:val="22"/>
                <w:szCs w:val="22"/>
                <w:lang w:val="es-ES"/>
              </w:rPr>
              <w:t>Intensivierungsblock</w:t>
            </w:r>
            <w:proofErr w:type="spellEnd"/>
            <w:r w:rsidRPr="78EBE7F7">
              <w:rPr>
                <w:color w:val="000000" w:themeColor="text1"/>
                <w:sz w:val="22"/>
                <w:szCs w:val="22"/>
                <w:lang w:val="es-ES"/>
              </w:rPr>
              <w:t> 2</w:t>
            </w:r>
          </w:p>
          <w:p w14:paraId="0EAF2F23" w14:textId="77777777" w:rsidR="003A33A6" w:rsidRPr="008A4F40" w:rsidRDefault="003A33A6" w:rsidP="004E7659">
            <w:pPr>
              <w:pStyle w:val="EndnoteText"/>
              <w:rPr>
                <w:color w:val="000000"/>
                <w:sz w:val="22"/>
                <w:szCs w:val="22"/>
                <w:lang w:val="es-ES"/>
              </w:rPr>
            </w:pPr>
            <w:r w:rsidRPr="78EBE7F7">
              <w:rPr>
                <w:color w:val="000000" w:themeColor="text1"/>
                <w:sz w:val="22"/>
                <w:szCs w:val="22"/>
                <w:lang w:val="es-ES"/>
              </w:rPr>
              <w:t>(9 </w:t>
            </w:r>
            <w:proofErr w:type="spellStart"/>
            <w:r w:rsidRPr="78EBE7F7">
              <w:rPr>
                <w:color w:val="000000" w:themeColor="text1"/>
                <w:sz w:val="22"/>
                <w:szCs w:val="22"/>
                <w:lang w:val="es-ES"/>
              </w:rPr>
              <w:t>Wochen</w:t>
            </w:r>
            <w:proofErr w:type="spellEnd"/>
            <w:r w:rsidRPr="78EBE7F7">
              <w:rPr>
                <w:color w:val="000000" w:themeColor="text1"/>
                <w:sz w:val="22"/>
                <w:szCs w:val="22"/>
                <w:lang w:val="es-ES"/>
              </w:rPr>
              <w:t>)</w:t>
            </w:r>
          </w:p>
        </w:tc>
        <w:tc>
          <w:tcPr>
            <w:tcW w:w="6699" w:type="dxa"/>
            <w:gridSpan w:val="2"/>
            <w:tcPrChange w:id="578" w:author="Author">
              <w:tcPr>
                <w:tcW w:w="6923" w:type="dxa"/>
              </w:tcPr>
            </w:tcPrChange>
          </w:tcPr>
          <w:p w14:paraId="71B01A9E" w14:textId="77777777" w:rsidR="003A33A6" w:rsidRPr="008A4F40" w:rsidRDefault="003A33A6" w:rsidP="004E7659">
            <w:pPr>
              <w:pStyle w:val="EndnoteText"/>
              <w:rPr>
                <w:color w:val="000000"/>
                <w:sz w:val="22"/>
                <w:szCs w:val="22"/>
                <w:lang w:val="de-DE"/>
              </w:rPr>
            </w:pPr>
            <w:r w:rsidRPr="008A4F40">
              <w:rPr>
                <w:color w:val="000000"/>
                <w:sz w:val="22"/>
                <w:szCs w:val="22"/>
                <w:lang w:val="de-DE"/>
              </w:rPr>
              <w:t>Methotrexat (5 g/m</w:t>
            </w:r>
            <w:r w:rsidRPr="008A4F40">
              <w:rPr>
                <w:color w:val="000000"/>
                <w:sz w:val="22"/>
                <w:szCs w:val="22"/>
                <w:vertAlign w:val="superscript"/>
                <w:lang w:val="de-DE"/>
              </w:rPr>
              <w:t>2</w:t>
            </w:r>
            <w:r w:rsidRPr="008A4F40">
              <w:rPr>
                <w:color w:val="000000"/>
                <w:sz w:val="22"/>
                <w:szCs w:val="22"/>
                <w:lang w:val="de-DE"/>
              </w:rPr>
              <w:t xml:space="preserve"> über 24 Stunden, i.v.): Tage 1 und 15</w:t>
            </w:r>
          </w:p>
          <w:p w14:paraId="0BFA157D" w14:textId="77777777" w:rsidR="003A33A6" w:rsidRPr="008A4F40" w:rsidRDefault="003A33A6" w:rsidP="004E7659">
            <w:pPr>
              <w:pStyle w:val="EndnoteText"/>
              <w:rPr>
                <w:color w:val="000000"/>
                <w:sz w:val="22"/>
                <w:szCs w:val="22"/>
                <w:lang w:val="de-DE"/>
              </w:rPr>
            </w:pPr>
            <w:r w:rsidRPr="008A4F40">
              <w:rPr>
                <w:color w:val="000000"/>
                <w:sz w:val="22"/>
                <w:szCs w:val="22"/>
                <w:lang w:val="de-DE"/>
              </w:rPr>
              <w:t>Leucovorin (75 mg/m</w:t>
            </w:r>
            <w:r w:rsidRPr="008A4F40">
              <w:rPr>
                <w:color w:val="000000"/>
                <w:sz w:val="22"/>
                <w:szCs w:val="22"/>
                <w:vertAlign w:val="superscript"/>
                <w:lang w:val="de-DE"/>
              </w:rPr>
              <w:t>2</w:t>
            </w:r>
            <w:r w:rsidRPr="008A4F40">
              <w:rPr>
                <w:color w:val="000000"/>
                <w:sz w:val="22"/>
                <w:szCs w:val="22"/>
                <w:lang w:val="de-DE"/>
              </w:rPr>
              <w:t xml:space="preserve"> bei Stunde 36, i.v.; 15 mg/m</w:t>
            </w:r>
            <w:r w:rsidRPr="008A4F40">
              <w:rPr>
                <w:color w:val="000000"/>
                <w:sz w:val="22"/>
                <w:szCs w:val="22"/>
                <w:vertAlign w:val="superscript"/>
                <w:lang w:val="de-DE"/>
              </w:rPr>
              <w:t>2</w:t>
            </w:r>
            <w:r w:rsidRPr="008A4F40">
              <w:rPr>
                <w:color w:val="000000"/>
                <w:sz w:val="22"/>
                <w:szCs w:val="22"/>
                <w:lang w:val="de-DE"/>
              </w:rPr>
              <w:t xml:space="preserve"> i.v. oder p.o. q6h x 6 Dosen)iii: Tage 2, 3, 16 und 17</w:t>
            </w:r>
          </w:p>
          <w:p w14:paraId="14171A14" w14:textId="77777777" w:rsidR="003A33A6" w:rsidRPr="008A4F40" w:rsidRDefault="003A33A6" w:rsidP="004E7659">
            <w:pPr>
              <w:pStyle w:val="EndnoteText"/>
              <w:rPr>
                <w:color w:val="000000"/>
                <w:sz w:val="22"/>
                <w:szCs w:val="22"/>
                <w:lang w:val="de-DE"/>
              </w:rPr>
            </w:pPr>
            <w:r w:rsidRPr="008A4F40">
              <w:rPr>
                <w:color w:val="000000"/>
                <w:sz w:val="22"/>
                <w:szCs w:val="22"/>
                <w:lang w:val="de-DE"/>
              </w:rPr>
              <w:t>Dreifach-i.th.-Therapie (alters-angepasst): Tage 1 und 22</w:t>
            </w:r>
          </w:p>
          <w:p w14:paraId="5550378C" w14:textId="64525EE3" w:rsidR="003A33A6" w:rsidRPr="008A4F40" w:rsidRDefault="003A33A6" w:rsidP="004E7659">
            <w:pPr>
              <w:pStyle w:val="EndnoteText"/>
              <w:rPr>
                <w:color w:val="000000"/>
                <w:sz w:val="22"/>
                <w:szCs w:val="22"/>
                <w:lang w:val="da-DK"/>
              </w:rPr>
            </w:pPr>
            <w:r w:rsidRPr="008A4F40">
              <w:rPr>
                <w:color w:val="000000"/>
                <w:sz w:val="22"/>
                <w:szCs w:val="22"/>
                <w:lang w:val="da-DK"/>
              </w:rPr>
              <w:t>VP-16 (100 mg/m</w:t>
            </w:r>
            <w:r w:rsidRPr="008A4F40">
              <w:rPr>
                <w:color w:val="000000"/>
                <w:sz w:val="22"/>
                <w:szCs w:val="22"/>
                <w:vertAlign w:val="superscript"/>
                <w:lang w:val="da-DK"/>
              </w:rPr>
              <w:t>2</w:t>
            </w:r>
            <w:r w:rsidRPr="008A4F40">
              <w:rPr>
                <w:color w:val="000000"/>
                <w:sz w:val="22"/>
                <w:szCs w:val="22"/>
                <w:lang w:val="da-DK"/>
              </w:rPr>
              <w:t>/Tag, i.v.): Tage 22</w:t>
            </w:r>
            <w:ins w:id="579" w:author="Author">
              <w:r w:rsidR="00EE2F71" w:rsidRPr="00EE2F71">
                <w:rPr>
                  <w:color w:val="000000"/>
                  <w:sz w:val="22"/>
                  <w:szCs w:val="22"/>
                  <w:lang w:val="da-DK"/>
                </w:rPr>
                <w:t>–</w:t>
              </w:r>
            </w:ins>
            <w:del w:id="580" w:author="Author">
              <w:r w:rsidRPr="008A4F40" w:rsidDel="00EE2F71">
                <w:rPr>
                  <w:color w:val="000000"/>
                  <w:sz w:val="22"/>
                  <w:szCs w:val="22"/>
                  <w:lang w:val="da-DK"/>
                </w:rPr>
                <w:noBreakHyphen/>
              </w:r>
            </w:del>
            <w:r w:rsidRPr="008A4F40">
              <w:rPr>
                <w:color w:val="000000"/>
                <w:sz w:val="22"/>
                <w:szCs w:val="22"/>
                <w:lang w:val="da-DK"/>
              </w:rPr>
              <w:t>26</w:t>
            </w:r>
          </w:p>
          <w:p w14:paraId="016FDE3D" w14:textId="6E9C12CD" w:rsidR="003A33A6" w:rsidRPr="008A4F40" w:rsidRDefault="003A33A6" w:rsidP="004E7659">
            <w:pPr>
              <w:pStyle w:val="EndnoteText"/>
              <w:rPr>
                <w:color w:val="000000"/>
                <w:sz w:val="22"/>
                <w:szCs w:val="22"/>
                <w:lang w:val="da-DK"/>
              </w:rPr>
            </w:pPr>
            <w:r w:rsidRPr="008A4F40">
              <w:rPr>
                <w:color w:val="000000"/>
                <w:sz w:val="22"/>
                <w:szCs w:val="22"/>
                <w:lang w:val="da-DK"/>
              </w:rPr>
              <w:t>CPM (300 mg/m</w:t>
            </w:r>
            <w:r w:rsidRPr="008A4F40">
              <w:rPr>
                <w:color w:val="000000"/>
                <w:sz w:val="22"/>
                <w:szCs w:val="22"/>
                <w:vertAlign w:val="superscript"/>
                <w:lang w:val="da-DK"/>
              </w:rPr>
              <w:t>2</w:t>
            </w:r>
            <w:r w:rsidRPr="008A4F40">
              <w:rPr>
                <w:color w:val="000000"/>
                <w:sz w:val="22"/>
                <w:szCs w:val="22"/>
                <w:lang w:val="da-DK"/>
              </w:rPr>
              <w:t>/Tag, i.v.): Tage 22</w:t>
            </w:r>
            <w:ins w:id="581" w:author="Author">
              <w:r w:rsidR="00EE2F71" w:rsidRPr="00EE2F71">
                <w:rPr>
                  <w:color w:val="000000"/>
                  <w:sz w:val="22"/>
                  <w:szCs w:val="22"/>
                  <w:lang w:val="da-DK"/>
                </w:rPr>
                <w:t>–</w:t>
              </w:r>
            </w:ins>
            <w:del w:id="582" w:author="Author">
              <w:r w:rsidRPr="008A4F40" w:rsidDel="00EE2F71">
                <w:rPr>
                  <w:color w:val="000000"/>
                  <w:sz w:val="22"/>
                  <w:szCs w:val="22"/>
                  <w:lang w:val="da-DK"/>
                </w:rPr>
                <w:noBreakHyphen/>
              </w:r>
            </w:del>
            <w:r w:rsidRPr="008A4F40">
              <w:rPr>
                <w:color w:val="000000"/>
                <w:sz w:val="22"/>
                <w:szCs w:val="22"/>
                <w:lang w:val="da-DK"/>
              </w:rPr>
              <w:t>26</w:t>
            </w:r>
          </w:p>
          <w:p w14:paraId="3BAD7E9C" w14:textId="7F2DF6D8" w:rsidR="003A33A6" w:rsidRPr="008A4F40" w:rsidRDefault="003A33A6" w:rsidP="004E7659">
            <w:pPr>
              <w:pStyle w:val="EndnoteText"/>
              <w:rPr>
                <w:color w:val="000000"/>
                <w:sz w:val="22"/>
                <w:szCs w:val="22"/>
                <w:lang w:val="da-DK"/>
              </w:rPr>
            </w:pPr>
            <w:r w:rsidRPr="008A4F40">
              <w:rPr>
                <w:color w:val="000000"/>
                <w:sz w:val="22"/>
                <w:szCs w:val="22"/>
                <w:lang w:val="da-DK"/>
              </w:rPr>
              <w:t>MESNA (150 mg/m</w:t>
            </w:r>
            <w:r w:rsidRPr="008A4F40">
              <w:rPr>
                <w:color w:val="000000"/>
                <w:sz w:val="22"/>
                <w:szCs w:val="22"/>
                <w:vertAlign w:val="superscript"/>
                <w:lang w:val="da-DK"/>
              </w:rPr>
              <w:t>2</w:t>
            </w:r>
            <w:r w:rsidRPr="008A4F40">
              <w:rPr>
                <w:color w:val="000000"/>
                <w:sz w:val="22"/>
                <w:szCs w:val="22"/>
                <w:lang w:val="da-DK"/>
              </w:rPr>
              <w:t>/Tag, i.v.): Tage 22</w:t>
            </w:r>
            <w:ins w:id="583" w:author="Author">
              <w:r w:rsidR="00EE2F71" w:rsidRPr="00EE2F71">
                <w:rPr>
                  <w:color w:val="000000"/>
                  <w:sz w:val="22"/>
                  <w:szCs w:val="22"/>
                  <w:lang w:val="da-DK"/>
                </w:rPr>
                <w:t>–</w:t>
              </w:r>
            </w:ins>
            <w:del w:id="584" w:author="Author">
              <w:r w:rsidRPr="008A4F40" w:rsidDel="00EE2F71">
                <w:rPr>
                  <w:color w:val="000000"/>
                  <w:sz w:val="22"/>
                  <w:szCs w:val="22"/>
                  <w:lang w:val="da-DK"/>
                </w:rPr>
                <w:noBreakHyphen/>
              </w:r>
            </w:del>
            <w:r w:rsidRPr="008A4F40">
              <w:rPr>
                <w:color w:val="000000"/>
                <w:sz w:val="22"/>
                <w:szCs w:val="22"/>
                <w:lang w:val="da-DK"/>
              </w:rPr>
              <w:t>26</w:t>
            </w:r>
          </w:p>
          <w:p w14:paraId="09DF0636" w14:textId="19F0CE27" w:rsidR="003A33A6" w:rsidRPr="008A4F40" w:rsidRDefault="003A33A6" w:rsidP="004E7659">
            <w:pPr>
              <w:pStyle w:val="EndnoteText"/>
              <w:rPr>
                <w:color w:val="000000"/>
                <w:sz w:val="22"/>
                <w:szCs w:val="22"/>
                <w:lang w:val="da-DK"/>
              </w:rPr>
            </w:pPr>
            <w:r w:rsidRPr="008A4F40">
              <w:rPr>
                <w:color w:val="000000"/>
                <w:sz w:val="22"/>
                <w:szCs w:val="22"/>
                <w:lang w:val="da-DK"/>
              </w:rPr>
              <w:t>G-CSF (5 </w:t>
            </w:r>
            <w:r w:rsidRPr="008A4F40">
              <w:rPr>
                <w:color w:val="000000"/>
                <w:sz w:val="22"/>
                <w:szCs w:val="22"/>
              </w:rPr>
              <w:t>μ</w:t>
            </w:r>
            <w:r w:rsidRPr="008A4F40">
              <w:rPr>
                <w:color w:val="000000"/>
                <w:sz w:val="22"/>
                <w:szCs w:val="22"/>
                <w:lang w:val="da-DK"/>
              </w:rPr>
              <w:t>g/kg, s.c.): Tage 27</w:t>
            </w:r>
            <w:ins w:id="585" w:author="Author">
              <w:r w:rsidR="00EE2F71" w:rsidRPr="00EE2F71">
                <w:rPr>
                  <w:color w:val="000000"/>
                  <w:sz w:val="22"/>
                  <w:szCs w:val="22"/>
                  <w:lang w:val="da-DK"/>
                </w:rPr>
                <w:t>–</w:t>
              </w:r>
            </w:ins>
            <w:del w:id="586" w:author="Author">
              <w:r w:rsidRPr="008A4F40" w:rsidDel="00EE2F71">
                <w:rPr>
                  <w:color w:val="000000"/>
                  <w:sz w:val="22"/>
                  <w:szCs w:val="22"/>
                  <w:lang w:val="da-DK"/>
                </w:rPr>
                <w:noBreakHyphen/>
              </w:r>
            </w:del>
            <w:r w:rsidRPr="008A4F40">
              <w:rPr>
                <w:color w:val="000000"/>
                <w:sz w:val="22"/>
                <w:szCs w:val="22"/>
                <w:lang w:val="da-DK"/>
              </w:rPr>
              <w:t>36 oder bis ANC &gt; 1500 post nadir</w:t>
            </w:r>
          </w:p>
          <w:p w14:paraId="4BFDF4E6" w14:textId="77777777" w:rsidR="003A33A6" w:rsidRPr="008A4F40" w:rsidRDefault="003A33A6" w:rsidP="004E7659">
            <w:pPr>
              <w:pStyle w:val="EndnoteText"/>
              <w:rPr>
                <w:color w:val="000000"/>
                <w:sz w:val="22"/>
                <w:szCs w:val="22"/>
                <w:lang w:val="pt-PT"/>
              </w:rPr>
            </w:pPr>
            <w:r w:rsidRPr="008A4F40">
              <w:rPr>
                <w:color w:val="000000"/>
                <w:sz w:val="22"/>
                <w:szCs w:val="22"/>
                <w:lang w:val="pt-PT"/>
              </w:rPr>
              <w:t>ARA-C (3 g/m</w:t>
            </w:r>
            <w:r w:rsidRPr="008A4F40">
              <w:rPr>
                <w:color w:val="000000"/>
                <w:sz w:val="22"/>
                <w:szCs w:val="22"/>
                <w:vertAlign w:val="superscript"/>
                <w:lang w:val="pt-PT"/>
              </w:rPr>
              <w:t>2</w:t>
            </w:r>
            <w:r w:rsidRPr="008A4F40">
              <w:rPr>
                <w:color w:val="000000"/>
                <w:sz w:val="22"/>
                <w:szCs w:val="22"/>
                <w:lang w:val="pt-PT"/>
              </w:rPr>
              <w:t>, q12h, i.v.): Tage 43, 44</w:t>
            </w:r>
          </w:p>
          <w:p w14:paraId="68A8E6A1" w14:textId="70FA28FB" w:rsidR="003A33A6" w:rsidRPr="008A4F40" w:rsidRDefault="003A33A6" w:rsidP="004E7659">
            <w:pPr>
              <w:pStyle w:val="EndnoteText"/>
              <w:rPr>
                <w:color w:val="000000"/>
                <w:sz w:val="22"/>
                <w:szCs w:val="22"/>
                <w:lang w:val="de-DE"/>
              </w:rPr>
            </w:pPr>
            <w:r w:rsidRPr="008A4F40">
              <w:rPr>
                <w:color w:val="000000"/>
                <w:sz w:val="22"/>
                <w:szCs w:val="22"/>
                <w:lang w:val="de-DE"/>
              </w:rPr>
              <w:t>L-ASP (6</w:t>
            </w:r>
            <w:ins w:id="587" w:author="Author">
              <w:r w:rsidR="00C85770">
                <w:rPr>
                  <w:color w:val="000000"/>
                  <w:sz w:val="22"/>
                  <w:szCs w:val="22"/>
                  <w:lang w:val="de-DE"/>
                </w:rPr>
                <w:t> </w:t>
              </w:r>
            </w:ins>
            <w:r w:rsidRPr="008A4F40">
              <w:rPr>
                <w:color w:val="000000"/>
                <w:sz w:val="22"/>
                <w:szCs w:val="22"/>
                <w:lang w:val="de-DE"/>
              </w:rPr>
              <w:t>000 IE/m</w:t>
            </w:r>
            <w:r w:rsidRPr="008A4F40">
              <w:rPr>
                <w:color w:val="000000"/>
                <w:sz w:val="22"/>
                <w:szCs w:val="22"/>
                <w:vertAlign w:val="superscript"/>
                <w:lang w:val="de-DE"/>
              </w:rPr>
              <w:t>2</w:t>
            </w:r>
            <w:r w:rsidRPr="008A4F40">
              <w:rPr>
                <w:color w:val="000000"/>
                <w:sz w:val="22"/>
                <w:szCs w:val="22"/>
                <w:lang w:val="de-DE"/>
              </w:rPr>
              <w:t>, i.m.): Tag 44</w:t>
            </w:r>
          </w:p>
        </w:tc>
      </w:tr>
      <w:tr w:rsidR="003A33A6" w:rsidRPr="00FA2E9E" w14:paraId="5AAB5960" w14:textId="77777777" w:rsidTr="00D1077B">
        <w:trPr>
          <w:cantSplit/>
          <w:trPrChange w:id="588" w:author="Author">
            <w:trPr>
              <w:gridAfter w:val="0"/>
              <w:cantSplit/>
            </w:trPr>
          </w:trPrChange>
        </w:trPr>
        <w:tc>
          <w:tcPr>
            <w:tcW w:w="2356" w:type="dxa"/>
            <w:tcPrChange w:id="589" w:author="Author">
              <w:tcPr>
                <w:tcW w:w="2358" w:type="dxa"/>
              </w:tcPr>
            </w:tcPrChange>
          </w:tcPr>
          <w:p w14:paraId="72D44DB6" w14:textId="77777777" w:rsidR="003A33A6" w:rsidRPr="008A4F40" w:rsidRDefault="003A33A6" w:rsidP="004E7659">
            <w:pPr>
              <w:pStyle w:val="EndnoteText"/>
              <w:rPr>
                <w:color w:val="000000"/>
                <w:sz w:val="22"/>
                <w:szCs w:val="22"/>
                <w:lang w:val="es-ES"/>
              </w:rPr>
            </w:pPr>
            <w:proofErr w:type="spellStart"/>
            <w:r w:rsidRPr="78EBE7F7">
              <w:rPr>
                <w:color w:val="000000" w:themeColor="text1"/>
                <w:sz w:val="22"/>
                <w:szCs w:val="22"/>
                <w:lang w:val="es-ES"/>
              </w:rPr>
              <w:t>Erhaltung</w:t>
            </w:r>
            <w:proofErr w:type="spellEnd"/>
          </w:p>
          <w:p w14:paraId="55B636A0" w14:textId="77777777" w:rsidR="003A33A6" w:rsidRPr="008A4F40" w:rsidRDefault="003A33A6" w:rsidP="004E7659">
            <w:pPr>
              <w:pStyle w:val="EndnoteText"/>
              <w:rPr>
                <w:color w:val="000000"/>
                <w:sz w:val="22"/>
                <w:szCs w:val="22"/>
              </w:rPr>
            </w:pPr>
            <w:r w:rsidRPr="008A4F40">
              <w:rPr>
                <w:color w:val="000000"/>
                <w:sz w:val="22"/>
                <w:szCs w:val="22"/>
              </w:rPr>
              <w:t>(8-Wochenzyklen)</w:t>
            </w:r>
          </w:p>
          <w:p w14:paraId="4A5A8D8A" w14:textId="77777777" w:rsidR="003A33A6" w:rsidRPr="008A4F40" w:rsidRDefault="003A33A6" w:rsidP="004E7659">
            <w:pPr>
              <w:pStyle w:val="EndnoteText"/>
              <w:rPr>
                <w:color w:val="000000"/>
                <w:sz w:val="22"/>
                <w:szCs w:val="22"/>
                <w:lang w:val="es-ES"/>
              </w:rPr>
            </w:pPr>
            <w:proofErr w:type="spellStart"/>
            <w:r w:rsidRPr="78EBE7F7">
              <w:rPr>
                <w:color w:val="000000" w:themeColor="text1"/>
                <w:sz w:val="22"/>
                <w:szCs w:val="22"/>
                <w:lang w:val="es-ES"/>
              </w:rPr>
              <w:t>Zyklen</w:t>
            </w:r>
            <w:proofErr w:type="spellEnd"/>
            <w:r w:rsidRPr="78EBE7F7">
              <w:rPr>
                <w:color w:val="000000" w:themeColor="text1"/>
                <w:sz w:val="22"/>
                <w:szCs w:val="22"/>
                <w:lang w:val="es-ES"/>
              </w:rPr>
              <w:t> 1–4</w:t>
            </w:r>
          </w:p>
        </w:tc>
        <w:tc>
          <w:tcPr>
            <w:tcW w:w="6699" w:type="dxa"/>
            <w:gridSpan w:val="2"/>
            <w:tcPrChange w:id="590" w:author="Author">
              <w:tcPr>
                <w:tcW w:w="6923" w:type="dxa"/>
              </w:tcPr>
            </w:tcPrChange>
          </w:tcPr>
          <w:p w14:paraId="0EF4B2D0" w14:textId="77777777" w:rsidR="003A33A6" w:rsidRPr="008A4F40" w:rsidRDefault="003A33A6" w:rsidP="004E7659">
            <w:pPr>
              <w:pStyle w:val="EndnoteText"/>
              <w:rPr>
                <w:color w:val="000000"/>
                <w:sz w:val="22"/>
                <w:szCs w:val="22"/>
                <w:lang w:val="de-DE"/>
              </w:rPr>
            </w:pPr>
            <w:r w:rsidRPr="008A4F40">
              <w:rPr>
                <w:color w:val="000000"/>
                <w:sz w:val="22"/>
                <w:szCs w:val="22"/>
                <w:lang w:val="de-DE"/>
              </w:rPr>
              <w:t>MTX (5 g/m</w:t>
            </w:r>
            <w:r w:rsidRPr="008A4F40">
              <w:rPr>
                <w:color w:val="000000"/>
                <w:sz w:val="22"/>
                <w:szCs w:val="22"/>
                <w:vertAlign w:val="superscript"/>
                <w:lang w:val="de-DE"/>
              </w:rPr>
              <w:t>2</w:t>
            </w:r>
            <w:r w:rsidRPr="008A4F40">
              <w:rPr>
                <w:color w:val="000000"/>
                <w:sz w:val="22"/>
                <w:szCs w:val="22"/>
                <w:lang w:val="de-DE"/>
              </w:rPr>
              <w:t xml:space="preserve"> über 24 Stunden, i.v.): Tag 1</w:t>
            </w:r>
          </w:p>
          <w:p w14:paraId="5C7C9A92" w14:textId="1FD20679" w:rsidR="003A33A6" w:rsidRPr="008A4F40" w:rsidRDefault="003A33A6" w:rsidP="004E7659">
            <w:pPr>
              <w:pStyle w:val="EndnoteText"/>
              <w:rPr>
                <w:color w:val="000000"/>
                <w:sz w:val="22"/>
                <w:szCs w:val="22"/>
                <w:lang w:val="de-DE"/>
              </w:rPr>
            </w:pPr>
            <w:r w:rsidRPr="008A4F40">
              <w:rPr>
                <w:color w:val="000000"/>
                <w:sz w:val="22"/>
                <w:szCs w:val="22"/>
                <w:lang w:val="de-DE"/>
              </w:rPr>
              <w:t>Leucovorin (75 mg/m</w:t>
            </w:r>
            <w:r w:rsidRPr="008A4F40">
              <w:rPr>
                <w:color w:val="000000"/>
                <w:sz w:val="22"/>
                <w:szCs w:val="22"/>
                <w:vertAlign w:val="superscript"/>
                <w:lang w:val="de-DE"/>
              </w:rPr>
              <w:t>2</w:t>
            </w:r>
            <w:r w:rsidRPr="008A4F40">
              <w:rPr>
                <w:color w:val="000000"/>
                <w:sz w:val="22"/>
                <w:szCs w:val="22"/>
                <w:lang w:val="de-DE"/>
              </w:rPr>
              <w:t xml:space="preserve"> bei Stunde 36, i.v.; 15 mg/m</w:t>
            </w:r>
            <w:r w:rsidRPr="008A4F40">
              <w:rPr>
                <w:color w:val="000000"/>
                <w:sz w:val="22"/>
                <w:szCs w:val="22"/>
                <w:vertAlign w:val="superscript"/>
                <w:lang w:val="de-DE"/>
              </w:rPr>
              <w:t>2</w:t>
            </w:r>
            <w:r w:rsidRPr="008A4F40">
              <w:rPr>
                <w:color w:val="000000"/>
                <w:sz w:val="22"/>
                <w:szCs w:val="22"/>
                <w:lang w:val="de-DE"/>
              </w:rPr>
              <w:t xml:space="preserve"> i.v. o</w:t>
            </w:r>
            <w:r w:rsidR="00B829AA">
              <w:rPr>
                <w:color w:val="000000"/>
                <w:sz w:val="22"/>
                <w:szCs w:val="22"/>
                <w:lang w:val="de-DE"/>
              </w:rPr>
              <w:t>de</w:t>
            </w:r>
            <w:r w:rsidRPr="008A4F40">
              <w:rPr>
                <w:color w:val="000000"/>
                <w:sz w:val="22"/>
                <w:szCs w:val="22"/>
                <w:lang w:val="de-DE"/>
              </w:rPr>
              <w:t>r p.o. q6h x 6 Dosen)iii: Tage 2 und 3</w:t>
            </w:r>
          </w:p>
          <w:p w14:paraId="3342B80B" w14:textId="77777777" w:rsidR="003A33A6" w:rsidRPr="008A4F40" w:rsidRDefault="003A33A6" w:rsidP="004E7659">
            <w:pPr>
              <w:pStyle w:val="EndnoteText"/>
              <w:rPr>
                <w:color w:val="000000"/>
                <w:sz w:val="22"/>
                <w:szCs w:val="22"/>
                <w:lang w:val="de-DE"/>
              </w:rPr>
            </w:pPr>
            <w:r w:rsidRPr="008A4F40">
              <w:rPr>
                <w:color w:val="000000"/>
                <w:sz w:val="22"/>
                <w:szCs w:val="22"/>
                <w:lang w:val="de-DE"/>
              </w:rPr>
              <w:t>Dreifach-i.th.-Therapie (alters-angepasst): Tage 1, 29</w:t>
            </w:r>
          </w:p>
          <w:p w14:paraId="219B5225" w14:textId="77777777" w:rsidR="003A33A6" w:rsidRPr="008A4F40" w:rsidRDefault="003A33A6" w:rsidP="004E7659">
            <w:pPr>
              <w:pStyle w:val="EndnoteText"/>
              <w:rPr>
                <w:color w:val="000000"/>
                <w:sz w:val="22"/>
                <w:szCs w:val="22"/>
                <w:lang w:val="da-DK"/>
              </w:rPr>
            </w:pPr>
            <w:r w:rsidRPr="008A4F40">
              <w:rPr>
                <w:color w:val="000000"/>
                <w:sz w:val="22"/>
                <w:szCs w:val="22"/>
                <w:lang w:val="da-DK"/>
              </w:rPr>
              <w:t>VCR (1,5 mg/m</w:t>
            </w:r>
            <w:r w:rsidRPr="008A4F40">
              <w:rPr>
                <w:color w:val="000000"/>
                <w:sz w:val="22"/>
                <w:szCs w:val="22"/>
                <w:vertAlign w:val="superscript"/>
                <w:lang w:val="da-DK"/>
              </w:rPr>
              <w:t>2</w:t>
            </w:r>
            <w:r w:rsidRPr="008A4F40">
              <w:rPr>
                <w:color w:val="000000"/>
                <w:sz w:val="22"/>
                <w:szCs w:val="22"/>
                <w:lang w:val="da-DK"/>
              </w:rPr>
              <w:t>, i.v.): Tage 1, 29</w:t>
            </w:r>
          </w:p>
          <w:p w14:paraId="5EAB083E" w14:textId="7F9D43B6" w:rsidR="003A33A6" w:rsidRPr="008A4F40" w:rsidRDefault="003A33A6" w:rsidP="004E7659">
            <w:pPr>
              <w:pStyle w:val="EndnoteText"/>
              <w:rPr>
                <w:color w:val="000000"/>
                <w:sz w:val="22"/>
                <w:szCs w:val="22"/>
                <w:lang w:val="da-DK"/>
              </w:rPr>
            </w:pPr>
            <w:r w:rsidRPr="008A4F40">
              <w:rPr>
                <w:color w:val="000000"/>
                <w:sz w:val="22"/>
                <w:szCs w:val="22"/>
                <w:lang w:val="da-DK"/>
              </w:rPr>
              <w:t>DEX (6 mg/m</w:t>
            </w:r>
            <w:r w:rsidRPr="008A4F40">
              <w:rPr>
                <w:color w:val="000000"/>
                <w:sz w:val="22"/>
                <w:szCs w:val="22"/>
                <w:vertAlign w:val="superscript"/>
                <w:lang w:val="da-DK"/>
              </w:rPr>
              <w:t>2</w:t>
            </w:r>
            <w:r w:rsidRPr="008A4F40">
              <w:rPr>
                <w:color w:val="000000"/>
                <w:sz w:val="22"/>
                <w:szCs w:val="22"/>
                <w:lang w:val="da-DK"/>
              </w:rPr>
              <w:t>/Tag, p.o.): Tage 1</w:t>
            </w:r>
            <w:ins w:id="591" w:author="Author">
              <w:r w:rsidR="00EE2F71" w:rsidRPr="00EE2F71">
                <w:rPr>
                  <w:color w:val="000000"/>
                  <w:sz w:val="22"/>
                  <w:szCs w:val="22"/>
                  <w:lang w:val="da-DK"/>
                </w:rPr>
                <w:t>–</w:t>
              </w:r>
            </w:ins>
            <w:del w:id="592" w:author="Author">
              <w:r w:rsidRPr="008A4F40" w:rsidDel="00EE2F71">
                <w:rPr>
                  <w:color w:val="000000"/>
                  <w:sz w:val="22"/>
                  <w:szCs w:val="22"/>
                  <w:lang w:val="da-DK"/>
                </w:rPr>
                <w:noBreakHyphen/>
              </w:r>
            </w:del>
            <w:r w:rsidRPr="008A4F40">
              <w:rPr>
                <w:color w:val="000000"/>
                <w:sz w:val="22"/>
                <w:szCs w:val="22"/>
                <w:lang w:val="da-DK"/>
              </w:rPr>
              <w:t>5; 29</w:t>
            </w:r>
            <w:ins w:id="593" w:author="Author">
              <w:r w:rsidR="00553599" w:rsidRPr="002222CA">
                <w:rPr>
                  <w:color w:val="000000"/>
                  <w:sz w:val="22"/>
                  <w:szCs w:val="22"/>
                  <w:lang w:val="da-DK"/>
                </w:rPr>
                <w:t>–</w:t>
              </w:r>
            </w:ins>
            <w:del w:id="594" w:author="Author">
              <w:r w:rsidRPr="008A4F40" w:rsidDel="00553599">
                <w:rPr>
                  <w:color w:val="000000"/>
                  <w:sz w:val="22"/>
                  <w:szCs w:val="22"/>
                  <w:lang w:val="da-DK"/>
                </w:rPr>
                <w:noBreakHyphen/>
              </w:r>
            </w:del>
            <w:r w:rsidRPr="008A4F40">
              <w:rPr>
                <w:color w:val="000000"/>
                <w:sz w:val="22"/>
                <w:szCs w:val="22"/>
                <w:lang w:val="da-DK"/>
              </w:rPr>
              <w:t>33</w:t>
            </w:r>
          </w:p>
          <w:p w14:paraId="62681235" w14:textId="20A252AF" w:rsidR="003A33A6" w:rsidRPr="008A4F40" w:rsidRDefault="003A33A6" w:rsidP="004E7659">
            <w:pPr>
              <w:pStyle w:val="EndnoteText"/>
              <w:rPr>
                <w:color w:val="000000"/>
                <w:sz w:val="22"/>
                <w:szCs w:val="22"/>
                <w:lang w:val="da-DK"/>
              </w:rPr>
            </w:pPr>
            <w:r w:rsidRPr="008A4F40">
              <w:rPr>
                <w:color w:val="000000"/>
                <w:sz w:val="22"/>
                <w:szCs w:val="22"/>
                <w:lang w:val="da-DK"/>
              </w:rPr>
              <w:t>6-MP (75 mg/m</w:t>
            </w:r>
            <w:r w:rsidRPr="008A4F40">
              <w:rPr>
                <w:color w:val="000000"/>
                <w:sz w:val="22"/>
                <w:szCs w:val="22"/>
                <w:vertAlign w:val="superscript"/>
                <w:lang w:val="da-DK"/>
              </w:rPr>
              <w:t>2</w:t>
            </w:r>
            <w:r w:rsidRPr="008A4F40">
              <w:rPr>
                <w:color w:val="000000"/>
                <w:sz w:val="22"/>
                <w:szCs w:val="22"/>
                <w:lang w:val="da-DK"/>
              </w:rPr>
              <w:t>/Tag, p.o.): Tage 8</w:t>
            </w:r>
            <w:ins w:id="595" w:author="Author">
              <w:r w:rsidR="00EE2F71" w:rsidRPr="00EE2F71">
                <w:rPr>
                  <w:color w:val="000000"/>
                  <w:sz w:val="22"/>
                  <w:szCs w:val="22"/>
                  <w:lang w:val="da-DK"/>
                </w:rPr>
                <w:t>–</w:t>
              </w:r>
            </w:ins>
            <w:del w:id="596" w:author="Author">
              <w:r w:rsidRPr="008A4F40" w:rsidDel="00EE2F71">
                <w:rPr>
                  <w:color w:val="000000"/>
                  <w:sz w:val="22"/>
                  <w:szCs w:val="22"/>
                  <w:lang w:val="da-DK"/>
                </w:rPr>
                <w:delText>-</w:delText>
              </w:r>
            </w:del>
            <w:r w:rsidRPr="008A4F40">
              <w:rPr>
                <w:color w:val="000000"/>
                <w:sz w:val="22"/>
                <w:szCs w:val="22"/>
                <w:lang w:val="da-DK"/>
              </w:rPr>
              <w:t>28</w:t>
            </w:r>
          </w:p>
          <w:p w14:paraId="4D8F535E" w14:textId="77777777" w:rsidR="003A33A6" w:rsidRPr="008A4F40" w:rsidRDefault="003A33A6" w:rsidP="004E7659">
            <w:pPr>
              <w:pStyle w:val="EndnoteText"/>
              <w:rPr>
                <w:color w:val="000000"/>
                <w:sz w:val="22"/>
                <w:szCs w:val="22"/>
                <w:lang w:val="de-DE"/>
              </w:rPr>
            </w:pPr>
            <w:r w:rsidRPr="008A4F40">
              <w:rPr>
                <w:color w:val="000000"/>
                <w:sz w:val="22"/>
                <w:szCs w:val="22"/>
                <w:lang w:val="de-DE"/>
              </w:rPr>
              <w:t>Methotrexat (20 mg/m</w:t>
            </w:r>
            <w:r w:rsidRPr="008A4F40">
              <w:rPr>
                <w:color w:val="000000"/>
                <w:sz w:val="22"/>
                <w:szCs w:val="22"/>
                <w:vertAlign w:val="superscript"/>
                <w:lang w:val="de-DE"/>
              </w:rPr>
              <w:t>2</w:t>
            </w:r>
            <w:r w:rsidRPr="008A4F40">
              <w:rPr>
                <w:color w:val="000000"/>
                <w:sz w:val="22"/>
                <w:szCs w:val="22"/>
                <w:lang w:val="de-DE"/>
              </w:rPr>
              <w:t>/Woche, p.o.): Tage 8, 15, 22</w:t>
            </w:r>
          </w:p>
          <w:p w14:paraId="0E7E2E5E" w14:textId="237F3127" w:rsidR="003A33A6" w:rsidRPr="008A4F40" w:rsidRDefault="003A33A6" w:rsidP="004E7659">
            <w:pPr>
              <w:pStyle w:val="EndnoteText"/>
              <w:rPr>
                <w:color w:val="000000"/>
                <w:sz w:val="22"/>
                <w:szCs w:val="22"/>
                <w:lang w:val="da-DK"/>
              </w:rPr>
            </w:pPr>
            <w:r w:rsidRPr="008A4F40">
              <w:rPr>
                <w:color w:val="000000"/>
                <w:sz w:val="22"/>
                <w:szCs w:val="22"/>
                <w:lang w:val="da-DK"/>
              </w:rPr>
              <w:t>VP-16 (100 mg/m</w:t>
            </w:r>
            <w:r w:rsidRPr="008A4F40">
              <w:rPr>
                <w:color w:val="000000"/>
                <w:sz w:val="22"/>
                <w:szCs w:val="22"/>
                <w:vertAlign w:val="superscript"/>
                <w:lang w:val="da-DK"/>
              </w:rPr>
              <w:t>2</w:t>
            </w:r>
            <w:r w:rsidRPr="008A4F40">
              <w:rPr>
                <w:color w:val="000000"/>
                <w:sz w:val="22"/>
                <w:szCs w:val="22"/>
                <w:lang w:val="da-DK"/>
              </w:rPr>
              <w:t>, i.v.): Tage 29</w:t>
            </w:r>
            <w:ins w:id="597" w:author="Author">
              <w:r w:rsidR="00EE2F71" w:rsidRPr="00EE2F71">
                <w:rPr>
                  <w:color w:val="000000"/>
                  <w:sz w:val="22"/>
                  <w:szCs w:val="22"/>
                  <w:lang w:val="da-DK"/>
                </w:rPr>
                <w:t>–</w:t>
              </w:r>
            </w:ins>
            <w:del w:id="598" w:author="Author">
              <w:r w:rsidRPr="008A4F40" w:rsidDel="00EE2F71">
                <w:rPr>
                  <w:color w:val="000000"/>
                  <w:sz w:val="22"/>
                  <w:szCs w:val="22"/>
                  <w:lang w:val="da-DK"/>
                </w:rPr>
                <w:noBreakHyphen/>
              </w:r>
            </w:del>
            <w:r w:rsidRPr="008A4F40">
              <w:rPr>
                <w:color w:val="000000"/>
                <w:sz w:val="22"/>
                <w:szCs w:val="22"/>
                <w:lang w:val="da-DK"/>
              </w:rPr>
              <w:t>33</w:t>
            </w:r>
          </w:p>
          <w:p w14:paraId="19C5913C" w14:textId="5772E9D2" w:rsidR="003A33A6" w:rsidRPr="008A4F40" w:rsidRDefault="003A33A6" w:rsidP="004E7659">
            <w:pPr>
              <w:pStyle w:val="EndnoteText"/>
              <w:rPr>
                <w:color w:val="000000"/>
                <w:sz w:val="22"/>
                <w:szCs w:val="22"/>
                <w:lang w:val="da-DK"/>
              </w:rPr>
            </w:pPr>
            <w:r w:rsidRPr="008A4F40">
              <w:rPr>
                <w:color w:val="000000"/>
                <w:sz w:val="22"/>
                <w:szCs w:val="22"/>
                <w:lang w:val="da-DK"/>
              </w:rPr>
              <w:t>CPM (300 mg/m</w:t>
            </w:r>
            <w:r w:rsidRPr="008A4F40">
              <w:rPr>
                <w:color w:val="000000"/>
                <w:sz w:val="22"/>
                <w:szCs w:val="22"/>
                <w:vertAlign w:val="superscript"/>
                <w:lang w:val="da-DK"/>
              </w:rPr>
              <w:t>2</w:t>
            </w:r>
            <w:r w:rsidRPr="008A4F40">
              <w:rPr>
                <w:color w:val="000000"/>
                <w:sz w:val="22"/>
                <w:szCs w:val="22"/>
                <w:lang w:val="da-DK"/>
              </w:rPr>
              <w:t>, i.v.): Tage 29</w:t>
            </w:r>
            <w:ins w:id="599" w:author="Author">
              <w:r w:rsidR="00EE2F71" w:rsidRPr="00EE2F71">
                <w:rPr>
                  <w:color w:val="000000"/>
                  <w:sz w:val="22"/>
                  <w:szCs w:val="22"/>
                  <w:lang w:val="da-DK"/>
                </w:rPr>
                <w:t>–</w:t>
              </w:r>
            </w:ins>
            <w:del w:id="600" w:author="Author">
              <w:r w:rsidRPr="008A4F40" w:rsidDel="00EE2F71">
                <w:rPr>
                  <w:color w:val="000000"/>
                  <w:sz w:val="22"/>
                  <w:szCs w:val="22"/>
                  <w:lang w:val="da-DK"/>
                </w:rPr>
                <w:noBreakHyphen/>
              </w:r>
            </w:del>
            <w:r w:rsidRPr="008A4F40">
              <w:rPr>
                <w:color w:val="000000"/>
                <w:sz w:val="22"/>
                <w:szCs w:val="22"/>
                <w:lang w:val="da-DK"/>
              </w:rPr>
              <w:t>33</w:t>
            </w:r>
          </w:p>
          <w:p w14:paraId="4B617068" w14:textId="5424CC82" w:rsidR="003A33A6" w:rsidRPr="008A4F40" w:rsidRDefault="003A33A6" w:rsidP="004E7659">
            <w:pPr>
              <w:pStyle w:val="EndnoteText"/>
              <w:rPr>
                <w:color w:val="000000"/>
                <w:sz w:val="22"/>
                <w:szCs w:val="22"/>
                <w:lang w:val="da-DK"/>
              </w:rPr>
            </w:pPr>
            <w:r w:rsidRPr="008A4F40">
              <w:rPr>
                <w:color w:val="000000"/>
                <w:sz w:val="22"/>
                <w:szCs w:val="22"/>
                <w:lang w:val="da-DK"/>
              </w:rPr>
              <w:t>MESNA i.v. Tage 29</w:t>
            </w:r>
            <w:ins w:id="601" w:author="Author">
              <w:r w:rsidR="00EE2F71" w:rsidRPr="00EE2F71">
                <w:rPr>
                  <w:color w:val="000000"/>
                  <w:sz w:val="22"/>
                  <w:szCs w:val="22"/>
                  <w:lang w:val="da-DK"/>
                </w:rPr>
                <w:t>–</w:t>
              </w:r>
            </w:ins>
            <w:del w:id="602" w:author="Author">
              <w:r w:rsidRPr="008A4F40" w:rsidDel="00EE2F71">
                <w:rPr>
                  <w:color w:val="000000"/>
                  <w:sz w:val="22"/>
                  <w:szCs w:val="22"/>
                  <w:lang w:val="da-DK"/>
                </w:rPr>
                <w:noBreakHyphen/>
              </w:r>
            </w:del>
            <w:r w:rsidRPr="008A4F40">
              <w:rPr>
                <w:color w:val="000000"/>
                <w:sz w:val="22"/>
                <w:szCs w:val="22"/>
                <w:lang w:val="da-DK"/>
              </w:rPr>
              <w:t>33</w:t>
            </w:r>
          </w:p>
          <w:p w14:paraId="742215CD" w14:textId="585BB09D" w:rsidR="003A33A6" w:rsidRPr="008A4F40" w:rsidRDefault="003A33A6" w:rsidP="004E7659">
            <w:pPr>
              <w:pStyle w:val="EndnoteText"/>
              <w:rPr>
                <w:color w:val="000000"/>
                <w:sz w:val="22"/>
                <w:szCs w:val="22"/>
                <w:lang w:val="da-DK"/>
              </w:rPr>
            </w:pPr>
            <w:r w:rsidRPr="008A4F40">
              <w:rPr>
                <w:color w:val="000000"/>
                <w:sz w:val="22"/>
                <w:szCs w:val="22"/>
                <w:lang w:val="da-DK"/>
              </w:rPr>
              <w:t>G-CSF (5 </w:t>
            </w:r>
            <w:r w:rsidRPr="008A4F40">
              <w:rPr>
                <w:color w:val="000000"/>
                <w:sz w:val="22"/>
                <w:szCs w:val="22"/>
              </w:rPr>
              <w:t>μ</w:t>
            </w:r>
            <w:r w:rsidRPr="008A4F40">
              <w:rPr>
                <w:color w:val="000000"/>
                <w:sz w:val="22"/>
                <w:szCs w:val="22"/>
                <w:lang w:val="da-DK"/>
              </w:rPr>
              <w:t>g/kg, s.c.): Tage 34</w:t>
            </w:r>
            <w:ins w:id="603" w:author="Author">
              <w:r w:rsidR="00EE2F71" w:rsidRPr="00EE2F71">
                <w:rPr>
                  <w:color w:val="000000"/>
                  <w:sz w:val="22"/>
                  <w:szCs w:val="22"/>
                  <w:lang w:val="da-DK"/>
                </w:rPr>
                <w:t>–</w:t>
              </w:r>
            </w:ins>
            <w:del w:id="604" w:author="Author">
              <w:r w:rsidRPr="008A4F40" w:rsidDel="00EE2F71">
                <w:rPr>
                  <w:color w:val="000000"/>
                  <w:sz w:val="22"/>
                  <w:szCs w:val="22"/>
                  <w:lang w:val="da-DK"/>
                </w:rPr>
                <w:noBreakHyphen/>
              </w:r>
            </w:del>
            <w:r w:rsidRPr="008A4F40">
              <w:rPr>
                <w:color w:val="000000"/>
                <w:sz w:val="22"/>
                <w:szCs w:val="22"/>
                <w:lang w:val="da-DK"/>
              </w:rPr>
              <w:t>43</w:t>
            </w:r>
          </w:p>
        </w:tc>
      </w:tr>
      <w:tr w:rsidR="003A33A6" w:rsidRPr="008A4F40" w14:paraId="490CAFB0" w14:textId="77777777" w:rsidTr="00D1077B">
        <w:trPr>
          <w:cantSplit/>
          <w:trPrChange w:id="605" w:author="Author">
            <w:trPr>
              <w:gridAfter w:val="0"/>
              <w:cantSplit/>
            </w:trPr>
          </w:trPrChange>
        </w:trPr>
        <w:tc>
          <w:tcPr>
            <w:tcW w:w="2356" w:type="dxa"/>
            <w:tcPrChange w:id="606" w:author="Author">
              <w:tcPr>
                <w:tcW w:w="2358" w:type="dxa"/>
              </w:tcPr>
            </w:tcPrChange>
          </w:tcPr>
          <w:p w14:paraId="7A90941C" w14:textId="77777777" w:rsidR="003A33A6" w:rsidRPr="008A4F40" w:rsidRDefault="003A33A6" w:rsidP="004E7659">
            <w:pPr>
              <w:pStyle w:val="EndnoteText"/>
              <w:rPr>
                <w:color w:val="000000"/>
                <w:sz w:val="22"/>
                <w:szCs w:val="22"/>
                <w:lang w:val="de-DE"/>
              </w:rPr>
            </w:pPr>
            <w:r w:rsidRPr="008A4F40">
              <w:rPr>
                <w:color w:val="000000"/>
                <w:sz w:val="22"/>
                <w:szCs w:val="22"/>
                <w:lang w:val="de-DE"/>
              </w:rPr>
              <w:t>Erhaltung</w:t>
            </w:r>
          </w:p>
          <w:p w14:paraId="178EE704" w14:textId="77777777" w:rsidR="003A33A6" w:rsidRPr="008A4F40" w:rsidRDefault="003A33A6" w:rsidP="004E7659">
            <w:pPr>
              <w:pStyle w:val="EndnoteText"/>
              <w:rPr>
                <w:color w:val="000000"/>
                <w:sz w:val="22"/>
                <w:szCs w:val="22"/>
                <w:lang w:val="de-DE"/>
              </w:rPr>
            </w:pPr>
            <w:r w:rsidRPr="008A4F40">
              <w:rPr>
                <w:color w:val="000000"/>
                <w:sz w:val="22"/>
                <w:szCs w:val="22"/>
                <w:lang w:val="de-DE"/>
              </w:rPr>
              <w:t>(8-Wochenzyklen)</w:t>
            </w:r>
          </w:p>
          <w:p w14:paraId="60414D35" w14:textId="77777777" w:rsidR="003A33A6" w:rsidRPr="008A4F40" w:rsidRDefault="003A33A6" w:rsidP="004E7659">
            <w:pPr>
              <w:pStyle w:val="EndnoteText"/>
              <w:rPr>
                <w:color w:val="000000"/>
                <w:sz w:val="22"/>
                <w:szCs w:val="22"/>
                <w:lang w:val="de-DE"/>
              </w:rPr>
            </w:pPr>
            <w:r w:rsidRPr="008A4F40">
              <w:rPr>
                <w:color w:val="000000"/>
                <w:sz w:val="22"/>
                <w:szCs w:val="22"/>
                <w:lang w:val="de-DE"/>
              </w:rPr>
              <w:t>Zyklus 5</w:t>
            </w:r>
          </w:p>
        </w:tc>
        <w:tc>
          <w:tcPr>
            <w:tcW w:w="6699" w:type="dxa"/>
            <w:gridSpan w:val="2"/>
            <w:tcPrChange w:id="607" w:author="Author">
              <w:tcPr>
                <w:tcW w:w="6923" w:type="dxa"/>
              </w:tcPr>
            </w:tcPrChange>
          </w:tcPr>
          <w:p w14:paraId="443BD268" w14:textId="77777777" w:rsidR="003A33A6" w:rsidRPr="008A4F40" w:rsidRDefault="003A33A6" w:rsidP="004E7659">
            <w:pPr>
              <w:pStyle w:val="EndnoteText"/>
              <w:rPr>
                <w:color w:val="000000"/>
                <w:sz w:val="22"/>
                <w:szCs w:val="22"/>
                <w:lang w:val="de-DE"/>
              </w:rPr>
            </w:pPr>
            <w:r w:rsidRPr="008A4F40">
              <w:rPr>
                <w:color w:val="000000"/>
                <w:sz w:val="22"/>
                <w:szCs w:val="22"/>
                <w:lang w:val="de-DE"/>
              </w:rPr>
              <w:t>Kraniale Bestrahlung (nur Block 5)</w:t>
            </w:r>
          </w:p>
          <w:p w14:paraId="4603A5B0" w14:textId="6F0554F4" w:rsidR="003A33A6" w:rsidRPr="008A4F40" w:rsidRDefault="003A33A6" w:rsidP="004E7659">
            <w:pPr>
              <w:pStyle w:val="EndnoteText"/>
              <w:rPr>
                <w:color w:val="000000"/>
                <w:sz w:val="22"/>
                <w:szCs w:val="22"/>
                <w:lang w:val="de-DE"/>
              </w:rPr>
            </w:pPr>
            <w:r w:rsidRPr="008A4F40">
              <w:rPr>
                <w:color w:val="000000"/>
                <w:sz w:val="22"/>
                <w:szCs w:val="22"/>
                <w:lang w:val="de-DE"/>
              </w:rPr>
              <w:t>12 Gy in 8 Fraktionen für alle Patienten mit CNS1 und CNS2 bei der Diagnose</w:t>
            </w:r>
          </w:p>
          <w:p w14:paraId="14F83CD6" w14:textId="77777777" w:rsidR="003A33A6" w:rsidRPr="008A4F40" w:rsidRDefault="003A33A6" w:rsidP="004E7659">
            <w:pPr>
              <w:pStyle w:val="EndnoteText"/>
              <w:rPr>
                <w:color w:val="000000"/>
                <w:sz w:val="22"/>
                <w:szCs w:val="22"/>
                <w:lang w:val="de-DE"/>
              </w:rPr>
            </w:pPr>
            <w:r w:rsidRPr="008A4F40">
              <w:rPr>
                <w:color w:val="000000"/>
                <w:sz w:val="22"/>
                <w:szCs w:val="22"/>
                <w:lang w:val="de-DE"/>
              </w:rPr>
              <w:t>18 Gy in 10 Fraktionen für Patienten mit CNS3 bei der Diagnose</w:t>
            </w:r>
          </w:p>
          <w:p w14:paraId="1242A6CD" w14:textId="77777777" w:rsidR="003A33A6" w:rsidRPr="008A4F40" w:rsidRDefault="003A33A6" w:rsidP="004E7659">
            <w:pPr>
              <w:pStyle w:val="EndnoteText"/>
              <w:rPr>
                <w:color w:val="000000"/>
                <w:sz w:val="22"/>
                <w:szCs w:val="22"/>
                <w:lang w:val="da-DK"/>
              </w:rPr>
            </w:pPr>
            <w:r w:rsidRPr="008A4F40">
              <w:rPr>
                <w:color w:val="000000"/>
                <w:sz w:val="22"/>
                <w:szCs w:val="22"/>
                <w:lang w:val="da-DK"/>
              </w:rPr>
              <w:t>VCR (1,5 mg/m</w:t>
            </w:r>
            <w:r w:rsidRPr="008A4F40">
              <w:rPr>
                <w:color w:val="000000"/>
                <w:sz w:val="22"/>
                <w:szCs w:val="22"/>
                <w:vertAlign w:val="superscript"/>
                <w:lang w:val="da-DK"/>
              </w:rPr>
              <w:t>2</w:t>
            </w:r>
            <w:r w:rsidRPr="008A4F40">
              <w:rPr>
                <w:color w:val="000000"/>
                <w:sz w:val="22"/>
                <w:szCs w:val="22"/>
                <w:lang w:val="da-DK"/>
              </w:rPr>
              <w:t>/Tag, i.v.): Tage 1, 29</w:t>
            </w:r>
          </w:p>
          <w:p w14:paraId="2205BDC6" w14:textId="5BD9510D" w:rsidR="003A33A6" w:rsidRPr="008A4F40" w:rsidRDefault="003A33A6" w:rsidP="004E7659">
            <w:pPr>
              <w:pStyle w:val="EndnoteText"/>
              <w:rPr>
                <w:color w:val="000000"/>
                <w:sz w:val="22"/>
                <w:szCs w:val="22"/>
                <w:lang w:val="da-DK"/>
              </w:rPr>
            </w:pPr>
            <w:r w:rsidRPr="008A4F40">
              <w:rPr>
                <w:color w:val="000000"/>
                <w:sz w:val="22"/>
                <w:szCs w:val="22"/>
                <w:lang w:val="da-DK"/>
              </w:rPr>
              <w:t>DEX (6 mg/m</w:t>
            </w:r>
            <w:r w:rsidRPr="008A4F40">
              <w:rPr>
                <w:color w:val="000000"/>
                <w:sz w:val="22"/>
                <w:szCs w:val="22"/>
                <w:vertAlign w:val="superscript"/>
                <w:lang w:val="da-DK"/>
              </w:rPr>
              <w:t>2</w:t>
            </w:r>
            <w:r w:rsidRPr="008A4F40">
              <w:rPr>
                <w:color w:val="000000"/>
                <w:sz w:val="22"/>
                <w:szCs w:val="22"/>
                <w:lang w:val="da-DK"/>
              </w:rPr>
              <w:t>/Tag, p.o.): Tage 1</w:t>
            </w:r>
            <w:r w:rsidRPr="008A4F40">
              <w:rPr>
                <w:color w:val="000000"/>
                <w:sz w:val="22"/>
                <w:szCs w:val="22"/>
                <w:lang w:val="da-DK"/>
              </w:rPr>
              <w:noBreakHyphen/>
              <w:t>5; 29</w:t>
            </w:r>
            <w:ins w:id="608" w:author="Author">
              <w:r w:rsidR="00EE2F71" w:rsidRPr="00EE2F71">
                <w:rPr>
                  <w:color w:val="000000"/>
                  <w:sz w:val="22"/>
                  <w:szCs w:val="22"/>
                  <w:lang w:val="da-DK"/>
                </w:rPr>
                <w:t>–</w:t>
              </w:r>
            </w:ins>
            <w:del w:id="609" w:author="Author">
              <w:r w:rsidRPr="008A4F40" w:rsidDel="00EE2F71">
                <w:rPr>
                  <w:color w:val="000000"/>
                  <w:sz w:val="22"/>
                  <w:szCs w:val="22"/>
                  <w:lang w:val="da-DK"/>
                </w:rPr>
                <w:noBreakHyphen/>
              </w:r>
            </w:del>
            <w:r w:rsidRPr="008A4F40">
              <w:rPr>
                <w:color w:val="000000"/>
                <w:sz w:val="22"/>
                <w:szCs w:val="22"/>
                <w:lang w:val="da-DK"/>
              </w:rPr>
              <w:t>33</w:t>
            </w:r>
          </w:p>
          <w:p w14:paraId="514E0A5A" w14:textId="4563CB36" w:rsidR="003A33A6" w:rsidRPr="008A4F40" w:rsidRDefault="003A33A6" w:rsidP="004E7659">
            <w:pPr>
              <w:pStyle w:val="EndnoteText"/>
              <w:rPr>
                <w:color w:val="000000"/>
                <w:sz w:val="22"/>
                <w:szCs w:val="22"/>
                <w:lang w:val="de-DE"/>
              </w:rPr>
            </w:pPr>
            <w:r w:rsidRPr="008A4F40">
              <w:rPr>
                <w:color w:val="000000"/>
                <w:sz w:val="22"/>
                <w:szCs w:val="22"/>
                <w:lang w:val="de-DE"/>
              </w:rPr>
              <w:t>6-MP (75 mg/m</w:t>
            </w:r>
            <w:r w:rsidRPr="008A4F40">
              <w:rPr>
                <w:color w:val="000000"/>
                <w:sz w:val="22"/>
                <w:szCs w:val="22"/>
                <w:vertAlign w:val="superscript"/>
                <w:lang w:val="de-DE"/>
              </w:rPr>
              <w:t>2</w:t>
            </w:r>
            <w:r w:rsidRPr="008A4F40">
              <w:rPr>
                <w:color w:val="000000"/>
                <w:sz w:val="22"/>
                <w:szCs w:val="22"/>
                <w:lang w:val="de-DE"/>
              </w:rPr>
              <w:t>/Tag, p.o.): Tage 11</w:t>
            </w:r>
            <w:ins w:id="610" w:author="Author">
              <w:r w:rsidR="00EE2F71" w:rsidRPr="00EE2F71">
                <w:rPr>
                  <w:color w:val="000000"/>
                  <w:sz w:val="22"/>
                  <w:szCs w:val="22"/>
                  <w:lang w:val="de-DE"/>
                </w:rPr>
                <w:t>–</w:t>
              </w:r>
            </w:ins>
            <w:del w:id="611" w:author="Author">
              <w:r w:rsidRPr="008A4F40" w:rsidDel="00EE2F71">
                <w:rPr>
                  <w:color w:val="000000"/>
                  <w:sz w:val="22"/>
                  <w:szCs w:val="22"/>
                  <w:lang w:val="de-DE"/>
                </w:rPr>
                <w:noBreakHyphen/>
              </w:r>
            </w:del>
            <w:r w:rsidRPr="008A4F40">
              <w:rPr>
                <w:color w:val="000000"/>
                <w:sz w:val="22"/>
                <w:szCs w:val="22"/>
                <w:lang w:val="de-DE"/>
              </w:rPr>
              <w:t>56 (Zurückhalten von 6-MP während der Tage 6</w:t>
            </w:r>
            <w:ins w:id="612" w:author="Author">
              <w:r w:rsidR="00553599" w:rsidRPr="002222CA">
                <w:rPr>
                  <w:color w:val="000000"/>
                  <w:sz w:val="22"/>
                  <w:szCs w:val="22"/>
                  <w:lang w:val="da-DK"/>
                </w:rPr>
                <w:t>–</w:t>
              </w:r>
            </w:ins>
            <w:del w:id="613" w:author="Author">
              <w:r w:rsidRPr="008A4F40" w:rsidDel="00553599">
                <w:rPr>
                  <w:color w:val="000000"/>
                  <w:sz w:val="22"/>
                  <w:szCs w:val="22"/>
                  <w:lang w:val="de-DE"/>
                </w:rPr>
                <w:noBreakHyphen/>
              </w:r>
            </w:del>
            <w:r w:rsidRPr="008A4F40">
              <w:rPr>
                <w:color w:val="000000"/>
                <w:sz w:val="22"/>
                <w:szCs w:val="22"/>
                <w:lang w:val="de-DE"/>
              </w:rPr>
              <w:t>10 mit kranialer Bestrahlung beginnend an Tag 1 von Zyklus 5. Beginn mit 6-MP am ersten Tag nach Beendigung der kranialen Bestrahlung.)</w:t>
            </w:r>
          </w:p>
          <w:p w14:paraId="39F00C17" w14:textId="77777777" w:rsidR="003A33A6" w:rsidRPr="008A4F40" w:rsidRDefault="003A33A6" w:rsidP="004E7659">
            <w:pPr>
              <w:pStyle w:val="EndnoteText"/>
              <w:rPr>
                <w:color w:val="000000"/>
                <w:sz w:val="22"/>
                <w:szCs w:val="22"/>
                <w:lang w:val="de-DE"/>
              </w:rPr>
            </w:pPr>
            <w:r w:rsidRPr="008A4F40">
              <w:rPr>
                <w:color w:val="000000"/>
                <w:sz w:val="22"/>
                <w:szCs w:val="22"/>
                <w:lang w:val="de-DE"/>
              </w:rPr>
              <w:t>Methotrexat (20 mg/m</w:t>
            </w:r>
            <w:r w:rsidRPr="008A4F40">
              <w:rPr>
                <w:color w:val="000000"/>
                <w:sz w:val="22"/>
                <w:szCs w:val="22"/>
                <w:vertAlign w:val="superscript"/>
                <w:lang w:val="de-DE"/>
              </w:rPr>
              <w:t>2</w:t>
            </w:r>
            <w:r w:rsidRPr="008A4F40">
              <w:rPr>
                <w:color w:val="000000"/>
                <w:sz w:val="22"/>
                <w:szCs w:val="22"/>
                <w:lang w:val="de-DE"/>
              </w:rPr>
              <w:t>/Woche, p.o.): Tage 8, 15, 22, 29, 36, 43, 50</w:t>
            </w:r>
          </w:p>
        </w:tc>
      </w:tr>
      <w:tr w:rsidR="003A33A6" w:rsidRPr="008A4F40" w14:paraId="18967FA8" w14:textId="77777777" w:rsidTr="00D1077B">
        <w:trPr>
          <w:cantSplit/>
          <w:trPrChange w:id="614" w:author="Author">
            <w:trPr>
              <w:gridAfter w:val="0"/>
              <w:cantSplit/>
            </w:trPr>
          </w:trPrChange>
        </w:trPr>
        <w:tc>
          <w:tcPr>
            <w:tcW w:w="2356" w:type="dxa"/>
            <w:tcPrChange w:id="615" w:author="Author">
              <w:tcPr>
                <w:tcW w:w="2358" w:type="dxa"/>
              </w:tcPr>
            </w:tcPrChange>
          </w:tcPr>
          <w:p w14:paraId="06BCCAE8" w14:textId="77777777" w:rsidR="003A33A6" w:rsidRPr="008A4F40" w:rsidRDefault="003A33A6" w:rsidP="004E7659">
            <w:pPr>
              <w:pStyle w:val="EndnoteText"/>
              <w:keepNext/>
              <w:rPr>
                <w:color w:val="000000"/>
                <w:sz w:val="22"/>
                <w:szCs w:val="22"/>
                <w:lang w:val="es-ES"/>
              </w:rPr>
            </w:pPr>
            <w:proofErr w:type="spellStart"/>
            <w:r w:rsidRPr="78EBE7F7">
              <w:rPr>
                <w:color w:val="000000" w:themeColor="text1"/>
                <w:sz w:val="22"/>
                <w:szCs w:val="22"/>
                <w:lang w:val="es-ES"/>
              </w:rPr>
              <w:t>Erhaltung</w:t>
            </w:r>
            <w:proofErr w:type="spellEnd"/>
          </w:p>
          <w:p w14:paraId="13C0E333" w14:textId="77777777" w:rsidR="003A33A6" w:rsidRPr="008A4F40" w:rsidRDefault="003A33A6" w:rsidP="004E7659">
            <w:pPr>
              <w:pStyle w:val="EndnoteText"/>
              <w:keepNext/>
              <w:rPr>
                <w:color w:val="000000"/>
                <w:sz w:val="22"/>
                <w:szCs w:val="22"/>
              </w:rPr>
            </w:pPr>
            <w:r w:rsidRPr="008A4F40">
              <w:rPr>
                <w:color w:val="000000"/>
                <w:sz w:val="22"/>
                <w:szCs w:val="22"/>
              </w:rPr>
              <w:t>(8-Wochenzyklen)</w:t>
            </w:r>
          </w:p>
          <w:p w14:paraId="69D8E8DA" w14:textId="77777777" w:rsidR="003A33A6" w:rsidRPr="008A4F40" w:rsidRDefault="003A33A6" w:rsidP="004E7659">
            <w:pPr>
              <w:pStyle w:val="EndnoteText"/>
              <w:keepNext/>
              <w:rPr>
                <w:color w:val="000000"/>
                <w:sz w:val="22"/>
                <w:szCs w:val="22"/>
                <w:lang w:val="es-ES"/>
              </w:rPr>
            </w:pPr>
            <w:proofErr w:type="spellStart"/>
            <w:r w:rsidRPr="78EBE7F7">
              <w:rPr>
                <w:color w:val="000000" w:themeColor="text1"/>
                <w:sz w:val="22"/>
                <w:szCs w:val="22"/>
                <w:lang w:val="es-ES"/>
              </w:rPr>
              <w:t>Zyklen</w:t>
            </w:r>
            <w:proofErr w:type="spellEnd"/>
            <w:r w:rsidRPr="78EBE7F7">
              <w:rPr>
                <w:color w:val="000000" w:themeColor="text1"/>
                <w:sz w:val="22"/>
                <w:szCs w:val="22"/>
                <w:lang w:val="es-ES"/>
              </w:rPr>
              <w:t> 612</w:t>
            </w:r>
          </w:p>
        </w:tc>
        <w:tc>
          <w:tcPr>
            <w:tcW w:w="6699" w:type="dxa"/>
            <w:gridSpan w:val="2"/>
            <w:tcPrChange w:id="616" w:author="Author">
              <w:tcPr>
                <w:tcW w:w="6923" w:type="dxa"/>
              </w:tcPr>
            </w:tcPrChange>
          </w:tcPr>
          <w:p w14:paraId="4169DE6B" w14:textId="77777777" w:rsidR="003A33A6" w:rsidRPr="008A4F40" w:rsidRDefault="003A33A6" w:rsidP="004E7659">
            <w:pPr>
              <w:pStyle w:val="EndnoteText"/>
              <w:keepNext/>
              <w:rPr>
                <w:color w:val="000000"/>
                <w:sz w:val="22"/>
                <w:szCs w:val="22"/>
                <w:lang w:val="da-DK"/>
              </w:rPr>
            </w:pPr>
            <w:r w:rsidRPr="008A4F40">
              <w:rPr>
                <w:color w:val="000000"/>
                <w:sz w:val="22"/>
                <w:szCs w:val="22"/>
                <w:lang w:val="da-DK"/>
              </w:rPr>
              <w:t>VCR (1,5 mg/m</w:t>
            </w:r>
            <w:r w:rsidRPr="008A4F40">
              <w:rPr>
                <w:color w:val="000000"/>
                <w:sz w:val="22"/>
                <w:szCs w:val="22"/>
                <w:vertAlign w:val="superscript"/>
                <w:lang w:val="da-DK"/>
              </w:rPr>
              <w:t>2</w:t>
            </w:r>
            <w:r w:rsidRPr="008A4F40">
              <w:rPr>
                <w:color w:val="000000"/>
                <w:sz w:val="22"/>
                <w:szCs w:val="22"/>
                <w:lang w:val="da-DK"/>
              </w:rPr>
              <w:t>/Tag, i.v.): Tage 1, 29</w:t>
            </w:r>
          </w:p>
          <w:p w14:paraId="158685F1" w14:textId="1F4647D2" w:rsidR="003A33A6" w:rsidRPr="008A4F40" w:rsidRDefault="003A33A6" w:rsidP="004E7659">
            <w:pPr>
              <w:pStyle w:val="EndnoteText"/>
              <w:keepNext/>
              <w:rPr>
                <w:color w:val="000000"/>
                <w:sz w:val="22"/>
                <w:szCs w:val="22"/>
                <w:lang w:val="da-DK"/>
              </w:rPr>
            </w:pPr>
            <w:r w:rsidRPr="008A4F40">
              <w:rPr>
                <w:color w:val="000000"/>
                <w:sz w:val="22"/>
                <w:szCs w:val="22"/>
                <w:lang w:val="da-DK"/>
              </w:rPr>
              <w:t>DEX (6 mg/m</w:t>
            </w:r>
            <w:r w:rsidRPr="008A4F40">
              <w:rPr>
                <w:color w:val="000000"/>
                <w:sz w:val="22"/>
                <w:szCs w:val="22"/>
                <w:vertAlign w:val="superscript"/>
                <w:lang w:val="da-DK"/>
              </w:rPr>
              <w:t>2</w:t>
            </w:r>
            <w:r w:rsidRPr="008A4F40">
              <w:rPr>
                <w:color w:val="000000"/>
                <w:sz w:val="22"/>
                <w:szCs w:val="22"/>
                <w:lang w:val="da-DK"/>
              </w:rPr>
              <w:t>/Tag, p.o.): Tage 1</w:t>
            </w:r>
            <w:ins w:id="617" w:author="Author">
              <w:r w:rsidR="00EE2F71" w:rsidRPr="00EE2F71">
                <w:rPr>
                  <w:color w:val="000000"/>
                  <w:sz w:val="22"/>
                  <w:szCs w:val="22"/>
                  <w:lang w:val="da-DK"/>
                </w:rPr>
                <w:t>–</w:t>
              </w:r>
            </w:ins>
            <w:del w:id="618" w:author="Author">
              <w:r w:rsidRPr="008A4F40" w:rsidDel="00EE2F71">
                <w:rPr>
                  <w:color w:val="000000"/>
                  <w:sz w:val="22"/>
                  <w:szCs w:val="22"/>
                  <w:lang w:val="da-DK"/>
                </w:rPr>
                <w:noBreakHyphen/>
              </w:r>
            </w:del>
            <w:r w:rsidRPr="008A4F40">
              <w:rPr>
                <w:color w:val="000000"/>
                <w:sz w:val="22"/>
                <w:szCs w:val="22"/>
                <w:lang w:val="da-DK"/>
              </w:rPr>
              <w:t>5; 29</w:t>
            </w:r>
            <w:ins w:id="619" w:author="Author">
              <w:r w:rsidR="00EE2F71" w:rsidRPr="00EE2F71">
                <w:rPr>
                  <w:color w:val="000000"/>
                  <w:sz w:val="22"/>
                  <w:szCs w:val="22"/>
                  <w:lang w:val="da-DK"/>
                </w:rPr>
                <w:t>–</w:t>
              </w:r>
            </w:ins>
            <w:del w:id="620" w:author="Author">
              <w:r w:rsidRPr="008A4F40" w:rsidDel="00EE2F71">
                <w:rPr>
                  <w:color w:val="000000"/>
                  <w:sz w:val="22"/>
                  <w:szCs w:val="22"/>
                  <w:lang w:val="da-DK"/>
                </w:rPr>
                <w:noBreakHyphen/>
              </w:r>
            </w:del>
            <w:r w:rsidRPr="008A4F40">
              <w:rPr>
                <w:color w:val="000000"/>
                <w:sz w:val="22"/>
                <w:szCs w:val="22"/>
                <w:lang w:val="da-DK"/>
              </w:rPr>
              <w:t>33</w:t>
            </w:r>
          </w:p>
          <w:p w14:paraId="64CD2492" w14:textId="1DEF7E0D" w:rsidR="003A33A6" w:rsidRPr="008A4F40" w:rsidRDefault="003A33A6" w:rsidP="004E7659">
            <w:pPr>
              <w:pStyle w:val="EndnoteText"/>
              <w:keepNext/>
              <w:rPr>
                <w:color w:val="000000"/>
                <w:sz w:val="22"/>
                <w:szCs w:val="22"/>
                <w:lang w:val="da-DK"/>
              </w:rPr>
            </w:pPr>
            <w:r w:rsidRPr="008A4F40">
              <w:rPr>
                <w:color w:val="000000"/>
                <w:sz w:val="22"/>
                <w:szCs w:val="22"/>
                <w:lang w:val="da-DK"/>
              </w:rPr>
              <w:t>6-MP (75 mg/m</w:t>
            </w:r>
            <w:r w:rsidRPr="008A4F40">
              <w:rPr>
                <w:color w:val="000000"/>
                <w:sz w:val="22"/>
                <w:szCs w:val="22"/>
                <w:vertAlign w:val="superscript"/>
                <w:lang w:val="da-DK"/>
              </w:rPr>
              <w:t>2</w:t>
            </w:r>
            <w:r w:rsidRPr="008A4F40">
              <w:rPr>
                <w:color w:val="000000"/>
                <w:sz w:val="22"/>
                <w:szCs w:val="22"/>
                <w:lang w:val="da-DK"/>
              </w:rPr>
              <w:t>/Tag, p.o.): Tage 1</w:t>
            </w:r>
            <w:ins w:id="621" w:author="Author">
              <w:r w:rsidR="00EE2F71" w:rsidRPr="00EE2F71">
                <w:rPr>
                  <w:color w:val="000000"/>
                  <w:sz w:val="22"/>
                  <w:szCs w:val="22"/>
                  <w:lang w:val="da-DK"/>
                </w:rPr>
                <w:t>–</w:t>
              </w:r>
            </w:ins>
            <w:del w:id="622" w:author="Author">
              <w:r w:rsidRPr="008A4F40" w:rsidDel="00EE2F71">
                <w:rPr>
                  <w:color w:val="000000"/>
                  <w:sz w:val="22"/>
                  <w:szCs w:val="22"/>
                  <w:lang w:val="da-DK"/>
                </w:rPr>
                <w:noBreakHyphen/>
              </w:r>
            </w:del>
            <w:r w:rsidRPr="008A4F40">
              <w:rPr>
                <w:color w:val="000000"/>
                <w:sz w:val="22"/>
                <w:szCs w:val="22"/>
                <w:lang w:val="da-DK"/>
              </w:rPr>
              <w:t>56</w:t>
            </w:r>
          </w:p>
          <w:p w14:paraId="2D00F3D2" w14:textId="77777777" w:rsidR="003A33A6" w:rsidRPr="008A4F40" w:rsidRDefault="003A33A6" w:rsidP="004E7659">
            <w:pPr>
              <w:pStyle w:val="EndnoteText"/>
              <w:keepNext/>
              <w:rPr>
                <w:color w:val="000000"/>
                <w:sz w:val="22"/>
                <w:szCs w:val="22"/>
                <w:lang w:val="de-CH"/>
              </w:rPr>
            </w:pPr>
            <w:r w:rsidRPr="008A4F40">
              <w:rPr>
                <w:color w:val="000000"/>
                <w:sz w:val="22"/>
                <w:szCs w:val="22"/>
                <w:lang w:val="de-DE"/>
              </w:rPr>
              <w:t>Methotrexat (20 mg/m</w:t>
            </w:r>
            <w:r w:rsidRPr="008A4F40">
              <w:rPr>
                <w:color w:val="000000"/>
                <w:sz w:val="22"/>
                <w:szCs w:val="22"/>
                <w:vertAlign w:val="superscript"/>
                <w:lang w:val="de-DE"/>
              </w:rPr>
              <w:t>2</w:t>
            </w:r>
            <w:r w:rsidRPr="008A4F40">
              <w:rPr>
                <w:color w:val="000000"/>
                <w:sz w:val="22"/>
                <w:szCs w:val="22"/>
                <w:lang w:val="de-DE"/>
              </w:rPr>
              <w:t>/Woche, p.o.): Tage 1, 8, 15, 22, 29, 36, 43, 50</w:t>
            </w:r>
          </w:p>
        </w:tc>
      </w:tr>
      <w:tr w:rsidR="008A10B3" w:rsidRPr="008A4F40" w14:paraId="268199B0" w14:textId="77777777" w:rsidTr="78EBE7F7">
        <w:trPr>
          <w:gridAfter w:val="1"/>
          <w:wAfter w:w="39" w:type="dxa"/>
          <w:cantSplit/>
          <w:ins w:id="623" w:author="Author"/>
        </w:trPr>
        <w:tc>
          <w:tcPr>
            <w:tcW w:w="9055" w:type="dxa"/>
            <w:gridSpan w:val="2"/>
          </w:tcPr>
          <w:p w14:paraId="7859C258" w14:textId="4AB14381" w:rsidR="008A10B3" w:rsidRPr="00D1077B" w:rsidRDefault="008A10B3" w:rsidP="004E7659">
            <w:pPr>
              <w:pStyle w:val="EndnoteText"/>
              <w:keepLines/>
              <w:rPr>
                <w:ins w:id="624" w:author="Author"/>
                <w:color w:val="000000"/>
                <w:sz w:val="20"/>
                <w:lang w:val="de-DE"/>
                <w:rPrChange w:id="625" w:author="Author">
                  <w:rPr>
                    <w:ins w:id="626" w:author="Author"/>
                    <w:color w:val="000000"/>
                    <w:sz w:val="22"/>
                    <w:szCs w:val="22"/>
                    <w:lang w:val="de-DE"/>
                  </w:rPr>
                </w:rPrChange>
              </w:rPr>
            </w:pPr>
            <w:ins w:id="627" w:author="Author">
              <w:r w:rsidRPr="00D1077B">
                <w:rPr>
                  <w:color w:val="000000"/>
                  <w:sz w:val="20"/>
                  <w:lang w:val="de-DE"/>
                  <w:rPrChange w:id="628" w:author="Author">
                    <w:rPr>
                      <w:color w:val="000000"/>
                      <w:sz w:val="22"/>
                      <w:szCs w:val="22"/>
                      <w:lang w:val="de-DE"/>
                    </w:rPr>
                  </w:rPrChange>
                </w:rPr>
                <w:t>G-CSF = Granulozyten</w:t>
              </w:r>
              <w:r w:rsidRPr="00D1077B">
                <w:rPr>
                  <w:color w:val="000000"/>
                  <w:sz w:val="20"/>
                  <w:lang w:val="de-DE"/>
                  <w:rPrChange w:id="629" w:author="Author">
                    <w:rPr>
                      <w:color w:val="000000"/>
                      <w:sz w:val="22"/>
                      <w:szCs w:val="22"/>
                      <w:lang w:val="de-DE"/>
                    </w:rPr>
                  </w:rPrChange>
                </w:rPr>
                <w:noBreakHyphen/>
                <w:t>Kolonie stimulierender Faktor, VP</w:t>
              </w:r>
              <w:r w:rsidRPr="00D1077B">
                <w:rPr>
                  <w:color w:val="000000"/>
                  <w:sz w:val="20"/>
                  <w:lang w:val="de-DE"/>
                  <w:rPrChange w:id="630" w:author="Author">
                    <w:rPr>
                      <w:color w:val="000000"/>
                      <w:sz w:val="22"/>
                      <w:szCs w:val="22"/>
                      <w:lang w:val="de-DE"/>
                    </w:rPr>
                  </w:rPrChange>
                </w:rPr>
                <w:noBreakHyphen/>
                <w:t>16 = Etoposid, MTX = Methotrexat, i.v. = intravenös, s.c. = subkutan, i.th. = intrathekal, p.o. = oral, i.m. = intramuskulär, ARA</w:t>
              </w:r>
              <w:r w:rsidRPr="00D1077B">
                <w:rPr>
                  <w:color w:val="000000"/>
                  <w:sz w:val="20"/>
                  <w:lang w:val="de-DE"/>
                  <w:rPrChange w:id="631" w:author="Author">
                    <w:rPr>
                      <w:color w:val="000000"/>
                      <w:sz w:val="22"/>
                      <w:szCs w:val="22"/>
                      <w:lang w:val="de-DE"/>
                    </w:rPr>
                  </w:rPrChange>
                </w:rPr>
                <w:noBreakHyphen/>
                <w:t>C = Cytarabin, CPM = Cyclophosphamid, VCR = Vincristin, DEX = Dexamethason, DAUN = Daunorubicin, 6</w:t>
              </w:r>
              <w:r w:rsidRPr="00D1077B">
                <w:rPr>
                  <w:color w:val="000000"/>
                  <w:sz w:val="20"/>
                  <w:lang w:val="de-DE"/>
                  <w:rPrChange w:id="632" w:author="Author">
                    <w:rPr>
                      <w:color w:val="000000"/>
                      <w:sz w:val="22"/>
                      <w:szCs w:val="22"/>
                      <w:lang w:val="de-DE"/>
                    </w:rPr>
                  </w:rPrChange>
                </w:rPr>
                <w:noBreakHyphen/>
                <w:t>MP = 6</w:t>
              </w:r>
              <w:r w:rsidRPr="00D1077B">
                <w:rPr>
                  <w:color w:val="000000"/>
                  <w:sz w:val="20"/>
                  <w:vertAlign w:val="subscript"/>
                  <w:lang w:val="de-DE"/>
                  <w:rPrChange w:id="633" w:author="Author">
                    <w:rPr>
                      <w:color w:val="000000"/>
                      <w:sz w:val="22"/>
                      <w:szCs w:val="22"/>
                      <w:vertAlign w:val="subscript"/>
                      <w:lang w:val="de-DE"/>
                    </w:rPr>
                  </w:rPrChange>
                </w:rPr>
                <w:noBreakHyphen/>
              </w:r>
              <w:r w:rsidRPr="00D1077B">
                <w:rPr>
                  <w:color w:val="000000"/>
                  <w:sz w:val="20"/>
                  <w:lang w:val="de-DE"/>
                  <w:rPrChange w:id="634" w:author="Author">
                    <w:rPr>
                      <w:color w:val="000000"/>
                      <w:sz w:val="22"/>
                      <w:szCs w:val="22"/>
                      <w:lang w:val="de-DE"/>
                    </w:rPr>
                  </w:rPrChange>
                </w:rPr>
                <w:t>Mercaptopurin, E.Coli L</w:t>
              </w:r>
              <w:r w:rsidRPr="00D1077B">
                <w:rPr>
                  <w:color w:val="000000"/>
                  <w:sz w:val="20"/>
                  <w:lang w:val="de-DE"/>
                  <w:rPrChange w:id="635" w:author="Author">
                    <w:rPr>
                      <w:color w:val="000000"/>
                      <w:sz w:val="22"/>
                      <w:szCs w:val="22"/>
                      <w:lang w:val="de-DE"/>
                    </w:rPr>
                  </w:rPrChange>
                </w:rPr>
                <w:noBreakHyphen/>
                <w:t>ASP = L</w:t>
              </w:r>
              <w:r w:rsidRPr="00D1077B">
                <w:rPr>
                  <w:color w:val="000000"/>
                  <w:sz w:val="20"/>
                  <w:lang w:val="de-DE"/>
                  <w:rPrChange w:id="636" w:author="Author">
                    <w:rPr>
                      <w:color w:val="000000"/>
                      <w:sz w:val="22"/>
                      <w:szCs w:val="22"/>
                      <w:lang w:val="de-DE"/>
                    </w:rPr>
                  </w:rPrChange>
                </w:rPr>
                <w:noBreakHyphen/>
                <w:t>Asparaginase, PEG</w:t>
              </w:r>
              <w:r w:rsidRPr="00D1077B">
                <w:rPr>
                  <w:color w:val="000000"/>
                  <w:sz w:val="20"/>
                  <w:lang w:val="de-DE"/>
                  <w:rPrChange w:id="637" w:author="Author">
                    <w:rPr>
                      <w:color w:val="000000"/>
                      <w:sz w:val="22"/>
                      <w:szCs w:val="22"/>
                      <w:lang w:val="de-DE"/>
                    </w:rPr>
                  </w:rPrChange>
                </w:rPr>
                <w:noBreakHyphen/>
                <w:t>ASP = PEG Asparaginase, MESNA = Natrium</w:t>
              </w:r>
              <w:r w:rsidRPr="00D1077B">
                <w:rPr>
                  <w:color w:val="000000"/>
                  <w:sz w:val="20"/>
                  <w:lang w:val="de-DE"/>
                  <w:rPrChange w:id="638" w:author="Author">
                    <w:rPr>
                      <w:color w:val="000000"/>
                      <w:sz w:val="22"/>
                      <w:szCs w:val="22"/>
                      <w:lang w:val="de-DE"/>
                    </w:rPr>
                  </w:rPrChange>
                </w:rPr>
                <w:noBreakHyphen/>
                <w:t>2</w:t>
              </w:r>
              <w:r w:rsidRPr="00D1077B">
                <w:rPr>
                  <w:color w:val="000000"/>
                  <w:sz w:val="20"/>
                  <w:lang w:val="de-DE"/>
                  <w:rPrChange w:id="639" w:author="Author">
                    <w:rPr>
                      <w:color w:val="000000"/>
                      <w:sz w:val="22"/>
                      <w:szCs w:val="22"/>
                      <w:lang w:val="de-DE"/>
                    </w:rPr>
                  </w:rPrChange>
                </w:rPr>
                <w:noBreakHyphen/>
                <w:t>mercapto</w:t>
              </w:r>
              <w:r w:rsidRPr="00D1077B">
                <w:rPr>
                  <w:color w:val="000000"/>
                  <w:sz w:val="20"/>
                  <w:lang w:val="de-DE"/>
                  <w:rPrChange w:id="640" w:author="Author">
                    <w:rPr>
                      <w:color w:val="000000"/>
                      <w:sz w:val="22"/>
                      <w:szCs w:val="22"/>
                      <w:lang w:val="de-DE"/>
                    </w:rPr>
                  </w:rPrChange>
                </w:rPr>
                <w:noBreakHyphen/>
                <w:t>ethansulfonat, iii = oder bis MTX</w:t>
              </w:r>
              <w:r w:rsidRPr="00D1077B">
                <w:rPr>
                  <w:color w:val="000000"/>
                  <w:sz w:val="20"/>
                  <w:lang w:val="de-DE"/>
                  <w:rPrChange w:id="641" w:author="Author">
                    <w:rPr>
                      <w:color w:val="000000"/>
                      <w:sz w:val="22"/>
                      <w:szCs w:val="22"/>
                      <w:lang w:val="de-DE"/>
                    </w:rPr>
                  </w:rPrChange>
                </w:rPr>
                <w:noBreakHyphen/>
                <w:t>Spiegel &lt; 0,1 µM ist, q6h = alle 6 Stunden, Gy = Gray</w:t>
              </w:r>
            </w:ins>
          </w:p>
        </w:tc>
      </w:tr>
    </w:tbl>
    <w:p w14:paraId="60AC04A1" w14:textId="78344191" w:rsidR="003A33A6" w:rsidRPr="008A4F40" w:rsidDel="008A10B3" w:rsidRDefault="003A33A6" w:rsidP="004E7659">
      <w:pPr>
        <w:pStyle w:val="EndnoteText"/>
        <w:keepLines/>
        <w:rPr>
          <w:del w:id="642" w:author="Author"/>
          <w:color w:val="000000"/>
          <w:sz w:val="22"/>
          <w:szCs w:val="22"/>
          <w:lang w:val="de-DE"/>
        </w:rPr>
      </w:pPr>
      <w:del w:id="643" w:author="Author">
        <w:r w:rsidRPr="008A4F40" w:rsidDel="008A10B3">
          <w:rPr>
            <w:color w:val="000000"/>
            <w:sz w:val="22"/>
            <w:szCs w:val="22"/>
            <w:lang w:val="de-DE"/>
          </w:rPr>
          <w:delText>G-CSF = Granulozyten-Kolonie stimulierender Faktor, VP-16 = Etoposid, MTX = Methotrexat, i.v. = intravenös, s.c. = subkutan, i.th. = intrathekal, p.o. = oral, i.m. = intramuskulär, ARA-C = Cytarabin, CPM = Cyclophosphamid, VCR = Vincristin, DEX = Dexamethason, DAUN = Daunorubicin, 6-MP = 6-Mercaptopurin, E.Coli L-ASP = L-Asparaginase, PEG-ASP = PEG Asparaginase, MESNA= Natrium-2-mercapto-ethansulfonat, iii= oder bis MTX-Spiegel &lt; 0,1 µM ist, q6h = alle 6 Stunden, Gy= Gray</w:delText>
        </w:r>
      </w:del>
    </w:p>
    <w:p w14:paraId="423A81F5" w14:textId="77777777" w:rsidR="003A33A6" w:rsidRPr="008A4F40" w:rsidRDefault="003A33A6" w:rsidP="004E7659">
      <w:pPr>
        <w:pStyle w:val="EndnoteText"/>
        <w:rPr>
          <w:color w:val="000000"/>
          <w:sz w:val="22"/>
          <w:szCs w:val="22"/>
          <w:lang w:val="de-DE"/>
        </w:rPr>
      </w:pPr>
    </w:p>
    <w:p w14:paraId="59987C4E" w14:textId="77777777" w:rsidR="003A33A6" w:rsidRPr="008A4F40" w:rsidRDefault="003A33A6" w:rsidP="004E7659">
      <w:pPr>
        <w:pStyle w:val="EndnoteText"/>
        <w:rPr>
          <w:color w:val="000000"/>
          <w:sz w:val="22"/>
          <w:szCs w:val="22"/>
          <w:lang w:val="de-DE"/>
        </w:rPr>
      </w:pPr>
      <w:r w:rsidRPr="008A4F40">
        <w:rPr>
          <w:color w:val="000000"/>
          <w:sz w:val="22"/>
          <w:szCs w:val="22"/>
          <w:lang w:val="de-DE"/>
        </w:rPr>
        <w:t>Die Studie AIT07 war eine multizentrische, offene, randomisierte Phase-II/III-Studie, die 128 Patienten (1 bis &lt; 18 Jahren) einschloss, die mit Imatinib in Kombination mit einer Chemotherapie behandelt wurden. Sicherheitsdaten dieser Studie scheinen in Einklang mit dem Sicherheitsprofil von Imatinib bei Patienten mit Ph+ ALL zu sein.</w:t>
      </w:r>
    </w:p>
    <w:p w14:paraId="49E5902E" w14:textId="77777777" w:rsidR="003A33A6" w:rsidRPr="008A4F40" w:rsidRDefault="003A33A6" w:rsidP="004E7659">
      <w:pPr>
        <w:pStyle w:val="EndnoteText"/>
        <w:rPr>
          <w:color w:val="000000"/>
          <w:sz w:val="22"/>
          <w:szCs w:val="22"/>
          <w:lang w:val="de-DE"/>
        </w:rPr>
      </w:pPr>
    </w:p>
    <w:p w14:paraId="423A5A47" w14:textId="50CC923C" w:rsidR="00072317" w:rsidRPr="008A4F40" w:rsidRDefault="003A33A6" w:rsidP="004E7659">
      <w:pPr>
        <w:keepNext/>
        <w:rPr>
          <w:i/>
          <w:color w:val="000000"/>
          <w:sz w:val="22"/>
          <w:szCs w:val="22"/>
          <w:u w:val="single"/>
        </w:rPr>
      </w:pPr>
      <w:r w:rsidRPr="008A4F40">
        <w:rPr>
          <w:i/>
          <w:color w:val="000000"/>
          <w:sz w:val="22"/>
          <w:szCs w:val="22"/>
          <w:u w:val="single"/>
        </w:rPr>
        <w:t>Rezidivierende/refraktäre Ph+ </w:t>
      </w:r>
      <w:smartTag w:uri="urn:schemas-microsoft-com:office:smarttags" w:element="stockticker">
        <w:r w:rsidRPr="008A4F40">
          <w:rPr>
            <w:i/>
            <w:color w:val="000000"/>
            <w:sz w:val="22"/>
            <w:szCs w:val="22"/>
            <w:u w:val="single"/>
          </w:rPr>
          <w:t>ALL</w:t>
        </w:r>
      </w:smartTag>
    </w:p>
    <w:p w14:paraId="06D9185F" w14:textId="1F029C7E" w:rsidR="003A33A6" w:rsidRPr="008A4F40" w:rsidRDefault="003A33A6" w:rsidP="004E7659">
      <w:pPr>
        <w:rPr>
          <w:color w:val="000000"/>
          <w:sz w:val="22"/>
          <w:szCs w:val="22"/>
        </w:rPr>
      </w:pPr>
      <w:r w:rsidRPr="008A4F40">
        <w:rPr>
          <w:color w:val="000000"/>
          <w:sz w:val="22"/>
          <w:szCs w:val="22"/>
        </w:rPr>
        <w:t>Die Anwendung von Imatinib als Monotherapie bei Patienten mit rezidivierender/refraktärer Ph+ </w:t>
      </w:r>
      <w:smartTag w:uri="urn:schemas-microsoft-com:office:smarttags" w:element="stockticker">
        <w:r w:rsidRPr="008A4F40">
          <w:rPr>
            <w:color w:val="000000"/>
            <w:sz w:val="22"/>
            <w:szCs w:val="22"/>
          </w:rPr>
          <w:t>ALL</w:t>
        </w:r>
      </w:smartTag>
      <w:r w:rsidRPr="008A4F40">
        <w:rPr>
          <w:color w:val="000000"/>
          <w:sz w:val="22"/>
          <w:szCs w:val="22"/>
        </w:rPr>
        <w:t xml:space="preserve"> ergab bei 53 von 411 Patienten, die hinsichtlich eines Ansprechens auswertbar waren, eine hämatologische Ansprechrate von 30% (9% komplettes Ansprechen) und eine gute zytogenetische Ansprechrate von 23%. (Von den 411 Patienten wurden 353 in einem „expanded access program“ ohne Sammlung der primären Ansprechdaten behandelt.) Die mediane Zeit bis zum Fortschreiten der Erkrankung reichte bei der Gesamtpopulation von 411 Patienten mit rezidivierender/refraktärer Ph+ </w:t>
      </w:r>
      <w:smartTag w:uri="urn:schemas-microsoft-com:office:smarttags" w:element="stockticker">
        <w:r w:rsidRPr="008A4F40">
          <w:rPr>
            <w:color w:val="000000"/>
            <w:sz w:val="22"/>
            <w:szCs w:val="22"/>
          </w:rPr>
          <w:t>ALL</w:t>
        </w:r>
      </w:smartTag>
      <w:r w:rsidRPr="008A4F40">
        <w:rPr>
          <w:color w:val="000000"/>
          <w:sz w:val="22"/>
          <w:szCs w:val="22"/>
        </w:rPr>
        <w:t xml:space="preserve"> von 2,6 bis 3,1 Monaten, und das mediane Gesamtüberleben bei den 401 auswertbaren Patienten reichte von 4,9 bis 9 Monaten. Die Daten waren ähnlich, wenn bei einer Re-Analyse nur Patienten eingeschlossen wurden, die 55 Jahre oder älter waren.</w:t>
      </w:r>
    </w:p>
    <w:p w14:paraId="518897F4" w14:textId="77777777" w:rsidR="003A33A6" w:rsidRPr="008A4F40" w:rsidRDefault="003A33A6" w:rsidP="004E7659">
      <w:pPr>
        <w:rPr>
          <w:color w:val="000000"/>
          <w:sz w:val="22"/>
          <w:szCs w:val="22"/>
        </w:rPr>
      </w:pPr>
    </w:p>
    <w:p w14:paraId="003A4243" w14:textId="314701AF" w:rsidR="003A33A6" w:rsidRPr="008A4F40" w:rsidRDefault="003A33A6" w:rsidP="004E7659">
      <w:pPr>
        <w:keepNext/>
        <w:rPr>
          <w:color w:val="000000"/>
          <w:sz w:val="22"/>
          <w:szCs w:val="22"/>
          <w:u w:val="single"/>
        </w:rPr>
      </w:pPr>
      <w:r w:rsidRPr="008A4F40">
        <w:rPr>
          <w:color w:val="000000"/>
          <w:sz w:val="22"/>
          <w:szCs w:val="22"/>
          <w:u w:val="single"/>
        </w:rPr>
        <w:t xml:space="preserve">Klinische Studien bei </w:t>
      </w:r>
      <w:smartTag w:uri="urn:schemas-microsoft-com:office:smarttags" w:element="stockticker">
        <w:r w:rsidRPr="008A4F40">
          <w:rPr>
            <w:color w:val="000000"/>
            <w:sz w:val="22"/>
            <w:szCs w:val="22"/>
            <w:u w:val="single"/>
          </w:rPr>
          <w:t>MDS</w:t>
        </w:r>
      </w:smartTag>
      <w:r w:rsidRPr="008A4F40">
        <w:rPr>
          <w:color w:val="000000"/>
          <w:sz w:val="22"/>
          <w:szCs w:val="22"/>
          <w:u w:val="single"/>
        </w:rPr>
        <w:t>/MPD</w:t>
      </w:r>
    </w:p>
    <w:p w14:paraId="0C18725D" w14:textId="77777777" w:rsidR="00072317" w:rsidRPr="008A4F40" w:rsidRDefault="00072317" w:rsidP="004E7659">
      <w:pPr>
        <w:keepNext/>
        <w:rPr>
          <w:color w:val="000000"/>
          <w:sz w:val="22"/>
          <w:szCs w:val="22"/>
          <w:u w:val="single"/>
        </w:rPr>
      </w:pPr>
    </w:p>
    <w:p w14:paraId="560CB6EA" w14:textId="77777777" w:rsidR="007F485A" w:rsidRPr="008A4F40" w:rsidRDefault="007F485A" w:rsidP="004E7659">
      <w:pPr>
        <w:rPr>
          <w:color w:val="000000"/>
          <w:sz w:val="22"/>
          <w:szCs w:val="22"/>
        </w:rPr>
      </w:pPr>
      <w:r w:rsidRPr="008A4F40">
        <w:rPr>
          <w:color w:val="000000"/>
          <w:sz w:val="22"/>
          <w:szCs w:val="22"/>
        </w:rPr>
        <w:t xml:space="preserve">Erfahrungen mit Glivec in dieser Indikation sind sehr begrenzt. Sie beruhen auf den hämatologischen und zytogenetischen Ansprechraten. Es gibt keine kontrollierten Studien, die einen klinischen Nutzen oder ein verlängertes Überleben zeigen. Es wurde eine offene, multizentrische Phase-II-Studie (Studie B2225) durchgeführt, in der Glivec bei Patienten mit verschiedenen lebensbedrohlichen Erkrankungen in Verbindung mit Abl-, Kit- oder PDGFR-Protein-Tyrosinkinasen untersucht wurde. In diese Studie waren 7 Patienten mit </w:t>
      </w:r>
      <w:smartTag w:uri="urn:schemas-microsoft-com:office:smarttags" w:element="stockticker">
        <w:r w:rsidRPr="008A4F40">
          <w:rPr>
            <w:color w:val="000000"/>
            <w:sz w:val="22"/>
            <w:szCs w:val="22"/>
          </w:rPr>
          <w:t>MDS</w:t>
        </w:r>
      </w:smartTag>
      <w:r w:rsidRPr="008A4F40">
        <w:rPr>
          <w:color w:val="000000"/>
          <w:sz w:val="22"/>
          <w:szCs w:val="22"/>
        </w:rPr>
        <w:t>/MPD eingeschlossen, die mit täglich 400 mg Glivec behandelt wurden. Drei Patienten hatten eine komplette hämatologische Remission (</w:t>
      </w:r>
      <w:smartTag w:uri="urn:schemas-microsoft-com:office:smarttags" w:element="stockticker">
        <w:r w:rsidRPr="008A4F40">
          <w:rPr>
            <w:color w:val="000000"/>
            <w:sz w:val="22"/>
            <w:szCs w:val="22"/>
          </w:rPr>
          <w:t>CHR</w:t>
        </w:r>
      </w:smartTag>
      <w:r w:rsidRPr="008A4F40">
        <w:rPr>
          <w:color w:val="000000"/>
          <w:sz w:val="22"/>
          <w:szCs w:val="22"/>
        </w:rPr>
        <w:t>) und ein Patient eine partielle hämatologische Remission (</w:t>
      </w:r>
      <w:smartTag w:uri="urn:schemas-microsoft-com:office:smarttags" w:element="stockticker">
        <w:r w:rsidRPr="008A4F40">
          <w:rPr>
            <w:color w:val="000000"/>
            <w:sz w:val="22"/>
            <w:szCs w:val="22"/>
          </w:rPr>
          <w:t>PHR</w:t>
        </w:r>
      </w:smartTag>
      <w:r w:rsidRPr="008A4F40">
        <w:rPr>
          <w:color w:val="000000"/>
          <w:sz w:val="22"/>
          <w:szCs w:val="22"/>
        </w:rPr>
        <w:t>). Zum Zeitpunkt der ursprünglichen Analyse entwickelten drei von vier Patienten mit entdeckter PDGFR-Genumlagerung eine hämatologische Remission (2 </w:t>
      </w:r>
      <w:smartTag w:uri="urn:schemas-microsoft-com:office:smarttags" w:element="stockticker">
        <w:r w:rsidRPr="008A4F40">
          <w:rPr>
            <w:color w:val="000000"/>
            <w:sz w:val="22"/>
            <w:szCs w:val="22"/>
          </w:rPr>
          <w:t>CHR</w:t>
        </w:r>
      </w:smartTag>
      <w:r w:rsidRPr="008A4F40">
        <w:rPr>
          <w:color w:val="000000"/>
          <w:sz w:val="22"/>
          <w:szCs w:val="22"/>
        </w:rPr>
        <w:t xml:space="preserve"> und 1 </w:t>
      </w:r>
      <w:smartTag w:uri="urn:schemas-microsoft-com:office:smarttags" w:element="stockticker">
        <w:r w:rsidRPr="008A4F40">
          <w:rPr>
            <w:color w:val="000000"/>
            <w:sz w:val="22"/>
            <w:szCs w:val="22"/>
          </w:rPr>
          <w:t>PHR</w:t>
        </w:r>
      </w:smartTag>
      <w:r w:rsidRPr="008A4F40">
        <w:rPr>
          <w:color w:val="000000"/>
          <w:sz w:val="22"/>
          <w:szCs w:val="22"/>
        </w:rPr>
        <w:t>). Das Alter dieser Patienten betrug 20 bis 72 Jahre.</w:t>
      </w:r>
    </w:p>
    <w:p w14:paraId="40D22027" w14:textId="77777777" w:rsidR="007F485A" w:rsidRPr="008A4F40" w:rsidRDefault="007F485A" w:rsidP="004E7659">
      <w:pPr>
        <w:rPr>
          <w:color w:val="000000"/>
          <w:sz w:val="22"/>
          <w:szCs w:val="22"/>
        </w:rPr>
      </w:pPr>
    </w:p>
    <w:p w14:paraId="582844AB" w14:textId="77777777" w:rsidR="007F485A" w:rsidRPr="008A4F40" w:rsidRDefault="007F485A" w:rsidP="004E7659">
      <w:pPr>
        <w:rPr>
          <w:color w:val="000000"/>
          <w:sz w:val="22"/>
          <w:szCs w:val="22"/>
        </w:rPr>
      </w:pPr>
      <w:r w:rsidRPr="008A4F40">
        <w:rPr>
          <w:color w:val="000000"/>
          <w:sz w:val="22"/>
          <w:szCs w:val="22"/>
        </w:rPr>
        <w:t xml:space="preserve">Es wurde eine Beobachtungsstudie in Form eines Registers (Studie L2401) durchgeführt, um Langzeitdaten zur Sicherheit und Wirksamkeit bei Patienten, die an myeloproliferativen Neoplasien mit PDGFR-β-Umlagerung leiden und mit Glivec behandelt wurden, zu sammeln. Die 23 Patienten, die in das Register aufgenommen wurden, erhielten im Median eine Tagesdosis von 264 mg (Spanne: 100 bis 400 mg) über eine mediane Zeitdauer von 7,2 Jahren (Spanne: 0,1 bis 12,7 Jahre). Wegen des beobachtenden Charakters dieses Registers waren Daten zu hämatologischen, zytogenetischen und molekularen Bewertungen von 22 bzw. 9 bzw. 17 der 23 eingeschlossenen Patienten verfügbar. Unter der konservativen Annahme, dass Patienten mit fehlenden Daten als </w:t>
      </w:r>
      <w:r w:rsidRPr="008A4F40">
        <w:rPr>
          <w:i/>
          <w:color w:val="000000"/>
          <w:sz w:val="22"/>
          <w:szCs w:val="22"/>
        </w:rPr>
        <w:t>„Non-Responder“</w:t>
      </w:r>
      <w:r w:rsidRPr="008A4F40">
        <w:rPr>
          <w:color w:val="000000"/>
          <w:sz w:val="22"/>
          <w:szCs w:val="22"/>
        </w:rPr>
        <w:t xml:space="preserve"> betrachtet werden, wurde ein CHR bei 20/23 (87%), ein CCyR bei 9/23 (39,1%) und ein MR bei 11/23 (47,8%) Patienten beobachtet. Wenn die </w:t>
      </w:r>
      <w:r w:rsidRPr="008A4F40">
        <w:rPr>
          <w:i/>
          <w:color w:val="000000"/>
          <w:sz w:val="22"/>
          <w:szCs w:val="22"/>
        </w:rPr>
        <w:t>„Response Rate</w:t>
      </w:r>
      <w:r w:rsidRPr="008A4F40">
        <w:rPr>
          <w:color w:val="000000"/>
          <w:sz w:val="22"/>
          <w:szCs w:val="22"/>
        </w:rPr>
        <w:t>“ bei Patienten mit mindestens einer validen Bewertung berechnet wurde, betrug diese für CHR 20/22 (90,9%), für CCyR 9/9 (100%) und für MR 11/17 (64,7%).</w:t>
      </w:r>
    </w:p>
    <w:p w14:paraId="1BDF3F6C" w14:textId="77777777" w:rsidR="007F485A" w:rsidRPr="008A4F40" w:rsidRDefault="007F485A" w:rsidP="004E7659">
      <w:pPr>
        <w:rPr>
          <w:color w:val="000000"/>
          <w:sz w:val="22"/>
          <w:szCs w:val="22"/>
        </w:rPr>
      </w:pPr>
    </w:p>
    <w:p w14:paraId="5E90C9E8" w14:textId="5B1F6F80" w:rsidR="007F485A" w:rsidRPr="008A4F40" w:rsidRDefault="007F485A" w:rsidP="004E7659">
      <w:pPr>
        <w:rPr>
          <w:color w:val="000000"/>
          <w:sz w:val="22"/>
          <w:szCs w:val="22"/>
        </w:rPr>
      </w:pPr>
      <w:r w:rsidRPr="008A4F40">
        <w:rPr>
          <w:color w:val="000000"/>
          <w:sz w:val="22"/>
          <w:szCs w:val="22"/>
        </w:rPr>
        <w:t xml:space="preserve">Über weitere 24 Patienten mit </w:t>
      </w:r>
      <w:smartTag w:uri="urn:schemas-microsoft-com:office:smarttags" w:element="stockticker">
        <w:r w:rsidRPr="008A4F40">
          <w:rPr>
            <w:color w:val="000000"/>
            <w:sz w:val="22"/>
            <w:szCs w:val="22"/>
          </w:rPr>
          <w:t>MDS</w:t>
        </w:r>
      </w:smartTag>
      <w:r w:rsidRPr="008A4F40">
        <w:rPr>
          <w:color w:val="000000"/>
          <w:sz w:val="22"/>
          <w:szCs w:val="22"/>
        </w:rPr>
        <w:t>/MPD wurde in 13 Publikationen berichtet. 21 Patienten erhielten Glivec in einer Dosierung von täglich 400 mg, während die anderen drei Patienten niedrigere Dosen erhielten. Bei elf Patienten wurde</w:t>
      </w:r>
      <w:ins w:id="644" w:author="Author">
        <w:r w:rsidR="00AC3F2D">
          <w:rPr>
            <w:color w:val="000000"/>
            <w:sz w:val="22"/>
            <w:szCs w:val="22"/>
          </w:rPr>
          <w:t>n</w:t>
        </w:r>
      </w:ins>
      <w:r w:rsidRPr="008A4F40">
        <w:rPr>
          <w:color w:val="000000"/>
          <w:sz w:val="22"/>
          <w:szCs w:val="22"/>
        </w:rPr>
        <w:t xml:space="preserve"> </w:t>
      </w:r>
      <w:del w:id="645" w:author="Author">
        <w:r w:rsidRPr="008A4F40" w:rsidDel="00AC3F2D">
          <w:rPr>
            <w:color w:val="000000"/>
            <w:sz w:val="22"/>
            <w:szCs w:val="22"/>
          </w:rPr>
          <w:delText xml:space="preserve">eine </w:delText>
        </w:r>
      </w:del>
      <w:r w:rsidRPr="008A4F40">
        <w:rPr>
          <w:color w:val="000000"/>
          <w:sz w:val="22"/>
          <w:szCs w:val="22"/>
        </w:rPr>
        <w:t>PDGFR-Genumlagerung</w:t>
      </w:r>
      <w:ins w:id="646" w:author="Author">
        <w:r w:rsidR="00AC3F2D">
          <w:rPr>
            <w:color w:val="000000"/>
            <w:sz w:val="22"/>
            <w:szCs w:val="22"/>
          </w:rPr>
          <w:t>en</w:t>
        </w:r>
      </w:ins>
      <w:r w:rsidRPr="008A4F40">
        <w:rPr>
          <w:color w:val="000000"/>
          <w:sz w:val="22"/>
          <w:szCs w:val="22"/>
        </w:rPr>
        <w:t xml:space="preserve"> entdeckt</w:t>
      </w:r>
      <w:r w:rsidR="00952054">
        <w:rPr>
          <w:color w:val="000000"/>
          <w:sz w:val="22"/>
          <w:szCs w:val="22"/>
        </w:rPr>
        <w:t>,</w:t>
      </w:r>
      <w:r w:rsidRPr="008A4F40">
        <w:rPr>
          <w:color w:val="000000"/>
          <w:sz w:val="22"/>
          <w:szCs w:val="22"/>
        </w:rPr>
        <w:t xml:space="preserve"> 9 von </w:t>
      </w:r>
      <w:r w:rsidR="00952054">
        <w:rPr>
          <w:color w:val="000000"/>
          <w:sz w:val="22"/>
          <w:szCs w:val="22"/>
        </w:rPr>
        <w:t>i</w:t>
      </w:r>
      <w:r w:rsidRPr="008A4F40">
        <w:rPr>
          <w:color w:val="000000"/>
          <w:sz w:val="22"/>
          <w:szCs w:val="22"/>
        </w:rPr>
        <w:t xml:space="preserve">hnen erzielten eine </w:t>
      </w:r>
      <w:smartTag w:uri="urn:schemas-microsoft-com:office:smarttags" w:element="stockticker">
        <w:r w:rsidRPr="008A4F40">
          <w:rPr>
            <w:color w:val="000000"/>
            <w:sz w:val="22"/>
            <w:szCs w:val="22"/>
          </w:rPr>
          <w:t>CHR</w:t>
        </w:r>
      </w:smartTag>
      <w:r w:rsidRPr="008A4F40">
        <w:rPr>
          <w:color w:val="000000"/>
          <w:sz w:val="22"/>
          <w:szCs w:val="22"/>
        </w:rPr>
        <w:t xml:space="preserve"> und ein Patient eine </w:t>
      </w:r>
      <w:smartTag w:uri="urn:schemas-microsoft-com:office:smarttags" w:element="stockticker">
        <w:r w:rsidRPr="008A4F40">
          <w:rPr>
            <w:color w:val="000000"/>
            <w:sz w:val="22"/>
            <w:szCs w:val="22"/>
          </w:rPr>
          <w:t>PHR</w:t>
        </w:r>
      </w:smartTag>
      <w:r w:rsidRPr="008A4F40">
        <w:rPr>
          <w:color w:val="000000"/>
          <w:sz w:val="22"/>
          <w:szCs w:val="22"/>
        </w:rPr>
        <w:t>. Das Alter dieser Patienten lag zwischen 2 und 79 Jahren. Nach der aktualisierten Information in einer kürzlich erschienenen Publikation wurde gezeigt, dass all diese Patienten in der zytogenetischen Remission verblieben sind (Dauer 32</w:t>
      </w:r>
      <w:r w:rsidRPr="008A4F40">
        <w:rPr>
          <w:color w:val="000000"/>
          <w:sz w:val="22"/>
          <w:szCs w:val="22"/>
        </w:rPr>
        <w:noBreakHyphen/>
        <w:t>28 Monate). Dieselbe Publikation berichtete über Langzeit-Folgedaten von 12 </w:t>
      </w:r>
      <w:smartTag w:uri="urn:schemas-microsoft-com:office:smarttags" w:element="stockticker">
        <w:r w:rsidRPr="008A4F40">
          <w:rPr>
            <w:color w:val="000000"/>
            <w:sz w:val="22"/>
            <w:szCs w:val="22"/>
          </w:rPr>
          <w:t>MDS</w:t>
        </w:r>
      </w:smartTag>
      <w:r w:rsidRPr="008A4F40">
        <w:rPr>
          <w:color w:val="000000"/>
          <w:sz w:val="22"/>
          <w:szCs w:val="22"/>
        </w:rPr>
        <w:t xml:space="preserve">/MPD-Patienten mit PDGFR-Genumlagerung (5 Patienten aus der Studie B2225). Diese Patienten erhielten Glivec über median 47 Monate (24 Tage – 60 Monate). Bei 6 von diesen Patienten beträgt der Follow-up jetzt mehr als 4 Jahre. Elf Patienten erzielten eine schnelle </w:t>
      </w:r>
      <w:smartTag w:uri="urn:schemas-microsoft-com:office:smarttags" w:element="stockticker">
        <w:r w:rsidRPr="008A4F40">
          <w:rPr>
            <w:color w:val="000000"/>
            <w:sz w:val="22"/>
            <w:szCs w:val="22"/>
          </w:rPr>
          <w:t>CHR</w:t>
        </w:r>
      </w:smartTag>
      <w:r w:rsidRPr="008A4F40">
        <w:rPr>
          <w:color w:val="000000"/>
          <w:sz w:val="22"/>
          <w:szCs w:val="22"/>
        </w:rPr>
        <w:t>; bei zehn verschwanden die zytogenetischen Anomalien komplett und es trat eine Verminderung oder ein Verschwinden der Fusionstranskripte ein, gemessen mittels RT-</w:t>
      </w:r>
      <w:smartTag w:uri="urn:schemas-microsoft-com:office:smarttags" w:element="stockticker">
        <w:r w:rsidRPr="008A4F40">
          <w:rPr>
            <w:color w:val="000000"/>
            <w:sz w:val="22"/>
            <w:szCs w:val="22"/>
          </w:rPr>
          <w:t>PCR</w:t>
        </w:r>
      </w:smartTag>
      <w:r w:rsidRPr="008A4F40">
        <w:rPr>
          <w:color w:val="000000"/>
          <w:sz w:val="22"/>
          <w:szCs w:val="22"/>
        </w:rPr>
        <w:t>. Hämatologische und zytogenetische Remissionen wurden über einen medianen Zeitraum von 49 (19</w:t>
      </w:r>
      <w:r w:rsidRPr="008A4F40">
        <w:rPr>
          <w:color w:val="000000"/>
          <w:sz w:val="22"/>
          <w:szCs w:val="22"/>
        </w:rPr>
        <w:noBreakHyphen/>
        <w:t>60) Monaten bzw. 47 (16</w:t>
      </w:r>
      <w:r w:rsidRPr="008A4F40">
        <w:rPr>
          <w:color w:val="000000"/>
          <w:sz w:val="22"/>
          <w:szCs w:val="22"/>
        </w:rPr>
        <w:noBreakHyphen/>
        <w:t>59) Monaten aufrechterhalten. Das Gesamtüberleben liegt bei 65 (25</w:t>
      </w:r>
      <w:r w:rsidRPr="008A4F40">
        <w:rPr>
          <w:color w:val="000000"/>
          <w:sz w:val="22"/>
          <w:szCs w:val="22"/>
        </w:rPr>
        <w:noBreakHyphen/>
        <w:t>234) Monaten seit Diagnosestellung. Bei Gabe von Glivec an Patienten ohne genetische Translokation wird generell keine Verbesserung erzielt.</w:t>
      </w:r>
    </w:p>
    <w:p w14:paraId="739EA18B" w14:textId="77777777" w:rsidR="003A33A6" w:rsidRPr="008A4F40" w:rsidRDefault="003A33A6" w:rsidP="004E7659">
      <w:pPr>
        <w:rPr>
          <w:color w:val="000000"/>
          <w:sz w:val="22"/>
          <w:szCs w:val="22"/>
        </w:rPr>
      </w:pPr>
    </w:p>
    <w:p w14:paraId="27A850A7" w14:textId="77777777" w:rsidR="003A33A6" w:rsidRPr="008A4F40" w:rsidRDefault="003A33A6" w:rsidP="004E7659">
      <w:pPr>
        <w:rPr>
          <w:color w:val="000000"/>
          <w:sz w:val="22"/>
          <w:szCs w:val="22"/>
        </w:rPr>
      </w:pPr>
      <w:r w:rsidRPr="008A4F40">
        <w:rPr>
          <w:color w:val="000000"/>
          <w:sz w:val="22"/>
          <w:szCs w:val="22"/>
        </w:rPr>
        <w:t>Es gibt keine kontrollierten Studien bei Kindern und Jugendlichen mit MDS/MPD. In 4 Publikationen wurde über 5 Patienten mit MDS/MPD in Zusammenhang mit PDGFR-Genumlagerungen berichtet. Das Alter dieser Patienten reichte von 3 Monaten bis 4 Jahren und Imatinib wurde in einer Dosierung von 50 mg täglich oder in Dosen von 92,5 bis 340 mg/m² täglich gegeben. Alle Patienten zeigten komplettes hämatologisches, zytogenetisches und/oder klinisches Ansprechen.</w:t>
      </w:r>
    </w:p>
    <w:p w14:paraId="7F2AD395" w14:textId="77777777" w:rsidR="003A33A6" w:rsidRPr="008A4F40" w:rsidRDefault="003A33A6" w:rsidP="004E7659">
      <w:pPr>
        <w:rPr>
          <w:color w:val="000000"/>
          <w:sz w:val="22"/>
          <w:szCs w:val="22"/>
        </w:rPr>
      </w:pPr>
    </w:p>
    <w:p w14:paraId="2903EED2" w14:textId="6E4759A4" w:rsidR="003A33A6" w:rsidRPr="008A4F40" w:rsidRDefault="003A33A6" w:rsidP="004E7659">
      <w:pPr>
        <w:keepNext/>
        <w:rPr>
          <w:color w:val="000000"/>
          <w:sz w:val="22"/>
          <w:szCs w:val="22"/>
          <w:u w:val="single"/>
        </w:rPr>
      </w:pPr>
      <w:r w:rsidRPr="008A4F40">
        <w:rPr>
          <w:color w:val="000000"/>
          <w:sz w:val="22"/>
          <w:szCs w:val="22"/>
          <w:u w:val="single"/>
        </w:rPr>
        <w:t>Klinische Studien bei HES/</w:t>
      </w:r>
      <w:smartTag w:uri="urn:schemas-microsoft-com:office:smarttags" w:element="stockticker">
        <w:r w:rsidRPr="008A4F40">
          <w:rPr>
            <w:color w:val="000000"/>
            <w:sz w:val="22"/>
            <w:szCs w:val="22"/>
            <w:u w:val="single"/>
          </w:rPr>
          <w:t>CEL</w:t>
        </w:r>
      </w:smartTag>
    </w:p>
    <w:p w14:paraId="4246D90C" w14:textId="77777777" w:rsidR="00072317" w:rsidRPr="008A4F40" w:rsidRDefault="00072317" w:rsidP="004E7659">
      <w:pPr>
        <w:keepNext/>
        <w:rPr>
          <w:color w:val="000000"/>
          <w:sz w:val="22"/>
          <w:szCs w:val="22"/>
          <w:u w:val="single"/>
        </w:rPr>
      </w:pPr>
    </w:p>
    <w:p w14:paraId="16EDB327" w14:textId="491B588C" w:rsidR="003A33A6" w:rsidRPr="008A4F40" w:rsidRDefault="003A33A6" w:rsidP="004E7659">
      <w:pPr>
        <w:rPr>
          <w:color w:val="000000"/>
          <w:sz w:val="22"/>
          <w:szCs w:val="22"/>
        </w:rPr>
      </w:pPr>
      <w:r w:rsidRPr="008A4F40">
        <w:rPr>
          <w:color w:val="000000"/>
          <w:sz w:val="22"/>
          <w:szCs w:val="22"/>
        </w:rPr>
        <w:t>Es wurde eine offene, multizentrische Phase-II-Studie (Studie B2225) durchgeführt, in der Glivec bei verschiedenen Patientenpopulationen mit lebensbedrohenden Erkrankungen in Verbindung mit Abl-, Kit- oder PDGFR-Protein-Tyrosinkinasen untersucht wurde. In dieser Studie wurden 14 Patienten mit HES/</w:t>
      </w:r>
      <w:smartTag w:uri="urn:schemas-microsoft-com:office:smarttags" w:element="stockticker">
        <w:r w:rsidRPr="008A4F40">
          <w:rPr>
            <w:color w:val="000000"/>
            <w:sz w:val="22"/>
            <w:szCs w:val="22"/>
          </w:rPr>
          <w:t>CEL</w:t>
        </w:r>
      </w:smartTag>
      <w:r w:rsidRPr="008A4F40">
        <w:rPr>
          <w:color w:val="000000"/>
          <w:sz w:val="22"/>
          <w:szCs w:val="22"/>
        </w:rPr>
        <w:t xml:space="preserve"> mit täglich 100 mg bis 1</w:t>
      </w:r>
      <w:ins w:id="647" w:author="Author">
        <w:r w:rsidR="00C85770">
          <w:rPr>
            <w:color w:val="000000"/>
            <w:sz w:val="22"/>
            <w:szCs w:val="22"/>
          </w:rPr>
          <w:t> </w:t>
        </w:r>
      </w:ins>
      <w:del w:id="648" w:author="Author">
        <w:r w:rsidRPr="008A4F40" w:rsidDel="00C85770">
          <w:rPr>
            <w:color w:val="000000"/>
            <w:sz w:val="22"/>
            <w:szCs w:val="22"/>
          </w:rPr>
          <w:delText>.</w:delText>
        </w:r>
      </w:del>
      <w:r w:rsidRPr="008A4F40">
        <w:rPr>
          <w:color w:val="000000"/>
          <w:sz w:val="22"/>
          <w:szCs w:val="22"/>
        </w:rPr>
        <w:t>000 mg Glivec behandelt. Weitere 162 Patienten mit HES/</w:t>
      </w:r>
      <w:smartTag w:uri="urn:schemas-microsoft-com:office:smarttags" w:element="stockticker">
        <w:r w:rsidRPr="008A4F40">
          <w:rPr>
            <w:color w:val="000000"/>
            <w:sz w:val="22"/>
            <w:szCs w:val="22"/>
          </w:rPr>
          <w:t>CEL</w:t>
        </w:r>
      </w:smartTag>
      <w:r w:rsidRPr="008A4F40">
        <w:rPr>
          <w:color w:val="000000"/>
          <w:sz w:val="22"/>
          <w:szCs w:val="22"/>
        </w:rPr>
        <w:t>, über die in 35 Fallberichten und Fallreihen berichtet wurde, erhielten Glivec in Dosen von täglich 75 mg bis 800 mg. Zytogenetische Anomalien wurden bei 117 aus der Gesamtpopulation von 176 Patienten festgestellt. Bei 61 von diesen 117 Patienten wurde eine FIP1L1-PDGFR</w:t>
      </w:r>
      <w:r w:rsidRPr="008A4F40">
        <w:rPr>
          <w:rFonts w:ascii="Symbol" w:eastAsia="Symbol" w:hAnsi="Symbol" w:cs="Symbol"/>
          <w:color w:val="000000"/>
          <w:sz w:val="22"/>
          <w:szCs w:val="22"/>
        </w:rPr>
        <w:t>a</w:t>
      </w:r>
      <w:r w:rsidRPr="008A4F40">
        <w:rPr>
          <w:color w:val="000000"/>
          <w:sz w:val="22"/>
          <w:szCs w:val="22"/>
        </w:rPr>
        <w:t>-Fusionskinase identifiziert. In 3 weiteren Publikationen wurden vier Patienten gefunden, die ebenfalls FIP1L1-PDGFR</w:t>
      </w:r>
      <w:r w:rsidRPr="008A4F40">
        <w:rPr>
          <w:rFonts w:ascii="Symbol" w:eastAsia="Symbol" w:hAnsi="Symbol" w:cs="Symbol"/>
          <w:color w:val="000000"/>
          <w:sz w:val="22"/>
          <w:szCs w:val="22"/>
        </w:rPr>
        <w:t>a</w:t>
      </w:r>
      <w:r w:rsidRPr="008A4F40">
        <w:rPr>
          <w:color w:val="000000"/>
          <w:sz w:val="22"/>
          <w:szCs w:val="22"/>
        </w:rPr>
        <w:t>-positiv waren. Alle 65 FIP1L1-PDGFR</w:t>
      </w:r>
      <w:r w:rsidRPr="008A4F40">
        <w:rPr>
          <w:rFonts w:ascii="Symbol" w:eastAsia="Symbol" w:hAnsi="Symbol" w:cs="Symbol"/>
          <w:color w:val="000000"/>
          <w:sz w:val="22"/>
          <w:szCs w:val="22"/>
        </w:rPr>
        <w:t>a</w:t>
      </w:r>
      <w:r w:rsidRPr="008A4F40">
        <w:rPr>
          <w:color w:val="000000"/>
          <w:sz w:val="22"/>
          <w:szCs w:val="22"/>
        </w:rPr>
        <w:t>-Fusionskinase-positiven Patienten erzielten eine komplette hämatologische Remission, die über Monate anhielt (von 1+ bis 44+ Monaten, zensiert zum Berichtszeitpunkt). Wie in einer kürzlich veröffentlichten Publikation berichtet, erzielten 21 dieser 65 Patienten auch eine komplette molekulare Remission mit einem medianen Follow-up von 28 Monaten (13</w:t>
      </w:r>
      <w:r w:rsidRPr="008A4F40">
        <w:rPr>
          <w:color w:val="000000"/>
          <w:sz w:val="22"/>
          <w:szCs w:val="22"/>
        </w:rPr>
        <w:noBreakHyphen/>
        <w:t>67 Monate). Das Alter dieser Patienten lag zwischen 25 und 72 Jahren. Zusätzlich wurden von den Prüfern in den Fallberichten Verbesserungen in der Symptomatologie und anderen anormalen organischen Dysfunktionen berichtet. Über Verbesserungen wurde berichtet beim Herzen, Nervensystem, Haut/Unterhautgewebe, Atemwege/Brustraum/Mediastinum, Skelettmuskulatur/Bindegewebe/Gefäße und Gastrointestinaltrakt.</w:t>
      </w:r>
    </w:p>
    <w:p w14:paraId="37FE8FDF" w14:textId="77777777" w:rsidR="003A33A6" w:rsidRPr="008A4F40" w:rsidRDefault="003A33A6" w:rsidP="004E7659">
      <w:pPr>
        <w:rPr>
          <w:color w:val="000000"/>
          <w:sz w:val="22"/>
          <w:szCs w:val="22"/>
        </w:rPr>
      </w:pPr>
    </w:p>
    <w:p w14:paraId="3BE23A66" w14:textId="77777777" w:rsidR="003A33A6" w:rsidRPr="008A4F40" w:rsidRDefault="003A33A6" w:rsidP="004E7659">
      <w:pPr>
        <w:rPr>
          <w:color w:val="000000"/>
          <w:sz w:val="22"/>
          <w:szCs w:val="22"/>
        </w:rPr>
      </w:pPr>
      <w:r w:rsidRPr="008A4F40">
        <w:rPr>
          <w:color w:val="000000"/>
          <w:sz w:val="22"/>
          <w:szCs w:val="22"/>
        </w:rPr>
        <w:t>Es gibt keine kontrollierten Studien bei Kindern und Jugendlichen mit HES/CEL. In 3 Publikationen wurde über 3 Patienten mit HES und CEL in Zusammenhang mit PDGFR-Genumlagerungen berichtet. Das Alter dieser Patienten reichte von 2 bis 16 Jahren und Imatinib wurde in einer Dosierung von 300 mg</w:t>
      </w:r>
      <w:r w:rsidR="008F71F0" w:rsidRPr="008A4F40">
        <w:rPr>
          <w:color w:val="000000"/>
          <w:sz w:val="22"/>
          <w:szCs w:val="22"/>
        </w:rPr>
        <w:t>/m²</w:t>
      </w:r>
      <w:r w:rsidRPr="008A4F40">
        <w:rPr>
          <w:color w:val="000000"/>
          <w:sz w:val="22"/>
          <w:szCs w:val="22"/>
        </w:rPr>
        <w:t xml:space="preserve"> täglich oder in Dosen von 200 bis 400 mg täglich gegeben. Alle Patienten zeigten komplettes hämatologisches, komplettes zytogenetisches und/oder komplettes molekulares Ansprechen.</w:t>
      </w:r>
    </w:p>
    <w:p w14:paraId="70E73378" w14:textId="77777777" w:rsidR="003A33A6" w:rsidRPr="008A4F40" w:rsidRDefault="003A33A6" w:rsidP="004E7659">
      <w:pPr>
        <w:rPr>
          <w:color w:val="000000"/>
          <w:sz w:val="22"/>
          <w:szCs w:val="22"/>
        </w:rPr>
      </w:pPr>
    </w:p>
    <w:p w14:paraId="70AE6951" w14:textId="68C83C85" w:rsidR="003A33A6" w:rsidRPr="00A24EE4" w:rsidRDefault="003A33A6" w:rsidP="004E7659">
      <w:pPr>
        <w:keepNext/>
        <w:rPr>
          <w:sz w:val="22"/>
          <w:szCs w:val="22"/>
          <w:u w:val="single"/>
        </w:rPr>
      </w:pPr>
      <w:r w:rsidRPr="00A24EE4">
        <w:rPr>
          <w:sz w:val="22"/>
          <w:szCs w:val="22"/>
          <w:u w:val="single"/>
        </w:rPr>
        <w:t>Klinische Studien bei nicht-resezierbaren und/oder metastasierten GIST</w:t>
      </w:r>
    </w:p>
    <w:p w14:paraId="64C6B9FE" w14:textId="77777777" w:rsidR="00072317" w:rsidRPr="00A24EE4" w:rsidRDefault="00072317" w:rsidP="004E7659">
      <w:pPr>
        <w:keepNext/>
        <w:rPr>
          <w:sz w:val="22"/>
          <w:szCs w:val="22"/>
        </w:rPr>
      </w:pPr>
    </w:p>
    <w:p w14:paraId="6E0B49D3" w14:textId="77777777" w:rsidR="003A33A6" w:rsidRPr="008A4F40" w:rsidRDefault="003A33A6" w:rsidP="004E7659">
      <w:pPr>
        <w:rPr>
          <w:color w:val="000000"/>
          <w:sz w:val="22"/>
          <w:szCs w:val="22"/>
        </w:rPr>
      </w:pPr>
      <w:r w:rsidRPr="008A4F40">
        <w:rPr>
          <w:color w:val="000000"/>
          <w:sz w:val="22"/>
          <w:szCs w:val="22"/>
        </w:rPr>
        <w:t>Eine offene, randomisierte, unkontrollierte, multinationale Phase II-Studie wurde bei Patienten mit nicht resezierbaren oder metastasierten malignen gastrointestinalen Stromatumoren (GIST) durchgeführt. In diese Studie wurden 147 Patienten aufgenommen und in 2 Gruppen randomisiert, die entweder 400 mg oder 600 mg Imatinib einmal täglich oral bis zu 36 Monate erhielten. Die Patienten hatten ein Alter zwi</w:t>
      </w:r>
      <w:del w:id="649" w:author="Author">
        <w:r w:rsidRPr="008A4F40" w:rsidDel="004E7659">
          <w:rPr>
            <w:color w:val="000000"/>
            <w:sz w:val="22"/>
            <w:szCs w:val="22"/>
          </w:rPr>
          <w:softHyphen/>
        </w:r>
      </w:del>
      <w:r w:rsidRPr="008A4F40">
        <w:rPr>
          <w:color w:val="000000"/>
          <w:sz w:val="22"/>
          <w:szCs w:val="22"/>
        </w:rPr>
        <w:t>schen 18 und 83 Jahren und die pathologische Diagnose eines Kit-positiven, malignen, nicht resezierba</w:t>
      </w:r>
      <w:del w:id="650" w:author="Author">
        <w:r w:rsidRPr="008A4F40" w:rsidDel="004E7659">
          <w:rPr>
            <w:color w:val="000000"/>
            <w:sz w:val="22"/>
            <w:szCs w:val="22"/>
          </w:rPr>
          <w:softHyphen/>
        </w:r>
      </w:del>
      <w:r w:rsidRPr="008A4F40">
        <w:rPr>
          <w:color w:val="000000"/>
          <w:sz w:val="22"/>
          <w:szCs w:val="22"/>
        </w:rPr>
        <w:t>ren und/oder metastasierten GIST. Die Immunhistochemie wurde routinemäßig mit einem Kit-Antikör</w:t>
      </w:r>
      <w:del w:id="651" w:author="Author">
        <w:r w:rsidRPr="008A4F40" w:rsidDel="004E7659">
          <w:rPr>
            <w:color w:val="000000"/>
            <w:sz w:val="22"/>
            <w:szCs w:val="22"/>
          </w:rPr>
          <w:softHyphen/>
        </w:r>
      </w:del>
      <w:r w:rsidRPr="008A4F40">
        <w:rPr>
          <w:color w:val="000000"/>
          <w:sz w:val="22"/>
          <w:szCs w:val="22"/>
        </w:rPr>
        <w:t>per (A-4502, polyklonales Kaninchen-Antiserum, 1:100; DAKO Corporation, Carpinteria, Kali</w:t>
      </w:r>
      <w:del w:id="652" w:author="Author">
        <w:r w:rsidRPr="008A4F40" w:rsidDel="004E7659">
          <w:rPr>
            <w:color w:val="000000"/>
            <w:sz w:val="22"/>
            <w:szCs w:val="22"/>
          </w:rPr>
          <w:softHyphen/>
        </w:r>
      </w:del>
      <w:r w:rsidRPr="008A4F40">
        <w:rPr>
          <w:color w:val="000000"/>
          <w:sz w:val="22"/>
          <w:szCs w:val="22"/>
        </w:rPr>
        <w:t>fornien) durchgeführt entsprechend einem Analyseprotokoll, das einen Avidin-Biotin-Peroxidase-Kom</w:t>
      </w:r>
      <w:del w:id="653" w:author="Author">
        <w:r w:rsidRPr="008A4F40" w:rsidDel="004E7659">
          <w:rPr>
            <w:color w:val="000000"/>
            <w:sz w:val="22"/>
            <w:szCs w:val="22"/>
          </w:rPr>
          <w:softHyphen/>
        </w:r>
      </w:del>
      <w:r w:rsidRPr="008A4F40">
        <w:rPr>
          <w:color w:val="000000"/>
          <w:sz w:val="22"/>
          <w:szCs w:val="22"/>
        </w:rPr>
        <w:t>plex nach Antigen-Demaskierung verwendet.</w:t>
      </w:r>
    </w:p>
    <w:p w14:paraId="421C182B" w14:textId="77777777" w:rsidR="003A33A6" w:rsidRPr="008A4F40" w:rsidRDefault="003A33A6" w:rsidP="004E7659">
      <w:pPr>
        <w:rPr>
          <w:color w:val="000000"/>
          <w:sz w:val="22"/>
          <w:szCs w:val="22"/>
        </w:rPr>
      </w:pPr>
    </w:p>
    <w:p w14:paraId="4AD7EE7B" w14:textId="77777777" w:rsidR="003A33A6" w:rsidRPr="008A4F40" w:rsidRDefault="003A33A6" w:rsidP="004E7659">
      <w:pPr>
        <w:rPr>
          <w:color w:val="000000"/>
          <w:sz w:val="22"/>
          <w:szCs w:val="22"/>
        </w:rPr>
      </w:pPr>
      <w:r w:rsidRPr="008A4F40">
        <w:rPr>
          <w:color w:val="000000"/>
          <w:sz w:val="22"/>
          <w:szCs w:val="22"/>
        </w:rPr>
        <w:t>Der primäre Wirksamkeitsnachweis basierte auf den objektiven Ansprechraten. Die Tumoren mussten an mindestens einer Stelle messbar sein, und die Definition der Remission beruhte auf den Kriterien der Southwestern Oncology Group (SWOG). Die Resultate sind in Tabelle </w:t>
      </w:r>
      <w:r w:rsidR="00512273" w:rsidRPr="008A4F40">
        <w:rPr>
          <w:color w:val="000000"/>
          <w:sz w:val="22"/>
          <w:szCs w:val="22"/>
        </w:rPr>
        <w:t>6</w:t>
      </w:r>
      <w:r w:rsidRPr="008A4F40">
        <w:rPr>
          <w:color w:val="000000"/>
          <w:sz w:val="22"/>
          <w:szCs w:val="22"/>
        </w:rPr>
        <w:t xml:space="preserve"> dargestellt.</w:t>
      </w:r>
    </w:p>
    <w:p w14:paraId="58E4BBC0" w14:textId="77777777" w:rsidR="003A33A6" w:rsidRPr="008A4F40" w:rsidRDefault="003A33A6" w:rsidP="004E7659">
      <w:pPr>
        <w:rPr>
          <w:color w:val="000000"/>
          <w:sz w:val="22"/>
          <w:szCs w:val="22"/>
        </w:rPr>
      </w:pPr>
    </w:p>
    <w:p w14:paraId="5A039123" w14:textId="77777777" w:rsidR="003A33A6" w:rsidRPr="008A4F40" w:rsidRDefault="003A33A6" w:rsidP="004E7659">
      <w:pPr>
        <w:keepNext/>
        <w:tabs>
          <w:tab w:val="left" w:pos="1134"/>
        </w:tabs>
        <w:rPr>
          <w:b/>
          <w:color w:val="000000"/>
          <w:sz w:val="22"/>
          <w:szCs w:val="22"/>
        </w:rPr>
      </w:pPr>
      <w:r w:rsidRPr="008A4F40">
        <w:rPr>
          <w:b/>
          <w:color w:val="000000"/>
          <w:sz w:val="22"/>
          <w:szCs w:val="22"/>
        </w:rPr>
        <w:t>Tabelle </w:t>
      </w:r>
      <w:r w:rsidR="008F4874" w:rsidRPr="008A4F40">
        <w:rPr>
          <w:b/>
          <w:color w:val="000000"/>
          <w:sz w:val="22"/>
          <w:szCs w:val="22"/>
        </w:rPr>
        <w:t>6</w:t>
      </w:r>
      <w:r w:rsidRPr="008A4F40">
        <w:rPr>
          <w:b/>
          <w:color w:val="000000"/>
          <w:sz w:val="22"/>
          <w:szCs w:val="22"/>
        </w:rPr>
        <w:tab/>
        <w:t>Beste Tumorremission in der Studie STIB2222 (GIST)</w:t>
      </w:r>
    </w:p>
    <w:p w14:paraId="55E3C421" w14:textId="77777777" w:rsidR="003A33A6" w:rsidRPr="008A4F40" w:rsidRDefault="003A33A6" w:rsidP="004E7659">
      <w:pPr>
        <w:pStyle w:val="Header"/>
        <w:keepNext/>
        <w:tabs>
          <w:tab w:val="clear" w:pos="4320"/>
          <w:tab w:val="clear" w:pos="8640"/>
          <w:tab w:val="right" w:leader="underscore" w:pos="9072"/>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0"/>
        <w:gridCol w:w="4640"/>
      </w:tblGrid>
      <w:tr w:rsidR="003A33A6" w:rsidRPr="008A4F40" w14:paraId="77EBEDFA" w14:textId="77777777" w:rsidTr="00DA7B0B">
        <w:trPr>
          <w:cantSplit/>
        </w:trPr>
        <w:tc>
          <w:tcPr>
            <w:tcW w:w="4640" w:type="dxa"/>
            <w:tcBorders>
              <w:left w:val="nil"/>
              <w:bottom w:val="nil"/>
              <w:right w:val="nil"/>
            </w:tcBorders>
          </w:tcPr>
          <w:p w14:paraId="1DE80CB8" w14:textId="77777777" w:rsidR="003A33A6" w:rsidRPr="008A4F40" w:rsidRDefault="003A33A6" w:rsidP="004E7659">
            <w:pPr>
              <w:pStyle w:val="Header"/>
              <w:keepNext/>
              <w:tabs>
                <w:tab w:val="clear" w:pos="4320"/>
                <w:tab w:val="clear" w:pos="8640"/>
                <w:tab w:val="right" w:leader="underscore" w:pos="9072"/>
              </w:tabs>
              <w:rPr>
                <w:color w:val="000000"/>
                <w:szCs w:val="22"/>
              </w:rPr>
            </w:pPr>
          </w:p>
          <w:p w14:paraId="6A3CA371" w14:textId="77777777" w:rsidR="003A33A6" w:rsidRPr="008A4F40" w:rsidRDefault="003A33A6" w:rsidP="004E7659">
            <w:pPr>
              <w:pStyle w:val="Header"/>
              <w:keepNext/>
              <w:tabs>
                <w:tab w:val="clear" w:pos="4320"/>
                <w:tab w:val="clear" w:pos="8640"/>
                <w:tab w:val="right" w:leader="underscore" w:pos="9072"/>
              </w:tabs>
              <w:rPr>
                <w:color w:val="000000"/>
                <w:szCs w:val="22"/>
              </w:rPr>
            </w:pPr>
          </w:p>
          <w:p w14:paraId="33571386" w14:textId="77777777" w:rsidR="003A33A6" w:rsidRPr="008A4F40" w:rsidRDefault="003A33A6" w:rsidP="004E7659">
            <w:pPr>
              <w:pStyle w:val="Header"/>
              <w:keepNext/>
              <w:tabs>
                <w:tab w:val="clear" w:pos="4320"/>
                <w:tab w:val="clear" w:pos="8640"/>
                <w:tab w:val="right" w:leader="underscore" w:pos="9072"/>
              </w:tabs>
              <w:rPr>
                <w:color w:val="000000"/>
                <w:szCs w:val="22"/>
              </w:rPr>
            </w:pPr>
          </w:p>
          <w:p w14:paraId="2E94BD9E" w14:textId="77777777" w:rsidR="003A33A6" w:rsidRPr="008A4F40" w:rsidRDefault="003A33A6" w:rsidP="004E7659">
            <w:pPr>
              <w:pStyle w:val="Header"/>
              <w:keepNext/>
              <w:tabs>
                <w:tab w:val="clear" w:pos="4320"/>
                <w:tab w:val="clear" w:pos="8640"/>
                <w:tab w:val="right" w:leader="underscore" w:pos="9072"/>
              </w:tabs>
              <w:rPr>
                <w:color w:val="000000"/>
                <w:szCs w:val="22"/>
              </w:rPr>
            </w:pPr>
            <w:r w:rsidRPr="008A4F40">
              <w:rPr>
                <w:color w:val="000000"/>
                <w:szCs w:val="22"/>
              </w:rPr>
              <w:t>Beste Remission</w:t>
            </w:r>
          </w:p>
        </w:tc>
        <w:tc>
          <w:tcPr>
            <w:tcW w:w="4640" w:type="dxa"/>
            <w:tcBorders>
              <w:left w:val="nil"/>
              <w:bottom w:val="nil"/>
              <w:right w:val="nil"/>
            </w:tcBorders>
          </w:tcPr>
          <w:p w14:paraId="1B3B2A3F" w14:textId="22B75BB1"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Beide Dosierungen (n</w:t>
            </w:r>
            <w:ins w:id="654" w:author="Author">
              <w:r w:rsidR="00AC3F2D">
                <w:rPr>
                  <w:color w:val="000000"/>
                  <w:szCs w:val="22"/>
                </w:rPr>
                <w:t> </w:t>
              </w:r>
            </w:ins>
            <w:r w:rsidRPr="008A4F40">
              <w:rPr>
                <w:color w:val="000000"/>
                <w:szCs w:val="22"/>
              </w:rPr>
              <w:t>=</w:t>
            </w:r>
            <w:ins w:id="655" w:author="Author">
              <w:r w:rsidR="00AC3F2D">
                <w:rPr>
                  <w:color w:val="000000"/>
                  <w:szCs w:val="22"/>
                </w:rPr>
                <w:t> </w:t>
              </w:r>
            </w:ins>
            <w:r w:rsidRPr="008A4F40">
              <w:rPr>
                <w:color w:val="000000"/>
                <w:szCs w:val="22"/>
              </w:rPr>
              <w:t>147)</w:t>
            </w:r>
          </w:p>
          <w:p w14:paraId="47D0702E" w14:textId="0EA7953D"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400 mg (n</w:t>
            </w:r>
            <w:ins w:id="656" w:author="Author">
              <w:r w:rsidR="00AC3F2D">
                <w:rPr>
                  <w:color w:val="000000"/>
                  <w:szCs w:val="22"/>
                </w:rPr>
                <w:t> </w:t>
              </w:r>
            </w:ins>
            <w:r w:rsidRPr="008A4F40">
              <w:rPr>
                <w:color w:val="000000"/>
                <w:szCs w:val="22"/>
              </w:rPr>
              <w:t>=</w:t>
            </w:r>
            <w:ins w:id="657" w:author="Author">
              <w:r w:rsidR="00AC3F2D">
                <w:rPr>
                  <w:color w:val="000000"/>
                  <w:szCs w:val="22"/>
                </w:rPr>
                <w:t> </w:t>
              </w:r>
            </w:ins>
            <w:r w:rsidRPr="008A4F40">
              <w:rPr>
                <w:color w:val="000000"/>
                <w:szCs w:val="22"/>
              </w:rPr>
              <w:t>73)</w:t>
            </w:r>
          </w:p>
          <w:p w14:paraId="226C5E84" w14:textId="7C35BD92"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600 mg (n</w:t>
            </w:r>
            <w:ins w:id="658" w:author="Author">
              <w:r w:rsidR="00AC3F2D">
                <w:rPr>
                  <w:color w:val="000000"/>
                  <w:szCs w:val="22"/>
                </w:rPr>
                <w:t> </w:t>
              </w:r>
            </w:ins>
            <w:r w:rsidRPr="008A4F40">
              <w:rPr>
                <w:color w:val="000000"/>
                <w:szCs w:val="22"/>
              </w:rPr>
              <w:t>=</w:t>
            </w:r>
            <w:ins w:id="659" w:author="Author">
              <w:r w:rsidR="00AC3F2D">
                <w:rPr>
                  <w:color w:val="000000"/>
                  <w:szCs w:val="22"/>
                </w:rPr>
                <w:t> </w:t>
              </w:r>
            </w:ins>
            <w:r w:rsidRPr="008A4F40">
              <w:rPr>
                <w:color w:val="000000"/>
                <w:szCs w:val="22"/>
              </w:rPr>
              <w:t>74)</w:t>
            </w:r>
          </w:p>
          <w:p w14:paraId="3272C492" w14:textId="77777777"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n (%)</w:t>
            </w:r>
          </w:p>
        </w:tc>
      </w:tr>
      <w:tr w:rsidR="003A33A6" w:rsidRPr="008A4F40" w14:paraId="484DAB4D" w14:textId="77777777" w:rsidTr="00DA7B0B">
        <w:trPr>
          <w:cantSplit/>
        </w:trPr>
        <w:tc>
          <w:tcPr>
            <w:tcW w:w="4640" w:type="dxa"/>
            <w:tcBorders>
              <w:left w:val="nil"/>
              <w:bottom w:val="nil"/>
              <w:right w:val="nil"/>
            </w:tcBorders>
          </w:tcPr>
          <w:p w14:paraId="311580F7" w14:textId="77777777" w:rsidR="003A33A6" w:rsidRPr="008A4F40" w:rsidRDefault="003A33A6" w:rsidP="004E7659">
            <w:pPr>
              <w:pStyle w:val="Header"/>
              <w:keepNext/>
              <w:tabs>
                <w:tab w:val="clear" w:pos="4320"/>
                <w:tab w:val="clear" w:pos="8640"/>
                <w:tab w:val="right" w:leader="underscore" w:pos="9072"/>
              </w:tabs>
              <w:rPr>
                <w:color w:val="000000"/>
                <w:szCs w:val="22"/>
              </w:rPr>
            </w:pPr>
            <w:r w:rsidRPr="008A4F40">
              <w:rPr>
                <w:color w:val="000000"/>
                <w:szCs w:val="22"/>
              </w:rPr>
              <w:t>Komplette Remission</w:t>
            </w:r>
          </w:p>
        </w:tc>
        <w:tc>
          <w:tcPr>
            <w:tcW w:w="4640" w:type="dxa"/>
            <w:tcBorders>
              <w:left w:val="nil"/>
              <w:bottom w:val="nil"/>
              <w:right w:val="nil"/>
            </w:tcBorders>
          </w:tcPr>
          <w:p w14:paraId="21014200" w14:textId="197E9F11"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1</w:t>
            </w:r>
            <w:ins w:id="660" w:author="Author">
              <w:r w:rsidR="00AC3F2D">
                <w:rPr>
                  <w:color w:val="000000"/>
                  <w:szCs w:val="22"/>
                </w:rPr>
                <w:t> </w:t>
              </w:r>
            </w:ins>
            <w:del w:id="661" w:author="Author">
              <w:r w:rsidRPr="008A4F40" w:rsidDel="00AC3F2D">
                <w:rPr>
                  <w:color w:val="000000"/>
                  <w:szCs w:val="22"/>
                </w:rPr>
                <w:delText xml:space="preserve"> </w:delText>
              </w:r>
            </w:del>
            <w:r w:rsidRPr="008A4F40">
              <w:rPr>
                <w:color w:val="000000"/>
                <w:szCs w:val="22"/>
              </w:rPr>
              <w:t>(0,7)</w:t>
            </w:r>
          </w:p>
        </w:tc>
      </w:tr>
      <w:tr w:rsidR="003A33A6" w:rsidRPr="008A4F40" w14:paraId="4321D91A" w14:textId="77777777" w:rsidTr="00DA7B0B">
        <w:trPr>
          <w:cantSplit/>
        </w:trPr>
        <w:tc>
          <w:tcPr>
            <w:tcW w:w="4640" w:type="dxa"/>
            <w:tcBorders>
              <w:top w:val="nil"/>
              <w:left w:val="nil"/>
              <w:bottom w:val="nil"/>
              <w:right w:val="nil"/>
            </w:tcBorders>
          </w:tcPr>
          <w:p w14:paraId="66B196BE" w14:textId="77777777" w:rsidR="003A33A6" w:rsidRPr="008A4F40" w:rsidRDefault="003A33A6" w:rsidP="004E7659">
            <w:pPr>
              <w:pStyle w:val="Header"/>
              <w:keepNext/>
              <w:tabs>
                <w:tab w:val="clear" w:pos="4320"/>
                <w:tab w:val="clear" w:pos="8640"/>
                <w:tab w:val="right" w:leader="underscore" w:pos="9072"/>
              </w:tabs>
              <w:rPr>
                <w:color w:val="000000"/>
                <w:szCs w:val="22"/>
              </w:rPr>
            </w:pPr>
            <w:r w:rsidRPr="008A4F40">
              <w:rPr>
                <w:color w:val="000000"/>
                <w:szCs w:val="22"/>
              </w:rPr>
              <w:t>Partielle Remission</w:t>
            </w:r>
          </w:p>
        </w:tc>
        <w:tc>
          <w:tcPr>
            <w:tcW w:w="4640" w:type="dxa"/>
            <w:tcBorders>
              <w:top w:val="nil"/>
              <w:left w:val="nil"/>
              <w:bottom w:val="nil"/>
              <w:right w:val="nil"/>
            </w:tcBorders>
          </w:tcPr>
          <w:p w14:paraId="45F0D4D5" w14:textId="73AA8002"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98</w:t>
            </w:r>
            <w:ins w:id="662" w:author="Author">
              <w:r w:rsidR="00AC3F2D">
                <w:rPr>
                  <w:color w:val="000000"/>
                  <w:szCs w:val="22"/>
                </w:rPr>
                <w:t> </w:t>
              </w:r>
            </w:ins>
            <w:del w:id="663" w:author="Author">
              <w:r w:rsidRPr="008A4F40" w:rsidDel="00AC3F2D">
                <w:rPr>
                  <w:color w:val="000000"/>
                  <w:szCs w:val="22"/>
                </w:rPr>
                <w:delText xml:space="preserve"> </w:delText>
              </w:r>
            </w:del>
            <w:r w:rsidRPr="008A4F40">
              <w:rPr>
                <w:color w:val="000000"/>
                <w:szCs w:val="22"/>
              </w:rPr>
              <w:t>(66,7)</w:t>
            </w:r>
          </w:p>
        </w:tc>
      </w:tr>
      <w:tr w:rsidR="003A33A6" w:rsidRPr="008A4F40" w14:paraId="3F6454AE" w14:textId="77777777" w:rsidTr="00DA7B0B">
        <w:trPr>
          <w:cantSplit/>
        </w:trPr>
        <w:tc>
          <w:tcPr>
            <w:tcW w:w="4640" w:type="dxa"/>
            <w:tcBorders>
              <w:top w:val="nil"/>
              <w:left w:val="nil"/>
              <w:bottom w:val="nil"/>
              <w:right w:val="nil"/>
            </w:tcBorders>
          </w:tcPr>
          <w:p w14:paraId="04929F9A" w14:textId="77777777" w:rsidR="003A33A6" w:rsidRPr="008A4F40" w:rsidRDefault="003A33A6" w:rsidP="004E7659">
            <w:pPr>
              <w:pStyle w:val="Header"/>
              <w:keepNext/>
              <w:tabs>
                <w:tab w:val="clear" w:pos="4320"/>
                <w:tab w:val="clear" w:pos="8640"/>
                <w:tab w:val="right" w:leader="underscore" w:pos="9072"/>
              </w:tabs>
              <w:rPr>
                <w:color w:val="000000"/>
                <w:szCs w:val="22"/>
              </w:rPr>
            </w:pPr>
            <w:r w:rsidRPr="008A4F40">
              <w:rPr>
                <w:color w:val="000000"/>
                <w:szCs w:val="22"/>
              </w:rPr>
              <w:t>Unveränderter Zustand</w:t>
            </w:r>
          </w:p>
        </w:tc>
        <w:tc>
          <w:tcPr>
            <w:tcW w:w="4640" w:type="dxa"/>
            <w:tcBorders>
              <w:top w:val="nil"/>
              <w:left w:val="nil"/>
              <w:bottom w:val="nil"/>
              <w:right w:val="nil"/>
            </w:tcBorders>
          </w:tcPr>
          <w:p w14:paraId="080192AB" w14:textId="3BE08486"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23</w:t>
            </w:r>
            <w:ins w:id="664" w:author="Author">
              <w:r w:rsidR="00AC3F2D">
                <w:rPr>
                  <w:color w:val="000000"/>
                  <w:szCs w:val="22"/>
                </w:rPr>
                <w:t> </w:t>
              </w:r>
            </w:ins>
            <w:del w:id="665" w:author="Author">
              <w:r w:rsidRPr="008A4F40" w:rsidDel="00AC3F2D">
                <w:rPr>
                  <w:color w:val="000000"/>
                  <w:szCs w:val="22"/>
                </w:rPr>
                <w:delText xml:space="preserve"> </w:delText>
              </w:r>
            </w:del>
            <w:r w:rsidRPr="008A4F40">
              <w:rPr>
                <w:color w:val="000000"/>
                <w:szCs w:val="22"/>
              </w:rPr>
              <w:t>(15,6)</w:t>
            </w:r>
          </w:p>
        </w:tc>
      </w:tr>
      <w:tr w:rsidR="003A33A6" w:rsidRPr="008A4F40" w14:paraId="44E44F76" w14:textId="77777777" w:rsidTr="00DA7B0B">
        <w:trPr>
          <w:cantSplit/>
        </w:trPr>
        <w:tc>
          <w:tcPr>
            <w:tcW w:w="4640" w:type="dxa"/>
            <w:tcBorders>
              <w:top w:val="nil"/>
              <w:left w:val="nil"/>
              <w:bottom w:val="nil"/>
              <w:right w:val="nil"/>
            </w:tcBorders>
          </w:tcPr>
          <w:p w14:paraId="071177A6" w14:textId="77777777" w:rsidR="003A33A6" w:rsidRPr="008A4F40" w:rsidRDefault="003A33A6" w:rsidP="004E7659">
            <w:pPr>
              <w:pStyle w:val="Header"/>
              <w:keepNext/>
              <w:tabs>
                <w:tab w:val="clear" w:pos="4320"/>
                <w:tab w:val="clear" w:pos="8640"/>
                <w:tab w:val="right" w:leader="underscore" w:pos="9072"/>
              </w:tabs>
              <w:rPr>
                <w:color w:val="000000"/>
                <w:szCs w:val="22"/>
              </w:rPr>
            </w:pPr>
            <w:r w:rsidRPr="008A4F40">
              <w:rPr>
                <w:color w:val="000000"/>
                <w:szCs w:val="22"/>
              </w:rPr>
              <w:t>Krankheitsprogression</w:t>
            </w:r>
          </w:p>
        </w:tc>
        <w:tc>
          <w:tcPr>
            <w:tcW w:w="4640" w:type="dxa"/>
            <w:tcBorders>
              <w:top w:val="nil"/>
              <w:left w:val="nil"/>
              <w:bottom w:val="nil"/>
              <w:right w:val="nil"/>
            </w:tcBorders>
          </w:tcPr>
          <w:p w14:paraId="4427C604" w14:textId="3FFE4420"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18</w:t>
            </w:r>
            <w:ins w:id="666" w:author="Author">
              <w:r w:rsidR="00AC3F2D">
                <w:rPr>
                  <w:color w:val="000000"/>
                  <w:szCs w:val="22"/>
                </w:rPr>
                <w:t> </w:t>
              </w:r>
            </w:ins>
            <w:del w:id="667" w:author="Author">
              <w:r w:rsidRPr="008A4F40" w:rsidDel="00AC3F2D">
                <w:rPr>
                  <w:color w:val="000000"/>
                  <w:szCs w:val="22"/>
                </w:rPr>
                <w:delText xml:space="preserve"> </w:delText>
              </w:r>
            </w:del>
            <w:r w:rsidRPr="008A4F40">
              <w:rPr>
                <w:color w:val="000000"/>
                <w:szCs w:val="22"/>
              </w:rPr>
              <w:t>(12,2)</w:t>
            </w:r>
          </w:p>
        </w:tc>
      </w:tr>
      <w:tr w:rsidR="003A33A6" w:rsidRPr="008A4F40" w14:paraId="3E8429CF" w14:textId="77777777" w:rsidTr="00DA7B0B">
        <w:trPr>
          <w:cantSplit/>
        </w:trPr>
        <w:tc>
          <w:tcPr>
            <w:tcW w:w="4640" w:type="dxa"/>
            <w:tcBorders>
              <w:top w:val="nil"/>
              <w:left w:val="nil"/>
              <w:bottom w:val="nil"/>
              <w:right w:val="nil"/>
            </w:tcBorders>
          </w:tcPr>
          <w:p w14:paraId="05C92AB4" w14:textId="77777777" w:rsidR="003A33A6" w:rsidRPr="008A4F40" w:rsidRDefault="003A33A6" w:rsidP="004E7659">
            <w:pPr>
              <w:pStyle w:val="Header"/>
              <w:keepNext/>
              <w:tabs>
                <w:tab w:val="clear" w:pos="4320"/>
                <w:tab w:val="clear" w:pos="8640"/>
                <w:tab w:val="right" w:leader="underscore" w:pos="9072"/>
              </w:tabs>
              <w:rPr>
                <w:color w:val="000000"/>
                <w:szCs w:val="22"/>
              </w:rPr>
            </w:pPr>
            <w:r w:rsidRPr="008A4F40">
              <w:rPr>
                <w:color w:val="000000"/>
                <w:szCs w:val="22"/>
              </w:rPr>
              <w:t>Nicht auswertbar</w:t>
            </w:r>
          </w:p>
        </w:tc>
        <w:tc>
          <w:tcPr>
            <w:tcW w:w="4640" w:type="dxa"/>
            <w:tcBorders>
              <w:top w:val="nil"/>
              <w:left w:val="nil"/>
              <w:bottom w:val="nil"/>
              <w:right w:val="nil"/>
            </w:tcBorders>
          </w:tcPr>
          <w:p w14:paraId="1177DDC9" w14:textId="7A68239F" w:rsidR="003A33A6" w:rsidRPr="008A4F40" w:rsidRDefault="003A33A6" w:rsidP="004E7659">
            <w:pPr>
              <w:pStyle w:val="Header"/>
              <w:keepNext/>
              <w:tabs>
                <w:tab w:val="clear" w:pos="4320"/>
                <w:tab w:val="clear" w:pos="8640"/>
                <w:tab w:val="right" w:leader="underscore" w:pos="9072"/>
              </w:tabs>
              <w:jc w:val="center"/>
              <w:rPr>
                <w:color w:val="000000"/>
                <w:szCs w:val="22"/>
              </w:rPr>
            </w:pPr>
            <w:r w:rsidRPr="008A4F40">
              <w:rPr>
                <w:color w:val="000000"/>
                <w:szCs w:val="22"/>
              </w:rPr>
              <w:t>5</w:t>
            </w:r>
            <w:ins w:id="668" w:author="Author">
              <w:r w:rsidR="00AC3F2D">
                <w:rPr>
                  <w:color w:val="000000"/>
                  <w:szCs w:val="22"/>
                </w:rPr>
                <w:t> </w:t>
              </w:r>
            </w:ins>
            <w:del w:id="669" w:author="Author">
              <w:r w:rsidRPr="008A4F40" w:rsidDel="00AC3F2D">
                <w:rPr>
                  <w:color w:val="000000"/>
                  <w:szCs w:val="22"/>
                </w:rPr>
                <w:delText xml:space="preserve"> </w:delText>
              </w:r>
            </w:del>
            <w:r w:rsidRPr="008A4F40">
              <w:rPr>
                <w:color w:val="000000"/>
                <w:szCs w:val="22"/>
              </w:rPr>
              <w:t>(3,4)</w:t>
            </w:r>
          </w:p>
        </w:tc>
      </w:tr>
      <w:tr w:rsidR="003A33A6" w:rsidRPr="008A4F40" w14:paraId="57D9D3CF" w14:textId="77777777" w:rsidTr="00DA7B0B">
        <w:trPr>
          <w:cantSplit/>
        </w:trPr>
        <w:tc>
          <w:tcPr>
            <w:tcW w:w="4640" w:type="dxa"/>
            <w:tcBorders>
              <w:top w:val="nil"/>
              <w:left w:val="nil"/>
              <w:right w:val="nil"/>
            </w:tcBorders>
          </w:tcPr>
          <w:p w14:paraId="6F44B01B" w14:textId="77777777" w:rsidR="003A33A6" w:rsidRPr="008A4F40" w:rsidRDefault="003A33A6" w:rsidP="004E7659">
            <w:pPr>
              <w:pStyle w:val="Header"/>
              <w:tabs>
                <w:tab w:val="clear" w:pos="4320"/>
                <w:tab w:val="clear" w:pos="8640"/>
                <w:tab w:val="right" w:leader="underscore" w:pos="9072"/>
              </w:tabs>
              <w:rPr>
                <w:color w:val="000000"/>
                <w:szCs w:val="22"/>
              </w:rPr>
            </w:pPr>
            <w:r w:rsidRPr="008A4F40">
              <w:rPr>
                <w:color w:val="000000"/>
                <w:szCs w:val="22"/>
              </w:rPr>
              <w:t>Unbekannt</w:t>
            </w:r>
          </w:p>
        </w:tc>
        <w:tc>
          <w:tcPr>
            <w:tcW w:w="4640" w:type="dxa"/>
            <w:tcBorders>
              <w:top w:val="nil"/>
              <w:left w:val="nil"/>
              <w:right w:val="nil"/>
            </w:tcBorders>
          </w:tcPr>
          <w:p w14:paraId="3924E7B5" w14:textId="0E2C4F32" w:rsidR="003A33A6" w:rsidRPr="008A4F40" w:rsidRDefault="003A33A6" w:rsidP="004E7659">
            <w:pPr>
              <w:pStyle w:val="Header"/>
              <w:tabs>
                <w:tab w:val="clear" w:pos="4320"/>
                <w:tab w:val="clear" w:pos="8640"/>
                <w:tab w:val="right" w:leader="underscore" w:pos="9072"/>
              </w:tabs>
              <w:jc w:val="center"/>
              <w:rPr>
                <w:color w:val="000000"/>
                <w:szCs w:val="22"/>
              </w:rPr>
            </w:pPr>
            <w:r w:rsidRPr="008A4F40">
              <w:rPr>
                <w:color w:val="000000"/>
                <w:szCs w:val="22"/>
              </w:rPr>
              <w:t>2</w:t>
            </w:r>
            <w:ins w:id="670" w:author="Author">
              <w:r w:rsidR="00AC3F2D">
                <w:rPr>
                  <w:color w:val="000000"/>
                  <w:szCs w:val="22"/>
                </w:rPr>
                <w:t> </w:t>
              </w:r>
            </w:ins>
            <w:del w:id="671" w:author="Author">
              <w:r w:rsidRPr="008A4F40" w:rsidDel="00AC3F2D">
                <w:rPr>
                  <w:color w:val="000000"/>
                  <w:szCs w:val="22"/>
                </w:rPr>
                <w:delText xml:space="preserve"> </w:delText>
              </w:r>
            </w:del>
            <w:r w:rsidRPr="008A4F40">
              <w:rPr>
                <w:color w:val="000000"/>
                <w:szCs w:val="22"/>
              </w:rPr>
              <w:t>(1,4)</w:t>
            </w:r>
          </w:p>
        </w:tc>
      </w:tr>
    </w:tbl>
    <w:p w14:paraId="5A9F89DC" w14:textId="77777777" w:rsidR="003A33A6" w:rsidRPr="008A4F40" w:rsidRDefault="003A33A6" w:rsidP="004E7659">
      <w:pPr>
        <w:pStyle w:val="Header"/>
        <w:tabs>
          <w:tab w:val="clear" w:pos="4320"/>
          <w:tab w:val="clear" w:pos="8640"/>
          <w:tab w:val="right" w:leader="underscore" w:pos="9072"/>
        </w:tabs>
        <w:rPr>
          <w:color w:val="000000"/>
          <w:szCs w:val="22"/>
        </w:rPr>
      </w:pPr>
    </w:p>
    <w:p w14:paraId="357898B6"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Es gab keinen Unterschied in den Ansprechraten zwischen den 2 Dosierungen. Eine beträchtliche Zahl der Patienten, die zum Zeitpunkt der Interimanalyse einen unveränderten Krankheitszustand aufwiesen, erreichte bei längerer Behandlung (medianer Follow-up 31 Monate) eine partielle Remission. Die mediane Zeit bis zur Remission betrug 13 Wochen (95%</w:t>
      </w:r>
      <w:r w:rsidR="008B0DF4" w:rsidRPr="008A4F40">
        <w:rPr>
          <w:color w:val="000000"/>
          <w:szCs w:val="22"/>
        </w:rPr>
        <w:t>-KI</w:t>
      </w:r>
      <w:r w:rsidRPr="008A4F40">
        <w:rPr>
          <w:color w:val="000000"/>
          <w:szCs w:val="22"/>
        </w:rPr>
        <w:t xml:space="preserve"> 12–23). Die mediane Zeit bis zum Therapieversagen betrug bei Respondern 122 Wochen (95%</w:t>
      </w:r>
      <w:r w:rsidR="008B0DF4" w:rsidRPr="008A4F40">
        <w:rPr>
          <w:color w:val="000000"/>
          <w:szCs w:val="22"/>
        </w:rPr>
        <w:t>-KI</w:t>
      </w:r>
      <w:r w:rsidRPr="008A4F40">
        <w:rPr>
          <w:color w:val="000000"/>
          <w:szCs w:val="22"/>
        </w:rPr>
        <w:t xml:space="preserve"> 106–147), während sie bei der Gesamtstudienpopulation bei 84 Wochen lag (95%</w:t>
      </w:r>
      <w:r w:rsidR="008B0DF4" w:rsidRPr="008A4F40">
        <w:rPr>
          <w:color w:val="000000"/>
          <w:szCs w:val="22"/>
        </w:rPr>
        <w:t>-KI</w:t>
      </w:r>
      <w:r w:rsidRPr="008A4F40">
        <w:rPr>
          <w:color w:val="000000"/>
          <w:szCs w:val="22"/>
        </w:rPr>
        <w:t xml:space="preserve"> 71–109). Das mediane Gesamtüberleben wurde nicht erreicht. Die Kaplan-Meier-Schätzung für das Überleben nach 36 Monaten beträgt 68%.</w:t>
      </w:r>
    </w:p>
    <w:p w14:paraId="6E874526"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5674A423"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In zwei klinischen Studien (Studie B2222 und Intergroup-Studie S0033) wurde die tägliche Dosis von Glivec auf 800 mg bei Patienten erhöht, die unter den niedrigeren Dosen von 400 mg oder 600 mg täglich progredient waren. Die tägliche Dosis wurde bei insgesamt 103 Patienten auf 800 mg erhöht. Nach der Dosissteigerung erreichten 6 Patienten eine partielle Remission und 21 Patienten eine Stabilisierung ihrer Erkrankung, entsprechend einem klinischen Gesamtnutzen von 26%. Auf der Grundlage der verfügbaren Sicherheitsdaten scheint bei Patienten, die unter den niedrigeren Dosen von 400 mg oder 600 mg täglich progredient waren, eine Erhöhung der Dosis auf 800 mg täglich das Sicherheitsprofil von Glivec nicht zu beeinflussen.</w:t>
      </w:r>
    </w:p>
    <w:p w14:paraId="53C9AAC1"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7AA8985C" w14:textId="51126F52" w:rsidR="003A33A6" w:rsidRPr="008A4F40" w:rsidRDefault="003A33A6" w:rsidP="004E7659">
      <w:pPr>
        <w:pStyle w:val="Header"/>
        <w:keepNext/>
        <w:tabs>
          <w:tab w:val="clear" w:pos="4320"/>
          <w:tab w:val="clear" w:pos="8640"/>
          <w:tab w:val="center" w:pos="6804"/>
          <w:tab w:val="right" w:leader="underscore" w:pos="9072"/>
        </w:tabs>
        <w:rPr>
          <w:color w:val="000000"/>
          <w:szCs w:val="22"/>
          <w:u w:val="single"/>
        </w:rPr>
      </w:pPr>
      <w:r w:rsidRPr="008A4F40">
        <w:rPr>
          <w:color w:val="000000"/>
          <w:szCs w:val="22"/>
          <w:u w:val="single"/>
        </w:rPr>
        <w:t>Klinische Studien bei adjuvanter Behandlung der GIST</w:t>
      </w:r>
    </w:p>
    <w:p w14:paraId="4B458444" w14:textId="77777777" w:rsidR="00072317" w:rsidRPr="008A4F40" w:rsidRDefault="00072317" w:rsidP="004E7659">
      <w:pPr>
        <w:pStyle w:val="Header"/>
        <w:keepNext/>
        <w:tabs>
          <w:tab w:val="clear" w:pos="4320"/>
          <w:tab w:val="clear" w:pos="8640"/>
          <w:tab w:val="center" w:pos="6804"/>
          <w:tab w:val="right" w:leader="underscore" w:pos="9072"/>
        </w:tabs>
        <w:rPr>
          <w:color w:val="000000"/>
          <w:szCs w:val="22"/>
        </w:rPr>
      </w:pPr>
    </w:p>
    <w:p w14:paraId="30E9F0FE" w14:textId="43FB0194"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In der adjuvanten Indikation wurde Glivec in einer multizentrischen, doppelblinden, Placebo-kontrollierten Langzeit-Phase-</w:t>
      </w:r>
      <w:smartTag w:uri="urn:schemas-microsoft-com:office:smarttags" w:element="stockticker">
        <w:r w:rsidRPr="008A4F40">
          <w:rPr>
            <w:color w:val="000000"/>
            <w:szCs w:val="22"/>
          </w:rPr>
          <w:t>III</w:t>
        </w:r>
      </w:smartTag>
      <w:r w:rsidRPr="008A4F40">
        <w:rPr>
          <w:color w:val="000000"/>
          <w:szCs w:val="22"/>
        </w:rPr>
        <w:t>-Studie (Z9001), in die 773 Patienten eingeschlossen waren, untersucht. Das Alter dieser Patienten reichte von 18 bis 91 Jahren. Es wurden Patienten mit histologischer Diagnose von primären, aufgrund immunochemischer Untersuchungen Kit-Protein exprimierenden GIST mit einer Tumorgröße von ≥ 3 cm in der maximalen Ausdehnung und mit vollständiger Resektion der primären GIST innerhalb von 14</w:t>
      </w:r>
      <w:r w:rsidR="00952054">
        <w:rPr>
          <w:color w:val="000000"/>
          <w:szCs w:val="22"/>
        </w:rPr>
        <w:t xml:space="preserve"> bis </w:t>
      </w:r>
      <w:r w:rsidRPr="008A4F40">
        <w:rPr>
          <w:color w:val="000000"/>
          <w:szCs w:val="22"/>
        </w:rPr>
        <w:t>70 Tagen vor dem Einschluss in die Studie aufgenommen. Nach der Resektion der primären GIST wurden die Patienten in einen der beiden Studienarme randomisiert: ein Jahr lang 400 mg Glivec oder Placebo.</w:t>
      </w:r>
    </w:p>
    <w:p w14:paraId="19CF0596"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3615FFA5"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 xml:space="preserve">Der primäre Endpunkt der Studie war das rezidivfreie Überleben (recurrence-free survival – </w:t>
      </w:r>
      <w:smartTag w:uri="urn:schemas-microsoft-com:office:smarttags" w:element="stockticker">
        <w:r w:rsidRPr="008A4F40">
          <w:rPr>
            <w:color w:val="000000"/>
            <w:szCs w:val="22"/>
          </w:rPr>
          <w:t>RFS</w:t>
        </w:r>
      </w:smartTag>
      <w:r w:rsidRPr="008A4F40">
        <w:rPr>
          <w:color w:val="000000"/>
          <w:szCs w:val="22"/>
        </w:rPr>
        <w:t>), definiert als Zeitspanne vom Zeitpunkt der Randomisierung bis zum Zeitpunkt des Rezidivs oder des Todeszeitpunktes, gleich welcher Ursache.</w:t>
      </w:r>
    </w:p>
    <w:p w14:paraId="04FD209B"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7DD88E9B" w14:textId="4219EF6C"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 xml:space="preserve">Glivec verlängerte das </w:t>
      </w:r>
      <w:smartTag w:uri="urn:schemas-microsoft-com:office:smarttags" w:element="stockticker">
        <w:r w:rsidRPr="008A4F40">
          <w:rPr>
            <w:color w:val="000000"/>
            <w:szCs w:val="22"/>
          </w:rPr>
          <w:t>RFS</w:t>
        </w:r>
      </w:smartTag>
      <w:r w:rsidRPr="008A4F40">
        <w:rPr>
          <w:color w:val="000000"/>
          <w:szCs w:val="22"/>
        </w:rPr>
        <w:t xml:space="preserve"> signifikant, wobei der 75%-Anteil rezidivfreier Patienten in der Glivec-Gruppe 38</w:t>
      </w:r>
      <w:r w:rsidRPr="008A4F40">
        <w:t> </w:t>
      </w:r>
      <w:r w:rsidRPr="008A4F40">
        <w:rPr>
          <w:color w:val="000000"/>
          <w:szCs w:val="22"/>
        </w:rPr>
        <w:t>Monate betrug gegenüber 20 Monate in der Placebo-Gruppe (95%</w:t>
      </w:r>
      <w:r w:rsidR="008B0DF4" w:rsidRPr="008A4F40">
        <w:rPr>
          <w:color w:val="000000"/>
          <w:szCs w:val="22"/>
        </w:rPr>
        <w:t>-KI</w:t>
      </w:r>
      <w:r w:rsidRPr="008A4F40">
        <w:rPr>
          <w:color w:val="000000"/>
          <w:szCs w:val="22"/>
        </w:rPr>
        <w:t>s 30 bis nicht schätzbar bzw. 14 bis nicht schätzbar; Hazard Ratio</w:t>
      </w:r>
      <w:ins w:id="672" w:author="Author">
        <w:r w:rsidR="00CD0876">
          <w:rPr>
            <w:color w:val="000000"/>
            <w:szCs w:val="22"/>
          </w:rPr>
          <w:t> </w:t>
        </w:r>
      </w:ins>
      <w:del w:id="673" w:author="Author">
        <w:r w:rsidRPr="008A4F40" w:rsidDel="00CD0876">
          <w:rPr>
            <w:color w:val="000000"/>
            <w:szCs w:val="22"/>
          </w:rPr>
          <w:delText xml:space="preserve"> </w:delText>
        </w:r>
      </w:del>
      <w:r w:rsidRPr="008A4F40">
        <w:rPr>
          <w:color w:val="000000"/>
          <w:szCs w:val="22"/>
        </w:rPr>
        <w:t>=</w:t>
      </w:r>
      <w:ins w:id="674" w:author="Author">
        <w:r w:rsidR="00CD0876">
          <w:rPr>
            <w:color w:val="000000"/>
            <w:szCs w:val="22"/>
          </w:rPr>
          <w:t> </w:t>
        </w:r>
      </w:ins>
      <w:del w:id="675" w:author="Author">
        <w:r w:rsidRPr="008A4F40" w:rsidDel="00CD0876">
          <w:rPr>
            <w:color w:val="000000"/>
            <w:szCs w:val="22"/>
          </w:rPr>
          <w:delText xml:space="preserve"> </w:delText>
        </w:r>
      </w:del>
      <w:r w:rsidRPr="008A4F40">
        <w:rPr>
          <w:color w:val="000000"/>
          <w:szCs w:val="22"/>
        </w:rPr>
        <w:t>0,398 [0,259</w:t>
      </w:r>
      <w:r w:rsidRPr="008A4F40">
        <w:rPr>
          <w:color w:val="000000"/>
          <w:szCs w:val="22"/>
        </w:rPr>
        <w:noBreakHyphen/>
        <w:t>0,610], p</w:t>
      </w:r>
      <w:ins w:id="676" w:author="Author">
        <w:r w:rsidR="00C454C7">
          <w:rPr>
            <w:color w:val="000000"/>
            <w:szCs w:val="22"/>
          </w:rPr>
          <w:t> </w:t>
        </w:r>
      </w:ins>
      <w:r w:rsidRPr="008A4F40">
        <w:rPr>
          <w:color w:val="000000"/>
          <w:szCs w:val="22"/>
        </w:rPr>
        <w:t>&lt;</w:t>
      </w:r>
      <w:ins w:id="677" w:author="Author">
        <w:r w:rsidR="00C454C7">
          <w:rPr>
            <w:color w:val="000000"/>
            <w:szCs w:val="22"/>
          </w:rPr>
          <w:t> </w:t>
        </w:r>
      </w:ins>
      <w:r w:rsidRPr="008A4F40">
        <w:rPr>
          <w:color w:val="000000"/>
          <w:szCs w:val="22"/>
        </w:rPr>
        <w:t>0,0001). Nach einem Jahr war das Gesamt-</w:t>
      </w:r>
      <w:smartTag w:uri="urn:schemas-microsoft-com:office:smarttags" w:element="stockticker">
        <w:r w:rsidRPr="008A4F40">
          <w:rPr>
            <w:color w:val="000000"/>
            <w:szCs w:val="22"/>
          </w:rPr>
          <w:t>RFS</w:t>
        </w:r>
      </w:smartTag>
      <w:r w:rsidRPr="008A4F40">
        <w:rPr>
          <w:color w:val="000000"/>
          <w:szCs w:val="22"/>
        </w:rPr>
        <w:t xml:space="preserve"> unter Glivec signifikant besser als unter Placebo ((97,7% vs. 82,3%, p</w:t>
      </w:r>
      <w:ins w:id="678" w:author="Author">
        <w:r w:rsidR="00C454C7">
          <w:rPr>
            <w:color w:val="000000"/>
            <w:szCs w:val="22"/>
          </w:rPr>
          <w:t> </w:t>
        </w:r>
      </w:ins>
      <w:r w:rsidRPr="008A4F40">
        <w:rPr>
          <w:color w:val="000000"/>
          <w:szCs w:val="22"/>
        </w:rPr>
        <w:t>&lt;</w:t>
      </w:r>
      <w:ins w:id="679" w:author="Author">
        <w:r w:rsidR="00C454C7">
          <w:rPr>
            <w:color w:val="000000"/>
            <w:szCs w:val="22"/>
          </w:rPr>
          <w:t> </w:t>
        </w:r>
      </w:ins>
      <w:r w:rsidRPr="008A4F40">
        <w:rPr>
          <w:color w:val="000000"/>
          <w:szCs w:val="22"/>
        </w:rPr>
        <w:t>0,0001). Das Rezidivrisiko war somit im Vergleich zu Placebo um etwa 89% reduziert (Hazard Ratio</w:t>
      </w:r>
      <w:ins w:id="680" w:author="Author">
        <w:r w:rsidR="00CD0876">
          <w:rPr>
            <w:color w:val="000000"/>
            <w:szCs w:val="22"/>
          </w:rPr>
          <w:t> </w:t>
        </w:r>
      </w:ins>
      <w:del w:id="681" w:author="Author">
        <w:r w:rsidRPr="008A4F40" w:rsidDel="00CD0876">
          <w:rPr>
            <w:color w:val="000000"/>
            <w:szCs w:val="22"/>
          </w:rPr>
          <w:delText xml:space="preserve"> </w:delText>
        </w:r>
      </w:del>
      <w:r w:rsidRPr="008A4F40">
        <w:rPr>
          <w:color w:val="000000"/>
          <w:szCs w:val="22"/>
        </w:rPr>
        <w:t>=</w:t>
      </w:r>
      <w:ins w:id="682" w:author="Author">
        <w:r w:rsidR="00CD0876">
          <w:rPr>
            <w:color w:val="000000"/>
            <w:szCs w:val="22"/>
          </w:rPr>
          <w:t> </w:t>
        </w:r>
      </w:ins>
      <w:del w:id="683" w:author="Author">
        <w:r w:rsidRPr="008A4F40" w:rsidDel="00CD0876">
          <w:rPr>
            <w:color w:val="000000"/>
            <w:szCs w:val="22"/>
          </w:rPr>
          <w:delText xml:space="preserve"> </w:delText>
        </w:r>
      </w:del>
      <w:r w:rsidRPr="008A4F40">
        <w:rPr>
          <w:color w:val="000000"/>
          <w:szCs w:val="22"/>
        </w:rPr>
        <w:t>0,113 [0,049</w:t>
      </w:r>
      <w:ins w:id="684" w:author="Author">
        <w:r w:rsidR="00137715" w:rsidRPr="008A4F40">
          <w:rPr>
            <w:color w:val="000000"/>
            <w:szCs w:val="22"/>
          </w:rPr>
          <w:t>–</w:t>
        </w:r>
      </w:ins>
      <w:del w:id="685" w:author="Author">
        <w:r w:rsidRPr="008A4F40" w:rsidDel="00137715">
          <w:rPr>
            <w:color w:val="000000"/>
            <w:szCs w:val="22"/>
          </w:rPr>
          <w:noBreakHyphen/>
        </w:r>
      </w:del>
      <w:r w:rsidRPr="008A4F40">
        <w:rPr>
          <w:color w:val="000000"/>
          <w:szCs w:val="22"/>
        </w:rPr>
        <w:t>0,264].</w:t>
      </w:r>
    </w:p>
    <w:p w14:paraId="77E3C844"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7886D18F"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Das Rezidivrisiko bei Patienten nach Operation der primären GIST wurde retrospektiv auf der Basis der folgenden prognostischen Faktoren beurteilt: Tumorgröße, mitotischer Index, Tumorlokalisation. Die Daten zum mitotischen Index waren für 556 der 713 Patienten der intent-to-treat (</w:t>
      </w:r>
      <w:smartTag w:uri="urn:schemas-microsoft-com:office:smarttags" w:element="stockticker">
        <w:r w:rsidRPr="008A4F40">
          <w:rPr>
            <w:color w:val="000000"/>
            <w:szCs w:val="22"/>
          </w:rPr>
          <w:t>ITT</w:t>
        </w:r>
      </w:smartTag>
      <w:r w:rsidRPr="008A4F40">
        <w:rPr>
          <w:color w:val="000000"/>
          <w:szCs w:val="22"/>
        </w:rPr>
        <w:t>)-Population verfügbar. Die Ergebnisse der Subgruppenanalysen nach der Risikoklassifikation des United States National Institutes of Health (NIH) und des Armed Forces Institute of Pathology (AFIP) werden in Tabelle </w:t>
      </w:r>
      <w:r w:rsidR="008F4874" w:rsidRPr="008A4F40">
        <w:rPr>
          <w:color w:val="000000"/>
          <w:szCs w:val="22"/>
        </w:rPr>
        <w:t>7</w:t>
      </w:r>
      <w:r w:rsidRPr="008A4F40">
        <w:rPr>
          <w:color w:val="000000"/>
          <w:szCs w:val="22"/>
        </w:rPr>
        <w:t xml:space="preserve"> gezeigt. In den Gruppen mit einem niedrigen und sehr niedrigen Risiko wurde kein Vorteil festgestellt. Es wurde kein Gesamtüberlebensvorteil festgestellt.</w:t>
      </w:r>
    </w:p>
    <w:p w14:paraId="67225AB3" w14:textId="77777777" w:rsidR="003A33A6" w:rsidRPr="008A4F40" w:rsidRDefault="003A33A6" w:rsidP="004E7659">
      <w:pPr>
        <w:pStyle w:val="Text"/>
        <w:spacing w:before="0"/>
        <w:jc w:val="left"/>
        <w:rPr>
          <w:lang w:val="de-DE"/>
        </w:rPr>
      </w:pPr>
    </w:p>
    <w:p w14:paraId="2BFE79B1" w14:textId="77777777" w:rsidR="003A33A6" w:rsidRPr="00A24EE4" w:rsidRDefault="003A33A6" w:rsidP="004E7659">
      <w:pPr>
        <w:keepNext/>
        <w:ind w:left="1134" w:hanging="1134"/>
        <w:rPr>
          <w:rFonts w:eastAsia="MS Mincho"/>
          <w:b/>
          <w:bCs/>
          <w:sz w:val="22"/>
          <w:szCs w:val="22"/>
          <w:lang w:eastAsia="ja-JP"/>
        </w:rPr>
      </w:pPr>
      <w:r w:rsidRPr="00A24EE4">
        <w:rPr>
          <w:rFonts w:eastAsia="MS Mincho"/>
          <w:b/>
          <w:bCs/>
          <w:sz w:val="22"/>
          <w:szCs w:val="22"/>
          <w:lang w:eastAsia="ja-JP"/>
        </w:rPr>
        <w:t>Tabelle </w:t>
      </w:r>
      <w:r w:rsidR="008F4874" w:rsidRPr="00A24EE4">
        <w:rPr>
          <w:rFonts w:eastAsia="MS Mincho"/>
          <w:b/>
          <w:bCs/>
          <w:sz w:val="22"/>
          <w:szCs w:val="22"/>
          <w:lang w:eastAsia="ja-JP"/>
        </w:rPr>
        <w:t>7</w:t>
      </w:r>
      <w:r w:rsidRPr="00A24EE4">
        <w:rPr>
          <w:rFonts w:eastAsia="MS Mincho"/>
          <w:b/>
          <w:bCs/>
          <w:sz w:val="22"/>
          <w:szCs w:val="22"/>
          <w:lang w:eastAsia="ja-JP"/>
        </w:rPr>
        <w:tab/>
        <w:t xml:space="preserve">Übersicht der </w:t>
      </w:r>
      <w:smartTag w:uri="urn:schemas-microsoft-com:office:smarttags" w:element="stockticker">
        <w:r w:rsidRPr="00A24EE4">
          <w:rPr>
            <w:rFonts w:eastAsia="MS Mincho"/>
            <w:b/>
            <w:bCs/>
            <w:sz w:val="22"/>
            <w:szCs w:val="22"/>
            <w:lang w:eastAsia="ja-JP"/>
          </w:rPr>
          <w:t>RFS</w:t>
        </w:r>
      </w:smartTag>
      <w:r w:rsidRPr="00A24EE4">
        <w:rPr>
          <w:rFonts w:eastAsia="MS Mincho"/>
          <w:b/>
          <w:bCs/>
          <w:sz w:val="22"/>
          <w:szCs w:val="22"/>
          <w:lang w:eastAsia="ja-JP"/>
        </w:rPr>
        <w:t>-Analysen der Z9001-Studie nach der NIH und AFIP-Risikoklassifikation</w:t>
      </w:r>
    </w:p>
    <w:p w14:paraId="5C8F4E05" w14:textId="77777777" w:rsidR="003A33A6" w:rsidRPr="00A24EE4" w:rsidRDefault="003A33A6" w:rsidP="004E7659">
      <w:pPr>
        <w:keepNext/>
        <w:rPr>
          <w:rFonts w:eastAsia="MS Mincho"/>
          <w:sz w:val="22"/>
          <w:szCs w:val="22"/>
          <w:lang w:eastAsia="ja-JP"/>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686" w:author="Author">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934"/>
        <w:gridCol w:w="1417"/>
        <w:gridCol w:w="986"/>
        <w:gridCol w:w="2083"/>
        <w:gridCol w:w="1800"/>
        <w:gridCol w:w="1440"/>
        <w:gridCol w:w="1360"/>
        <w:tblGridChange w:id="687">
          <w:tblGrid>
            <w:gridCol w:w="934"/>
            <w:gridCol w:w="1417"/>
            <w:gridCol w:w="986"/>
            <w:gridCol w:w="2083"/>
            <w:gridCol w:w="1800"/>
            <w:gridCol w:w="1440"/>
            <w:gridCol w:w="1360"/>
          </w:tblGrid>
        </w:tblGridChange>
      </w:tblGrid>
      <w:tr w:rsidR="003A33A6" w:rsidRPr="008A4F40" w14:paraId="136B17F7" w14:textId="77777777" w:rsidTr="00D1077B">
        <w:trPr>
          <w:cantSplit/>
          <w:trPrChange w:id="688" w:author="Author">
            <w:trPr>
              <w:cantSplit/>
            </w:trPr>
          </w:trPrChange>
        </w:trPr>
        <w:tc>
          <w:tcPr>
            <w:tcW w:w="934" w:type="dxa"/>
            <w:vMerge w:val="restart"/>
            <w:tcPrChange w:id="689" w:author="Author">
              <w:tcPr>
                <w:tcW w:w="934" w:type="dxa"/>
                <w:vMerge w:val="restart"/>
              </w:tcPr>
            </w:tcPrChange>
          </w:tcPr>
          <w:p w14:paraId="00B1040A" w14:textId="77777777" w:rsidR="003A33A6" w:rsidRPr="008A4F40" w:rsidRDefault="003A33A6">
            <w:pPr>
              <w:pStyle w:val="Table"/>
              <w:keepLines w:val="0"/>
              <w:tabs>
                <w:tab w:val="clear" w:pos="284"/>
              </w:tabs>
              <w:spacing w:before="0" w:after="0"/>
              <w:jc w:val="center"/>
              <w:rPr>
                <w:rFonts w:ascii="Times New Roman" w:hAnsi="Times New Roman"/>
                <w:b/>
                <w:sz w:val="22"/>
                <w:szCs w:val="22"/>
              </w:rPr>
              <w:pPrChange w:id="690" w:author="Author">
                <w:pPr>
                  <w:pStyle w:val="Table"/>
                  <w:keepLines w:val="0"/>
                  <w:tabs>
                    <w:tab w:val="clear" w:pos="284"/>
                  </w:tabs>
                  <w:spacing w:before="120" w:line="260" w:lineRule="exact"/>
                  <w:jc w:val="center"/>
                </w:pPr>
              </w:pPrChange>
            </w:pPr>
            <w:proofErr w:type="spellStart"/>
            <w:r w:rsidRPr="008A4F40">
              <w:rPr>
                <w:rFonts w:ascii="Times New Roman" w:hAnsi="Times New Roman"/>
                <w:b/>
                <w:sz w:val="22"/>
                <w:szCs w:val="22"/>
              </w:rPr>
              <w:t>Risiko-faktor</w:t>
            </w:r>
            <w:proofErr w:type="spellEnd"/>
          </w:p>
        </w:tc>
        <w:tc>
          <w:tcPr>
            <w:tcW w:w="1417" w:type="dxa"/>
            <w:vMerge w:val="restart"/>
            <w:tcBorders>
              <w:right w:val="single" w:sz="4" w:space="0" w:color="auto"/>
            </w:tcBorders>
            <w:tcPrChange w:id="691" w:author="Author">
              <w:tcPr>
                <w:tcW w:w="1417" w:type="dxa"/>
                <w:vMerge w:val="restart"/>
                <w:tcBorders>
                  <w:right w:val="single" w:sz="4" w:space="0" w:color="auto"/>
                </w:tcBorders>
              </w:tcPr>
            </w:tcPrChange>
          </w:tcPr>
          <w:p w14:paraId="21F4AE87" w14:textId="77777777" w:rsidR="003A33A6" w:rsidRPr="008A4F40" w:rsidRDefault="003A33A6">
            <w:pPr>
              <w:pStyle w:val="Table"/>
              <w:keepLines w:val="0"/>
              <w:tabs>
                <w:tab w:val="left" w:pos="567"/>
              </w:tabs>
              <w:spacing w:before="0" w:after="0"/>
              <w:rPr>
                <w:rFonts w:ascii="Times New Roman" w:hAnsi="Times New Roman"/>
                <w:b/>
                <w:sz w:val="22"/>
                <w:szCs w:val="22"/>
              </w:rPr>
              <w:pPrChange w:id="692" w:author="Author">
                <w:pPr>
                  <w:pStyle w:val="Table"/>
                  <w:keepLines w:val="0"/>
                  <w:tabs>
                    <w:tab w:val="left" w:pos="567"/>
                  </w:tabs>
                  <w:spacing w:before="120" w:line="260" w:lineRule="exact"/>
                </w:pPr>
              </w:pPrChange>
            </w:pPr>
            <w:proofErr w:type="spellStart"/>
            <w:r w:rsidRPr="008A4F40">
              <w:rPr>
                <w:rFonts w:ascii="Times New Roman" w:hAnsi="Times New Roman"/>
                <w:b/>
                <w:sz w:val="22"/>
                <w:szCs w:val="22"/>
              </w:rPr>
              <w:t>Risikostufe</w:t>
            </w:r>
            <w:proofErr w:type="spellEnd"/>
          </w:p>
          <w:p w14:paraId="42D8420B" w14:textId="77777777" w:rsidR="003A33A6" w:rsidRPr="008A4F40" w:rsidRDefault="003A33A6">
            <w:pPr>
              <w:pStyle w:val="Table"/>
              <w:keepLines w:val="0"/>
              <w:tabs>
                <w:tab w:val="left" w:pos="567"/>
              </w:tabs>
              <w:spacing w:before="0" w:after="0"/>
              <w:rPr>
                <w:rFonts w:ascii="Times New Roman" w:hAnsi="Times New Roman"/>
                <w:b/>
                <w:sz w:val="22"/>
                <w:szCs w:val="22"/>
              </w:rPr>
              <w:pPrChange w:id="693" w:author="Author">
                <w:pPr>
                  <w:pStyle w:val="Table"/>
                  <w:keepLines w:val="0"/>
                  <w:tabs>
                    <w:tab w:val="left" w:pos="567"/>
                  </w:tabs>
                  <w:spacing w:before="120" w:line="260" w:lineRule="exact"/>
                </w:pPr>
              </w:pPrChange>
            </w:pPr>
          </w:p>
        </w:tc>
        <w:tc>
          <w:tcPr>
            <w:tcW w:w="986" w:type="dxa"/>
            <w:vMerge w:val="restart"/>
            <w:tcBorders>
              <w:left w:val="single" w:sz="4" w:space="0" w:color="auto"/>
              <w:right w:val="single" w:sz="4" w:space="0" w:color="auto"/>
            </w:tcBorders>
            <w:tcPrChange w:id="694" w:author="Author">
              <w:tcPr>
                <w:tcW w:w="986" w:type="dxa"/>
                <w:vMerge w:val="restart"/>
                <w:tcBorders>
                  <w:left w:val="single" w:sz="4" w:space="0" w:color="auto"/>
                  <w:right w:val="single" w:sz="4" w:space="0" w:color="auto"/>
                </w:tcBorders>
              </w:tcPr>
            </w:tcPrChange>
          </w:tcPr>
          <w:p w14:paraId="7D6A6C88"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695" w:author="Author">
                <w:pPr>
                  <w:pStyle w:val="Table"/>
                  <w:keepLines w:val="0"/>
                  <w:tabs>
                    <w:tab w:val="left" w:pos="567"/>
                  </w:tabs>
                  <w:spacing w:before="120" w:line="260" w:lineRule="exact"/>
                  <w:jc w:val="center"/>
                </w:pPr>
              </w:pPrChange>
            </w:pPr>
            <w:r w:rsidRPr="008A4F40">
              <w:rPr>
                <w:rFonts w:ascii="Times New Roman" w:hAnsi="Times New Roman"/>
                <w:b/>
                <w:sz w:val="22"/>
                <w:szCs w:val="22"/>
              </w:rPr>
              <w:t xml:space="preserve">% </w:t>
            </w:r>
            <w:proofErr w:type="spellStart"/>
            <w:r w:rsidRPr="008A4F40">
              <w:rPr>
                <w:rFonts w:ascii="Times New Roman" w:hAnsi="Times New Roman"/>
                <w:b/>
                <w:sz w:val="22"/>
                <w:szCs w:val="22"/>
              </w:rPr>
              <w:t>Patien</w:t>
            </w:r>
            <w:proofErr w:type="spellEnd"/>
            <w:r w:rsidRPr="008A4F40">
              <w:rPr>
                <w:rFonts w:ascii="Times New Roman" w:hAnsi="Times New Roman"/>
                <w:b/>
                <w:sz w:val="22"/>
                <w:szCs w:val="22"/>
              </w:rPr>
              <w:t>-ten</w:t>
            </w:r>
          </w:p>
        </w:tc>
        <w:tc>
          <w:tcPr>
            <w:tcW w:w="2083" w:type="dxa"/>
            <w:vMerge w:val="restart"/>
            <w:tcBorders>
              <w:left w:val="single" w:sz="4" w:space="0" w:color="auto"/>
              <w:right w:val="single" w:sz="4" w:space="0" w:color="auto"/>
            </w:tcBorders>
            <w:tcPrChange w:id="696" w:author="Author">
              <w:tcPr>
                <w:tcW w:w="2083" w:type="dxa"/>
                <w:vMerge w:val="restart"/>
                <w:tcBorders>
                  <w:left w:val="single" w:sz="4" w:space="0" w:color="auto"/>
                  <w:right w:val="single" w:sz="4" w:space="0" w:color="auto"/>
                </w:tcBorders>
              </w:tcPr>
            </w:tcPrChange>
          </w:tcPr>
          <w:p w14:paraId="76D29F54" w14:textId="77777777" w:rsidR="003A33A6" w:rsidRPr="008A4F40" w:rsidRDefault="003A33A6">
            <w:pPr>
              <w:pStyle w:val="Table"/>
              <w:keepLines w:val="0"/>
              <w:tabs>
                <w:tab w:val="left" w:pos="567"/>
              </w:tabs>
              <w:spacing w:before="0" w:after="0"/>
              <w:jc w:val="center"/>
              <w:rPr>
                <w:rFonts w:ascii="Times New Roman" w:hAnsi="Times New Roman"/>
                <w:b/>
                <w:sz w:val="22"/>
                <w:szCs w:val="22"/>
                <w:lang w:val="de-AT"/>
              </w:rPr>
              <w:pPrChange w:id="697" w:author="Author">
                <w:pPr>
                  <w:pStyle w:val="Table"/>
                  <w:keepLines w:val="0"/>
                  <w:tabs>
                    <w:tab w:val="left" w:pos="567"/>
                  </w:tabs>
                  <w:spacing w:before="120" w:line="260" w:lineRule="exact"/>
                  <w:jc w:val="center"/>
                </w:pPr>
              </w:pPrChange>
            </w:pPr>
            <w:r w:rsidRPr="008A4F40">
              <w:rPr>
                <w:rFonts w:ascii="Times New Roman" w:hAnsi="Times New Roman"/>
                <w:b/>
                <w:sz w:val="22"/>
                <w:szCs w:val="22"/>
                <w:lang w:val="de-AT"/>
              </w:rPr>
              <w:t>Zahl der Ereignisse/</w:t>
            </w:r>
            <w:r w:rsidRPr="008A4F40">
              <w:rPr>
                <w:rFonts w:ascii="Times New Roman" w:hAnsi="Times New Roman"/>
                <w:b/>
                <w:sz w:val="22"/>
                <w:szCs w:val="22"/>
                <w:lang w:val="de-AT"/>
              </w:rPr>
              <w:br/>
              <w:t>Zahl der Patienten</w:t>
            </w:r>
          </w:p>
        </w:tc>
        <w:tc>
          <w:tcPr>
            <w:tcW w:w="1800" w:type="dxa"/>
            <w:vMerge w:val="restart"/>
            <w:tcBorders>
              <w:left w:val="single" w:sz="4" w:space="0" w:color="auto"/>
              <w:right w:val="single" w:sz="4" w:space="0" w:color="auto"/>
            </w:tcBorders>
            <w:tcPrChange w:id="698" w:author="Author">
              <w:tcPr>
                <w:tcW w:w="1800" w:type="dxa"/>
                <w:vMerge w:val="restart"/>
                <w:tcBorders>
                  <w:left w:val="single" w:sz="4" w:space="0" w:color="auto"/>
                  <w:right w:val="single" w:sz="4" w:space="0" w:color="auto"/>
                </w:tcBorders>
              </w:tcPr>
            </w:tcPrChange>
          </w:tcPr>
          <w:p w14:paraId="09375886"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699" w:author="Author">
                <w:pPr>
                  <w:pStyle w:val="Table"/>
                  <w:keepLines w:val="0"/>
                  <w:tabs>
                    <w:tab w:val="left" w:pos="567"/>
                  </w:tabs>
                  <w:spacing w:line="260" w:lineRule="exact"/>
                  <w:jc w:val="center"/>
                </w:pPr>
              </w:pPrChange>
            </w:pPr>
            <w:proofErr w:type="spellStart"/>
            <w:r w:rsidRPr="008A4F40">
              <w:rPr>
                <w:rFonts w:ascii="Times New Roman" w:hAnsi="Times New Roman"/>
                <w:b/>
                <w:sz w:val="22"/>
                <w:szCs w:val="22"/>
              </w:rPr>
              <w:t>Gesamt</w:t>
            </w:r>
            <w:proofErr w:type="spellEnd"/>
            <w:r w:rsidRPr="008A4F40">
              <w:rPr>
                <w:rFonts w:ascii="Times New Roman" w:hAnsi="Times New Roman"/>
                <w:b/>
                <w:sz w:val="22"/>
                <w:szCs w:val="22"/>
              </w:rPr>
              <w:t>-Hazard Ratio (95%</w:t>
            </w:r>
            <w:r w:rsidR="0021532B" w:rsidRPr="008A4F40">
              <w:rPr>
                <w:rFonts w:ascii="Times New Roman" w:hAnsi="Times New Roman"/>
                <w:b/>
                <w:sz w:val="22"/>
                <w:szCs w:val="22"/>
              </w:rPr>
              <w:t>-KI</w:t>
            </w:r>
            <w:r w:rsidRPr="008A4F40">
              <w:rPr>
                <w:rFonts w:ascii="Times New Roman" w:hAnsi="Times New Roman"/>
                <w:b/>
                <w:sz w:val="22"/>
                <w:szCs w:val="22"/>
              </w:rPr>
              <w:t>)*</w:t>
            </w:r>
          </w:p>
        </w:tc>
        <w:tc>
          <w:tcPr>
            <w:tcW w:w="2800" w:type="dxa"/>
            <w:gridSpan w:val="2"/>
            <w:tcBorders>
              <w:left w:val="single" w:sz="4" w:space="0" w:color="auto"/>
            </w:tcBorders>
            <w:tcPrChange w:id="700" w:author="Author">
              <w:tcPr>
                <w:tcW w:w="2800" w:type="dxa"/>
                <w:gridSpan w:val="2"/>
                <w:tcBorders>
                  <w:left w:val="single" w:sz="4" w:space="0" w:color="auto"/>
                </w:tcBorders>
              </w:tcPr>
            </w:tcPrChange>
          </w:tcPr>
          <w:p w14:paraId="2B4BBBA9"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01" w:author="Author">
                <w:pPr>
                  <w:pStyle w:val="Table"/>
                  <w:keepLines w:val="0"/>
                  <w:tabs>
                    <w:tab w:val="left" w:pos="567"/>
                  </w:tabs>
                  <w:spacing w:line="260" w:lineRule="exact"/>
                  <w:jc w:val="center"/>
                </w:pPr>
              </w:pPrChange>
            </w:pPr>
            <w:smartTag w:uri="urn:schemas-microsoft-com:office:smarttags" w:element="stockticker">
              <w:r w:rsidRPr="008A4F40">
                <w:rPr>
                  <w:rFonts w:ascii="Times New Roman" w:hAnsi="Times New Roman"/>
                  <w:b/>
                  <w:sz w:val="22"/>
                  <w:szCs w:val="22"/>
                </w:rPr>
                <w:t>RFS</w:t>
              </w:r>
            </w:smartTag>
            <w:r w:rsidRPr="008A4F40">
              <w:rPr>
                <w:rFonts w:ascii="Times New Roman" w:hAnsi="Times New Roman"/>
                <w:b/>
                <w:sz w:val="22"/>
                <w:szCs w:val="22"/>
              </w:rPr>
              <w:t xml:space="preserve"> </w:t>
            </w:r>
            <w:proofErr w:type="spellStart"/>
            <w:r w:rsidRPr="008A4F40">
              <w:rPr>
                <w:rFonts w:ascii="Times New Roman" w:hAnsi="Times New Roman"/>
                <w:b/>
                <w:sz w:val="22"/>
                <w:szCs w:val="22"/>
              </w:rPr>
              <w:t>Anteil</w:t>
            </w:r>
            <w:proofErr w:type="spellEnd"/>
            <w:r w:rsidRPr="008A4F40">
              <w:rPr>
                <w:rFonts w:ascii="Times New Roman" w:hAnsi="Times New Roman"/>
                <w:b/>
                <w:sz w:val="22"/>
                <w:szCs w:val="22"/>
              </w:rPr>
              <w:t xml:space="preserve"> (%)</w:t>
            </w:r>
          </w:p>
        </w:tc>
      </w:tr>
      <w:tr w:rsidR="003A33A6" w:rsidRPr="008A4F40" w14:paraId="2C66FBAF" w14:textId="77777777" w:rsidTr="00D1077B">
        <w:trPr>
          <w:cantSplit/>
          <w:trPrChange w:id="702" w:author="Author">
            <w:trPr>
              <w:cantSplit/>
            </w:trPr>
          </w:trPrChange>
        </w:trPr>
        <w:tc>
          <w:tcPr>
            <w:tcW w:w="934" w:type="dxa"/>
            <w:vMerge/>
            <w:tcPrChange w:id="703" w:author="Author">
              <w:tcPr>
                <w:tcW w:w="934" w:type="dxa"/>
                <w:vMerge/>
              </w:tcPr>
            </w:tcPrChange>
          </w:tcPr>
          <w:p w14:paraId="0E8322D8"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04" w:author="Author">
                <w:pPr>
                  <w:pStyle w:val="Table"/>
                  <w:keepLines w:val="0"/>
                  <w:tabs>
                    <w:tab w:val="left" w:pos="567"/>
                  </w:tabs>
                  <w:spacing w:line="260" w:lineRule="exact"/>
                </w:pPr>
              </w:pPrChange>
            </w:pPr>
          </w:p>
        </w:tc>
        <w:tc>
          <w:tcPr>
            <w:tcW w:w="1417" w:type="dxa"/>
            <w:vMerge/>
            <w:tcBorders>
              <w:right w:val="single" w:sz="4" w:space="0" w:color="auto"/>
            </w:tcBorders>
            <w:tcPrChange w:id="705" w:author="Author">
              <w:tcPr>
                <w:tcW w:w="1417" w:type="dxa"/>
                <w:vMerge/>
                <w:tcBorders>
                  <w:right w:val="single" w:sz="4" w:space="0" w:color="auto"/>
                </w:tcBorders>
              </w:tcPr>
            </w:tcPrChange>
          </w:tcPr>
          <w:p w14:paraId="57DC7037"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06" w:author="Author">
                <w:pPr>
                  <w:pStyle w:val="Table"/>
                  <w:keepLines w:val="0"/>
                  <w:tabs>
                    <w:tab w:val="left" w:pos="567"/>
                  </w:tabs>
                  <w:spacing w:line="260" w:lineRule="exact"/>
                </w:pPr>
              </w:pPrChange>
            </w:pPr>
          </w:p>
        </w:tc>
        <w:tc>
          <w:tcPr>
            <w:tcW w:w="986" w:type="dxa"/>
            <w:vMerge/>
            <w:tcBorders>
              <w:left w:val="single" w:sz="4" w:space="0" w:color="auto"/>
              <w:right w:val="single" w:sz="4" w:space="0" w:color="auto"/>
            </w:tcBorders>
            <w:tcPrChange w:id="707" w:author="Author">
              <w:tcPr>
                <w:tcW w:w="986" w:type="dxa"/>
                <w:vMerge/>
                <w:tcBorders>
                  <w:left w:val="single" w:sz="4" w:space="0" w:color="auto"/>
                  <w:right w:val="single" w:sz="4" w:space="0" w:color="auto"/>
                </w:tcBorders>
              </w:tcPr>
            </w:tcPrChange>
          </w:tcPr>
          <w:p w14:paraId="3EC9CD37"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08" w:author="Author">
                <w:pPr>
                  <w:pStyle w:val="Table"/>
                  <w:keepLines w:val="0"/>
                  <w:tabs>
                    <w:tab w:val="left" w:pos="567"/>
                  </w:tabs>
                  <w:spacing w:line="260" w:lineRule="exact"/>
                  <w:jc w:val="center"/>
                </w:pPr>
              </w:pPrChange>
            </w:pPr>
          </w:p>
        </w:tc>
        <w:tc>
          <w:tcPr>
            <w:tcW w:w="2083" w:type="dxa"/>
            <w:vMerge/>
            <w:tcBorders>
              <w:left w:val="single" w:sz="4" w:space="0" w:color="auto"/>
              <w:right w:val="single" w:sz="4" w:space="0" w:color="auto"/>
            </w:tcBorders>
            <w:tcPrChange w:id="709" w:author="Author">
              <w:tcPr>
                <w:tcW w:w="2083" w:type="dxa"/>
                <w:vMerge/>
                <w:tcBorders>
                  <w:left w:val="single" w:sz="4" w:space="0" w:color="auto"/>
                  <w:right w:val="single" w:sz="4" w:space="0" w:color="auto"/>
                </w:tcBorders>
              </w:tcPr>
            </w:tcPrChange>
          </w:tcPr>
          <w:p w14:paraId="5ED28BA6"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10" w:author="Author">
                <w:pPr>
                  <w:pStyle w:val="Table"/>
                  <w:keepLines w:val="0"/>
                  <w:tabs>
                    <w:tab w:val="left" w:pos="567"/>
                  </w:tabs>
                  <w:spacing w:line="260" w:lineRule="exact"/>
                  <w:jc w:val="center"/>
                </w:pPr>
              </w:pPrChange>
            </w:pPr>
          </w:p>
        </w:tc>
        <w:tc>
          <w:tcPr>
            <w:tcW w:w="1800" w:type="dxa"/>
            <w:vMerge/>
            <w:tcBorders>
              <w:left w:val="single" w:sz="4" w:space="0" w:color="auto"/>
              <w:right w:val="single" w:sz="4" w:space="0" w:color="auto"/>
            </w:tcBorders>
            <w:tcPrChange w:id="711" w:author="Author">
              <w:tcPr>
                <w:tcW w:w="1800" w:type="dxa"/>
                <w:vMerge/>
                <w:tcBorders>
                  <w:left w:val="single" w:sz="4" w:space="0" w:color="auto"/>
                  <w:right w:val="single" w:sz="4" w:space="0" w:color="auto"/>
                </w:tcBorders>
              </w:tcPr>
            </w:tcPrChange>
          </w:tcPr>
          <w:p w14:paraId="4E4442E2"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12" w:author="Author">
                <w:pPr>
                  <w:pStyle w:val="Table"/>
                  <w:keepLines w:val="0"/>
                  <w:tabs>
                    <w:tab w:val="left" w:pos="567"/>
                  </w:tabs>
                  <w:spacing w:line="260" w:lineRule="exact"/>
                </w:pPr>
              </w:pPrChange>
            </w:pPr>
          </w:p>
        </w:tc>
        <w:tc>
          <w:tcPr>
            <w:tcW w:w="1440" w:type="dxa"/>
            <w:tcBorders>
              <w:left w:val="single" w:sz="4" w:space="0" w:color="auto"/>
              <w:right w:val="single" w:sz="4" w:space="0" w:color="auto"/>
            </w:tcBorders>
            <w:tcPrChange w:id="713" w:author="Author">
              <w:tcPr>
                <w:tcW w:w="1440" w:type="dxa"/>
                <w:tcBorders>
                  <w:left w:val="single" w:sz="4" w:space="0" w:color="auto"/>
                  <w:right w:val="single" w:sz="4" w:space="0" w:color="auto"/>
                </w:tcBorders>
              </w:tcPr>
            </w:tcPrChange>
          </w:tcPr>
          <w:p w14:paraId="2BC6C14D"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14" w:author="Author">
                <w:pPr>
                  <w:pStyle w:val="Table"/>
                  <w:keepLines w:val="0"/>
                  <w:tabs>
                    <w:tab w:val="left" w:pos="567"/>
                  </w:tabs>
                  <w:spacing w:line="260" w:lineRule="exact"/>
                  <w:jc w:val="center"/>
                </w:pPr>
              </w:pPrChange>
            </w:pPr>
            <w:r w:rsidRPr="008A4F40">
              <w:rPr>
                <w:rFonts w:ascii="Times New Roman" w:hAnsi="Times New Roman"/>
                <w:b/>
                <w:sz w:val="22"/>
                <w:szCs w:val="22"/>
              </w:rPr>
              <w:t>12 </w:t>
            </w:r>
            <w:proofErr w:type="spellStart"/>
            <w:r w:rsidRPr="008A4F40">
              <w:rPr>
                <w:rFonts w:ascii="Times New Roman" w:hAnsi="Times New Roman"/>
                <w:b/>
                <w:sz w:val="22"/>
                <w:szCs w:val="22"/>
              </w:rPr>
              <w:t>Monate</w:t>
            </w:r>
            <w:proofErr w:type="spellEnd"/>
          </w:p>
        </w:tc>
        <w:tc>
          <w:tcPr>
            <w:tcW w:w="1360" w:type="dxa"/>
            <w:tcBorders>
              <w:left w:val="single" w:sz="4" w:space="0" w:color="auto"/>
            </w:tcBorders>
            <w:tcPrChange w:id="715" w:author="Author">
              <w:tcPr>
                <w:tcW w:w="1360" w:type="dxa"/>
                <w:tcBorders>
                  <w:left w:val="single" w:sz="4" w:space="0" w:color="auto"/>
                </w:tcBorders>
              </w:tcPr>
            </w:tcPrChange>
          </w:tcPr>
          <w:p w14:paraId="02F281B7"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16" w:author="Author">
                <w:pPr>
                  <w:pStyle w:val="Table"/>
                  <w:keepLines w:val="0"/>
                  <w:tabs>
                    <w:tab w:val="left" w:pos="567"/>
                  </w:tabs>
                  <w:spacing w:line="260" w:lineRule="exact"/>
                  <w:jc w:val="center"/>
                </w:pPr>
              </w:pPrChange>
            </w:pPr>
            <w:r w:rsidRPr="008A4F40">
              <w:rPr>
                <w:rFonts w:ascii="Times New Roman" w:hAnsi="Times New Roman"/>
                <w:b/>
                <w:sz w:val="22"/>
                <w:szCs w:val="22"/>
              </w:rPr>
              <w:t>24 </w:t>
            </w:r>
            <w:proofErr w:type="spellStart"/>
            <w:r w:rsidRPr="008A4F40">
              <w:rPr>
                <w:rFonts w:ascii="Times New Roman" w:hAnsi="Times New Roman"/>
                <w:b/>
                <w:sz w:val="22"/>
                <w:szCs w:val="22"/>
              </w:rPr>
              <w:t>Monate</w:t>
            </w:r>
            <w:proofErr w:type="spellEnd"/>
          </w:p>
        </w:tc>
      </w:tr>
      <w:tr w:rsidR="003A33A6" w:rsidRPr="00952054" w14:paraId="68B0BE60" w14:textId="77777777" w:rsidTr="00D1077B">
        <w:trPr>
          <w:cantSplit/>
          <w:trPrChange w:id="717" w:author="Author">
            <w:trPr>
              <w:cantSplit/>
            </w:trPr>
          </w:trPrChange>
        </w:trPr>
        <w:tc>
          <w:tcPr>
            <w:tcW w:w="934" w:type="dxa"/>
            <w:vMerge/>
            <w:tcPrChange w:id="718" w:author="Author">
              <w:tcPr>
                <w:tcW w:w="934" w:type="dxa"/>
                <w:vMerge/>
              </w:tcPr>
            </w:tcPrChange>
          </w:tcPr>
          <w:p w14:paraId="05D236E1"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19" w:author="Author">
                <w:pPr>
                  <w:pStyle w:val="Table"/>
                  <w:keepLines w:val="0"/>
                  <w:tabs>
                    <w:tab w:val="left" w:pos="567"/>
                  </w:tabs>
                  <w:spacing w:line="260" w:lineRule="exact"/>
                </w:pPr>
              </w:pPrChange>
            </w:pPr>
          </w:p>
        </w:tc>
        <w:tc>
          <w:tcPr>
            <w:tcW w:w="1417" w:type="dxa"/>
            <w:vMerge/>
            <w:tcBorders>
              <w:right w:val="single" w:sz="4" w:space="0" w:color="auto"/>
            </w:tcBorders>
            <w:tcPrChange w:id="720" w:author="Author">
              <w:tcPr>
                <w:tcW w:w="1417" w:type="dxa"/>
                <w:vMerge/>
                <w:tcBorders>
                  <w:right w:val="single" w:sz="4" w:space="0" w:color="auto"/>
                </w:tcBorders>
              </w:tcPr>
            </w:tcPrChange>
          </w:tcPr>
          <w:p w14:paraId="6C901919"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21" w:author="Author">
                <w:pPr>
                  <w:pStyle w:val="Table"/>
                  <w:keepLines w:val="0"/>
                  <w:tabs>
                    <w:tab w:val="left" w:pos="567"/>
                  </w:tabs>
                  <w:spacing w:line="260" w:lineRule="exact"/>
                </w:pPr>
              </w:pPrChange>
            </w:pPr>
          </w:p>
        </w:tc>
        <w:tc>
          <w:tcPr>
            <w:tcW w:w="986" w:type="dxa"/>
            <w:vMerge/>
            <w:tcBorders>
              <w:left w:val="single" w:sz="4" w:space="0" w:color="auto"/>
              <w:right w:val="single" w:sz="4" w:space="0" w:color="auto"/>
            </w:tcBorders>
            <w:tcPrChange w:id="722" w:author="Author">
              <w:tcPr>
                <w:tcW w:w="986" w:type="dxa"/>
                <w:vMerge/>
                <w:tcBorders>
                  <w:left w:val="single" w:sz="4" w:space="0" w:color="auto"/>
                  <w:right w:val="single" w:sz="4" w:space="0" w:color="auto"/>
                </w:tcBorders>
              </w:tcPr>
            </w:tcPrChange>
          </w:tcPr>
          <w:p w14:paraId="6F1FB93C"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23" w:author="Author">
                <w:pPr>
                  <w:pStyle w:val="Table"/>
                  <w:keepLines w:val="0"/>
                  <w:tabs>
                    <w:tab w:val="left" w:pos="567"/>
                  </w:tabs>
                  <w:spacing w:line="260" w:lineRule="exact"/>
                  <w:jc w:val="center"/>
                </w:pPr>
              </w:pPrChange>
            </w:pPr>
          </w:p>
        </w:tc>
        <w:tc>
          <w:tcPr>
            <w:tcW w:w="2083" w:type="dxa"/>
            <w:tcBorders>
              <w:left w:val="single" w:sz="4" w:space="0" w:color="auto"/>
              <w:bottom w:val="single" w:sz="4" w:space="0" w:color="auto"/>
              <w:right w:val="single" w:sz="4" w:space="0" w:color="auto"/>
            </w:tcBorders>
            <w:tcPrChange w:id="724" w:author="Author">
              <w:tcPr>
                <w:tcW w:w="2083" w:type="dxa"/>
                <w:tcBorders>
                  <w:left w:val="single" w:sz="4" w:space="0" w:color="auto"/>
                  <w:bottom w:val="single" w:sz="4" w:space="0" w:color="auto"/>
                  <w:right w:val="single" w:sz="4" w:space="0" w:color="auto"/>
                </w:tcBorders>
              </w:tcPr>
            </w:tcPrChange>
          </w:tcPr>
          <w:p w14:paraId="2F121507"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25" w:author="Author">
                <w:pPr>
                  <w:pStyle w:val="Table"/>
                  <w:keepLines w:val="0"/>
                  <w:tabs>
                    <w:tab w:val="left" w:pos="567"/>
                  </w:tabs>
                  <w:spacing w:line="260" w:lineRule="exact"/>
                  <w:jc w:val="center"/>
                </w:pPr>
              </w:pPrChange>
            </w:pPr>
            <w:proofErr w:type="spellStart"/>
            <w:r w:rsidRPr="008A4F40">
              <w:rPr>
                <w:rFonts w:ascii="Times New Roman" w:hAnsi="Times New Roman"/>
                <w:b/>
                <w:sz w:val="22"/>
                <w:szCs w:val="22"/>
              </w:rPr>
              <w:t>Glivec</w:t>
            </w:r>
            <w:proofErr w:type="spellEnd"/>
            <w:r w:rsidRPr="008A4F40">
              <w:rPr>
                <w:rFonts w:ascii="Times New Roman" w:hAnsi="Times New Roman"/>
                <w:b/>
                <w:sz w:val="22"/>
                <w:szCs w:val="22"/>
              </w:rPr>
              <w:t xml:space="preserve"> vs Placebo</w:t>
            </w:r>
          </w:p>
        </w:tc>
        <w:tc>
          <w:tcPr>
            <w:tcW w:w="1800" w:type="dxa"/>
            <w:vMerge/>
            <w:tcBorders>
              <w:left w:val="single" w:sz="4" w:space="0" w:color="auto"/>
              <w:bottom w:val="single" w:sz="4" w:space="0" w:color="auto"/>
              <w:right w:val="single" w:sz="4" w:space="0" w:color="auto"/>
            </w:tcBorders>
            <w:tcPrChange w:id="726" w:author="Author">
              <w:tcPr>
                <w:tcW w:w="1800" w:type="dxa"/>
                <w:vMerge/>
                <w:tcBorders>
                  <w:left w:val="single" w:sz="4" w:space="0" w:color="auto"/>
                  <w:bottom w:val="single" w:sz="4" w:space="0" w:color="auto"/>
                  <w:right w:val="single" w:sz="4" w:space="0" w:color="auto"/>
                </w:tcBorders>
              </w:tcPr>
            </w:tcPrChange>
          </w:tcPr>
          <w:p w14:paraId="63BD8C7A"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27" w:author="Author">
                <w:pPr>
                  <w:pStyle w:val="Table"/>
                  <w:keepLines w:val="0"/>
                  <w:tabs>
                    <w:tab w:val="left" w:pos="567"/>
                  </w:tabs>
                  <w:spacing w:line="260" w:lineRule="exact"/>
                  <w:jc w:val="center"/>
                </w:pPr>
              </w:pPrChange>
            </w:pPr>
          </w:p>
        </w:tc>
        <w:tc>
          <w:tcPr>
            <w:tcW w:w="1440" w:type="dxa"/>
            <w:tcBorders>
              <w:left w:val="single" w:sz="4" w:space="0" w:color="auto"/>
              <w:bottom w:val="single" w:sz="4" w:space="0" w:color="auto"/>
              <w:right w:val="single" w:sz="4" w:space="0" w:color="auto"/>
            </w:tcBorders>
            <w:tcPrChange w:id="728" w:author="Author">
              <w:tcPr>
                <w:tcW w:w="1440" w:type="dxa"/>
                <w:tcBorders>
                  <w:left w:val="single" w:sz="4" w:space="0" w:color="auto"/>
                  <w:bottom w:val="single" w:sz="4" w:space="0" w:color="auto"/>
                  <w:right w:val="single" w:sz="4" w:space="0" w:color="auto"/>
                </w:tcBorders>
              </w:tcPr>
            </w:tcPrChange>
          </w:tcPr>
          <w:p w14:paraId="79C3037A"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29" w:author="Author">
                <w:pPr>
                  <w:pStyle w:val="Table"/>
                  <w:keepLines w:val="0"/>
                  <w:tabs>
                    <w:tab w:val="left" w:pos="567"/>
                  </w:tabs>
                  <w:spacing w:line="260" w:lineRule="exact"/>
                  <w:jc w:val="center"/>
                </w:pPr>
              </w:pPrChange>
            </w:pPr>
            <w:proofErr w:type="spellStart"/>
            <w:r w:rsidRPr="008A4F40">
              <w:rPr>
                <w:rFonts w:ascii="Times New Roman" w:hAnsi="Times New Roman"/>
                <w:b/>
                <w:sz w:val="22"/>
                <w:szCs w:val="22"/>
              </w:rPr>
              <w:t>Glivec</w:t>
            </w:r>
            <w:proofErr w:type="spellEnd"/>
            <w:r w:rsidRPr="008A4F40">
              <w:rPr>
                <w:rFonts w:ascii="Times New Roman" w:hAnsi="Times New Roman"/>
                <w:b/>
                <w:sz w:val="22"/>
                <w:szCs w:val="22"/>
              </w:rPr>
              <w:t xml:space="preserve"> vs Placebo</w:t>
            </w:r>
          </w:p>
        </w:tc>
        <w:tc>
          <w:tcPr>
            <w:tcW w:w="1360" w:type="dxa"/>
            <w:tcBorders>
              <w:left w:val="single" w:sz="4" w:space="0" w:color="auto"/>
            </w:tcBorders>
            <w:tcPrChange w:id="730" w:author="Author">
              <w:tcPr>
                <w:tcW w:w="1360" w:type="dxa"/>
                <w:tcBorders>
                  <w:left w:val="single" w:sz="4" w:space="0" w:color="auto"/>
                </w:tcBorders>
              </w:tcPr>
            </w:tcPrChange>
          </w:tcPr>
          <w:p w14:paraId="49695362" w14:textId="77777777" w:rsidR="003A33A6" w:rsidRPr="008A4F40" w:rsidRDefault="003A33A6">
            <w:pPr>
              <w:pStyle w:val="Table"/>
              <w:keepLines w:val="0"/>
              <w:tabs>
                <w:tab w:val="left" w:pos="567"/>
              </w:tabs>
              <w:spacing w:before="0" w:after="0"/>
              <w:jc w:val="center"/>
              <w:rPr>
                <w:rFonts w:ascii="Times New Roman" w:hAnsi="Times New Roman"/>
                <w:b/>
                <w:sz w:val="22"/>
                <w:szCs w:val="22"/>
              </w:rPr>
              <w:pPrChange w:id="731" w:author="Author">
                <w:pPr>
                  <w:pStyle w:val="Table"/>
                  <w:keepLines w:val="0"/>
                  <w:tabs>
                    <w:tab w:val="left" w:pos="567"/>
                  </w:tabs>
                  <w:spacing w:line="260" w:lineRule="exact"/>
                  <w:jc w:val="center"/>
                </w:pPr>
              </w:pPrChange>
            </w:pPr>
            <w:proofErr w:type="spellStart"/>
            <w:r w:rsidRPr="008A4F40">
              <w:rPr>
                <w:rFonts w:ascii="Times New Roman" w:hAnsi="Times New Roman"/>
                <w:b/>
                <w:sz w:val="22"/>
                <w:szCs w:val="22"/>
              </w:rPr>
              <w:t>Glivec</w:t>
            </w:r>
            <w:proofErr w:type="spellEnd"/>
            <w:r w:rsidRPr="008A4F40">
              <w:rPr>
                <w:rFonts w:ascii="Times New Roman" w:hAnsi="Times New Roman"/>
                <w:b/>
                <w:sz w:val="22"/>
                <w:szCs w:val="22"/>
              </w:rPr>
              <w:t xml:space="preserve"> vs Placebo</w:t>
            </w:r>
          </w:p>
        </w:tc>
      </w:tr>
      <w:tr w:rsidR="003A33A6" w:rsidRPr="00952054" w14:paraId="6641AA17" w14:textId="77777777" w:rsidTr="00DA7B0B">
        <w:trPr>
          <w:cantSplit/>
        </w:trPr>
        <w:tc>
          <w:tcPr>
            <w:tcW w:w="934" w:type="dxa"/>
            <w:vMerge w:val="restart"/>
          </w:tcPr>
          <w:p w14:paraId="5F8458AB" w14:textId="77777777" w:rsidR="003A33A6" w:rsidRPr="008A4F40" w:rsidRDefault="003A33A6">
            <w:pPr>
              <w:pStyle w:val="Nottoc-headings"/>
              <w:keepLines w:val="0"/>
              <w:tabs>
                <w:tab w:val="left" w:pos="567"/>
              </w:tabs>
              <w:spacing w:before="0" w:after="0"/>
              <w:ind w:left="0" w:firstLine="0"/>
              <w:rPr>
                <w:rFonts w:ascii="Times New Roman" w:hAnsi="Times New Roman"/>
                <w:b w:val="0"/>
                <w:sz w:val="22"/>
                <w:szCs w:val="22"/>
              </w:rPr>
              <w:pPrChange w:id="732" w:author="Author">
                <w:pPr>
                  <w:pStyle w:val="Nottoc-headings"/>
                  <w:keepLines w:val="0"/>
                  <w:tabs>
                    <w:tab w:val="left" w:pos="567"/>
                  </w:tabs>
                  <w:spacing w:before="360" w:line="260" w:lineRule="exact"/>
                  <w:ind w:left="0" w:firstLine="0"/>
                </w:pPr>
              </w:pPrChange>
            </w:pPr>
            <w:r w:rsidRPr="008A4F40">
              <w:rPr>
                <w:rFonts w:ascii="Times New Roman" w:hAnsi="Times New Roman"/>
                <w:b w:val="0"/>
                <w:sz w:val="22"/>
                <w:szCs w:val="22"/>
              </w:rPr>
              <w:t>NIH</w:t>
            </w:r>
          </w:p>
          <w:p w14:paraId="734A7242" w14:textId="77777777" w:rsidR="003A33A6" w:rsidRPr="008F4350" w:rsidRDefault="003A33A6">
            <w:pPr>
              <w:keepNext/>
              <w:tabs>
                <w:tab w:val="left" w:pos="567"/>
              </w:tabs>
              <w:rPr>
                <w:sz w:val="22"/>
                <w:szCs w:val="22"/>
              </w:rPr>
              <w:pPrChange w:id="733" w:author="Author">
                <w:pPr>
                  <w:keepNext/>
                  <w:tabs>
                    <w:tab w:val="left" w:pos="567"/>
                  </w:tabs>
                  <w:spacing w:before="40" w:after="20" w:line="260" w:lineRule="exact"/>
                </w:pPr>
              </w:pPrChange>
            </w:pPr>
          </w:p>
        </w:tc>
        <w:tc>
          <w:tcPr>
            <w:tcW w:w="1417" w:type="dxa"/>
            <w:tcBorders>
              <w:bottom w:val="nil"/>
              <w:right w:val="single" w:sz="4" w:space="0" w:color="auto"/>
            </w:tcBorders>
            <w:vAlign w:val="bottom"/>
          </w:tcPr>
          <w:p w14:paraId="0A0E3B86" w14:textId="77777777" w:rsidR="003A33A6" w:rsidRPr="008A4F40" w:rsidRDefault="003A33A6">
            <w:pPr>
              <w:pStyle w:val="Nottoc-headings"/>
              <w:keepLines w:val="0"/>
              <w:tabs>
                <w:tab w:val="left" w:pos="567"/>
              </w:tabs>
              <w:spacing w:before="0" w:after="0"/>
              <w:ind w:left="57" w:hanging="57"/>
              <w:rPr>
                <w:rFonts w:ascii="Times New Roman" w:hAnsi="Times New Roman"/>
                <w:b w:val="0"/>
                <w:sz w:val="22"/>
                <w:szCs w:val="22"/>
              </w:rPr>
              <w:pPrChange w:id="734" w:author="Author">
                <w:pPr>
                  <w:pStyle w:val="Nottoc-headings"/>
                  <w:keepLines w:val="0"/>
                  <w:tabs>
                    <w:tab w:val="left" w:pos="567"/>
                  </w:tabs>
                  <w:spacing w:before="40" w:after="20" w:line="260" w:lineRule="exact"/>
                  <w:ind w:left="57" w:hanging="57"/>
                </w:pPr>
              </w:pPrChange>
            </w:pPr>
            <w:r w:rsidRPr="008A4F40">
              <w:rPr>
                <w:rFonts w:ascii="Times New Roman" w:hAnsi="Times New Roman"/>
                <w:b w:val="0"/>
                <w:sz w:val="22"/>
                <w:szCs w:val="22"/>
              </w:rPr>
              <w:t>Gering</w:t>
            </w:r>
          </w:p>
        </w:tc>
        <w:tc>
          <w:tcPr>
            <w:tcW w:w="986" w:type="dxa"/>
            <w:tcBorders>
              <w:left w:val="single" w:sz="4" w:space="0" w:color="auto"/>
              <w:bottom w:val="nil"/>
              <w:right w:val="single" w:sz="4" w:space="0" w:color="auto"/>
            </w:tcBorders>
            <w:vAlign w:val="bottom"/>
          </w:tcPr>
          <w:p w14:paraId="5F0E4CBC" w14:textId="77777777" w:rsidR="003A33A6" w:rsidRPr="008A4F40" w:rsidRDefault="003A33A6">
            <w:pPr>
              <w:pStyle w:val="Nottoc-headings"/>
              <w:keepLines w:val="0"/>
              <w:tabs>
                <w:tab w:val="left" w:pos="567"/>
              </w:tabs>
              <w:spacing w:before="0" w:after="0"/>
              <w:ind w:left="57" w:hanging="57"/>
              <w:jc w:val="center"/>
              <w:rPr>
                <w:rFonts w:ascii="Times New Roman" w:hAnsi="Times New Roman"/>
                <w:b w:val="0"/>
                <w:sz w:val="22"/>
                <w:szCs w:val="22"/>
              </w:rPr>
              <w:pPrChange w:id="735" w:author="Author">
                <w:pPr>
                  <w:pStyle w:val="Nottoc-headings"/>
                  <w:keepLines w:val="0"/>
                  <w:tabs>
                    <w:tab w:val="left" w:pos="567"/>
                  </w:tabs>
                  <w:spacing w:before="40" w:after="20" w:line="260" w:lineRule="exact"/>
                  <w:ind w:left="57" w:hanging="57"/>
                  <w:jc w:val="center"/>
                </w:pPr>
              </w:pPrChange>
            </w:pPr>
            <w:r w:rsidRPr="008A4F40">
              <w:rPr>
                <w:rFonts w:ascii="Times New Roman" w:hAnsi="Times New Roman"/>
                <w:b w:val="0"/>
                <w:sz w:val="22"/>
                <w:szCs w:val="22"/>
              </w:rPr>
              <w:t>29,5</w:t>
            </w:r>
          </w:p>
        </w:tc>
        <w:tc>
          <w:tcPr>
            <w:tcW w:w="2083" w:type="dxa"/>
            <w:tcBorders>
              <w:left w:val="single" w:sz="4" w:space="0" w:color="auto"/>
              <w:bottom w:val="nil"/>
              <w:right w:val="single" w:sz="4" w:space="0" w:color="auto"/>
            </w:tcBorders>
            <w:vAlign w:val="bottom"/>
          </w:tcPr>
          <w:p w14:paraId="42A2A5F5" w14:textId="77777777" w:rsidR="003A33A6" w:rsidRPr="008A4F40" w:rsidRDefault="003A33A6">
            <w:pPr>
              <w:pStyle w:val="Nottoc-headings"/>
              <w:keepLines w:val="0"/>
              <w:tabs>
                <w:tab w:val="left" w:pos="567"/>
              </w:tabs>
              <w:spacing w:before="0" w:after="0"/>
              <w:ind w:left="57" w:hanging="57"/>
              <w:rPr>
                <w:rFonts w:ascii="Times New Roman" w:hAnsi="Times New Roman"/>
                <w:b w:val="0"/>
                <w:sz w:val="22"/>
                <w:szCs w:val="22"/>
              </w:rPr>
              <w:pPrChange w:id="736" w:author="Author">
                <w:pPr>
                  <w:pStyle w:val="Nottoc-headings"/>
                  <w:keepLines w:val="0"/>
                  <w:tabs>
                    <w:tab w:val="left" w:pos="567"/>
                  </w:tabs>
                  <w:spacing w:before="40" w:after="20" w:line="260" w:lineRule="exact"/>
                  <w:ind w:left="57" w:hanging="57"/>
                </w:pPr>
              </w:pPrChange>
            </w:pPr>
            <w:r w:rsidRPr="008A4F40">
              <w:rPr>
                <w:rFonts w:ascii="Times New Roman" w:hAnsi="Times New Roman"/>
                <w:b w:val="0"/>
                <w:sz w:val="22"/>
                <w:szCs w:val="22"/>
              </w:rPr>
              <w:t>0/86 vs. 2/90</w:t>
            </w:r>
          </w:p>
        </w:tc>
        <w:tc>
          <w:tcPr>
            <w:tcW w:w="1800" w:type="dxa"/>
            <w:tcBorders>
              <w:left w:val="single" w:sz="4" w:space="0" w:color="auto"/>
              <w:bottom w:val="nil"/>
              <w:right w:val="single" w:sz="4" w:space="0" w:color="auto"/>
            </w:tcBorders>
            <w:vAlign w:val="bottom"/>
          </w:tcPr>
          <w:p w14:paraId="74C583CA" w14:textId="77777777" w:rsidR="003A33A6" w:rsidRPr="008A4F40" w:rsidRDefault="003A33A6">
            <w:pPr>
              <w:pStyle w:val="Nottoc-headings"/>
              <w:keepLines w:val="0"/>
              <w:tabs>
                <w:tab w:val="left" w:pos="567"/>
              </w:tabs>
              <w:spacing w:before="0" w:after="0"/>
              <w:ind w:left="57" w:hanging="57"/>
              <w:rPr>
                <w:rFonts w:ascii="Times New Roman" w:hAnsi="Times New Roman"/>
                <w:b w:val="0"/>
                <w:sz w:val="22"/>
                <w:szCs w:val="22"/>
              </w:rPr>
              <w:pPrChange w:id="737" w:author="Author">
                <w:pPr>
                  <w:pStyle w:val="Nottoc-headings"/>
                  <w:keepLines w:val="0"/>
                  <w:tabs>
                    <w:tab w:val="left" w:pos="567"/>
                  </w:tabs>
                  <w:spacing w:before="40" w:after="20" w:line="260" w:lineRule="exact"/>
                  <w:ind w:left="57" w:hanging="57"/>
                </w:pPr>
              </w:pPrChange>
            </w:pPr>
            <w:r w:rsidRPr="008A4F40">
              <w:rPr>
                <w:rFonts w:ascii="Times New Roman" w:hAnsi="Times New Roman"/>
                <w:b w:val="0"/>
                <w:sz w:val="22"/>
                <w:szCs w:val="22"/>
              </w:rPr>
              <w:t>N.E.</w:t>
            </w:r>
          </w:p>
        </w:tc>
        <w:tc>
          <w:tcPr>
            <w:tcW w:w="1440" w:type="dxa"/>
            <w:tcBorders>
              <w:left w:val="single" w:sz="4" w:space="0" w:color="auto"/>
              <w:bottom w:val="nil"/>
              <w:right w:val="single" w:sz="4" w:space="0" w:color="auto"/>
            </w:tcBorders>
            <w:vAlign w:val="bottom"/>
          </w:tcPr>
          <w:p w14:paraId="585DC9C7" w14:textId="77777777" w:rsidR="003A33A6" w:rsidRPr="008F4350" w:rsidRDefault="003A33A6">
            <w:pPr>
              <w:pStyle w:val="Nottoc-headings"/>
              <w:keepLines w:val="0"/>
              <w:tabs>
                <w:tab w:val="left" w:pos="567"/>
              </w:tabs>
              <w:spacing w:before="0" w:after="0"/>
              <w:ind w:left="57" w:hanging="57"/>
              <w:rPr>
                <w:rFonts w:ascii="Times New Roman" w:hAnsi="Times New Roman"/>
                <w:b w:val="0"/>
                <w:sz w:val="22"/>
                <w:szCs w:val="22"/>
                <w:lang w:val="de-CH"/>
              </w:rPr>
              <w:pPrChange w:id="738" w:author="Author">
                <w:pPr>
                  <w:pStyle w:val="Nottoc-headings"/>
                  <w:keepLines w:val="0"/>
                  <w:tabs>
                    <w:tab w:val="left" w:pos="567"/>
                  </w:tabs>
                  <w:spacing w:before="40" w:after="20" w:line="260" w:lineRule="exact"/>
                  <w:ind w:left="57" w:hanging="57"/>
                </w:pPr>
              </w:pPrChange>
            </w:pPr>
            <w:r w:rsidRPr="008F4350">
              <w:rPr>
                <w:rFonts w:ascii="Times New Roman" w:hAnsi="Times New Roman"/>
                <w:b w:val="0"/>
                <w:sz w:val="22"/>
                <w:szCs w:val="22"/>
                <w:lang w:val="de-CH"/>
              </w:rPr>
              <w:t>100 vs. 98,7</w:t>
            </w:r>
          </w:p>
        </w:tc>
        <w:tc>
          <w:tcPr>
            <w:tcW w:w="1360" w:type="dxa"/>
            <w:tcBorders>
              <w:left w:val="single" w:sz="4" w:space="0" w:color="auto"/>
              <w:bottom w:val="nil"/>
            </w:tcBorders>
            <w:vAlign w:val="bottom"/>
          </w:tcPr>
          <w:p w14:paraId="2112B8A1" w14:textId="77777777" w:rsidR="003A33A6" w:rsidRPr="008F4350" w:rsidRDefault="003A33A6">
            <w:pPr>
              <w:pStyle w:val="Nottoc-headings"/>
              <w:keepLines w:val="0"/>
              <w:tabs>
                <w:tab w:val="left" w:pos="567"/>
              </w:tabs>
              <w:spacing w:before="0" w:after="0"/>
              <w:ind w:left="57" w:hanging="57"/>
              <w:rPr>
                <w:rFonts w:ascii="Times New Roman" w:hAnsi="Times New Roman"/>
                <w:b w:val="0"/>
                <w:sz w:val="22"/>
                <w:szCs w:val="22"/>
                <w:lang w:val="de-CH"/>
              </w:rPr>
              <w:pPrChange w:id="739" w:author="Author">
                <w:pPr>
                  <w:pStyle w:val="Nottoc-headings"/>
                  <w:keepLines w:val="0"/>
                  <w:tabs>
                    <w:tab w:val="left" w:pos="567"/>
                  </w:tabs>
                  <w:spacing w:before="40" w:after="20" w:line="260" w:lineRule="exact"/>
                  <w:ind w:left="57" w:hanging="57"/>
                </w:pPr>
              </w:pPrChange>
            </w:pPr>
            <w:r w:rsidRPr="008F4350">
              <w:rPr>
                <w:rFonts w:ascii="Times New Roman" w:hAnsi="Times New Roman"/>
                <w:b w:val="0"/>
                <w:sz w:val="22"/>
                <w:szCs w:val="22"/>
                <w:lang w:val="de-CH"/>
              </w:rPr>
              <w:t>100 vs. 95,5</w:t>
            </w:r>
          </w:p>
        </w:tc>
      </w:tr>
      <w:tr w:rsidR="003A33A6" w:rsidRPr="008A4F40" w14:paraId="767F4008" w14:textId="77777777" w:rsidTr="00DA7B0B">
        <w:trPr>
          <w:cantSplit/>
        </w:trPr>
        <w:tc>
          <w:tcPr>
            <w:tcW w:w="934" w:type="dxa"/>
            <w:vMerge/>
          </w:tcPr>
          <w:p w14:paraId="002717A4" w14:textId="77777777" w:rsidR="003A33A6" w:rsidRPr="008F4350" w:rsidRDefault="003A33A6">
            <w:pPr>
              <w:pStyle w:val="Nottoc-headings"/>
              <w:keepLines w:val="0"/>
              <w:tabs>
                <w:tab w:val="left" w:pos="567"/>
              </w:tabs>
              <w:spacing w:before="0" w:after="0"/>
              <w:rPr>
                <w:rFonts w:ascii="Times New Roman" w:hAnsi="Times New Roman"/>
                <w:b w:val="0"/>
                <w:sz w:val="22"/>
                <w:szCs w:val="22"/>
              </w:rPr>
              <w:pPrChange w:id="740" w:author="Author">
                <w:pPr>
                  <w:pStyle w:val="Nottoc-headings"/>
                  <w:keepLines w:val="0"/>
                  <w:tabs>
                    <w:tab w:val="left" w:pos="567"/>
                  </w:tabs>
                  <w:spacing w:line="260" w:lineRule="exact"/>
                </w:pPr>
              </w:pPrChange>
            </w:pPr>
          </w:p>
        </w:tc>
        <w:tc>
          <w:tcPr>
            <w:tcW w:w="1417" w:type="dxa"/>
            <w:tcBorders>
              <w:top w:val="nil"/>
              <w:bottom w:val="nil"/>
              <w:right w:val="single" w:sz="4" w:space="0" w:color="auto"/>
            </w:tcBorders>
            <w:vAlign w:val="bottom"/>
          </w:tcPr>
          <w:p w14:paraId="76C2958A" w14:textId="77777777" w:rsidR="003A33A6" w:rsidRPr="008F4350" w:rsidRDefault="003A33A6">
            <w:pPr>
              <w:pStyle w:val="Table"/>
              <w:keepLines w:val="0"/>
              <w:tabs>
                <w:tab w:val="left" w:pos="567"/>
              </w:tabs>
              <w:spacing w:before="0" w:after="0"/>
              <w:rPr>
                <w:rFonts w:ascii="Times New Roman" w:hAnsi="Times New Roman"/>
                <w:sz w:val="22"/>
                <w:szCs w:val="22"/>
              </w:rPr>
              <w:pPrChange w:id="741" w:author="Author">
                <w:pPr>
                  <w:pStyle w:val="Table"/>
                  <w:keepLines w:val="0"/>
                  <w:tabs>
                    <w:tab w:val="left" w:pos="567"/>
                  </w:tabs>
                  <w:spacing w:line="260" w:lineRule="exact"/>
                </w:pPr>
              </w:pPrChange>
            </w:pPr>
            <w:proofErr w:type="spellStart"/>
            <w:r w:rsidRPr="008F4350">
              <w:rPr>
                <w:rFonts w:ascii="Times New Roman" w:hAnsi="Times New Roman"/>
                <w:sz w:val="22"/>
                <w:szCs w:val="22"/>
              </w:rPr>
              <w:t>Intermediär</w:t>
            </w:r>
            <w:proofErr w:type="spellEnd"/>
          </w:p>
        </w:tc>
        <w:tc>
          <w:tcPr>
            <w:tcW w:w="986" w:type="dxa"/>
            <w:tcBorders>
              <w:top w:val="nil"/>
              <w:left w:val="single" w:sz="4" w:space="0" w:color="auto"/>
              <w:bottom w:val="nil"/>
              <w:right w:val="single" w:sz="4" w:space="0" w:color="auto"/>
            </w:tcBorders>
            <w:vAlign w:val="bottom"/>
          </w:tcPr>
          <w:p w14:paraId="21EFBA5C" w14:textId="77777777" w:rsidR="003A33A6" w:rsidRPr="008F4350" w:rsidRDefault="003A33A6">
            <w:pPr>
              <w:pStyle w:val="Table"/>
              <w:keepLines w:val="0"/>
              <w:tabs>
                <w:tab w:val="left" w:pos="567"/>
              </w:tabs>
              <w:spacing w:before="0" w:after="0"/>
              <w:jc w:val="center"/>
              <w:rPr>
                <w:rFonts w:ascii="Times New Roman" w:hAnsi="Times New Roman"/>
                <w:sz w:val="22"/>
                <w:szCs w:val="22"/>
              </w:rPr>
              <w:pPrChange w:id="742" w:author="Author">
                <w:pPr>
                  <w:pStyle w:val="Table"/>
                  <w:keepLines w:val="0"/>
                  <w:tabs>
                    <w:tab w:val="left" w:pos="567"/>
                  </w:tabs>
                  <w:spacing w:line="260" w:lineRule="exact"/>
                  <w:jc w:val="center"/>
                </w:pPr>
              </w:pPrChange>
            </w:pPr>
            <w:r w:rsidRPr="008F4350">
              <w:rPr>
                <w:rFonts w:ascii="Times New Roman" w:hAnsi="Times New Roman"/>
                <w:sz w:val="22"/>
                <w:szCs w:val="22"/>
              </w:rPr>
              <w:t>25,7</w:t>
            </w:r>
          </w:p>
        </w:tc>
        <w:tc>
          <w:tcPr>
            <w:tcW w:w="2083" w:type="dxa"/>
            <w:tcBorders>
              <w:top w:val="nil"/>
              <w:left w:val="single" w:sz="4" w:space="0" w:color="auto"/>
              <w:bottom w:val="nil"/>
              <w:right w:val="single" w:sz="4" w:space="0" w:color="auto"/>
            </w:tcBorders>
            <w:vAlign w:val="bottom"/>
          </w:tcPr>
          <w:p w14:paraId="04CD1A97" w14:textId="77777777" w:rsidR="003A33A6" w:rsidRPr="008F4350" w:rsidRDefault="003A33A6">
            <w:pPr>
              <w:pStyle w:val="Table"/>
              <w:keepLines w:val="0"/>
              <w:tabs>
                <w:tab w:val="left" w:pos="567"/>
              </w:tabs>
              <w:spacing w:before="0" w:after="0"/>
              <w:rPr>
                <w:rFonts w:ascii="Times New Roman" w:hAnsi="Times New Roman"/>
                <w:sz w:val="22"/>
                <w:szCs w:val="22"/>
              </w:rPr>
              <w:pPrChange w:id="743" w:author="Author">
                <w:pPr>
                  <w:pStyle w:val="Table"/>
                  <w:keepLines w:val="0"/>
                  <w:tabs>
                    <w:tab w:val="left" w:pos="567"/>
                  </w:tabs>
                  <w:spacing w:line="260" w:lineRule="exact"/>
                </w:pPr>
              </w:pPrChange>
            </w:pPr>
            <w:r w:rsidRPr="008F4350">
              <w:rPr>
                <w:rFonts w:ascii="Times New Roman" w:hAnsi="Times New Roman"/>
                <w:sz w:val="22"/>
                <w:szCs w:val="22"/>
              </w:rPr>
              <w:t>4/75 vs. 6/78</w:t>
            </w:r>
          </w:p>
        </w:tc>
        <w:tc>
          <w:tcPr>
            <w:tcW w:w="1800" w:type="dxa"/>
            <w:tcBorders>
              <w:top w:val="nil"/>
              <w:left w:val="single" w:sz="4" w:space="0" w:color="auto"/>
              <w:bottom w:val="nil"/>
              <w:right w:val="single" w:sz="4" w:space="0" w:color="auto"/>
            </w:tcBorders>
            <w:vAlign w:val="bottom"/>
          </w:tcPr>
          <w:p w14:paraId="4B81CB0D" w14:textId="77777777" w:rsidR="003A33A6" w:rsidRPr="008A4F40" w:rsidRDefault="003A33A6">
            <w:pPr>
              <w:pStyle w:val="Table"/>
              <w:keepLines w:val="0"/>
              <w:tabs>
                <w:tab w:val="left" w:pos="567"/>
              </w:tabs>
              <w:spacing w:before="0" w:after="0"/>
              <w:rPr>
                <w:rFonts w:ascii="Times New Roman" w:hAnsi="Times New Roman"/>
                <w:sz w:val="22"/>
                <w:szCs w:val="22"/>
                <w:lang w:val="de-CH"/>
              </w:rPr>
              <w:pPrChange w:id="744" w:author="Author">
                <w:pPr>
                  <w:pStyle w:val="Table"/>
                  <w:keepLines w:val="0"/>
                  <w:tabs>
                    <w:tab w:val="left" w:pos="567"/>
                  </w:tabs>
                  <w:spacing w:line="260" w:lineRule="exact"/>
                </w:pPr>
              </w:pPrChange>
            </w:pPr>
            <w:r w:rsidRPr="008F4350">
              <w:rPr>
                <w:rFonts w:ascii="Times New Roman" w:hAnsi="Times New Roman"/>
                <w:sz w:val="22"/>
                <w:szCs w:val="22"/>
              </w:rPr>
              <w:t>0,59 (0,17; 2</w:t>
            </w:r>
            <w:r w:rsidRPr="008A4F40">
              <w:rPr>
                <w:rFonts w:ascii="Times New Roman" w:hAnsi="Times New Roman"/>
                <w:sz w:val="22"/>
                <w:szCs w:val="22"/>
                <w:lang w:val="de-CH"/>
              </w:rPr>
              <w:t>,10)</w:t>
            </w:r>
          </w:p>
        </w:tc>
        <w:tc>
          <w:tcPr>
            <w:tcW w:w="1440" w:type="dxa"/>
            <w:tcBorders>
              <w:top w:val="nil"/>
              <w:left w:val="single" w:sz="4" w:space="0" w:color="auto"/>
              <w:bottom w:val="nil"/>
              <w:right w:val="single" w:sz="4" w:space="0" w:color="auto"/>
            </w:tcBorders>
            <w:vAlign w:val="bottom"/>
          </w:tcPr>
          <w:p w14:paraId="4D579467" w14:textId="77777777" w:rsidR="003A33A6" w:rsidRPr="008A4F40" w:rsidRDefault="003A33A6">
            <w:pPr>
              <w:pStyle w:val="Table"/>
              <w:keepLines w:val="0"/>
              <w:tabs>
                <w:tab w:val="left" w:pos="567"/>
              </w:tabs>
              <w:spacing w:before="0" w:after="0"/>
              <w:rPr>
                <w:rFonts w:ascii="Times New Roman" w:hAnsi="Times New Roman"/>
                <w:sz w:val="22"/>
                <w:szCs w:val="22"/>
                <w:lang w:val="de-CH"/>
              </w:rPr>
              <w:pPrChange w:id="745" w:author="Author">
                <w:pPr>
                  <w:pStyle w:val="Table"/>
                  <w:keepLines w:val="0"/>
                  <w:tabs>
                    <w:tab w:val="left" w:pos="567"/>
                  </w:tabs>
                  <w:spacing w:line="260" w:lineRule="exact"/>
                </w:pPr>
              </w:pPrChange>
            </w:pPr>
            <w:r w:rsidRPr="008A4F40">
              <w:rPr>
                <w:rFonts w:ascii="Times New Roman" w:hAnsi="Times New Roman"/>
                <w:sz w:val="22"/>
                <w:szCs w:val="22"/>
                <w:lang w:val="de-CH"/>
              </w:rPr>
              <w:t>100 vs. 94,8</w:t>
            </w:r>
          </w:p>
        </w:tc>
        <w:tc>
          <w:tcPr>
            <w:tcW w:w="1360" w:type="dxa"/>
            <w:tcBorders>
              <w:top w:val="nil"/>
              <w:left w:val="single" w:sz="4" w:space="0" w:color="auto"/>
              <w:bottom w:val="nil"/>
            </w:tcBorders>
            <w:vAlign w:val="bottom"/>
          </w:tcPr>
          <w:p w14:paraId="33E515BA" w14:textId="77777777" w:rsidR="003A33A6" w:rsidRPr="008A4F40" w:rsidRDefault="003A33A6">
            <w:pPr>
              <w:pStyle w:val="Table"/>
              <w:keepLines w:val="0"/>
              <w:tabs>
                <w:tab w:val="left" w:pos="567"/>
              </w:tabs>
              <w:spacing w:before="0" w:after="0"/>
              <w:rPr>
                <w:rFonts w:ascii="Times New Roman" w:hAnsi="Times New Roman"/>
                <w:sz w:val="22"/>
                <w:szCs w:val="22"/>
                <w:lang w:val="de-CH"/>
              </w:rPr>
              <w:pPrChange w:id="746" w:author="Author">
                <w:pPr>
                  <w:pStyle w:val="Table"/>
                  <w:keepLines w:val="0"/>
                  <w:tabs>
                    <w:tab w:val="left" w:pos="567"/>
                  </w:tabs>
                  <w:spacing w:line="260" w:lineRule="exact"/>
                </w:pPr>
              </w:pPrChange>
            </w:pPr>
            <w:r w:rsidRPr="008A4F40">
              <w:rPr>
                <w:rFonts w:ascii="Times New Roman" w:hAnsi="Times New Roman"/>
                <w:sz w:val="22"/>
                <w:szCs w:val="22"/>
                <w:lang w:val="de-CH"/>
              </w:rPr>
              <w:t>97,8 vs. 89,5</w:t>
            </w:r>
          </w:p>
        </w:tc>
      </w:tr>
      <w:tr w:rsidR="003A33A6" w:rsidRPr="008A4F40" w14:paraId="0459BFF0" w14:textId="77777777" w:rsidTr="00DA7B0B">
        <w:trPr>
          <w:cantSplit/>
        </w:trPr>
        <w:tc>
          <w:tcPr>
            <w:tcW w:w="934" w:type="dxa"/>
            <w:vMerge/>
          </w:tcPr>
          <w:p w14:paraId="0AC86D58" w14:textId="77777777" w:rsidR="003A33A6" w:rsidRPr="008A4F40" w:rsidRDefault="003A33A6">
            <w:pPr>
              <w:pStyle w:val="Table"/>
              <w:keepLines w:val="0"/>
              <w:tabs>
                <w:tab w:val="left" w:pos="567"/>
              </w:tabs>
              <w:spacing w:before="0" w:after="0"/>
              <w:rPr>
                <w:rFonts w:ascii="Times New Roman" w:hAnsi="Times New Roman"/>
                <w:sz w:val="22"/>
                <w:szCs w:val="22"/>
                <w:lang w:val="de-CH"/>
              </w:rPr>
              <w:pPrChange w:id="747" w:author="Author">
                <w:pPr>
                  <w:pStyle w:val="Table"/>
                  <w:keepLines w:val="0"/>
                  <w:tabs>
                    <w:tab w:val="left" w:pos="567"/>
                  </w:tabs>
                  <w:spacing w:line="260" w:lineRule="exact"/>
                </w:pPr>
              </w:pPrChange>
            </w:pPr>
          </w:p>
        </w:tc>
        <w:tc>
          <w:tcPr>
            <w:tcW w:w="1417" w:type="dxa"/>
            <w:tcBorders>
              <w:top w:val="nil"/>
              <w:right w:val="single" w:sz="4" w:space="0" w:color="auto"/>
            </w:tcBorders>
            <w:vAlign w:val="bottom"/>
          </w:tcPr>
          <w:p w14:paraId="461774F4" w14:textId="77777777" w:rsidR="003A33A6" w:rsidRPr="008A4F40" w:rsidRDefault="003A33A6">
            <w:pPr>
              <w:pStyle w:val="Table"/>
              <w:keepLines w:val="0"/>
              <w:tabs>
                <w:tab w:val="left" w:pos="567"/>
              </w:tabs>
              <w:spacing w:before="0" w:after="0"/>
              <w:rPr>
                <w:rFonts w:ascii="Times New Roman" w:hAnsi="Times New Roman"/>
                <w:sz w:val="22"/>
                <w:szCs w:val="22"/>
                <w:lang w:val="de-CH"/>
              </w:rPr>
              <w:pPrChange w:id="748" w:author="Author">
                <w:pPr>
                  <w:pStyle w:val="Table"/>
                  <w:keepLines w:val="0"/>
                  <w:tabs>
                    <w:tab w:val="left" w:pos="567"/>
                  </w:tabs>
                  <w:spacing w:line="260" w:lineRule="exact"/>
                </w:pPr>
              </w:pPrChange>
            </w:pPr>
            <w:r w:rsidRPr="008A4F40">
              <w:rPr>
                <w:rFonts w:ascii="Times New Roman" w:hAnsi="Times New Roman"/>
                <w:sz w:val="22"/>
                <w:szCs w:val="22"/>
                <w:lang w:val="de-CH"/>
              </w:rPr>
              <w:t>Hoch</w:t>
            </w:r>
          </w:p>
        </w:tc>
        <w:tc>
          <w:tcPr>
            <w:tcW w:w="986" w:type="dxa"/>
            <w:tcBorders>
              <w:top w:val="nil"/>
              <w:left w:val="single" w:sz="4" w:space="0" w:color="auto"/>
              <w:right w:val="single" w:sz="4" w:space="0" w:color="auto"/>
            </w:tcBorders>
            <w:vAlign w:val="bottom"/>
          </w:tcPr>
          <w:p w14:paraId="0CEE8006" w14:textId="77777777" w:rsidR="003A33A6" w:rsidRPr="008A4F40" w:rsidRDefault="003A33A6">
            <w:pPr>
              <w:pStyle w:val="Table"/>
              <w:keepLines w:val="0"/>
              <w:tabs>
                <w:tab w:val="left" w:pos="567"/>
              </w:tabs>
              <w:spacing w:before="0" w:after="0"/>
              <w:jc w:val="center"/>
              <w:rPr>
                <w:rFonts w:ascii="Times New Roman" w:hAnsi="Times New Roman"/>
                <w:sz w:val="22"/>
                <w:szCs w:val="22"/>
                <w:lang w:val="de-CH"/>
              </w:rPr>
              <w:pPrChange w:id="749" w:author="Author">
                <w:pPr>
                  <w:pStyle w:val="Table"/>
                  <w:keepLines w:val="0"/>
                  <w:tabs>
                    <w:tab w:val="left" w:pos="567"/>
                  </w:tabs>
                  <w:spacing w:line="260" w:lineRule="exact"/>
                  <w:jc w:val="center"/>
                </w:pPr>
              </w:pPrChange>
            </w:pPr>
            <w:r w:rsidRPr="008A4F40">
              <w:rPr>
                <w:rFonts w:ascii="Times New Roman" w:hAnsi="Times New Roman"/>
                <w:sz w:val="22"/>
                <w:szCs w:val="22"/>
                <w:lang w:val="de-CH"/>
              </w:rPr>
              <w:t>44,8</w:t>
            </w:r>
          </w:p>
        </w:tc>
        <w:tc>
          <w:tcPr>
            <w:tcW w:w="2083" w:type="dxa"/>
            <w:tcBorders>
              <w:top w:val="nil"/>
              <w:left w:val="single" w:sz="4" w:space="0" w:color="auto"/>
              <w:right w:val="single" w:sz="4" w:space="0" w:color="auto"/>
            </w:tcBorders>
            <w:vAlign w:val="bottom"/>
          </w:tcPr>
          <w:p w14:paraId="34B20F51" w14:textId="77777777" w:rsidR="003A33A6" w:rsidRPr="008A4F40" w:rsidRDefault="003A33A6">
            <w:pPr>
              <w:pStyle w:val="Table"/>
              <w:keepLines w:val="0"/>
              <w:tabs>
                <w:tab w:val="left" w:pos="567"/>
              </w:tabs>
              <w:spacing w:before="0" w:after="0"/>
              <w:rPr>
                <w:rFonts w:ascii="Times New Roman" w:hAnsi="Times New Roman"/>
                <w:sz w:val="22"/>
                <w:szCs w:val="22"/>
                <w:lang w:val="de-CH"/>
              </w:rPr>
              <w:pPrChange w:id="750" w:author="Author">
                <w:pPr>
                  <w:pStyle w:val="Table"/>
                  <w:keepLines w:val="0"/>
                  <w:tabs>
                    <w:tab w:val="left" w:pos="567"/>
                  </w:tabs>
                  <w:spacing w:line="260" w:lineRule="exact"/>
                </w:pPr>
              </w:pPrChange>
            </w:pPr>
            <w:r w:rsidRPr="008A4F40">
              <w:rPr>
                <w:rFonts w:ascii="Times New Roman" w:hAnsi="Times New Roman"/>
                <w:sz w:val="22"/>
                <w:szCs w:val="22"/>
                <w:lang w:val="de-CH"/>
              </w:rPr>
              <w:t>21/140 vs. 51/127</w:t>
            </w:r>
          </w:p>
        </w:tc>
        <w:tc>
          <w:tcPr>
            <w:tcW w:w="1800" w:type="dxa"/>
            <w:tcBorders>
              <w:top w:val="nil"/>
              <w:left w:val="single" w:sz="4" w:space="0" w:color="auto"/>
              <w:right w:val="single" w:sz="4" w:space="0" w:color="auto"/>
            </w:tcBorders>
            <w:vAlign w:val="bottom"/>
          </w:tcPr>
          <w:p w14:paraId="2E02658D" w14:textId="77777777" w:rsidR="003A33A6" w:rsidRPr="008A4F40" w:rsidRDefault="003A33A6">
            <w:pPr>
              <w:pStyle w:val="Table"/>
              <w:keepLines w:val="0"/>
              <w:tabs>
                <w:tab w:val="left" w:pos="567"/>
              </w:tabs>
              <w:spacing w:before="0" w:after="0"/>
              <w:rPr>
                <w:rFonts w:ascii="Times New Roman" w:hAnsi="Times New Roman"/>
                <w:sz w:val="22"/>
                <w:szCs w:val="22"/>
              </w:rPr>
              <w:pPrChange w:id="751" w:author="Author">
                <w:pPr>
                  <w:pStyle w:val="Table"/>
                  <w:keepLines w:val="0"/>
                  <w:tabs>
                    <w:tab w:val="left" w:pos="567"/>
                  </w:tabs>
                  <w:spacing w:line="260" w:lineRule="exact"/>
                </w:pPr>
              </w:pPrChange>
            </w:pPr>
            <w:r w:rsidRPr="008A4F40">
              <w:rPr>
                <w:rFonts w:ascii="Times New Roman" w:hAnsi="Times New Roman"/>
                <w:sz w:val="22"/>
                <w:szCs w:val="22"/>
                <w:lang w:val="de-CH"/>
              </w:rPr>
              <w:t>0,29 (0</w:t>
            </w:r>
            <w:r w:rsidRPr="008A4F40">
              <w:rPr>
                <w:rFonts w:ascii="Times New Roman" w:hAnsi="Times New Roman"/>
                <w:sz w:val="22"/>
                <w:szCs w:val="22"/>
              </w:rPr>
              <w:t>,18; 0,49)</w:t>
            </w:r>
          </w:p>
        </w:tc>
        <w:tc>
          <w:tcPr>
            <w:tcW w:w="1440" w:type="dxa"/>
            <w:tcBorders>
              <w:top w:val="nil"/>
              <w:left w:val="single" w:sz="4" w:space="0" w:color="auto"/>
              <w:right w:val="single" w:sz="4" w:space="0" w:color="auto"/>
            </w:tcBorders>
            <w:vAlign w:val="bottom"/>
          </w:tcPr>
          <w:p w14:paraId="2CFEA4DF" w14:textId="77777777" w:rsidR="003A33A6" w:rsidRPr="008A4F40" w:rsidRDefault="003A33A6">
            <w:pPr>
              <w:pStyle w:val="Table"/>
              <w:keepLines w:val="0"/>
              <w:tabs>
                <w:tab w:val="left" w:pos="567"/>
              </w:tabs>
              <w:spacing w:before="0" w:after="0"/>
              <w:rPr>
                <w:rFonts w:ascii="Times New Roman" w:hAnsi="Times New Roman"/>
                <w:sz w:val="22"/>
                <w:szCs w:val="22"/>
              </w:rPr>
              <w:pPrChange w:id="752" w:author="Author">
                <w:pPr>
                  <w:pStyle w:val="Table"/>
                  <w:keepLines w:val="0"/>
                  <w:tabs>
                    <w:tab w:val="left" w:pos="567"/>
                  </w:tabs>
                  <w:spacing w:line="260" w:lineRule="exact"/>
                </w:pPr>
              </w:pPrChange>
            </w:pPr>
            <w:r w:rsidRPr="008A4F40">
              <w:rPr>
                <w:rFonts w:ascii="Times New Roman" w:hAnsi="Times New Roman"/>
                <w:sz w:val="22"/>
                <w:szCs w:val="22"/>
              </w:rPr>
              <w:t>94,8 vs. 64,0</w:t>
            </w:r>
          </w:p>
        </w:tc>
        <w:tc>
          <w:tcPr>
            <w:tcW w:w="1360" w:type="dxa"/>
            <w:tcBorders>
              <w:top w:val="nil"/>
              <w:left w:val="single" w:sz="4" w:space="0" w:color="auto"/>
            </w:tcBorders>
            <w:vAlign w:val="bottom"/>
          </w:tcPr>
          <w:p w14:paraId="4007BFE6" w14:textId="77777777" w:rsidR="003A33A6" w:rsidRPr="008A4F40" w:rsidRDefault="003A33A6">
            <w:pPr>
              <w:pStyle w:val="Table"/>
              <w:keepLines w:val="0"/>
              <w:tabs>
                <w:tab w:val="left" w:pos="567"/>
              </w:tabs>
              <w:spacing w:before="0" w:after="0"/>
              <w:rPr>
                <w:rFonts w:ascii="Times New Roman" w:hAnsi="Times New Roman"/>
                <w:sz w:val="22"/>
                <w:szCs w:val="22"/>
              </w:rPr>
              <w:pPrChange w:id="753" w:author="Author">
                <w:pPr>
                  <w:pStyle w:val="Table"/>
                  <w:keepLines w:val="0"/>
                  <w:tabs>
                    <w:tab w:val="left" w:pos="567"/>
                  </w:tabs>
                  <w:spacing w:line="260" w:lineRule="exact"/>
                </w:pPr>
              </w:pPrChange>
            </w:pPr>
            <w:r w:rsidRPr="008A4F40">
              <w:rPr>
                <w:rFonts w:ascii="Times New Roman" w:hAnsi="Times New Roman"/>
                <w:sz w:val="22"/>
                <w:szCs w:val="22"/>
              </w:rPr>
              <w:t>80,7 vs. 46,6</w:t>
            </w:r>
          </w:p>
        </w:tc>
      </w:tr>
      <w:tr w:rsidR="003A33A6" w:rsidRPr="008A4F40" w14:paraId="024BAF6E" w14:textId="77777777" w:rsidTr="00DA7B0B">
        <w:trPr>
          <w:cantSplit/>
        </w:trPr>
        <w:tc>
          <w:tcPr>
            <w:tcW w:w="934" w:type="dxa"/>
            <w:vMerge w:val="restart"/>
          </w:tcPr>
          <w:p w14:paraId="02250473" w14:textId="77777777" w:rsidR="003A33A6" w:rsidRPr="008A4F40" w:rsidRDefault="003A33A6">
            <w:pPr>
              <w:pStyle w:val="Table"/>
              <w:keepLines w:val="0"/>
              <w:tabs>
                <w:tab w:val="left" w:pos="567"/>
              </w:tabs>
              <w:spacing w:before="0" w:after="0"/>
              <w:rPr>
                <w:rFonts w:ascii="Times New Roman" w:hAnsi="Times New Roman"/>
                <w:sz w:val="22"/>
                <w:szCs w:val="22"/>
              </w:rPr>
              <w:pPrChange w:id="754" w:author="Author">
                <w:pPr>
                  <w:pStyle w:val="Table"/>
                  <w:keepLines w:val="0"/>
                  <w:tabs>
                    <w:tab w:val="left" w:pos="567"/>
                  </w:tabs>
                  <w:spacing w:before="480" w:line="260" w:lineRule="exact"/>
                </w:pPr>
              </w:pPrChange>
            </w:pPr>
            <w:r w:rsidRPr="008A4F40">
              <w:rPr>
                <w:rFonts w:ascii="Times New Roman" w:hAnsi="Times New Roman"/>
                <w:sz w:val="22"/>
                <w:szCs w:val="22"/>
              </w:rPr>
              <w:t>AFIP</w:t>
            </w:r>
          </w:p>
          <w:p w14:paraId="61287456" w14:textId="77777777" w:rsidR="003A33A6" w:rsidRPr="008A4F40" w:rsidRDefault="003A33A6">
            <w:pPr>
              <w:pStyle w:val="Table"/>
              <w:keepLines w:val="0"/>
              <w:tabs>
                <w:tab w:val="left" w:pos="567"/>
              </w:tabs>
              <w:spacing w:before="0" w:after="0"/>
              <w:rPr>
                <w:rFonts w:ascii="Times New Roman" w:hAnsi="Times New Roman"/>
                <w:sz w:val="22"/>
                <w:szCs w:val="22"/>
              </w:rPr>
              <w:pPrChange w:id="755" w:author="Author">
                <w:pPr>
                  <w:pStyle w:val="Table"/>
                  <w:keepLines w:val="0"/>
                  <w:tabs>
                    <w:tab w:val="left" w:pos="567"/>
                  </w:tabs>
                  <w:spacing w:line="260" w:lineRule="exact"/>
                </w:pPr>
              </w:pPrChange>
            </w:pPr>
          </w:p>
        </w:tc>
        <w:tc>
          <w:tcPr>
            <w:tcW w:w="1417" w:type="dxa"/>
            <w:tcBorders>
              <w:bottom w:val="nil"/>
              <w:right w:val="single" w:sz="4" w:space="0" w:color="auto"/>
            </w:tcBorders>
            <w:vAlign w:val="bottom"/>
          </w:tcPr>
          <w:p w14:paraId="6803E8CD" w14:textId="77777777" w:rsidR="003A33A6" w:rsidRPr="008A4F40" w:rsidRDefault="003A33A6">
            <w:pPr>
              <w:pStyle w:val="Table"/>
              <w:keepLines w:val="0"/>
              <w:tabs>
                <w:tab w:val="left" w:pos="567"/>
              </w:tabs>
              <w:spacing w:before="0" w:after="0"/>
              <w:rPr>
                <w:rFonts w:ascii="Times New Roman" w:hAnsi="Times New Roman"/>
                <w:sz w:val="22"/>
                <w:szCs w:val="22"/>
              </w:rPr>
              <w:pPrChange w:id="756" w:author="Author">
                <w:pPr>
                  <w:pStyle w:val="Table"/>
                  <w:keepLines w:val="0"/>
                  <w:tabs>
                    <w:tab w:val="left" w:pos="567"/>
                  </w:tabs>
                  <w:spacing w:line="260" w:lineRule="exact"/>
                </w:pPr>
              </w:pPrChange>
            </w:pPr>
            <w:r w:rsidRPr="008A4F40">
              <w:rPr>
                <w:rFonts w:ascii="Times New Roman" w:hAnsi="Times New Roman"/>
                <w:sz w:val="22"/>
                <w:szCs w:val="22"/>
              </w:rPr>
              <w:t xml:space="preserve">Sehr </w:t>
            </w:r>
            <w:proofErr w:type="spellStart"/>
            <w:r w:rsidRPr="008A4F40">
              <w:rPr>
                <w:rFonts w:ascii="Times New Roman" w:hAnsi="Times New Roman"/>
                <w:sz w:val="22"/>
                <w:szCs w:val="22"/>
              </w:rPr>
              <w:t>gering</w:t>
            </w:r>
            <w:proofErr w:type="spellEnd"/>
          </w:p>
        </w:tc>
        <w:tc>
          <w:tcPr>
            <w:tcW w:w="986" w:type="dxa"/>
            <w:tcBorders>
              <w:left w:val="single" w:sz="4" w:space="0" w:color="auto"/>
              <w:bottom w:val="nil"/>
              <w:right w:val="single" w:sz="4" w:space="0" w:color="auto"/>
            </w:tcBorders>
            <w:vAlign w:val="bottom"/>
          </w:tcPr>
          <w:p w14:paraId="7906DDFB" w14:textId="77777777" w:rsidR="003A33A6" w:rsidRPr="008A4F40" w:rsidRDefault="003A33A6">
            <w:pPr>
              <w:pStyle w:val="Table"/>
              <w:keepLines w:val="0"/>
              <w:tabs>
                <w:tab w:val="left" w:pos="567"/>
              </w:tabs>
              <w:spacing w:before="0" w:after="0"/>
              <w:jc w:val="center"/>
              <w:rPr>
                <w:rFonts w:ascii="Times New Roman" w:hAnsi="Times New Roman"/>
                <w:sz w:val="22"/>
                <w:szCs w:val="22"/>
              </w:rPr>
              <w:pPrChange w:id="757" w:author="Author">
                <w:pPr>
                  <w:pStyle w:val="Table"/>
                  <w:keepLines w:val="0"/>
                  <w:tabs>
                    <w:tab w:val="left" w:pos="567"/>
                  </w:tabs>
                  <w:spacing w:line="260" w:lineRule="exact"/>
                  <w:jc w:val="center"/>
                </w:pPr>
              </w:pPrChange>
            </w:pPr>
            <w:r w:rsidRPr="008A4F40">
              <w:rPr>
                <w:rFonts w:ascii="Times New Roman" w:hAnsi="Times New Roman"/>
                <w:sz w:val="22"/>
                <w:szCs w:val="22"/>
              </w:rPr>
              <w:t>20,7</w:t>
            </w:r>
          </w:p>
        </w:tc>
        <w:tc>
          <w:tcPr>
            <w:tcW w:w="2083" w:type="dxa"/>
            <w:tcBorders>
              <w:left w:val="single" w:sz="4" w:space="0" w:color="auto"/>
              <w:bottom w:val="nil"/>
              <w:right w:val="single" w:sz="4" w:space="0" w:color="auto"/>
            </w:tcBorders>
            <w:vAlign w:val="bottom"/>
          </w:tcPr>
          <w:p w14:paraId="177EDA66" w14:textId="77777777" w:rsidR="003A33A6" w:rsidRPr="008A4F40" w:rsidRDefault="003A33A6">
            <w:pPr>
              <w:pStyle w:val="Table"/>
              <w:keepLines w:val="0"/>
              <w:tabs>
                <w:tab w:val="left" w:pos="567"/>
              </w:tabs>
              <w:spacing w:before="0" w:after="0"/>
              <w:rPr>
                <w:rFonts w:ascii="Times New Roman" w:hAnsi="Times New Roman"/>
                <w:sz w:val="22"/>
                <w:szCs w:val="22"/>
              </w:rPr>
              <w:pPrChange w:id="758" w:author="Author">
                <w:pPr>
                  <w:pStyle w:val="Table"/>
                  <w:keepLines w:val="0"/>
                  <w:tabs>
                    <w:tab w:val="left" w:pos="567"/>
                  </w:tabs>
                  <w:spacing w:line="260" w:lineRule="exact"/>
                </w:pPr>
              </w:pPrChange>
            </w:pPr>
            <w:r w:rsidRPr="008A4F40">
              <w:rPr>
                <w:rFonts w:ascii="Times New Roman" w:hAnsi="Times New Roman"/>
                <w:sz w:val="22"/>
                <w:szCs w:val="22"/>
              </w:rPr>
              <w:t>0/52 vs. 2/63</w:t>
            </w:r>
          </w:p>
        </w:tc>
        <w:tc>
          <w:tcPr>
            <w:tcW w:w="1800" w:type="dxa"/>
            <w:tcBorders>
              <w:left w:val="single" w:sz="4" w:space="0" w:color="auto"/>
              <w:bottom w:val="nil"/>
              <w:right w:val="single" w:sz="4" w:space="0" w:color="auto"/>
            </w:tcBorders>
            <w:vAlign w:val="bottom"/>
          </w:tcPr>
          <w:p w14:paraId="788D4A67" w14:textId="77777777" w:rsidR="003A33A6" w:rsidRPr="008A4F40" w:rsidRDefault="003A33A6">
            <w:pPr>
              <w:pStyle w:val="Table"/>
              <w:keepLines w:val="0"/>
              <w:tabs>
                <w:tab w:val="left" w:pos="567"/>
              </w:tabs>
              <w:spacing w:before="0" w:after="0"/>
              <w:rPr>
                <w:rFonts w:ascii="Times New Roman" w:hAnsi="Times New Roman"/>
                <w:sz w:val="22"/>
                <w:szCs w:val="22"/>
              </w:rPr>
              <w:pPrChange w:id="759" w:author="Author">
                <w:pPr>
                  <w:pStyle w:val="Table"/>
                  <w:keepLines w:val="0"/>
                  <w:tabs>
                    <w:tab w:val="left" w:pos="567"/>
                  </w:tabs>
                  <w:spacing w:line="260" w:lineRule="exact"/>
                </w:pPr>
              </w:pPrChange>
            </w:pPr>
            <w:r w:rsidRPr="008A4F40">
              <w:rPr>
                <w:rFonts w:ascii="Times New Roman" w:hAnsi="Times New Roman"/>
                <w:sz w:val="22"/>
                <w:szCs w:val="22"/>
              </w:rPr>
              <w:t>N.E.</w:t>
            </w:r>
          </w:p>
        </w:tc>
        <w:tc>
          <w:tcPr>
            <w:tcW w:w="1440" w:type="dxa"/>
            <w:tcBorders>
              <w:left w:val="single" w:sz="4" w:space="0" w:color="auto"/>
              <w:bottom w:val="nil"/>
              <w:right w:val="single" w:sz="4" w:space="0" w:color="auto"/>
            </w:tcBorders>
            <w:vAlign w:val="bottom"/>
          </w:tcPr>
          <w:p w14:paraId="5F6C38F8" w14:textId="77777777" w:rsidR="003A33A6" w:rsidRPr="008A4F40" w:rsidRDefault="003A33A6">
            <w:pPr>
              <w:pStyle w:val="Table"/>
              <w:keepLines w:val="0"/>
              <w:tabs>
                <w:tab w:val="left" w:pos="567"/>
              </w:tabs>
              <w:spacing w:before="0" w:after="0"/>
              <w:rPr>
                <w:rFonts w:ascii="Times New Roman" w:hAnsi="Times New Roman"/>
                <w:sz w:val="22"/>
                <w:szCs w:val="22"/>
              </w:rPr>
              <w:pPrChange w:id="760" w:author="Author">
                <w:pPr>
                  <w:pStyle w:val="Table"/>
                  <w:keepLines w:val="0"/>
                  <w:tabs>
                    <w:tab w:val="left" w:pos="567"/>
                  </w:tabs>
                  <w:spacing w:line="260" w:lineRule="exact"/>
                </w:pPr>
              </w:pPrChange>
            </w:pPr>
            <w:r w:rsidRPr="008A4F40">
              <w:rPr>
                <w:rFonts w:ascii="Times New Roman" w:hAnsi="Times New Roman"/>
                <w:sz w:val="22"/>
                <w:szCs w:val="22"/>
              </w:rPr>
              <w:t>100 vs. 98,1</w:t>
            </w:r>
          </w:p>
        </w:tc>
        <w:tc>
          <w:tcPr>
            <w:tcW w:w="1360" w:type="dxa"/>
            <w:tcBorders>
              <w:left w:val="single" w:sz="4" w:space="0" w:color="auto"/>
              <w:bottom w:val="nil"/>
            </w:tcBorders>
            <w:vAlign w:val="bottom"/>
          </w:tcPr>
          <w:p w14:paraId="55D25D21" w14:textId="77777777" w:rsidR="003A33A6" w:rsidRPr="008A4F40" w:rsidRDefault="003A33A6">
            <w:pPr>
              <w:pStyle w:val="Table"/>
              <w:keepLines w:val="0"/>
              <w:tabs>
                <w:tab w:val="left" w:pos="567"/>
              </w:tabs>
              <w:spacing w:before="0" w:after="0"/>
              <w:rPr>
                <w:rFonts w:ascii="Times New Roman" w:hAnsi="Times New Roman"/>
                <w:sz w:val="22"/>
                <w:szCs w:val="22"/>
              </w:rPr>
              <w:pPrChange w:id="761" w:author="Author">
                <w:pPr>
                  <w:pStyle w:val="Table"/>
                  <w:keepLines w:val="0"/>
                  <w:tabs>
                    <w:tab w:val="left" w:pos="567"/>
                  </w:tabs>
                  <w:spacing w:line="260" w:lineRule="exact"/>
                </w:pPr>
              </w:pPrChange>
            </w:pPr>
            <w:r w:rsidRPr="008A4F40">
              <w:rPr>
                <w:rFonts w:ascii="Times New Roman" w:hAnsi="Times New Roman"/>
                <w:sz w:val="22"/>
                <w:szCs w:val="22"/>
              </w:rPr>
              <w:t>100 vs. 93,0</w:t>
            </w:r>
          </w:p>
        </w:tc>
      </w:tr>
      <w:tr w:rsidR="003A33A6" w:rsidRPr="008A4F40" w14:paraId="2DC19C8F" w14:textId="77777777" w:rsidTr="00DA7B0B">
        <w:trPr>
          <w:cantSplit/>
        </w:trPr>
        <w:tc>
          <w:tcPr>
            <w:tcW w:w="934" w:type="dxa"/>
            <w:vMerge/>
          </w:tcPr>
          <w:p w14:paraId="2C95CCC7" w14:textId="77777777" w:rsidR="003A33A6" w:rsidRPr="008A4F40" w:rsidRDefault="003A33A6">
            <w:pPr>
              <w:pStyle w:val="Table"/>
              <w:keepLines w:val="0"/>
              <w:tabs>
                <w:tab w:val="left" w:pos="567"/>
              </w:tabs>
              <w:spacing w:before="0" w:after="0"/>
              <w:rPr>
                <w:rFonts w:ascii="Times New Roman" w:hAnsi="Times New Roman"/>
                <w:sz w:val="22"/>
                <w:szCs w:val="22"/>
              </w:rPr>
              <w:pPrChange w:id="762" w:author="Author">
                <w:pPr>
                  <w:pStyle w:val="Table"/>
                  <w:keepLines w:val="0"/>
                  <w:tabs>
                    <w:tab w:val="left" w:pos="567"/>
                  </w:tabs>
                  <w:spacing w:line="260" w:lineRule="exact"/>
                </w:pPr>
              </w:pPrChange>
            </w:pPr>
          </w:p>
        </w:tc>
        <w:tc>
          <w:tcPr>
            <w:tcW w:w="1417" w:type="dxa"/>
            <w:tcBorders>
              <w:top w:val="nil"/>
              <w:bottom w:val="nil"/>
              <w:right w:val="single" w:sz="4" w:space="0" w:color="auto"/>
            </w:tcBorders>
            <w:vAlign w:val="bottom"/>
          </w:tcPr>
          <w:p w14:paraId="09DDC285" w14:textId="77777777" w:rsidR="003A33A6" w:rsidRPr="008A4F40" w:rsidRDefault="003A33A6">
            <w:pPr>
              <w:pStyle w:val="Table"/>
              <w:keepLines w:val="0"/>
              <w:tabs>
                <w:tab w:val="left" w:pos="567"/>
              </w:tabs>
              <w:spacing w:before="0" w:after="0"/>
              <w:rPr>
                <w:rFonts w:ascii="Times New Roman" w:hAnsi="Times New Roman"/>
                <w:sz w:val="22"/>
                <w:szCs w:val="22"/>
              </w:rPr>
              <w:pPrChange w:id="763" w:author="Author">
                <w:pPr>
                  <w:pStyle w:val="Table"/>
                  <w:keepLines w:val="0"/>
                  <w:tabs>
                    <w:tab w:val="left" w:pos="567"/>
                  </w:tabs>
                  <w:spacing w:line="260" w:lineRule="exact"/>
                </w:pPr>
              </w:pPrChange>
            </w:pPr>
            <w:r w:rsidRPr="008A4F40">
              <w:rPr>
                <w:rFonts w:ascii="Times New Roman" w:hAnsi="Times New Roman"/>
                <w:sz w:val="22"/>
                <w:szCs w:val="22"/>
              </w:rPr>
              <w:t>Gering</w:t>
            </w:r>
          </w:p>
        </w:tc>
        <w:tc>
          <w:tcPr>
            <w:tcW w:w="986" w:type="dxa"/>
            <w:tcBorders>
              <w:top w:val="nil"/>
              <w:left w:val="single" w:sz="4" w:space="0" w:color="auto"/>
              <w:bottom w:val="nil"/>
              <w:right w:val="single" w:sz="4" w:space="0" w:color="auto"/>
            </w:tcBorders>
            <w:vAlign w:val="bottom"/>
          </w:tcPr>
          <w:p w14:paraId="1B7C12BA" w14:textId="77777777" w:rsidR="003A33A6" w:rsidRPr="008A4F40" w:rsidRDefault="003A33A6">
            <w:pPr>
              <w:pStyle w:val="Table"/>
              <w:keepLines w:val="0"/>
              <w:tabs>
                <w:tab w:val="left" w:pos="567"/>
              </w:tabs>
              <w:spacing w:before="0" w:after="0"/>
              <w:jc w:val="center"/>
              <w:rPr>
                <w:rFonts w:ascii="Times New Roman" w:hAnsi="Times New Roman"/>
                <w:sz w:val="22"/>
                <w:szCs w:val="22"/>
              </w:rPr>
              <w:pPrChange w:id="764" w:author="Author">
                <w:pPr>
                  <w:pStyle w:val="Table"/>
                  <w:keepLines w:val="0"/>
                  <w:tabs>
                    <w:tab w:val="left" w:pos="567"/>
                  </w:tabs>
                  <w:spacing w:line="260" w:lineRule="exact"/>
                  <w:jc w:val="center"/>
                </w:pPr>
              </w:pPrChange>
            </w:pPr>
            <w:r w:rsidRPr="008A4F40">
              <w:rPr>
                <w:rFonts w:ascii="Times New Roman" w:hAnsi="Times New Roman"/>
                <w:sz w:val="22"/>
                <w:szCs w:val="22"/>
              </w:rPr>
              <w:t>25,0</w:t>
            </w:r>
          </w:p>
        </w:tc>
        <w:tc>
          <w:tcPr>
            <w:tcW w:w="2083" w:type="dxa"/>
            <w:tcBorders>
              <w:top w:val="nil"/>
              <w:left w:val="single" w:sz="4" w:space="0" w:color="auto"/>
              <w:bottom w:val="nil"/>
              <w:right w:val="single" w:sz="4" w:space="0" w:color="auto"/>
            </w:tcBorders>
            <w:vAlign w:val="bottom"/>
          </w:tcPr>
          <w:p w14:paraId="01E73C12" w14:textId="77777777" w:rsidR="003A33A6" w:rsidRPr="008A4F40" w:rsidRDefault="003A33A6">
            <w:pPr>
              <w:pStyle w:val="Table"/>
              <w:keepLines w:val="0"/>
              <w:tabs>
                <w:tab w:val="left" w:pos="567"/>
              </w:tabs>
              <w:spacing w:before="0" w:after="0"/>
              <w:rPr>
                <w:rFonts w:ascii="Times New Roman" w:hAnsi="Times New Roman"/>
                <w:sz w:val="22"/>
                <w:szCs w:val="22"/>
              </w:rPr>
              <w:pPrChange w:id="765" w:author="Author">
                <w:pPr>
                  <w:pStyle w:val="Table"/>
                  <w:keepLines w:val="0"/>
                  <w:tabs>
                    <w:tab w:val="left" w:pos="567"/>
                  </w:tabs>
                  <w:spacing w:line="260" w:lineRule="exact"/>
                </w:pPr>
              </w:pPrChange>
            </w:pPr>
            <w:r w:rsidRPr="008A4F40">
              <w:rPr>
                <w:rFonts w:ascii="Times New Roman" w:hAnsi="Times New Roman"/>
                <w:sz w:val="22"/>
                <w:szCs w:val="22"/>
              </w:rPr>
              <w:t>2/70 vs. 0/69</w:t>
            </w:r>
          </w:p>
        </w:tc>
        <w:tc>
          <w:tcPr>
            <w:tcW w:w="1800" w:type="dxa"/>
            <w:tcBorders>
              <w:top w:val="nil"/>
              <w:left w:val="single" w:sz="4" w:space="0" w:color="auto"/>
              <w:bottom w:val="nil"/>
              <w:right w:val="single" w:sz="4" w:space="0" w:color="auto"/>
            </w:tcBorders>
            <w:vAlign w:val="bottom"/>
          </w:tcPr>
          <w:p w14:paraId="1EF8317E" w14:textId="77777777" w:rsidR="003A33A6" w:rsidRPr="008A4F40" w:rsidRDefault="003A33A6">
            <w:pPr>
              <w:pStyle w:val="Table"/>
              <w:keepLines w:val="0"/>
              <w:tabs>
                <w:tab w:val="left" w:pos="567"/>
              </w:tabs>
              <w:spacing w:before="0" w:after="0"/>
              <w:rPr>
                <w:rFonts w:ascii="Times New Roman" w:hAnsi="Times New Roman"/>
                <w:sz w:val="22"/>
                <w:szCs w:val="22"/>
              </w:rPr>
              <w:pPrChange w:id="766" w:author="Author">
                <w:pPr>
                  <w:pStyle w:val="Table"/>
                  <w:keepLines w:val="0"/>
                  <w:tabs>
                    <w:tab w:val="left" w:pos="567"/>
                  </w:tabs>
                  <w:spacing w:line="260" w:lineRule="exact"/>
                </w:pPr>
              </w:pPrChange>
            </w:pPr>
            <w:r w:rsidRPr="008A4F40">
              <w:rPr>
                <w:rFonts w:ascii="Times New Roman" w:hAnsi="Times New Roman"/>
                <w:sz w:val="22"/>
                <w:szCs w:val="22"/>
              </w:rPr>
              <w:t>N.E.</w:t>
            </w:r>
          </w:p>
        </w:tc>
        <w:tc>
          <w:tcPr>
            <w:tcW w:w="1440" w:type="dxa"/>
            <w:tcBorders>
              <w:top w:val="nil"/>
              <w:left w:val="single" w:sz="4" w:space="0" w:color="auto"/>
              <w:bottom w:val="nil"/>
              <w:right w:val="single" w:sz="4" w:space="0" w:color="auto"/>
            </w:tcBorders>
            <w:vAlign w:val="bottom"/>
          </w:tcPr>
          <w:p w14:paraId="328F7609" w14:textId="77777777" w:rsidR="003A33A6" w:rsidRPr="008A4F40" w:rsidRDefault="003A33A6">
            <w:pPr>
              <w:pStyle w:val="Table"/>
              <w:keepLines w:val="0"/>
              <w:tabs>
                <w:tab w:val="left" w:pos="567"/>
              </w:tabs>
              <w:spacing w:before="0" w:after="0"/>
              <w:rPr>
                <w:rFonts w:ascii="Times New Roman" w:hAnsi="Times New Roman"/>
                <w:sz w:val="22"/>
                <w:szCs w:val="22"/>
              </w:rPr>
              <w:pPrChange w:id="767" w:author="Author">
                <w:pPr>
                  <w:pStyle w:val="Table"/>
                  <w:keepLines w:val="0"/>
                  <w:tabs>
                    <w:tab w:val="left" w:pos="567"/>
                  </w:tabs>
                  <w:spacing w:line="260" w:lineRule="exact"/>
                </w:pPr>
              </w:pPrChange>
            </w:pPr>
            <w:r w:rsidRPr="008A4F40">
              <w:rPr>
                <w:rFonts w:ascii="Times New Roman" w:hAnsi="Times New Roman"/>
                <w:sz w:val="22"/>
                <w:szCs w:val="22"/>
              </w:rPr>
              <w:t>100 vs. 100</w:t>
            </w:r>
          </w:p>
        </w:tc>
        <w:tc>
          <w:tcPr>
            <w:tcW w:w="1360" w:type="dxa"/>
            <w:tcBorders>
              <w:top w:val="nil"/>
              <w:left w:val="single" w:sz="4" w:space="0" w:color="auto"/>
              <w:bottom w:val="nil"/>
            </w:tcBorders>
            <w:vAlign w:val="bottom"/>
          </w:tcPr>
          <w:p w14:paraId="44AFF7C8" w14:textId="77777777" w:rsidR="003A33A6" w:rsidRPr="008A4F40" w:rsidRDefault="003A33A6">
            <w:pPr>
              <w:pStyle w:val="Table"/>
              <w:keepLines w:val="0"/>
              <w:tabs>
                <w:tab w:val="left" w:pos="567"/>
              </w:tabs>
              <w:spacing w:before="0" w:after="0"/>
              <w:rPr>
                <w:rFonts w:ascii="Times New Roman" w:hAnsi="Times New Roman"/>
                <w:sz w:val="22"/>
                <w:szCs w:val="22"/>
              </w:rPr>
              <w:pPrChange w:id="768" w:author="Author">
                <w:pPr>
                  <w:pStyle w:val="Table"/>
                  <w:keepLines w:val="0"/>
                  <w:tabs>
                    <w:tab w:val="left" w:pos="567"/>
                  </w:tabs>
                  <w:spacing w:line="260" w:lineRule="exact"/>
                </w:pPr>
              </w:pPrChange>
            </w:pPr>
            <w:r w:rsidRPr="008A4F40">
              <w:rPr>
                <w:rFonts w:ascii="Times New Roman" w:hAnsi="Times New Roman"/>
                <w:sz w:val="22"/>
                <w:szCs w:val="22"/>
              </w:rPr>
              <w:t>97,8 vs. 100</w:t>
            </w:r>
          </w:p>
        </w:tc>
      </w:tr>
      <w:tr w:rsidR="003A33A6" w:rsidRPr="008A4F40" w14:paraId="480BDC79" w14:textId="77777777" w:rsidTr="00DA7B0B">
        <w:trPr>
          <w:cantSplit/>
        </w:trPr>
        <w:tc>
          <w:tcPr>
            <w:tcW w:w="934" w:type="dxa"/>
            <w:vMerge/>
          </w:tcPr>
          <w:p w14:paraId="779FD8D0" w14:textId="77777777" w:rsidR="003A33A6" w:rsidRPr="008A4F40" w:rsidRDefault="003A33A6">
            <w:pPr>
              <w:pStyle w:val="Table"/>
              <w:keepLines w:val="0"/>
              <w:tabs>
                <w:tab w:val="left" w:pos="567"/>
              </w:tabs>
              <w:spacing w:before="0" w:after="0"/>
              <w:rPr>
                <w:rFonts w:ascii="Times New Roman" w:hAnsi="Times New Roman"/>
                <w:b/>
                <w:sz w:val="22"/>
                <w:szCs w:val="22"/>
              </w:rPr>
              <w:pPrChange w:id="769" w:author="Author">
                <w:pPr>
                  <w:pStyle w:val="Table"/>
                  <w:keepLines w:val="0"/>
                  <w:tabs>
                    <w:tab w:val="left" w:pos="567"/>
                  </w:tabs>
                  <w:spacing w:line="260" w:lineRule="exact"/>
                </w:pPr>
              </w:pPrChange>
            </w:pPr>
          </w:p>
        </w:tc>
        <w:tc>
          <w:tcPr>
            <w:tcW w:w="1417" w:type="dxa"/>
            <w:tcBorders>
              <w:top w:val="nil"/>
              <w:bottom w:val="nil"/>
              <w:right w:val="single" w:sz="4" w:space="0" w:color="auto"/>
            </w:tcBorders>
            <w:vAlign w:val="bottom"/>
          </w:tcPr>
          <w:p w14:paraId="4A4D8C9D" w14:textId="77777777" w:rsidR="003A33A6" w:rsidRPr="008A4F40" w:rsidRDefault="003A33A6">
            <w:pPr>
              <w:pStyle w:val="Table"/>
              <w:keepLines w:val="0"/>
              <w:tabs>
                <w:tab w:val="left" w:pos="567"/>
              </w:tabs>
              <w:spacing w:before="0" w:after="0"/>
              <w:rPr>
                <w:rFonts w:ascii="Times New Roman" w:hAnsi="Times New Roman"/>
                <w:sz w:val="22"/>
                <w:szCs w:val="22"/>
              </w:rPr>
              <w:pPrChange w:id="770" w:author="Author">
                <w:pPr>
                  <w:pStyle w:val="Table"/>
                  <w:keepLines w:val="0"/>
                  <w:tabs>
                    <w:tab w:val="left" w:pos="567"/>
                  </w:tabs>
                  <w:spacing w:line="260" w:lineRule="exact"/>
                </w:pPr>
              </w:pPrChange>
            </w:pPr>
            <w:proofErr w:type="spellStart"/>
            <w:r w:rsidRPr="008A4F40">
              <w:rPr>
                <w:rFonts w:ascii="Times New Roman" w:hAnsi="Times New Roman"/>
                <w:sz w:val="22"/>
                <w:szCs w:val="22"/>
              </w:rPr>
              <w:t>Moderat</w:t>
            </w:r>
            <w:proofErr w:type="spellEnd"/>
          </w:p>
        </w:tc>
        <w:tc>
          <w:tcPr>
            <w:tcW w:w="986" w:type="dxa"/>
            <w:tcBorders>
              <w:top w:val="nil"/>
              <w:left w:val="single" w:sz="4" w:space="0" w:color="auto"/>
              <w:bottom w:val="nil"/>
              <w:right w:val="single" w:sz="4" w:space="0" w:color="auto"/>
            </w:tcBorders>
            <w:vAlign w:val="bottom"/>
          </w:tcPr>
          <w:p w14:paraId="1C182FFD" w14:textId="77777777" w:rsidR="003A33A6" w:rsidRPr="008A4F40" w:rsidRDefault="003A33A6">
            <w:pPr>
              <w:pStyle w:val="Table"/>
              <w:keepLines w:val="0"/>
              <w:tabs>
                <w:tab w:val="left" w:pos="567"/>
              </w:tabs>
              <w:spacing w:before="0" w:after="0"/>
              <w:jc w:val="center"/>
              <w:rPr>
                <w:rFonts w:ascii="Times New Roman" w:hAnsi="Times New Roman"/>
                <w:sz w:val="22"/>
                <w:szCs w:val="22"/>
              </w:rPr>
              <w:pPrChange w:id="771" w:author="Author">
                <w:pPr>
                  <w:pStyle w:val="Table"/>
                  <w:keepLines w:val="0"/>
                  <w:tabs>
                    <w:tab w:val="left" w:pos="567"/>
                  </w:tabs>
                  <w:spacing w:line="260" w:lineRule="exact"/>
                  <w:jc w:val="center"/>
                </w:pPr>
              </w:pPrChange>
            </w:pPr>
            <w:r w:rsidRPr="008A4F40">
              <w:rPr>
                <w:rFonts w:ascii="Times New Roman" w:hAnsi="Times New Roman"/>
                <w:sz w:val="22"/>
                <w:szCs w:val="22"/>
              </w:rPr>
              <w:t>24,6</w:t>
            </w:r>
          </w:p>
        </w:tc>
        <w:tc>
          <w:tcPr>
            <w:tcW w:w="2083" w:type="dxa"/>
            <w:tcBorders>
              <w:top w:val="nil"/>
              <w:left w:val="single" w:sz="4" w:space="0" w:color="auto"/>
              <w:bottom w:val="nil"/>
              <w:right w:val="single" w:sz="4" w:space="0" w:color="auto"/>
            </w:tcBorders>
            <w:vAlign w:val="bottom"/>
          </w:tcPr>
          <w:p w14:paraId="66F5C54A" w14:textId="77777777" w:rsidR="003A33A6" w:rsidRPr="008A4F40" w:rsidRDefault="003A33A6">
            <w:pPr>
              <w:pStyle w:val="Table"/>
              <w:keepLines w:val="0"/>
              <w:tabs>
                <w:tab w:val="left" w:pos="567"/>
              </w:tabs>
              <w:spacing w:before="0" w:after="0"/>
              <w:rPr>
                <w:rFonts w:ascii="Times New Roman" w:hAnsi="Times New Roman"/>
                <w:sz w:val="22"/>
                <w:szCs w:val="22"/>
              </w:rPr>
              <w:pPrChange w:id="772" w:author="Author">
                <w:pPr>
                  <w:pStyle w:val="Table"/>
                  <w:keepLines w:val="0"/>
                  <w:tabs>
                    <w:tab w:val="left" w:pos="567"/>
                  </w:tabs>
                  <w:spacing w:line="260" w:lineRule="exact"/>
                </w:pPr>
              </w:pPrChange>
            </w:pPr>
            <w:r w:rsidRPr="008A4F40">
              <w:rPr>
                <w:rFonts w:ascii="Times New Roman" w:hAnsi="Times New Roman"/>
                <w:sz w:val="22"/>
                <w:szCs w:val="22"/>
              </w:rPr>
              <w:t>2/70 vs. 11/67</w:t>
            </w:r>
          </w:p>
        </w:tc>
        <w:tc>
          <w:tcPr>
            <w:tcW w:w="1800" w:type="dxa"/>
            <w:tcBorders>
              <w:top w:val="nil"/>
              <w:left w:val="single" w:sz="4" w:space="0" w:color="auto"/>
              <w:bottom w:val="nil"/>
              <w:right w:val="single" w:sz="4" w:space="0" w:color="auto"/>
            </w:tcBorders>
            <w:vAlign w:val="bottom"/>
          </w:tcPr>
          <w:p w14:paraId="7D9E938D" w14:textId="77777777" w:rsidR="003A33A6" w:rsidRPr="008A4F40" w:rsidRDefault="003A33A6">
            <w:pPr>
              <w:pStyle w:val="Table"/>
              <w:keepLines w:val="0"/>
              <w:tabs>
                <w:tab w:val="left" w:pos="567"/>
              </w:tabs>
              <w:spacing w:before="0" w:after="0"/>
              <w:rPr>
                <w:rFonts w:ascii="Times New Roman" w:hAnsi="Times New Roman"/>
                <w:sz w:val="22"/>
                <w:szCs w:val="22"/>
              </w:rPr>
              <w:pPrChange w:id="773" w:author="Author">
                <w:pPr>
                  <w:pStyle w:val="Table"/>
                  <w:keepLines w:val="0"/>
                  <w:tabs>
                    <w:tab w:val="left" w:pos="567"/>
                  </w:tabs>
                  <w:spacing w:line="260" w:lineRule="exact"/>
                </w:pPr>
              </w:pPrChange>
            </w:pPr>
            <w:r w:rsidRPr="008A4F40">
              <w:rPr>
                <w:rFonts w:ascii="Times New Roman" w:hAnsi="Times New Roman"/>
                <w:sz w:val="22"/>
                <w:szCs w:val="22"/>
              </w:rPr>
              <w:t>0,16 (0,03; 0,70)</w:t>
            </w:r>
          </w:p>
        </w:tc>
        <w:tc>
          <w:tcPr>
            <w:tcW w:w="1440" w:type="dxa"/>
            <w:tcBorders>
              <w:top w:val="nil"/>
              <w:left w:val="single" w:sz="4" w:space="0" w:color="auto"/>
              <w:bottom w:val="nil"/>
              <w:right w:val="single" w:sz="4" w:space="0" w:color="auto"/>
            </w:tcBorders>
            <w:vAlign w:val="bottom"/>
          </w:tcPr>
          <w:p w14:paraId="478F8919" w14:textId="77777777" w:rsidR="003A33A6" w:rsidRPr="008A4F40" w:rsidRDefault="003A33A6">
            <w:pPr>
              <w:pStyle w:val="Table"/>
              <w:keepLines w:val="0"/>
              <w:tabs>
                <w:tab w:val="left" w:pos="567"/>
              </w:tabs>
              <w:spacing w:before="0" w:after="0"/>
              <w:rPr>
                <w:rFonts w:ascii="Times New Roman" w:hAnsi="Times New Roman"/>
                <w:sz w:val="22"/>
                <w:szCs w:val="22"/>
              </w:rPr>
              <w:pPrChange w:id="774" w:author="Author">
                <w:pPr>
                  <w:pStyle w:val="Table"/>
                  <w:keepLines w:val="0"/>
                  <w:tabs>
                    <w:tab w:val="left" w:pos="567"/>
                  </w:tabs>
                  <w:spacing w:line="260" w:lineRule="exact"/>
                </w:pPr>
              </w:pPrChange>
            </w:pPr>
            <w:r w:rsidRPr="008A4F40">
              <w:rPr>
                <w:rFonts w:ascii="Times New Roman" w:hAnsi="Times New Roman"/>
                <w:sz w:val="22"/>
                <w:szCs w:val="22"/>
              </w:rPr>
              <w:t>97,9 vs. 90,8</w:t>
            </w:r>
          </w:p>
        </w:tc>
        <w:tc>
          <w:tcPr>
            <w:tcW w:w="1360" w:type="dxa"/>
            <w:tcBorders>
              <w:top w:val="nil"/>
              <w:left w:val="single" w:sz="4" w:space="0" w:color="auto"/>
              <w:bottom w:val="nil"/>
            </w:tcBorders>
            <w:vAlign w:val="bottom"/>
          </w:tcPr>
          <w:p w14:paraId="688B6E1A" w14:textId="77777777" w:rsidR="003A33A6" w:rsidRPr="008A4F40" w:rsidRDefault="003A33A6">
            <w:pPr>
              <w:pStyle w:val="Table"/>
              <w:keepLines w:val="0"/>
              <w:tabs>
                <w:tab w:val="left" w:pos="567"/>
              </w:tabs>
              <w:spacing w:before="0" w:after="0"/>
              <w:rPr>
                <w:rFonts w:ascii="Times New Roman" w:hAnsi="Times New Roman"/>
                <w:sz w:val="22"/>
                <w:szCs w:val="22"/>
              </w:rPr>
              <w:pPrChange w:id="775" w:author="Author">
                <w:pPr>
                  <w:pStyle w:val="Table"/>
                  <w:keepLines w:val="0"/>
                  <w:tabs>
                    <w:tab w:val="left" w:pos="567"/>
                  </w:tabs>
                  <w:spacing w:line="260" w:lineRule="exact"/>
                </w:pPr>
              </w:pPrChange>
            </w:pPr>
            <w:r w:rsidRPr="008A4F40">
              <w:rPr>
                <w:rFonts w:ascii="Times New Roman" w:hAnsi="Times New Roman"/>
                <w:sz w:val="22"/>
                <w:szCs w:val="22"/>
              </w:rPr>
              <w:t>97,9 vs. 73,3</w:t>
            </w:r>
          </w:p>
        </w:tc>
      </w:tr>
      <w:tr w:rsidR="003A33A6" w:rsidRPr="008A4F40" w14:paraId="48207801" w14:textId="77777777" w:rsidTr="00D1077B">
        <w:trPr>
          <w:cantSplit/>
          <w:trPrChange w:id="776" w:author="Author">
            <w:trPr>
              <w:cantSplit/>
            </w:trPr>
          </w:trPrChange>
        </w:trPr>
        <w:tc>
          <w:tcPr>
            <w:tcW w:w="934" w:type="dxa"/>
            <w:vMerge/>
            <w:tcPrChange w:id="777" w:author="Author">
              <w:tcPr>
                <w:tcW w:w="934" w:type="dxa"/>
                <w:vMerge/>
                <w:tcBorders>
                  <w:bottom w:val="single" w:sz="4" w:space="0" w:color="auto"/>
                </w:tcBorders>
              </w:tcPr>
            </w:tcPrChange>
          </w:tcPr>
          <w:p w14:paraId="0A15DF8F" w14:textId="77777777" w:rsidR="003A33A6" w:rsidRPr="008A4F40" w:rsidRDefault="003A33A6">
            <w:pPr>
              <w:pStyle w:val="Table"/>
              <w:keepLines w:val="0"/>
              <w:tabs>
                <w:tab w:val="left" w:pos="567"/>
              </w:tabs>
              <w:spacing w:before="0" w:after="0"/>
              <w:rPr>
                <w:rFonts w:ascii="Times New Roman" w:hAnsi="Times New Roman"/>
                <w:sz w:val="22"/>
                <w:szCs w:val="22"/>
              </w:rPr>
              <w:pPrChange w:id="778" w:author="Author">
                <w:pPr>
                  <w:pStyle w:val="Table"/>
                  <w:keepLines w:val="0"/>
                  <w:tabs>
                    <w:tab w:val="left" w:pos="567"/>
                  </w:tabs>
                  <w:spacing w:line="260" w:lineRule="exact"/>
                </w:pPr>
              </w:pPrChange>
            </w:pPr>
          </w:p>
        </w:tc>
        <w:tc>
          <w:tcPr>
            <w:tcW w:w="1417" w:type="dxa"/>
            <w:tcBorders>
              <w:top w:val="nil"/>
              <w:bottom w:val="nil"/>
              <w:right w:val="single" w:sz="4" w:space="0" w:color="auto"/>
            </w:tcBorders>
            <w:vAlign w:val="bottom"/>
            <w:tcPrChange w:id="779" w:author="Author">
              <w:tcPr>
                <w:tcW w:w="1417" w:type="dxa"/>
                <w:tcBorders>
                  <w:top w:val="nil"/>
                  <w:bottom w:val="single" w:sz="4" w:space="0" w:color="auto"/>
                  <w:right w:val="single" w:sz="4" w:space="0" w:color="auto"/>
                </w:tcBorders>
                <w:vAlign w:val="bottom"/>
              </w:tcPr>
            </w:tcPrChange>
          </w:tcPr>
          <w:p w14:paraId="042E1D03" w14:textId="77777777" w:rsidR="003A33A6" w:rsidRPr="008A4F40" w:rsidRDefault="003A33A6">
            <w:pPr>
              <w:pStyle w:val="Table"/>
              <w:keepLines w:val="0"/>
              <w:tabs>
                <w:tab w:val="left" w:pos="567"/>
              </w:tabs>
              <w:spacing w:before="0" w:after="0"/>
              <w:rPr>
                <w:rFonts w:ascii="Times New Roman" w:hAnsi="Times New Roman"/>
                <w:sz w:val="22"/>
                <w:szCs w:val="22"/>
              </w:rPr>
              <w:pPrChange w:id="780" w:author="Author">
                <w:pPr>
                  <w:pStyle w:val="Table"/>
                  <w:keepLines w:val="0"/>
                  <w:tabs>
                    <w:tab w:val="left" w:pos="567"/>
                  </w:tabs>
                  <w:spacing w:line="260" w:lineRule="exact"/>
                </w:pPr>
              </w:pPrChange>
            </w:pPr>
            <w:r w:rsidRPr="008A4F40">
              <w:rPr>
                <w:rFonts w:ascii="Times New Roman" w:hAnsi="Times New Roman"/>
                <w:sz w:val="22"/>
                <w:szCs w:val="22"/>
              </w:rPr>
              <w:t>Hoch</w:t>
            </w:r>
          </w:p>
        </w:tc>
        <w:tc>
          <w:tcPr>
            <w:tcW w:w="986" w:type="dxa"/>
            <w:tcBorders>
              <w:top w:val="nil"/>
              <w:left w:val="single" w:sz="4" w:space="0" w:color="auto"/>
              <w:bottom w:val="nil"/>
              <w:right w:val="single" w:sz="4" w:space="0" w:color="auto"/>
            </w:tcBorders>
            <w:vAlign w:val="bottom"/>
            <w:tcPrChange w:id="781" w:author="Author">
              <w:tcPr>
                <w:tcW w:w="986" w:type="dxa"/>
                <w:tcBorders>
                  <w:top w:val="nil"/>
                  <w:left w:val="single" w:sz="4" w:space="0" w:color="auto"/>
                  <w:bottom w:val="single" w:sz="4" w:space="0" w:color="auto"/>
                  <w:right w:val="single" w:sz="4" w:space="0" w:color="auto"/>
                </w:tcBorders>
                <w:vAlign w:val="bottom"/>
              </w:tcPr>
            </w:tcPrChange>
          </w:tcPr>
          <w:p w14:paraId="781BA812" w14:textId="77777777" w:rsidR="003A33A6" w:rsidRPr="008A4F40" w:rsidRDefault="003A33A6">
            <w:pPr>
              <w:pStyle w:val="Table"/>
              <w:keepLines w:val="0"/>
              <w:tabs>
                <w:tab w:val="left" w:pos="567"/>
              </w:tabs>
              <w:spacing w:before="0" w:after="0"/>
              <w:ind w:right="-3"/>
              <w:jc w:val="center"/>
              <w:rPr>
                <w:rFonts w:ascii="Times New Roman" w:hAnsi="Times New Roman"/>
                <w:sz w:val="22"/>
                <w:szCs w:val="22"/>
              </w:rPr>
              <w:pPrChange w:id="782" w:author="Author">
                <w:pPr>
                  <w:pStyle w:val="Table"/>
                  <w:keepLines w:val="0"/>
                  <w:tabs>
                    <w:tab w:val="left" w:pos="567"/>
                  </w:tabs>
                  <w:spacing w:line="260" w:lineRule="exact"/>
                  <w:ind w:right="-3"/>
                  <w:jc w:val="center"/>
                </w:pPr>
              </w:pPrChange>
            </w:pPr>
            <w:r w:rsidRPr="008A4F40">
              <w:rPr>
                <w:rFonts w:ascii="Times New Roman" w:hAnsi="Times New Roman"/>
                <w:sz w:val="22"/>
                <w:szCs w:val="22"/>
              </w:rPr>
              <w:t>29,7</w:t>
            </w:r>
          </w:p>
        </w:tc>
        <w:tc>
          <w:tcPr>
            <w:tcW w:w="2083" w:type="dxa"/>
            <w:tcBorders>
              <w:top w:val="nil"/>
              <w:left w:val="single" w:sz="4" w:space="0" w:color="auto"/>
              <w:bottom w:val="nil"/>
              <w:right w:val="single" w:sz="4" w:space="0" w:color="auto"/>
            </w:tcBorders>
            <w:vAlign w:val="bottom"/>
            <w:tcPrChange w:id="783" w:author="Author">
              <w:tcPr>
                <w:tcW w:w="2083" w:type="dxa"/>
                <w:tcBorders>
                  <w:top w:val="nil"/>
                  <w:left w:val="single" w:sz="4" w:space="0" w:color="auto"/>
                  <w:bottom w:val="single" w:sz="4" w:space="0" w:color="auto"/>
                  <w:right w:val="single" w:sz="4" w:space="0" w:color="auto"/>
                </w:tcBorders>
                <w:vAlign w:val="bottom"/>
              </w:tcPr>
            </w:tcPrChange>
          </w:tcPr>
          <w:p w14:paraId="580BAC47" w14:textId="77777777" w:rsidR="003A33A6" w:rsidRPr="008A4F40" w:rsidRDefault="003A33A6">
            <w:pPr>
              <w:pStyle w:val="Table"/>
              <w:keepLines w:val="0"/>
              <w:tabs>
                <w:tab w:val="left" w:pos="567"/>
              </w:tabs>
              <w:spacing w:before="0" w:after="0"/>
              <w:rPr>
                <w:rFonts w:ascii="Times New Roman" w:hAnsi="Times New Roman"/>
                <w:sz w:val="22"/>
                <w:szCs w:val="22"/>
              </w:rPr>
              <w:pPrChange w:id="784" w:author="Author">
                <w:pPr>
                  <w:pStyle w:val="Table"/>
                  <w:keepLines w:val="0"/>
                  <w:tabs>
                    <w:tab w:val="left" w:pos="567"/>
                  </w:tabs>
                  <w:spacing w:line="260" w:lineRule="exact"/>
                </w:pPr>
              </w:pPrChange>
            </w:pPr>
            <w:r w:rsidRPr="008A4F40">
              <w:rPr>
                <w:rFonts w:ascii="Times New Roman" w:hAnsi="Times New Roman"/>
                <w:sz w:val="22"/>
                <w:szCs w:val="22"/>
              </w:rPr>
              <w:t>16/84 vs. 39/81</w:t>
            </w:r>
          </w:p>
        </w:tc>
        <w:tc>
          <w:tcPr>
            <w:tcW w:w="1800" w:type="dxa"/>
            <w:tcBorders>
              <w:top w:val="nil"/>
              <w:left w:val="single" w:sz="4" w:space="0" w:color="auto"/>
              <w:bottom w:val="nil"/>
              <w:right w:val="single" w:sz="4" w:space="0" w:color="auto"/>
            </w:tcBorders>
            <w:vAlign w:val="bottom"/>
            <w:tcPrChange w:id="785" w:author="Author">
              <w:tcPr>
                <w:tcW w:w="1800" w:type="dxa"/>
                <w:tcBorders>
                  <w:top w:val="nil"/>
                  <w:left w:val="single" w:sz="4" w:space="0" w:color="auto"/>
                  <w:bottom w:val="single" w:sz="4" w:space="0" w:color="auto"/>
                  <w:right w:val="single" w:sz="4" w:space="0" w:color="auto"/>
                </w:tcBorders>
                <w:vAlign w:val="bottom"/>
              </w:tcPr>
            </w:tcPrChange>
          </w:tcPr>
          <w:p w14:paraId="52DD15CE" w14:textId="77777777" w:rsidR="003A33A6" w:rsidRPr="008A4F40" w:rsidRDefault="003A33A6">
            <w:pPr>
              <w:pStyle w:val="Table"/>
              <w:keepLines w:val="0"/>
              <w:tabs>
                <w:tab w:val="left" w:pos="567"/>
              </w:tabs>
              <w:spacing w:before="0" w:after="0"/>
              <w:rPr>
                <w:rFonts w:ascii="Times New Roman" w:hAnsi="Times New Roman"/>
                <w:sz w:val="22"/>
                <w:szCs w:val="22"/>
              </w:rPr>
              <w:pPrChange w:id="786" w:author="Author">
                <w:pPr>
                  <w:pStyle w:val="Table"/>
                  <w:keepLines w:val="0"/>
                  <w:tabs>
                    <w:tab w:val="left" w:pos="567"/>
                  </w:tabs>
                  <w:spacing w:line="260" w:lineRule="exact"/>
                </w:pPr>
              </w:pPrChange>
            </w:pPr>
            <w:r w:rsidRPr="008A4F40">
              <w:rPr>
                <w:rFonts w:ascii="Times New Roman" w:hAnsi="Times New Roman"/>
                <w:sz w:val="22"/>
                <w:szCs w:val="22"/>
              </w:rPr>
              <w:t>0,27 (0,15; 0,48)</w:t>
            </w:r>
          </w:p>
        </w:tc>
        <w:tc>
          <w:tcPr>
            <w:tcW w:w="1440" w:type="dxa"/>
            <w:tcBorders>
              <w:top w:val="nil"/>
              <w:left w:val="single" w:sz="4" w:space="0" w:color="auto"/>
              <w:bottom w:val="nil"/>
              <w:right w:val="single" w:sz="4" w:space="0" w:color="auto"/>
            </w:tcBorders>
            <w:vAlign w:val="bottom"/>
            <w:tcPrChange w:id="787" w:author="Author">
              <w:tcPr>
                <w:tcW w:w="1440" w:type="dxa"/>
                <w:tcBorders>
                  <w:top w:val="nil"/>
                  <w:left w:val="single" w:sz="4" w:space="0" w:color="auto"/>
                  <w:bottom w:val="single" w:sz="4" w:space="0" w:color="auto"/>
                  <w:right w:val="single" w:sz="4" w:space="0" w:color="auto"/>
                </w:tcBorders>
                <w:vAlign w:val="bottom"/>
              </w:tcPr>
            </w:tcPrChange>
          </w:tcPr>
          <w:p w14:paraId="069A5CE7" w14:textId="77777777" w:rsidR="003A33A6" w:rsidRPr="008A4F40" w:rsidRDefault="003A33A6">
            <w:pPr>
              <w:pStyle w:val="Table"/>
              <w:keepLines w:val="0"/>
              <w:tabs>
                <w:tab w:val="left" w:pos="567"/>
              </w:tabs>
              <w:spacing w:before="0" w:after="0"/>
              <w:rPr>
                <w:rFonts w:ascii="Times New Roman" w:hAnsi="Times New Roman"/>
                <w:sz w:val="22"/>
                <w:szCs w:val="22"/>
              </w:rPr>
              <w:pPrChange w:id="788" w:author="Author">
                <w:pPr>
                  <w:pStyle w:val="Table"/>
                  <w:keepLines w:val="0"/>
                  <w:tabs>
                    <w:tab w:val="left" w:pos="567"/>
                  </w:tabs>
                  <w:spacing w:line="260" w:lineRule="exact"/>
                </w:pPr>
              </w:pPrChange>
            </w:pPr>
            <w:r w:rsidRPr="008A4F40">
              <w:rPr>
                <w:rFonts w:ascii="Times New Roman" w:hAnsi="Times New Roman"/>
                <w:sz w:val="22"/>
                <w:szCs w:val="22"/>
              </w:rPr>
              <w:t>98,7 vs. 56,1</w:t>
            </w:r>
          </w:p>
        </w:tc>
        <w:tc>
          <w:tcPr>
            <w:tcW w:w="1360" w:type="dxa"/>
            <w:tcBorders>
              <w:top w:val="nil"/>
              <w:left w:val="single" w:sz="4" w:space="0" w:color="auto"/>
              <w:bottom w:val="nil"/>
            </w:tcBorders>
            <w:vAlign w:val="bottom"/>
            <w:tcPrChange w:id="789" w:author="Author">
              <w:tcPr>
                <w:tcW w:w="1360" w:type="dxa"/>
                <w:tcBorders>
                  <w:top w:val="nil"/>
                  <w:left w:val="single" w:sz="4" w:space="0" w:color="auto"/>
                  <w:bottom w:val="single" w:sz="4" w:space="0" w:color="auto"/>
                </w:tcBorders>
                <w:vAlign w:val="bottom"/>
              </w:tcPr>
            </w:tcPrChange>
          </w:tcPr>
          <w:p w14:paraId="6AEAADF5" w14:textId="77777777" w:rsidR="003A33A6" w:rsidRPr="008A4F40" w:rsidRDefault="003A33A6">
            <w:pPr>
              <w:pStyle w:val="Table"/>
              <w:keepLines w:val="0"/>
              <w:tabs>
                <w:tab w:val="left" w:pos="567"/>
              </w:tabs>
              <w:spacing w:before="0" w:after="0"/>
              <w:rPr>
                <w:rFonts w:ascii="Times New Roman" w:hAnsi="Times New Roman"/>
                <w:sz w:val="22"/>
                <w:szCs w:val="22"/>
              </w:rPr>
              <w:pPrChange w:id="790" w:author="Author">
                <w:pPr>
                  <w:pStyle w:val="Table"/>
                  <w:keepLines w:val="0"/>
                  <w:tabs>
                    <w:tab w:val="left" w:pos="567"/>
                  </w:tabs>
                  <w:spacing w:line="260" w:lineRule="exact"/>
                </w:pPr>
              </w:pPrChange>
            </w:pPr>
            <w:r w:rsidRPr="008A4F40">
              <w:rPr>
                <w:rFonts w:ascii="Times New Roman" w:hAnsi="Times New Roman"/>
                <w:sz w:val="22"/>
                <w:szCs w:val="22"/>
              </w:rPr>
              <w:t>79,9 vs. 41,5</w:t>
            </w:r>
          </w:p>
        </w:tc>
      </w:tr>
      <w:tr w:rsidR="00AC3F2D" w:rsidRPr="00AC3F2D" w14:paraId="57208CE1" w14:textId="77777777" w:rsidTr="00B74755">
        <w:trPr>
          <w:cantSplit/>
          <w:ins w:id="791" w:author="Author"/>
        </w:trPr>
        <w:tc>
          <w:tcPr>
            <w:tcW w:w="10020" w:type="dxa"/>
            <w:gridSpan w:val="7"/>
          </w:tcPr>
          <w:p w14:paraId="539A078D" w14:textId="3C2A4268" w:rsidR="00AC3F2D" w:rsidRPr="00DF5410" w:rsidRDefault="00AC3F2D" w:rsidP="007D6643">
            <w:pPr>
              <w:pStyle w:val="Text"/>
              <w:spacing w:before="0"/>
              <w:rPr>
                <w:ins w:id="792" w:author="Author"/>
                <w:sz w:val="20"/>
                <w:lang w:val="de-DE"/>
              </w:rPr>
            </w:pPr>
            <w:ins w:id="793" w:author="Author">
              <w:r w:rsidRPr="00DF5410">
                <w:rPr>
                  <w:sz w:val="20"/>
                  <w:lang w:val="de-DE"/>
                </w:rPr>
                <w:t>* Gesamte Follow</w:t>
              </w:r>
              <w:r>
                <w:rPr>
                  <w:sz w:val="20"/>
                  <w:lang w:val="de-DE"/>
                </w:rPr>
                <w:noBreakHyphen/>
              </w:r>
              <w:r w:rsidRPr="00DF5410">
                <w:rPr>
                  <w:sz w:val="20"/>
                  <w:lang w:val="de-DE"/>
                </w:rPr>
                <w:t>up</w:t>
              </w:r>
              <w:r>
                <w:rPr>
                  <w:sz w:val="20"/>
                  <w:lang w:val="de-DE"/>
                </w:rPr>
                <w:noBreakHyphen/>
              </w:r>
              <w:r w:rsidRPr="00DF5410">
                <w:rPr>
                  <w:sz w:val="20"/>
                  <w:lang w:val="de-DE"/>
                </w:rPr>
                <w:t>Periode; N</w:t>
              </w:r>
              <w:r w:rsidR="00DF5410">
                <w:rPr>
                  <w:sz w:val="20"/>
                  <w:lang w:val="de-DE"/>
                </w:rPr>
                <w:t>.</w:t>
              </w:r>
              <w:r w:rsidRPr="00DF5410">
                <w:rPr>
                  <w:sz w:val="20"/>
                  <w:lang w:val="de-DE"/>
                </w:rPr>
                <w:t>E</w:t>
              </w:r>
              <w:r w:rsidR="00DF5410">
                <w:rPr>
                  <w:sz w:val="20"/>
                  <w:lang w:val="de-DE"/>
                </w:rPr>
                <w:t>.</w:t>
              </w:r>
              <w:r w:rsidRPr="00DF5410">
                <w:rPr>
                  <w:sz w:val="20"/>
                  <w:lang w:val="de-DE"/>
                </w:rPr>
                <w:t xml:space="preserve"> – Nicht bestimmbar</w:t>
              </w:r>
            </w:ins>
          </w:p>
        </w:tc>
      </w:tr>
    </w:tbl>
    <w:p w14:paraId="20A89CB3" w14:textId="755C595F" w:rsidR="003A33A6" w:rsidRPr="008A4F40" w:rsidDel="00AC3F2D" w:rsidRDefault="003A33A6" w:rsidP="004E7659">
      <w:pPr>
        <w:pStyle w:val="Text"/>
        <w:spacing w:before="0"/>
        <w:rPr>
          <w:del w:id="794" w:author="Author"/>
          <w:sz w:val="22"/>
          <w:szCs w:val="22"/>
          <w:lang w:val="de-DE"/>
        </w:rPr>
      </w:pPr>
      <w:del w:id="795" w:author="Author">
        <w:r w:rsidRPr="008A4F40" w:rsidDel="00AC3F2D">
          <w:rPr>
            <w:sz w:val="22"/>
            <w:szCs w:val="22"/>
            <w:lang w:val="de-DE"/>
          </w:rPr>
          <w:delText>* Gesamte Follow-up-Periode; NE – Nicht bestimmbar</w:delText>
        </w:r>
      </w:del>
    </w:p>
    <w:p w14:paraId="7F904CCD"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5DDF4324" w14:textId="0F7866DB"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Eine zweite multizentrische, offene Phase-III-Studie (SSG XVIII/AIO) verglich eine Behandlung mit täglich 400 mg Glivec über 12 Monate mit einer Behandlung über 36 Monate bei GIST-Patienten nach chirurgischer Resektion und einem der folgenden Merkmale: Tumordurchmesser &gt; 5 cm und Mitoserate &gt; 5/50 High Power Fields (HPF); oder Tumordurchmesser &gt; 10 cm mit jegliche</w:t>
      </w:r>
      <w:r w:rsidR="00952054">
        <w:rPr>
          <w:color w:val="000000"/>
          <w:szCs w:val="22"/>
        </w:rPr>
        <w:t>r</w:t>
      </w:r>
      <w:r w:rsidRPr="008A4F40">
        <w:rPr>
          <w:color w:val="000000"/>
          <w:szCs w:val="22"/>
        </w:rPr>
        <w:t xml:space="preserve"> Mitoserate oder Tumor jeglicher Größe mit Mitoserate &gt; 10/50 HPF oder Tumorruptur in die peritoneale Kavität. Insgesamt 397 Patienten stimmten der Studienteilnahme zu und wurden randomisiert (199 Patienten im 12-Monatsarm und 198 Patienten im 36-Monatsarm), das mediane Alter betrug 61 Jahre (Bereich von 22 bis 84 Jahre). Die mediane Beobachtungszeit betrug 54 Monate (vom Tag der Randomisierung bis zum Tag der letzten Datenerhebung). Die Zeitspanne zwischen der Randomisierung des ersten Patienten und dem Tag der letzten Datenerhebung betrug 83 Monate.</w:t>
      </w:r>
    </w:p>
    <w:p w14:paraId="591FA0DB"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2D6AD72A" w14:textId="1EB42F12"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Der primäre Endpunkt der Studie war das Rezidiv-freie Überleben (RFS) und wurde definiert als die Zeit vom Tag der Randomisierung bis zum Tag des Auftreten</w:t>
      </w:r>
      <w:r w:rsidR="00952054">
        <w:rPr>
          <w:color w:val="000000"/>
          <w:szCs w:val="22"/>
        </w:rPr>
        <w:t>s</w:t>
      </w:r>
      <w:r w:rsidRPr="008A4F40">
        <w:rPr>
          <w:color w:val="000000"/>
          <w:szCs w:val="22"/>
        </w:rPr>
        <w:t xml:space="preserve"> des Rezidivs oder des Todes aufgrund jeglicher Ursache.</w:t>
      </w:r>
    </w:p>
    <w:p w14:paraId="76CD256B"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37217ECB" w14:textId="28152951"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Die Behandlung mit Glivec über einen Zeitraum von 36 Monaten verlängerte signifikant das RFS im Vergleich mit 12 Monaten Behandlung (mit einer Gesamt-Hazard Ratio (HR)</w:t>
      </w:r>
      <w:ins w:id="796" w:author="Author">
        <w:r w:rsidR="00CD0876">
          <w:rPr>
            <w:color w:val="000000"/>
            <w:szCs w:val="22"/>
          </w:rPr>
          <w:t> </w:t>
        </w:r>
      </w:ins>
      <w:del w:id="797" w:author="Author">
        <w:r w:rsidRPr="008A4F40" w:rsidDel="00CD0876">
          <w:rPr>
            <w:color w:val="000000"/>
            <w:szCs w:val="22"/>
          </w:rPr>
          <w:delText xml:space="preserve"> </w:delText>
        </w:r>
      </w:del>
      <w:r w:rsidRPr="008A4F40">
        <w:rPr>
          <w:color w:val="000000"/>
          <w:szCs w:val="22"/>
        </w:rPr>
        <w:t>=</w:t>
      </w:r>
      <w:ins w:id="798" w:author="Author">
        <w:r w:rsidR="00CD0876">
          <w:rPr>
            <w:color w:val="000000"/>
            <w:szCs w:val="22"/>
          </w:rPr>
          <w:t> </w:t>
        </w:r>
      </w:ins>
      <w:del w:id="799" w:author="Author">
        <w:r w:rsidRPr="008A4F40" w:rsidDel="00CD0876">
          <w:rPr>
            <w:color w:val="000000"/>
            <w:szCs w:val="22"/>
          </w:rPr>
          <w:delText xml:space="preserve"> </w:delText>
        </w:r>
      </w:del>
      <w:r w:rsidRPr="008A4F40">
        <w:rPr>
          <w:color w:val="000000"/>
          <w:szCs w:val="22"/>
        </w:rPr>
        <w:t>0,46 [0,32, 0,65], p</w:t>
      </w:r>
      <w:ins w:id="800" w:author="Author">
        <w:r w:rsidR="00C454C7">
          <w:rPr>
            <w:color w:val="000000"/>
            <w:szCs w:val="22"/>
          </w:rPr>
          <w:t> </w:t>
        </w:r>
      </w:ins>
      <w:r w:rsidRPr="008A4F40">
        <w:rPr>
          <w:color w:val="000000"/>
          <w:szCs w:val="22"/>
        </w:rPr>
        <w:t>&lt;</w:t>
      </w:r>
      <w:ins w:id="801" w:author="Author">
        <w:r w:rsidR="00C454C7">
          <w:rPr>
            <w:color w:val="000000"/>
            <w:szCs w:val="22"/>
          </w:rPr>
          <w:t> </w:t>
        </w:r>
      </w:ins>
      <w:r w:rsidRPr="008A4F40">
        <w:rPr>
          <w:color w:val="000000"/>
          <w:szCs w:val="22"/>
        </w:rPr>
        <w:t>0,0001) (Tabelle </w:t>
      </w:r>
      <w:r w:rsidR="008F4874" w:rsidRPr="008A4F40">
        <w:rPr>
          <w:color w:val="000000"/>
          <w:szCs w:val="22"/>
        </w:rPr>
        <w:t>8</w:t>
      </w:r>
      <w:r w:rsidRPr="008A4F40">
        <w:rPr>
          <w:color w:val="000000"/>
          <w:szCs w:val="22"/>
        </w:rPr>
        <w:t>, Abbildung 1).</w:t>
      </w:r>
    </w:p>
    <w:p w14:paraId="1B0A1494"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6CC43BA4" w14:textId="06B4515B"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Zusätzlich verlängerte die 36-monatige Behandlung mit Glivec signifikant das Gesamtüberleben im Vergleich mit der 12-monatigen Behandlung (HR</w:t>
      </w:r>
      <w:ins w:id="802" w:author="Author">
        <w:r w:rsidR="00CD0876">
          <w:rPr>
            <w:color w:val="000000"/>
            <w:szCs w:val="22"/>
          </w:rPr>
          <w:t> </w:t>
        </w:r>
      </w:ins>
      <w:del w:id="803" w:author="Author">
        <w:r w:rsidRPr="008A4F40" w:rsidDel="00CD0876">
          <w:rPr>
            <w:color w:val="000000"/>
            <w:szCs w:val="22"/>
          </w:rPr>
          <w:delText xml:space="preserve"> </w:delText>
        </w:r>
      </w:del>
      <w:r w:rsidRPr="008A4F40">
        <w:rPr>
          <w:color w:val="000000"/>
          <w:szCs w:val="22"/>
        </w:rPr>
        <w:t>=</w:t>
      </w:r>
      <w:ins w:id="804" w:author="Author">
        <w:r w:rsidR="00CD0876">
          <w:rPr>
            <w:color w:val="000000"/>
            <w:szCs w:val="22"/>
          </w:rPr>
          <w:t> </w:t>
        </w:r>
      </w:ins>
      <w:del w:id="805" w:author="Author">
        <w:r w:rsidRPr="008A4F40" w:rsidDel="00CD0876">
          <w:rPr>
            <w:color w:val="000000"/>
            <w:szCs w:val="22"/>
          </w:rPr>
          <w:delText xml:space="preserve"> </w:delText>
        </w:r>
      </w:del>
      <w:r w:rsidRPr="008A4F40">
        <w:rPr>
          <w:color w:val="000000"/>
          <w:szCs w:val="22"/>
        </w:rPr>
        <w:t xml:space="preserve">0,45 [0,22, 0,89], </w:t>
      </w:r>
      <w:r w:rsidRPr="008A4F40">
        <w:t>p = </w:t>
      </w:r>
      <w:r w:rsidRPr="008A4F40">
        <w:rPr>
          <w:color w:val="000000"/>
          <w:szCs w:val="22"/>
        </w:rPr>
        <w:t>0,0187) (Tabelle </w:t>
      </w:r>
      <w:r w:rsidR="008F4874" w:rsidRPr="008A4F40">
        <w:rPr>
          <w:color w:val="000000"/>
          <w:szCs w:val="22"/>
        </w:rPr>
        <w:t>8</w:t>
      </w:r>
      <w:r w:rsidRPr="008A4F40">
        <w:rPr>
          <w:color w:val="000000"/>
          <w:szCs w:val="22"/>
        </w:rPr>
        <w:t>, Abbildung 2).</w:t>
      </w:r>
    </w:p>
    <w:p w14:paraId="3F310687"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56D43DF0"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Eine längere Behandlungsdauer (&gt; 36 Monate) könnte die Entstehung eines weiteren Rezidivs hinauszögern. Der Einfluss dieser Erkenntnis auf das Gesamtüberleben bleibt jedoch unbekannt.</w:t>
      </w:r>
    </w:p>
    <w:p w14:paraId="2758F250"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1A549D8A"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Die Gesamtzahl an Todesfällen betrug 25 für den 12-Monatsarm und 12 für den 36-Monatsarm.</w:t>
      </w:r>
    </w:p>
    <w:p w14:paraId="3B2C6CA2"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325050DA" w14:textId="190E9C1A"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Die Behandlung mit Imatinib über einen Zeitraum von 36 Monaten war in der ITT-Analyse, das heißt unter Auswertung der gesamten Studienpopulation, der Behandlung über einen Zeitraum von 12 Monaten überlegen. In einer geplanten Subgruppenanalyse nach Mutationstyp lag die HR für RFS bei 0,35 [95%</w:t>
      </w:r>
      <w:r w:rsidR="0021532B" w:rsidRPr="008A4F40">
        <w:rPr>
          <w:color w:val="000000"/>
          <w:szCs w:val="22"/>
        </w:rPr>
        <w:t>-KI</w:t>
      </w:r>
      <w:r w:rsidRPr="008A4F40">
        <w:rPr>
          <w:color w:val="000000"/>
          <w:szCs w:val="22"/>
        </w:rPr>
        <w:t>: 0,22, 0,56] für eine 36-monatige Behandlung für Patienten mit Exon-11-Mutation. Wegen der geringen Anzahl an beobachteten Ereignissen können keine Rückschl</w:t>
      </w:r>
      <w:r w:rsidR="00781F7F">
        <w:rPr>
          <w:color w:val="000000"/>
          <w:szCs w:val="22"/>
        </w:rPr>
        <w:t>ü</w:t>
      </w:r>
      <w:r w:rsidRPr="008A4F40">
        <w:rPr>
          <w:color w:val="000000"/>
          <w:szCs w:val="22"/>
        </w:rPr>
        <w:t>sse auf andere, weniger häufig auftretende Mutationssubgruppen gezogen werden.</w:t>
      </w:r>
    </w:p>
    <w:p w14:paraId="4E3A9868" w14:textId="77777777" w:rsidR="003A33A6" w:rsidRPr="008A4F40" w:rsidRDefault="003A33A6" w:rsidP="004E7659">
      <w:pPr>
        <w:pStyle w:val="Header"/>
        <w:tabs>
          <w:tab w:val="clear" w:pos="4320"/>
          <w:tab w:val="clear" w:pos="8640"/>
          <w:tab w:val="center" w:pos="6804"/>
          <w:tab w:val="right" w:leader="underscore" w:pos="9072"/>
        </w:tabs>
        <w:rPr>
          <w:color w:val="000000"/>
          <w:szCs w:val="22"/>
          <w:u w:val="single"/>
        </w:rPr>
      </w:pPr>
    </w:p>
    <w:p w14:paraId="38F5A61F" w14:textId="77777777" w:rsidR="003A33A6" w:rsidRPr="008A4F40" w:rsidRDefault="003A33A6" w:rsidP="004E7659">
      <w:pPr>
        <w:keepNext/>
        <w:ind w:left="1134" w:hanging="1134"/>
        <w:rPr>
          <w:rFonts w:eastAsia="MS Mincho"/>
          <w:b/>
          <w:sz w:val="22"/>
          <w:szCs w:val="22"/>
          <w:lang w:eastAsia="ja-JP"/>
        </w:rPr>
      </w:pPr>
      <w:r w:rsidRPr="008A4F40">
        <w:rPr>
          <w:rFonts w:eastAsia="MS Mincho"/>
          <w:b/>
          <w:sz w:val="22"/>
          <w:szCs w:val="22"/>
        </w:rPr>
        <w:t>Tabelle </w:t>
      </w:r>
      <w:r w:rsidR="008F4874" w:rsidRPr="008A4F40">
        <w:rPr>
          <w:rFonts w:eastAsia="MS Mincho"/>
          <w:b/>
          <w:sz w:val="22"/>
          <w:szCs w:val="22"/>
        </w:rPr>
        <w:t>8</w:t>
      </w:r>
      <w:r w:rsidRPr="008A4F40">
        <w:rPr>
          <w:rFonts w:eastAsia="MS Mincho"/>
          <w:sz w:val="22"/>
          <w:szCs w:val="22"/>
        </w:rPr>
        <w:tab/>
      </w:r>
      <w:r w:rsidRPr="008A4F40">
        <w:rPr>
          <w:rFonts w:eastAsia="MS Mincho"/>
          <w:b/>
          <w:sz w:val="22"/>
          <w:szCs w:val="22"/>
          <w:lang w:eastAsia="ja-JP"/>
        </w:rPr>
        <w:t>12-monatige und 36-monatige Behandlung mit Glivec (SSGXVIII/AIO-Studie)</w:t>
      </w:r>
    </w:p>
    <w:p w14:paraId="42F2D305" w14:textId="77777777" w:rsidR="003A33A6" w:rsidRPr="008A4F40" w:rsidRDefault="003A33A6" w:rsidP="004E7659">
      <w:pPr>
        <w:keepNext/>
        <w:rPr>
          <w:rFonts w:eastAsia="MS Mincho"/>
          <w:sz w:val="22"/>
          <w:szCs w:val="22"/>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3A33A6" w:rsidRPr="008A4F40" w14:paraId="24F5AD14" w14:textId="77777777" w:rsidTr="00DA7B0B">
        <w:trPr>
          <w:cantSplit/>
        </w:trPr>
        <w:tc>
          <w:tcPr>
            <w:tcW w:w="3099" w:type="dxa"/>
            <w:tcBorders>
              <w:top w:val="single" w:sz="4" w:space="0" w:color="auto"/>
              <w:bottom w:val="nil"/>
            </w:tcBorders>
          </w:tcPr>
          <w:p w14:paraId="789645E6" w14:textId="77777777" w:rsidR="003A33A6" w:rsidRPr="008A4F40" w:rsidRDefault="003A33A6" w:rsidP="004E7659">
            <w:pPr>
              <w:keepNext/>
              <w:tabs>
                <w:tab w:val="left" w:pos="284"/>
              </w:tabs>
              <w:rPr>
                <w:rFonts w:eastAsia="MS Mincho"/>
                <w:sz w:val="22"/>
                <w:szCs w:val="22"/>
              </w:rPr>
            </w:pPr>
          </w:p>
        </w:tc>
        <w:tc>
          <w:tcPr>
            <w:tcW w:w="3100" w:type="dxa"/>
            <w:tcBorders>
              <w:top w:val="single" w:sz="4" w:space="0" w:color="auto"/>
              <w:bottom w:val="nil"/>
            </w:tcBorders>
          </w:tcPr>
          <w:p w14:paraId="380475A7" w14:textId="77777777" w:rsidR="003A33A6" w:rsidRPr="008A4F40" w:rsidRDefault="003A33A6" w:rsidP="004E7659">
            <w:pPr>
              <w:keepNext/>
              <w:tabs>
                <w:tab w:val="left" w:pos="284"/>
              </w:tabs>
              <w:rPr>
                <w:rFonts w:eastAsia="MS Mincho"/>
                <w:b/>
                <w:sz w:val="22"/>
                <w:szCs w:val="22"/>
              </w:rPr>
            </w:pPr>
            <w:r w:rsidRPr="008A4F40">
              <w:rPr>
                <w:rFonts w:eastAsia="MS Mincho"/>
                <w:b/>
                <w:sz w:val="22"/>
                <w:szCs w:val="22"/>
              </w:rPr>
              <w:t>12-monatige Behandlung</w:t>
            </w:r>
          </w:p>
        </w:tc>
        <w:tc>
          <w:tcPr>
            <w:tcW w:w="3100" w:type="dxa"/>
            <w:tcBorders>
              <w:top w:val="single" w:sz="4" w:space="0" w:color="auto"/>
              <w:bottom w:val="nil"/>
            </w:tcBorders>
          </w:tcPr>
          <w:p w14:paraId="1E224D21" w14:textId="77777777" w:rsidR="003A33A6" w:rsidRPr="008A4F40" w:rsidRDefault="003A33A6" w:rsidP="004E7659">
            <w:pPr>
              <w:keepNext/>
              <w:tabs>
                <w:tab w:val="left" w:pos="284"/>
              </w:tabs>
              <w:rPr>
                <w:rFonts w:eastAsia="MS Mincho"/>
                <w:b/>
                <w:sz w:val="22"/>
                <w:szCs w:val="22"/>
              </w:rPr>
            </w:pPr>
            <w:r w:rsidRPr="008A4F40">
              <w:rPr>
                <w:rFonts w:eastAsia="MS Mincho"/>
                <w:b/>
                <w:sz w:val="22"/>
                <w:szCs w:val="22"/>
              </w:rPr>
              <w:t>36-monatige Behandlung</w:t>
            </w:r>
          </w:p>
        </w:tc>
      </w:tr>
      <w:tr w:rsidR="003A33A6" w:rsidRPr="008A4F40" w14:paraId="5E809BCE" w14:textId="77777777" w:rsidTr="00DA7B0B">
        <w:trPr>
          <w:cantSplit/>
        </w:trPr>
        <w:tc>
          <w:tcPr>
            <w:tcW w:w="3099" w:type="dxa"/>
            <w:tcBorders>
              <w:top w:val="nil"/>
            </w:tcBorders>
          </w:tcPr>
          <w:p w14:paraId="7FFD93AE" w14:textId="77777777" w:rsidR="003A33A6" w:rsidRPr="008A4F40" w:rsidRDefault="003A33A6" w:rsidP="004E7659">
            <w:pPr>
              <w:keepNext/>
              <w:tabs>
                <w:tab w:val="left" w:pos="284"/>
              </w:tabs>
              <w:rPr>
                <w:rFonts w:eastAsia="MS Mincho"/>
                <w:b/>
                <w:sz w:val="22"/>
                <w:szCs w:val="22"/>
              </w:rPr>
            </w:pPr>
            <w:r w:rsidRPr="008A4F40">
              <w:rPr>
                <w:rFonts w:eastAsia="MS Mincho"/>
                <w:b/>
                <w:sz w:val="22"/>
                <w:szCs w:val="22"/>
              </w:rPr>
              <w:t>RFS</w:t>
            </w:r>
          </w:p>
        </w:tc>
        <w:tc>
          <w:tcPr>
            <w:tcW w:w="3100" w:type="dxa"/>
            <w:tcBorders>
              <w:top w:val="nil"/>
            </w:tcBorders>
          </w:tcPr>
          <w:p w14:paraId="3E177BFD" w14:textId="77777777" w:rsidR="003A33A6" w:rsidRPr="008A4F40" w:rsidRDefault="003A33A6" w:rsidP="004E7659">
            <w:pPr>
              <w:keepNext/>
              <w:tabs>
                <w:tab w:val="left" w:pos="284"/>
              </w:tabs>
              <w:rPr>
                <w:rFonts w:eastAsia="MS Mincho"/>
                <w:b/>
                <w:sz w:val="22"/>
                <w:szCs w:val="22"/>
              </w:rPr>
            </w:pPr>
            <w:r w:rsidRPr="008A4F40">
              <w:rPr>
                <w:rFonts w:eastAsia="MS Mincho"/>
                <w:b/>
                <w:sz w:val="22"/>
                <w:szCs w:val="22"/>
              </w:rPr>
              <w:t>%(</w:t>
            </w:r>
            <w:r w:rsidR="0021532B" w:rsidRPr="008A4F40">
              <w:rPr>
                <w:rFonts w:eastAsia="MS Mincho"/>
                <w:b/>
                <w:sz w:val="22"/>
                <w:szCs w:val="22"/>
              </w:rPr>
              <w:t>KI</w:t>
            </w:r>
            <w:r w:rsidRPr="008A4F40">
              <w:rPr>
                <w:rFonts w:eastAsia="MS Mincho"/>
                <w:b/>
                <w:sz w:val="22"/>
                <w:szCs w:val="22"/>
              </w:rPr>
              <w:t>)</w:t>
            </w:r>
          </w:p>
        </w:tc>
        <w:tc>
          <w:tcPr>
            <w:tcW w:w="3100" w:type="dxa"/>
            <w:tcBorders>
              <w:top w:val="nil"/>
            </w:tcBorders>
          </w:tcPr>
          <w:p w14:paraId="25FC6377" w14:textId="77777777" w:rsidR="003A33A6" w:rsidRPr="008A4F40" w:rsidRDefault="003A33A6" w:rsidP="004E7659">
            <w:pPr>
              <w:keepNext/>
              <w:tabs>
                <w:tab w:val="left" w:pos="284"/>
              </w:tabs>
              <w:rPr>
                <w:rFonts w:eastAsia="MS Mincho"/>
                <w:b/>
                <w:sz w:val="22"/>
                <w:szCs w:val="22"/>
              </w:rPr>
            </w:pPr>
            <w:r w:rsidRPr="008A4F40">
              <w:rPr>
                <w:rFonts w:eastAsia="MS Mincho"/>
                <w:b/>
                <w:sz w:val="22"/>
                <w:szCs w:val="22"/>
              </w:rPr>
              <w:t>%(</w:t>
            </w:r>
            <w:r w:rsidR="0021532B" w:rsidRPr="008A4F40">
              <w:rPr>
                <w:rFonts w:eastAsia="MS Mincho"/>
                <w:b/>
                <w:sz w:val="22"/>
                <w:szCs w:val="22"/>
              </w:rPr>
              <w:t>KI</w:t>
            </w:r>
            <w:r w:rsidRPr="008A4F40">
              <w:rPr>
                <w:rFonts w:eastAsia="MS Mincho"/>
                <w:b/>
                <w:sz w:val="22"/>
                <w:szCs w:val="22"/>
              </w:rPr>
              <w:t>)</w:t>
            </w:r>
          </w:p>
        </w:tc>
      </w:tr>
      <w:tr w:rsidR="003A33A6" w:rsidRPr="008A4F40" w14:paraId="7959DFD6" w14:textId="77777777" w:rsidTr="00DA7B0B">
        <w:trPr>
          <w:cantSplit/>
        </w:trPr>
        <w:tc>
          <w:tcPr>
            <w:tcW w:w="3099" w:type="dxa"/>
          </w:tcPr>
          <w:p w14:paraId="06E603EF" w14:textId="77777777" w:rsidR="003A33A6" w:rsidRPr="008A4F40" w:rsidRDefault="003A33A6" w:rsidP="004E7659">
            <w:pPr>
              <w:keepNext/>
              <w:ind w:left="284"/>
              <w:rPr>
                <w:rFonts w:eastAsia="MS Mincho"/>
                <w:sz w:val="22"/>
                <w:szCs w:val="22"/>
              </w:rPr>
            </w:pPr>
            <w:r w:rsidRPr="008A4F40">
              <w:rPr>
                <w:rFonts w:eastAsia="MS Mincho"/>
                <w:sz w:val="22"/>
                <w:szCs w:val="22"/>
              </w:rPr>
              <w:t>12</w:t>
            </w:r>
            <w:r w:rsidRPr="008A4F40">
              <w:rPr>
                <w:rFonts w:eastAsia="MS Mincho"/>
                <w:sz w:val="22"/>
                <w:szCs w:val="22"/>
                <w:lang w:eastAsia="ja-JP"/>
              </w:rPr>
              <w:t> </w:t>
            </w:r>
            <w:r w:rsidRPr="008A4F40">
              <w:rPr>
                <w:rFonts w:eastAsia="MS Mincho"/>
                <w:sz w:val="22"/>
                <w:szCs w:val="22"/>
              </w:rPr>
              <w:t>Monate</w:t>
            </w:r>
          </w:p>
        </w:tc>
        <w:tc>
          <w:tcPr>
            <w:tcW w:w="3100" w:type="dxa"/>
          </w:tcPr>
          <w:p w14:paraId="41318FFC"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93,7 (89,2</w:t>
            </w:r>
            <w:r w:rsidRPr="008A4F40">
              <w:rPr>
                <w:rFonts w:eastAsia="MS Mincho"/>
                <w:sz w:val="22"/>
                <w:szCs w:val="22"/>
              </w:rPr>
              <w:noBreakHyphen/>
              <w:t>96,4)</w:t>
            </w:r>
          </w:p>
        </w:tc>
        <w:tc>
          <w:tcPr>
            <w:tcW w:w="3100" w:type="dxa"/>
          </w:tcPr>
          <w:p w14:paraId="256D9E2D"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95,9 (91,9</w:t>
            </w:r>
            <w:r w:rsidRPr="008A4F40">
              <w:rPr>
                <w:rFonts w:eastAsia="MS Mincho"/>
                <w:sz w:val="22"/>
                <w:szCs w:val="22"/>
              </w:rPr>
              <w:noBreakHyphen/>
              <w:t>97,9)</w:t>
            </w:r>
          </w:p>
        </w:tc>
      </w:tr>
      <w:tr w:rsidR="003A33A6" w:rsidRPr="008A4F40" w14:paraId="37E3D555" w14:textId="77777777" w:rsidTr="00DA7B0B">
        <w:trPr>
          <w:cantSplit/>
        </w:trPr>
        <w:tc>
          <w:tcPr>
            <w:tcW w:w="3099" w:type="dxa"/>
          </w:tcPr>
          <w:p w14:paraId="07ED1D7D" w14:textId="77777777" w:rsidR="003A33A6" w:rsidRPr="008A4F40" w:rsidRDefault="003A33A6" w:rsidP="004E7659">
            <w:pPr>
              <w:keepNext/>
              <w:ind w:left="284"/>
              <w:rPr>
                <w:rFonts w:eastAsia="MS Mincho"/>
                <w:sz w:val="22"/>
                <w:szCs w:val="22"/>
              </w:rPr>
            </w:pPr>
            <w:r w:rsidRPr="008A4F40">
              <w:rPr>
                <w:rFonts w:eastAsia="MS Mincho"/>
                <w:sz w:val="22"/>
                <w:szCs w:val="22"/>
              </w:rPr>
              <w:t>24</w:t>
            </w:r>
            <w:r w:rsidRPr="008A4F40">
              <w:rPr>
                <w:rFonts w:eastAsia="MS Mincho"/>
                <w:sz w:val="22"/>
                <w:szCs w:val="22"/>
                <w:lang w:eastAsia="ja-JP"/>
              </w:rPr>
              <w:t> </w:t>
            </w:r>
            <w:r w:rsidRPr="008A4F40">
              <w:rPr>
                <w:rFonts w:eastAsia="MS Mincho"/>
                <w:sz w:val="22"/>
                <w:szCs w:val="22"/>
              </w:rPr>
              <w:t>Monate</w:t>
            </w:r>
          </w:p>
        </w:tc>
        <w:tc>
          <w:tcPr>
            <w:tcW w:w="3100" w:type="dxa"/>
          </w:tcPr>
          <w:p w14:paraId="2E910AEB"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75,4 (68,6</w:t>
            </w:r>
            <w:r w:rsidRPr="008A4F40">
              <w:rPr>
                <w:rFonts w:eastAsia="MS Mincho"/>
                <w:sz w:val="22"/>
                <w:szCs w:val="22"/>
              </w:rPr>
              <w:noBreakHyphen/>
              <w:t>81,0)</w:t>
            </w:r>
          </w:p>
        </w:tc>
        <w:tc>
          <w:tcPr>
            <w:tcW w:w="3100" w:type="dxa"/>
          </w:tcPr>
          <w:p w14:paraId="0D5CB04B"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90,7 (85,6</w:t>
            </w:r>
            <w:r w:rsidRPr="008A4F40">
              <w:rPr>
                <w:rFonts w:eastAsia="MS Mincho"/>
                <w:sz w:val="22"/>
                <w:szCs w:val="22"/>
              </w:rPr>
              <w:noBreakHyphen/>
              <w:t>94,0)</w:t>
            </w:r>
          </w:p>
        </w:tc>
      </w:tr>
      <w:tr w:rsidR="003A33A6" w:rsidRPr="008A4F40" w14:paraId="4CE954A5" w14:textId="77777777" w:rsidTr="00DA7B0B">
        <w:trPr>
          <w:cantSplit/>
        </w:trPr>
        <w:tc>
          <w:tcPr>
            <w:tcW w:w="3099" w:type="dxa"/>
          </w:tcPr>
          <w:p w14:paraId="3A7BFE89" w14:textId="77777777" w:rsidR="003A33A6" w:rsidRPr="008A4F40" w:rsidRDefault="003A33A6" w:rsidP="004E7659">
            <w:pPr>
              <w:keepNext/>
              <w:ind w:left="284"/>
              <w:rPr>
                <w:rFonts w:eastAsia="MS Mincho"/>
                <w:sz w:val="22"/>
                <w:szCs w:val="22"/>
              </w:rPr>
            </w:pPr>
            <w:r w:rsidRPr="008A4F40">
              <w:rPr>
                <w:rFonts w:eastAsia="MS Mincho"/>
                <w:sz w:val="22"/>
                <w:szCs w:val="22"/>
              </w:rPr>
              <w:t>36</w:t>
            </w:r>
            <w:r w:rsidRPr="008A4F40">
              <w:rPr>
                <w:rFonts w:eastAsia="MS Mincho"/>
                <w:sz w:val="22"/>
                <w:szCs w:val="22"/>
                <w:lang w:eastAsia="ja-JP"/>
              </w:rPr>
              <w:t> </w:t>
            </w:r>
            <w:r w:rsidRPr="008A4F40">
              <w:rPr>
                <w:rFonts w:eastAsia="MS Mincho"/>
                <w:sz w:val="22"/>
                <w:szCs w:val="22"/>
              </w:rPr>
              <w:t>Monate</w:t>
            </w:r>
          </w:p>
        </w:tc>
        <w:tc>
          <w:tcPr>
            <w:tcW w:w="3100" w:type="dxa"/>
          </w:tcPr>
          <w:p w14:paraId="41E0B3BF"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60,1 (52,5</w:t>
            </w:r>
            <w:r w:rsidRPr="008A4F40">
              <w:rPr>
                <w:rFonts w:eastAsia="MS Mincho"/>
                <w:sz w:val="22"/>
                <w:szCs w:val="22"/>
              </w:rPr>
              <w:noBreakHyphen/>
              <w:t>66,9)</w:t>
            </w:r>
          </w:p>
        </w:tc>
        <w:tc>
          <w:tcPr>
            <w:tcW w:w="3100" w:type="dxa"/>
          </w:tcPr>
          <w:p w14:paraId="645C8864"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86,6 (80,8</w:t>
            </w:r>
            <w:r w:rsidRPr="008A4F40">
              <w:rPr>
                <w:rFonts w:eastAsia="MS Mincho"/>
                <w:sz w:val="22"/>
                <w:szCs w:val="22"/>
              </w:rPr>
              <w:noBreakHyphen/>
              <w:t>90,8)</w:t>
            </w:r>
          </w:p>
        </w:tc>
      </w:tr>
      <w:tr w:rsidR="003A33A6" w:rsidRPr="008A4F40" w14:paraId="6A1FBF80" w14:textId="77777777" w:rsidTr="00DA7B0B">
        <w:trPr>
          <w:cantSplit/>
        </w:trPr>
        <w:tc>
          <w:tcPr>
            <w:tcW w:w="3099" w:type="dxa"/>
          </w:tcPr>
          <w:p w14:paraId="2E61227F" w14:textId="77777777" w:rsidR="003A33A6" w:rsidRPr="008A4F40" w:rsidRDefault="003A33A6" w:rsidP="004E7659">
            <w:pPr>
              <w:keepNext/>
              <w:ind w:left="284"/>
              <w:rPr>
                <w:rFonts w:eastAsia="MS Mincho"/>
                <w:sz w:val="22"/>
                <w:szCs w:val="22"/>
              </w:rPr>
            </w:pPr>
            <w:r w:rsidRPr="008A4F40">
              <w:rPr>
                <w:rFonts w:eastAsia="MS Mincho"/>
                <w:sz w:val="22"/>
                <w:szCs w:val="22"/>
              </w:rPr>
              <w:t>48</w:t>
            </w:r>
            <w:r w:rsidRPr="008A4F40">
              <w:rPr>
                <w:rFonts w:eastAsia="MS Mincho"/>
                <w:sz w:val="22"/>
                <w:szCs w:val="22"/>
                <w:lang w:eastAsia="ja-JP"/>
              </w:rPr>
              <w:t> </w:t>
            </w:r>
            <w:r w:rsidRPr="008A4F40">
              <w:rPr>
                <w:rFonts w:eastAsia="MS Mincho"/>
                <w:sz w:val="22"/>
                <w:szCs w:val="22"/>
              </w:rPr>
              <w:t>Monate</w:t>
            </w:r>
          </w:p>
        </w:tc>
        <w:tc>
          <w:tcPr>
            <w:tcW w:w="3100" w:type="dxa"/>
          </w:tcPr>
          <w:p w14:paraId="5F7532D5"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52,3 (44,0</w:t>
            </w:r>
            <w:r w:rsidRPr="008A4F40">
              <w:rPr>
                <w:rFonts w:eastAsia="MS Mincho"/>
                <w:sz w:val="22"/>
                <w:szCs w:val="22"/>
              </w:rPr>
              <w:noBreakHyphen/>
              <w:t>59,8)</w:t>
            </w:r>
          </w:p>
        </w:tc>
        <w:tc>
          <w:tcPr>
            <w:tcW w:w="3100" w:type="dxa"/>
          </w:tcPr>
          <w:p w14:paraId="2E2C0745"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78,3 (70,8</w:t>
            </w:r>
            <w:r w:rsidRPr="008A4F40">
              <w:rPr>
                <w:rFonts w:eastAsia="MS Mincho"/>
                <w:sz w:val="22"/>
                <w:szCs w:val="22"/>
              </w:rPr>
              <w:noBreakHyphen/>
              <w:t>84,1)</w:t>
            </w:r>
          </w:p>
        </w:tc>
      </w:tr>
      <w:tr w:rsidR="003A33A6" w:rsidRPr="008A4F40" w14:paraId="77FF70D0" w14:textId="77777777" w:rsidTr="00DA7B0B">
        <w:trPr>
          <w:cantSplit/>
        </w:trPr>
        <w:tc>
          <w:tcPr>
            <w:tcW w:w="3099" w:type="dxa"/>
          </w:tcPr>
          <w:p w14:paraId="5F027EBE" w14:textId="77777777" w:rsidR="003A33A6" w:rsidRPr="008A4F40" w:rsidRDefault="003A33A6" w:rsidP="004E7659">
            <w:pPr>
              <w:keepNext/>
              <w:ind w:left="284"/>
              <w:rPr>
                <w:rFonts w:eastAsia="MS Mincho"/>
                <w:sz w:val="22"/>
                <w:szCs w:val="22"/>
              </w:rPr>
            </w:pPr>
            <w:r w:rsidRPr="008A4F40">
              <w:rPr>
                <w:rFonts w:eastAsia="MS Mincho"/>
                <w:sz w:val="22"/>
                <w:szCs w:val="22"/>
              </w:rPr>
              <w:t>60</w:t>
            </w:r>
            <w:r w:rsidRPr="008A4F40">
              <w:rPr>
                <w:rFonts w:eastAsia="MS Mincho"/>
                <w:sz w:val="22"/>
                <w:szCs w:val="22"/>
                <w:lang w:eastAsia="ja-JP"/>
              </w:rPr>
              <w:t> </w:t>
            </w:r>
            <w:r w:rsidRPr="008A4F40">
              <w:rPr>
                <w:rFonts w:eastAsia="MS Mincho"/>
                <w:sz w:val="22"/>
                <w:szCs w:val="22"/>
              </w:rPr>
              <w:t>Monate</w:t>
            </w:r>
          </w:p>
        </w:tc>
        <w:tc>
          <w:tcPr>
            <w:tcW w:w="3100" w:type="dxa"/>
          </w:tcPr>
          <w:p w14:paraId="7DC538C7"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47,9 (39,0</w:t>
            </w:r>
            <w:r w:rsidRPr="008A4F40">
              <w:rPr>
                <w:rFonts w:eastAsia="MS Mincho"/>
                <w:sz w:val="22"/>
                <w:szCs w:val="22"/>
              </w:rPr>
              <w:noBreakHyphen/>
              <w:t>56,3)</w:t>
            </w:r>
          </w:p>
        </w:tc>
        <w:tc>
          <w:tcPr>
            <w:tcW w:w="3100" w:type="dxa"/>
          </w:tcPr>
          <w:p w14:paraId="122030DE"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65,6 (56,1</w:t>
            </w:r>
            <w:r w:rsidRPr="008A4F40">
              <w:rPr>
                <w:rFonts w:eastAsia="MS Mincho"/>
                <w:sz w:val="22"/>
                <w:szCs w:val="22"/>
              </w:rPr>
              <w:noBreakHyphen/>
              <w:t>73,4)</w:t>
            </w:r>
          </w:p>
        </w:tc>
      </w:tr>
      <w:tr w:rsidR="003A33A6" w:rsidRPr="008A4F40" w14:paraId="4C2B9B68" w14:textId="77777777" w:rsidTr="00DA7B0B">
        <w:trPr>
          <w:cantSplit/>
        </w:trPr>
        <w:tc>
          <w:tcPr>
            <w:tcW w:w="3099" w:type="dxa"/>
          </w:tcPr>
          <w:p w14:paraId="1D97D64C" w14:textId="77777777" w:rsidR="003A33A6" w:rsidRPr="008A4F40" w:rsidRDefault="003A33A6" w:rsidP="004E7659">
            <w:pPr>
              <w:keepNext/>
              <w:tabs>
                <w:tab w:val="left" w:pos="284"/>
              </w:tabs>
              <w:rPr>
                <w:rFonts w:eastAsia="MS Mincho"/>
                <w:b/>
                <w:sz w:val="22"/>
                <w:szCs w:val="22"/>
              </w:rPr>
            </w:pPr>
            <w:r w:rsidRPr="008A4F40">
              <w:rPr>
                <w:rFonts w:eastAsia="MS Mincho"/>
                <w:b/>
                <w:sz w:val="22"/>
                <w:szCs w:val="22"/>
              </w:rPr>
              <w:t>Überleben</w:t>
            </w:r>
          </w:p>
        </w:tc>
        <w:tc>
          <w:tcPr>
            <w:tcW w:w="3100" w:type="dxa"/>
          </w:tcPr>
          <w:p w14:paraId="6504E977" w14:textId="77777777" w:rsidR="003A33A6" w:rsidRPr="008A4F40" w:rsidRDefault="003A33A6" w:rsidP="004E7659">
            <w:pPr>
              <w:keepNext/>
              <w:tabs>
                <w:tab w:val="left" w:pos="284"/>
              </w:tabs>
              <w:rPr>
                <w:rFonts w:eastAsia="MS Mincho"/>
                <w:sz w:val="22"/>
                <w:szCs w:val="22"/>
              </w:rPr>
            </w:pPr>
          </w:p>
        </w:tc>
        <w:tc>
          <w:tcPr>
            <w:tcW w:w="3100" w:type="dxa"/>
          </w:tcPr>
          <w:p w14:paraId="087D5B7E" w14:textId="77777777" w:rsidR="003A33A6" w:rsidRPr="008A4F40" w:rsidRDefault="003A33A6" w:rsidP="004E7659">
            <w:pPr>
              <w:keepNext/>
              <w:tabs>
                <w:tab w:val="left" w:pos="284"/>
              </w:tabs>
              <w:rPr>
                <w:rFonts w:eastAsia="MS Mincho"/>
                <w:sz w:val="22"/>
                <w:szCs w:val="22"/>
              </w:rPr>
            </w:pPr>
          </w:p>
        </w:tc>
      </w:tr>
      <w:tr w:rsidR="003A33A6" w:rsidRPr="008A4F40" w14:paraId="78E7E167" w14:textId="77777777" w:rsidTr="00DA7B0B">
        <w:trPr>
          <w:cantSplit/>
        </w:trPr>
        <w:tc>
          <w:tcPr>
            <w:tcW w:w="3099" w:type="dxa"/>
          </w:tcPr>
          <w:p w14:paraId="3FF5CC2F" w14:textId="77777777" w:rsidR="003A33A6" w:rsidRPr="008A4F40" w:rsidRDefault="003A33A6" w:rsidP="004E7659">
            <w:pPr>
              <w:keepNext/>
              <w:ind w:left="284"/>
              <w:rPr>
                <w:rFonts w:eastAsia="MS Mincho"/>
                <w:sz w:val="22"/>
                <w:szCs w:val="22"/>
              </w:rPr>
            </w:pPr>
            <w:r w:rsidRPr="008A4F40">
              <w:rPr>
                <w:rFonts w:eastAsia="MS Mincho"/>
                <w:sz w:val="22"/>
                <w:szCs w:val="22"/>
              </w:rPr>
              <w:t>36</w:t>
            </w:r>
            <w:r w:rsidRPr="008A4F40">
              <w:rPr>
                <w:rFonts w:eastAsia="MS Mincho"/>
                <w:sz w:val="22"/>
                <w:szCs w:val="22"/>
                <w:lang w:eastAsia="ja-JP"/>
              </w:rPr>
              <w:t> </w:t>
            </w:r>
            <w:r w:rsidRPr="008A4F40">
              <w:rPr>
                <w:rFonts w:eastAsia="MS Mincho"/>
                <w:sz w:val="22"/>
                <w:szCs w:val="22"/>
              </w:rPr>
              <w:t>Monate</w:t>
            </w:r>
          </w:p>
        </w:tc>
        <w:tc>
          <w:tcPr>
            <w:tcW w:w="3100" w:type="dxa"/>
          </w:tcPr>
          <w:p w14:paraId="53A6F406"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94,0 (89,5</w:t>
            </w:r>
            <w:r w:rsidRPr="008A4F40">
              <w:rPr>
                <w:rFonts w:eastAsia="MS Mincho"/>
                <w:sz w:val="22"/>
                <w:szCs w:val="22"/>
              </w:rPr>
              <w:noBreakHyphen/>
              <w:t>96,7)</w:t>
            </w:r>
          </w:p>
        </w:tc>
        <w:tc>
          <w:tcPr>
            <w:tcW w:w="3100" w:type="dxa"/>
          </w:tcPr>
          <w:p w14:paraId="46EC78EC"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96,3 (92,4</w:t>
            </w:r>
            <w:r w:rsidRPr="008A4F40">
              <w:rPr>
                <w:rFonts w:eastAsia="MS Mincho"/>
                <w:sz w:val="22"/>
                <w:szCs w:val="22"/>
              </w:rPr>
              <w:noBreakHyphen/>
              <w:t>98,2)</w:t>
            </w:r>
          </w:p>
        </w:tc>
      </w:tr>
      <w:tr w:rsidR="003A33A6" w:rsidRPr="008A4F40" w14:paraId="47840467" w14:textId="77777777" w:rsidTr="00DA7B0B">
        <w:trPr>
          <w:cantSplit/>
        </w:trPr>
        <w:tc>
          <w:tcPr>
            <w:tcW w:w="3099" w:type="dxa"/>
          </w:tcPr>
          <w:p w14:paraId="72BF2D4B" w14:textId="77777777" w:rsidR="003A33A6" w:rsidRPr="008A4F40" w:rsidRDefault="003A33A6" w:rsidP="004E7659">
            <w:pPr>
              <w:keepNext/>
              <w:ind w:left="284"/>
              <w:rPr>
                <w:rFonts w:eastAsia="MS Mincho"/>
                <w:sz w:val="22"/>
                <w:szCs w:val="22"/>
              </w:rPr>
            </w:pPr>
            <w:r w:rsidRPr="008A4F40">
              <w:rPr>
                <w:rFonts w:eastAsia="MS Mincho"/>
                <w:sz w:val="22"/>
                <w:szCs w:val="22"/>
              </w:rPr>
              <w:t>48</w:t>
            </w:r>
            <w:r w:rsidRPr="008A4F40">
              <w:rPr>
                <w:rFonts w:eastAsia="MS Mincho"/>
                <w:sz w:val="22"/>
                <w:szCs w:val="22"/>
                <w:lang w:eastAsia="ja-JP"/>
              </w:rPr>
              <w:t> </w:t>
            </w:r>
            <w:r w:rsidRPr="008A4F40">
              <w:rPr>
                <w:rFonts w:eastAsia="MS Mincho"/>
                <w:sz w:val="22"/>
                <w:szCs w:val="22"/>
              </w:rPr>
              <w:t>Monate</w:t>
            </w:r>
          </w:p>
        </w:tc>
        <w:tc>
          <w:tcPr>
            <w:tcW w:w="3100" w:type="dxa"/>
          </w:tcPr>
          <w:p w14:paraId="2B398045"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87,9 (81,1</w:t>
            </w:r>
            <w:r w:rsidRPr="008A4F40">
              <w:rPr>
                <w:rFonts w:eastAsia="MS Mincho"/>
                <w:sz w:val="22"/>
                <w:szCs w:val="22"/>
              </w:rPr>
              <w:noBreakHyphen/>
              <w:t>92,3)</w:t>
            </w:r>
          </w:p>
        </w:tc>
        <w:tc>
          <w:tcPr>
            <w:tcW w:w="3100" w:type="dxa"/>
          </w:tcPr>
          <w:p w14:paraId="57FAB1CE" w14:textId="77777777" w:rsidR="003A33A6" w:rsidRPr="008A4F40" w:rsidRDefault="003A33A6" w:rsidP="004E7659">
            <w:pPr>
              <w:keepNext/>
              <w:tabs>
                <w:tab w:val="left" w:pos="284"/>
              </w:tabs>
              <w:rPr>
                <w:rFonts w:eastAsia="MS Mincho"/>
                <w:sz w:val="22"/>
                <w:szCs w:val="22"/>
              </w:rPr>
            </w:pPr>
            <w:r w:rsidRPr="008A4F40">
              <w:rPr>
                <w:rFonts w:eastAsia="MS Mincho"/>
                <w:sz w:val="22"/>
                <w:szCs w:val="22"/>
              </w:rPr>
              <w:t>95,6 (91,2</w:t>
            </w:r>
            <w:r w:rsidRPr="008A4F40">
              <w:rPr>
                <w:rFonts w:eastAsia="MS Mincho"/>
                <w:sz w:val="22"/>
                <w:szCs w:val="22"/>
              </w:rPr>
              <w:noBreakHyphen/>
              <w:t>97,8)</w:t>
            </w:r>
          </w:p>
        </w:tc>
      </w:tr>
      <w:tr w:rsidR="003A33A6" w:rsidRPr="008A4F40" w14:paraId="74D73EA9" w14:textId="77777777" w:rsidTr="00DA7B0B">
        <w:trPr>
          <w:cantSplit/>
        </w:trPr>
        <w:tc>
          <w:tcPr>
            <w:tcW w:w="3099" w:type="dxa"/>
          </w:tcPr>
          <w:p w14:paraId="2EA9B1B8" w14:textId="77777777" w:rsidR="003A33A6" w:rsidRPr="008A4F40" w:rsidRDefault="003A33A6" w:rsidP="004E7659">
            <w:pPr>
              <w:ind w:left="284"/>
              <w:rPr>
                <w:rFonts w:eastAsia="MS Mincho"/>
                <w:sz w:val="22"/>
                <w:szCs w:val="22"/>
              </w:rPr>
            </w:pPr>
            <w:r w:rsidRPr="008A4F40">
              <w:rPr>
                <w:rFonts w:eastAsia="MS Mincho"/>
                <w:sz w:val="22"/>
                <w:szCs w:val="22"/>
              </w:rPr>
              <w:t>60</w:t>
            </w:r>
            <w:r w:rsidRPr="008A4F40">
              <w:rPr>
                <w:rFonts w:eastAsia="MS Mincho"/>
                <w:sz w:val="22"/>
                <w:szCs w:val="22"/>
                <w:lang w:eastAsia="ja-JP"/>
              </w:rPr>
              <w:t> </w:t>
            </w:r>
            <w:r w:rsidRPr="008A4F40">
              <w:rPr>
                <w:rFonts w:eastAsia="MS Mincho"/>
                <w:sz w:val="22"/>
                <w:szCs w:val="22"/>
              </w:rPr>
              <w:t>Monate</w:t>
            </w:r>
          </w:p>
        </w:tc>
        <w:tc>
          <w:tcPr>
            <w:tcW w:w="3100" w:type="dxa"/>
          </w:tcPr>
          <w:p w14:paraId="3F13B291" w14:textId="77777777" w:rsidR="003A33A6" w:rsidRPr="008A4F40" w:rsidRDefault="003A33A6" w:rsidP="004E7659">
            <w:pPr>
              <w:tabs>
                <w:tab w:val="left" w:pos="284"/>
              </w:tabs>
              <w:rPr>
                <w:rFonts w:eastAsia="MS Mincho"/>
                <w:sz w:val="22"/>
                <w:szCs w:val="22"/>
              </w:rPr>
            </w:pPr>
            <w:r w:rsidRPr="008A4F40">
              <w:rPr>
                <w:rFonts w:eastAsia="MS Mincho"/>
                <w:sz w:val="22"/>
                <w:szCs w:val="22"/>
              </w:rPr>
              <w:t>81,7 (73,0</w:t>
            </w:r>
            <w:r w:rsidRPr="008A4F40">
              <w:rPr>
                <w:rFonts w:eastAsia="MS Mincho"/>
                <w:sz w:val="22"/>
                <w:szCs w:val="22"/>
              </w:rPr>
              <w:noBreakHyphen/>
              <w:t>87,8)</w:t>
            </w:r>
          </w:p>
        </w:tc>
        <w:tc>
          <w:tcPr>
            <w:tcW w:w="3100" w:type="dxa"/>
          </w:tcPr>
          <w:p w14:paraId="71B62C88" w14:textId="77777777" w:rsidR="003A33A6" w:rsidRPr="008A4F40" w:rsidRDefault="003A33A6" w:rsidP="004E7659">
            <w:pPr>
              <w:tabs>
                <w:tab w:val="left" w:pos="284"/>
              </w:tabs>
              <w:rPr>
                <w:rFonts w:eastAsia="MS Mincho"/>
                <w:sz w:val="22"/>
                <w:szCs w:val="22"/>
              </w:rPr>
            </w:pPr>
            <w:r w:rsidRPr="008A4F40">
              <w:rPr>
                <w:rFonts w:eastAsia="MS Mincho"/>
                <w:sz w:val="22"/>
                <w:szCs w:val="22"/>
              </w:rPr>
              <w:t>92,0 (85,3</w:t>
            </w:r>
            <w:r w:rsidRPr="008A4F40">
              <w:rPr>
                <w:rFonts w:eastAsia="MS Mincho"/>
                <w:sz w:val="22"/>
                <w:szCs w:val="22"/>
              </w:rPr>
              <w:noBreakHyphen/>
              <w:t>95,7)</w:t>
            </w:r>
          </w:p>
        </w:tc>
      </w:tr>
    </w:tbl>
    <w:p w14:paraId="008BD0E9" w14:textId="77777777" w:rsidR="003A33A6" w:rsidRPr="008A4F40" w:rsidRDefault="003A33A6" w:rsidP="009044D1">
      <w:pPr>
        <w:pStyle w:val="Header"/>
        <w:widowControl w:val="0"/>
        <w:tabs>
          <w:tab w:val="clear" w:pos="4320"/>
          <w:tab w:val="clear" w:pos="8640"/>
          <w:tab w:val="center" w:pos="6804"/>
          <w:tab w:val="right" w:leader="underscore" w:pos="9072"/>
        </w:tabs>
        <w:rPr>
          <w:color w:val="000000"/>
          <w:szCs w:val="22"/>
          <w:u w:val="single"/>
        </w:rPr>
      </w:pPr>
    </w:p>
    <w:p w14:paraId="0EDA2355" w14:textId="77777777" w:rsidR="003A33A6" w:rsidRPr="008A4F40" w:rsidRDefault="00367B53" w:rsidP="009044D1">
      <w:pPr>
        <w:keepNext/>
        <w:keepLines/>
        <w:widowControl w:val="0"/>
        <w:ind w:left="1418" w:hanging="1418"/>
        <w:rPr>
          <w:rFonts w:eastAsia="MS Mincho"/>
          <w:b/>
          <w:sz w:val="22"/>
          <w:szCs w:val="22"/>
        </w:rPr>
      </w:pPr>
      <w:r w:rsidRPr="008A4F40">
        <w:rPr>
          <w:noProof/>
          <w:lang w:val="en-US"/>
        </w:rPr>
        <mc:AlternateContent>
          <mc:Choice Requires="wps">
            <w:drawing>
              <wp:anchor distT="0" distB="0" distL="114300" distR="114300" simplePos="0" relativeHeight="251658240" behindDoc="0" locked="0" layoutInCell="1" allowOverlap="1" wp14:anchorId="1EBA15D7" wp14:editId="63E4A3E2">
                <wp:simplePos x="0" y="0"/>
                <wp:positionH relativeFrom="column">
                  <wp:posOffset>-266700</wp:posOffset>
                </wp:positionH>
                <wp:positionV relativeFrom="paragraph">
                  <wp:posOffset>237490</wp:posOffset>
                </wp:positionV>
                <wp:extent cx="335915" cy="29464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46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9B3A4" w14:textId="77777777" w:rsidR="00D9340D" w:rsidRPr="00BD7EE3" w:rsidRDefault="00D9340D" w:rsidP="003A33A6">
                            <w:pPr>
                              <w:rPr>
                                <w:rFonts w:ascii="Arial" w:hAnsi="Arial" w:cs="Arial"/>
                              </w:rPr>
                            </w:pPr>
                            <w:r>
                              <w:rPr>
                                <w:rFonts w:ascii="Arial" w:hAnsi="Arial" w:cs="Arial"/>
                              </w:rPr>
                              <w:t>Wahrscheinlichkeit für Rezidiv-freies Überleben</w:t>
                            </w:r>
                          </w:p>
                          <w:p w14:paraId="60FD9ADB" w14:textId="77777777" w:rsidR="00D9340D" w:rsidRPr="00A33DBA" w:rsidRDefault="00D9340D" w:rsidP="003A33A6">
                            <w:pPr>
                              <w:rPr>
                                <w:rFonts w:ascii="Arial" w:hAnsi="Arial" w:cs="Arial"/>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2E489EE1">
              <v:shapetype id="_x0000_t202" coordsize="21600,21600" o:spt="202" path="m,l,21600r21600,l21600,xe" w14:anchorId="1EBA15D7">
                <v:stroke joinstyle="miter"/>
                <v:path gradientshapeok="t" o:connecttype="rect"/>
              </v:shapetype>
              <v:shape id="Text Box 2" style="position:absolute;left:0;text-align:left;margin-left:-21pt;margin-top:18.7pt;width:26.45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">
                <v:fill opacity="0"/>
                <v:textbox style="layout-flow:vertical;mso-layout-flow-alt:bottom-to-top">
                  <w:txbxContent>
                    <w:p w:rsidRPr="00BD7EE3" w:rsidR="00D9340D" w:rsidP="003A33A6" w:rsidRDefault="00D9340D" w14:paraId="34BC4842" w14:textId="77777777">
                      <w:pPr>
                        <w:rPr>
                          <w:rFonts w:ascii="Arial" w:hAnsi="Arial" w:cs="Arial"/>
                        </w:rPr>
                      </w:pPr>
                      <w:r>
                        <w:rPr>
                          <w:rFonts w:ascii="Arial" w:hAnsi="Arial" w:cs="Arial"/>
                        </w:rPr>
                        <w:t>Wahrscheinlichkeit für Rezidiv-freies Überleben</w:t>
                      </w:r>
                    </w:p>
                    <w:p w:rsidRPr="00A33DBA" w:rsidR="00D9340D" w:rsidP="003A33A6" w:rsidRDefault="00D9340D" w14:paraId="672A6659" w14:textId="77777777">
                      <w:pPr>
                        <w:rPr>
                          <w:rFonts w:ascii="Arial" w:hAnsi="Arial" w:cs="Arial"/>
                        </w:rPr>
                      </w:pPr>
                    </w:p>
                  </w:txbxContent>
                </v:textbox>
              </v:shape>
            </w:pict>
          </mc:Fallback>
        </mc:AlternateContent>
      </w:r>
      <w:r w:rsidR="003A33A6" w:rsidRPr="008A4F40">
        <w:rPr>
          <w:rFonts w:eastAsia="MS Mincho"/>
          <w:b/>
          <w:sz w:val="22"/>
          <w:szCs w:val="22"/>
        </w:rPr>
        <w:t>Abbildung 1</w:t>
      </w:r>
      <w:r w:rsidR="003A33A6" w:rsidRPr="008A4F40">
        <w:rPr>
          <w:rFonts w:eastAsia="MS Mincho"/>
          <w:b/>
          <w:sz w:val="22"/>
          <w:szCs w:val="22"/>
        </w:rPr>
        <w:tab/>
        <w:t>Kaplan-Meier-Schätzung für den primären Endpunkt Rezidiv-freies Überleben (ITT-Population)</w:t>
      </w:r>
    </w:p>
    <w:p w14:paraId="618A3F8E" w14:textId="77777777" w:rsidR="003A33A6" w:rsidRPr="008A4F40" w:rsidRDefault="003A33A6" w:rsidP="009044D1">
      <w:pPr>
        <w:keepNext/>
        <w:keepLines/>
        <w:widowControl w:val="0"/>
        <w:rPr>
          <w:rFonts w:eastAsia="MS Mincho"/>
          <w:sz w:val="22"/>
          <w:szCs w:val="22"/>
        </w:rPr>
      </w:pPr>
    </w:p>
    <w:p w14:paraId="0FB52177" w14:textId="77777777" w:rsidR="003A33A6" w:rsidRPr="008A4F40" w:rsidRDefault="00367B53" w:rsidP="009044D1">
      <w:pPr>
        <w:keepNext/>
        <w:keepLines/>
        <w:widowControl w:val="0"/>
        <w:ind w:left="1418" w:hanging="1418"/>
        <w:rPr>
          <w:rFonts w:eastAsia="MS Mincho"/>
          <w:sz w:val="22"/>
          <w:szCs w:val="22"/>
        </w:rPr>
      </w:pPr>
      <w:r w:rsidRPr="008A4F40">
        <w:rPr>
          <w:noProof/>
          <w:lang w:val="en-US"/>
        </w:rPr>
        <mc:AlternateContent>
          <mc:Choice Requires="wps">
            <w:drawing>
              <wp:anchor distT="0" distB="0" distL="114300" distR="114300" simplePos="0" relativeHeight="251658241" behindDoc="0" locked="0" layoutInCell="1" allowOverlap="1" wp14:anchorId="556FF994" wp14:editId="43C692DC">
                <wp:simplePos x="0" y="0"/>
                <wp:positionH relativeFrom="column">
                  <wp:posOffset>350520</wp:posOffset>
                </wp:positionH>
                <wp:positionV relativeFrom="paragraph">
                  <wp:posOffset>1156970</wp:posOffset>
                </wp:positionV>
                <wp:extent cx="4585335" cy="12763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552"/>
                              <w:gridCol w:w="763"/>
                              <w:gridCol w:w="739"/>
                              <w:gridCol w:w="850"/>
                            </w:tblGrid>
                            <w:tr w:rsidR="00D9340D" w:rsidRPr="0055776F" w14:paraId="06B236DA" w14:textId="77777777" w:rsidTr="003048B7">
                              <w:trPr>
                                <w:gridAfter w:val="3"/>
                                <w:wAfter w:w="2352" w:type="dxa"/>
                              </w:trPr>
                              <w:tc>
                                <w:tcPr>
                                  <w:tcW w:w="3369" w:type="dxa"/>
                                  <w:gridSpan w:val="2"/>
                                </w:tcPr>
                                <w:p w14:paraId="09B725CD" w14:textId="77777777" w:rsidR="00D9340D" w:rsidRPr="0055776F" w:rsidRDefault="00D9340D" w:rsidP="00117023">
                                  <w:pPr>
                                    <w:rPr>
                                      <w:rFonts w:ascii="Arial" w:hAnsi="Arial" w:cs="Arial"/>
                                    </w:rPr>
                                  </w:pPr>
                                  <w:r>
                                    <w:rPr>
                                      <w:rFonts w:ascii="Arial" w:hAnsi="Arial" w:cs="Arial"/>
                                    </w:rPr>
                                    <w:t>P &lt; 0,0001</w:t>
                                  </w:r>
                                </w:p>
                                <w:p w14:paraId="5231D1DC" w14:textId="1C627C26" w:rsidR="00D9340D" w:rsidRPr="0055776F" w:rsidRDefault="00D9340D" w:rsidP="00117023">
                                  <w:pPr>
                                    <w:rPr>
                                      <w:rFonts w:ascii="Arial" w:hAnsi="Arial" w:cs="Arial"/>
                                    </w:rPr>
                                  </w:pPr>
                                  <w:r>
                                    <w:rPr>
                                      <w:rFonts w:ascii="Arial" w:hAnsi="Arial" w:cs="Arial"/>
                                    </w:rPr>
                                    <w:t>Hazard Ratio 0,</w:t>
                                  </w:r>
                                  <w:r w:rsidRPr="0055776F">
                                    <w:rPr>
                                      <w:rFonts w:ascii="Arial" w:hAnsi="Arial" w:cs="Arial"/>
                                    </w:rPr>
                                    <w:t>4</w:t>
                                  </w:r>
                                  <w:r>
                                    <w:rPr>
                                      <w:rFonts w:ascii="Arial" w:hAnsi="Arial" w:cs="Arial"/>
                                    </w:rPr>
                                    <w:t>6</w:t>
                                  </w:r>
                                </w:p>
                                <w:p w14:paraId="5C4CBB17" w14:textId="77777777" w:rsidR="00D9340D" w:rsidRPr="0055776F" w:rsidRDefault="00D9340D" w:rsidP="00117023">
                                  <w:pPr>
                                    <w:rPr>
                                      <w:rFonts w:ascii="Arial" w:hAnsi="Arial" w:cs="Arial"/>
                                    </w:rPr>
                                  </w:pPr>
                                  <w:r>
                                    <w:rPr>
                                      <w:rFonts w:ascii="Arial" w:hAnsi="Arial" w:cs="Arial"/>
                                    </w:rPr>
                                    <w:t>(95%-KI, 0,3</w:t>
                                  </w:r>
                                  <w:r w:rsidRPr="0055776F">
                                    <w:rPr>
                                      <w:rFonts w:ascii="Arial" w:hAnsi="Arial" w:cs="Arial"/>
                                    </w:rPr>
                                    <w:t>2</w:t>
                                  </w:r>
                                  <w:r>
                                    <w:rPr>
                                      <w:rFonts w:ascii="Arial" w:hAnsi="Arial" w:cs="Arial"/>
                                    </w:rPr>
                                    <w:noBreakHyphen/>
                                    <w:t>0,65</w:t>
                                  </w:r>
                                  <w:r w:rsidRPr="0055776F">
                                    <w:rPr>
                                      <w:rFonts w:ascii="Arial" w:hAnsi="Arial" w:cs="Arial"/>
                                    </w:rPr>
                                    <w:t>)</w:t>
                                  </w:r>
                                </w:p>
                              </w:tc>
                            </w:tr>
                            <w:tr w:rsidR="00D9340D" w:rsidRPr="0055776F" w14:paraId="5CE63772" w14:textId="77777777" w:rsidTr="003048B7">
                              <w:tc>
                                <w:tcPr>
                                  <w:tcW w:w="817" w:type="dxa"/>
                                </w:tcPr>
                                <w:p w14:paraId="7DEF0655" w14:textId="77777777" w:rsidR="00D9340D" w:rsidRPr="0055776F" w:rsidRDefault="00D9340D" w:rsidP="00FE0401">
                                  <w:pPr>
                                    <w:rPr>
                                      <w:rFonts w:ascii="Arial" w:hAnsi="Arial" w:cs="Arial"/>
                                    </w:rPr>
                                  </w:pPr>
                                </w:p>
                              </w:tc>
                              <w:tc>
                                <w:tcPr>
                                  <w:tcW w:w="2552" w:type="dxa"/>
                                </w:tcPr>
                                <w:p w14:paraId="55D2F379" w14:textId="77777777" w:rsidR="00D9340D" w:rsidRPr="0055776F" w:rsidRDefault="00D9340D" w:rsidP="00FE0401">
                                  <w:pPr>
                                    <w:rPr>
                                      <w:rFonts w:ascii="Arial" w:hAnsi="Arial" w:cs="Arial"/>
                                    </w:rPr>
                                  </w:pPr>
                                </w:p>
                              </w:tc>
                              <w:tc>
                                <w:tcPr>
                                  <w:tcW w:w="763" w:type="dxa"/>
                                  <w:tcBorders>
                                    <w:bottom w:val="single" w:sz="4" w:space="0" w:color="auto"/>
                                  </w:tcBorders>
                                </w:tcPr>
                                <w:p w14:paraId="18D347E5" w14:textId="77777777" w:rsidR="00D9340D" w:rsidRPr="00200154" w:rsidRDefault="00D9340D" w:rsidP="00FE0401">
                                  <w:pPr>
                                    <w:rPr>
                                      <w:rFonts w:ascii="Arial" w:hAnsi="Arial" w:cs="Arial"/>
                                    </w:rPr>
                                  </w:pPr>
                                  <w:r w:rsidRPr="00200154">
                                    <w:rPr>
                                      <w:rFonts w:ascii="Arial" w:hAnsi="Arial" w:cs="Arial"/>
                                    </w:rPr>
                                    <w:t>N</w:t>
                                  </w:r>
                                </w:p>
                              </w:tc>
                              <w:tc>
                                <w:tcPr>
                                  <w:tcW w:w="739" w:type="dxa"/>
                                  <w:tcBorders>
                                    <w:bottom w:val="single" w:sz="4" w:space="0" w:color="auto"/>
                                  </w:tcBorders>
                                </w:tcPr>
                                <w:p w14:paraId="7C79D4FC" w14:textId="77777777" w:rsidR="00D9340D" w:rsidRPr="00200154" w:rsidRDefault="00D9340D" w:rsidP="00FE0401">
                                  <w:pPr>
                                    <w:rPr>
                                      <w:rFonts w:ascii="Arial" w:hAnsi="Arial" w:cs="Arial"/>
                                    </w:rPr>
                                  </w:pPr>
                                  <w:r w:rsidRPr="00200154">
                                    <w:rPr>
                                      <w:rFonts w:ascii="Arial" w:hAnsi="Arial" w:cs="Arial"/>
                                    </w:rPr>
                                    <w:t>Ereig</w:t>
                                  </w:r>
                                  <w:r>
                                    <w:rPr>
                                      <w:rFonts w:ascii="Arial" w:hAnsi="Arial" w:cs="Arial"/>
                                    </w:rPr>
                                    <w:t>.</w:t>
                                  </w:r>
                                </w:p>
                              </w:tc>
                              <w:tc>
                                <w:tcPr>
                                  <w:tcW w:w="850" w:type="dxa"/>
                                  <w:tcBorders>
                                    <w:bottom w:val="single" w:sz="4" w:space="0" w:color="auto"/>
                                  </w:tcBorders>
                                </w:tcPr>
                                <w:p w14:paraId="68ECBB9C" w14:textId="77777777" w:rsidR="00D9340D" w:rsidRPr="00200154" w:rsidRDefault="00D9340D" w:rsidP="00FE0401">
                                  <w:pPr>
                                    <w:rPr>
                                      <w:rFonts w:ascii="Arial" w:hAnsi="Arial" w:cs="Arial"/>
                                    </w:rPr>
                                  </w:pPr>
                                  <w:r w:rsidRPr="00200154">
                                    <w:rPr>
                                      <w:rFonts w:ascii="Arial" w:hAnsi="Arial" w:cs="Arial"/>
                                    </w:rPr>
                                    <w:t>Zens.</w:t>
                                  </w:r>
                                </w:p>
                              </w:tc>
                            </w:tr>
                            <w:tr w:rsidR="00D9340D" w:rsidRPr="0055776F" w14:paraId="222A22C5" w14:textId="77777777" w:rsidTr="003048B7">
                              <w:tc>
                                <w:tcPr>
                                  <w:tcW w:w="817" w:type="dxa"/>
                                </w:tcPr>
                                <w:p w14:paraId="06EA0036" w14:textId="77777777" w:rsidR="00D9340D" w:rsidRPr="0055776F" w:rsidRDefault="00D9340D" w:rsidP="00FE0401">
                                  <w:pPr>
                                    <w:rPr>
                                      <w:rFonts w:ascii="Arial" w:hAnsi="Arial" w:cs="Arial"/>
                                    </w:rPr>
                                  </w:pPr>
                                  <w:r w:rsidRPr="0055776F">
                                    <w:rPr>
                                      <w:rFonts w:ascii="Arial" w:hAnsi="Arial" w:cs="Arial"/>
                                      <w:b/>
                                    </w:rPr>
                                    <w:t>——</w:t>
                                  </w:r>
                                </w:p>
                              </w:tc>
                              <w:tc>
                                <w:tcPr>
                                  <w:tcW w:w="2552" w:type="dxa"/>
                                </w:tcPr>
                                <w:p w14:paraId="5A16CB64" w14:textId="77777777" w:rsidR="00D9340D" w:rsidRPr="0055776F" w:rsidRDefault="00D9340D" w:rsidP="00FE0401">
                                  <w:pPr>
                                    <w:rPr>
                                      <w:rFonts w:ascii="Arial" w:hAnsi="Arial" w:cs="Arial"/>
                                    </w:rPr>
                                  </w:pPr>
                                  <w:r w:rsidRPr="0055776F">
                                    <w:rPr>
                                      <w:rFonts w:ascii="Arial" w:hAnsi="Arial" w:cs="Arial"/>
                                    </w:rPr>
                                    <w:t xml:space="preserve">(1) </w:t>
                                  </w:r>
                                  <w:r>
                                    <w:rPr>
                                      <w:rFonts w:ascii="Arial" w:hAnsi="Arial" w:cs="Arial"/>
                                    </w:rPr>
                                    <w:t>Imatinib 12 </w:t>
                                  </w:r>
                                  <w:r w:rsidRPr="0002465D">
                                    <w:rPr>
                                      <w:rFonts w:ascii="Arial" w:hAnsi="Arial" w:cs="Arial"/>
                                    </w:rPr>
                                    <w:t>Monate:</w:t>
                                  </w:r>
                                </w:p>
                              </w:tc>
                              <w:tc>
                                <w:tcPr>
                                  <w:tcW w:w="763" w:type="dxa"/>
                                  <w:tcBorders>
                                    <w:top w:val="single" w:sz="4" w:space="0" w:color="auto"/>
                                  </w:tcBorders>
                                </w:tcPr>
                                <w:p w14:paraId="3785A8E0" w14:textId="77777777" w:rsidR="00D9340D" w:rsidRPr="0055776F" w:rsidRDefault="00D9340D" w:rsidP="00FE0401">
                                  <w:pPr>
                                    <w:rPr>
                                      <w:rFonts w:ascii="Arial" w:hAnsi="Arial" w:cs="Arial"/>
                                    </w:rPr>
                                  </w:pPr>
                                  <w:r w:rsidRPr="0055776F">
                                    <w:rPr>
                                      <w:rFonts w:ascii="Arial" w:hAnsi="Arial" w:cs="Arial"/>
                                    </w:rPr>
                                    <w:t>199</w:t>
                                  </w:r>
                                </w:p>
                              </w:tc>
                              <w:tc>
                                <w:tcPr>
                                  <w:tcW w:w="739" w:type="dxa"/>
                                  <w:tcBorders>
                                    <w:top w:val="single" w:sz="4" w:space="0" w:color="auto"/>
                                  </w:tcBorders>
                                </w:tcPr>
                                <w:p w14:paraId="1DAC6248" w14:textId="77777777" w:rsidR="00D9340D" w:rsidRPr="0055776F" w:rsidRDefault="00D9340D" w:rsidP="00FE0401">
                                  <w:pPr>
                                    <w:rPr>
                                      <w:rFonts w:ascii="Arial" w:hAnsi="Arial" w:cs="Arial"/>
                                    </w:rPr>
                                  </w:pPr>
                                  <w:r w:rsidRPr="0055776F">
                                    <w:rPr>
                                      <w:rFonts w:ascii="Arial" w:hAnsi="Arial" w:cs="Arial"/>
                                    </w:rPr>
                                    <w:t>84</w:t>
                                  </w:r>
                                </w:p>
                              </w:tc>
                              <w:tc>
                                <w:tcPr>
                                  <w:tcW w:w="850" w:type="dxa"/>
                                  <w:tcBorders>
                                    <w:top w:val="single" w:sz="4" w:space="0" w:color="auto"/>
                                  </w:tcBorders>
                                </w:tcPr>
                                <w:p w14:paraId="794333E0" w14:textId="77777777" w:rsidR="00D9340D" w:rsidRPr="0055776F" w:rsidRDefault="00D9340D" w:rsidP="00FE0401">
                                  <w:pPr>
                                    <w:rPr>
                                      <w:rFonts w:ascii="Arial" w:hAnsi="Arial" w:cs="Arial"/>
                                    </w:rPr>
                                  </w:pPr>
                                  <w:r w:rsidRPr="0055776F">
                                    <w:rPr>
                                      <w:rFonts w:ascii="Arial" w:hAnsi="Arial" w:cs="Arial"/>
                                    </w:rPr>
                                    <w:t>115</w:t>
                                  </w:r>
                                </w:p>
                              </w:tc>
                            </w:tr>
                            <w:tr w:rsidR="00D9340D" w:rsidRPr="0055776F" w14:paraId="1638069D" w14:textId="77777777" w:rsidTr="003048B7">
                              <w:tc>
                                <w:tcPr>
                                  <w:tcW w:w="817" w:type="dxa"/>
                                </w:tcPr>
                                <w:p w14:paraId="4584A5ED" w14:textId="77777777" w:rsidR="00D9340D" w:rsidRPr="0055776F" w:rsidRDefault="00D9340D" w:rsidP="00FE0401">
                                  <w:pPr>
                                    <w:rPr>
                                      <w:rFonts w:ascii="Arial" w:hAnsi="Arial" w:cs="Arial"/>
                                    </w:rPr>
                                  </w:pPr>
                                  <w:r w:rsidRPr="0055776F">
                                    <w:rPr>
                                      <w:rFonts w:ascii="Arial" w:hAnsi="Arial" w:cs="Arial"/>
                                    </w:rPr>
                                    <w:t>-----</w:t>
                                  </w:r>
                                </w:p>
                              </w:tc>
                              <w:tc>
                                <w:tcPr>
                                  <w:tcW w:w="2552" w:type="dxa"/>
                                </w:tcPr>
                                <w:p w14:paraId="0CDE3E15" w14:textId="77777777" w:rsidR="00D9340D" w:rsidRPr="0055776F" w:rsidRDefault="00D9340D" w:rsidP="00FE0401">
                                  <w:pPr>
                                    <w:rPr>
                                      <w:rFonts w:ascii="Arial" w:hAnsi="Arial" w:cs="Arial"/>
                                    </w:rPr>
                                  </w:pPr>
                                  <w:r w:rsidRPr="0055776F">
                                    <w:rPr>
                                      <w:rFonts w:ascii="Arial" w:hAnsi="Arial" w:cs="Arial"/>
                                    </w:rPr>
                                    <w:t xml:space="preserve">(2) </w:t>
                                  </w:r>
                                  <w:r>
                                    <w:rPr>
                                      <w:rFonts w:ascii="Arial" w:hAnsi="Arial" w:cs="Arial"/>
                                    </w:rPr>
                                    <w:t>Imatinib 36 </w:t>
                                  </w:r>
                                  <w:r w:rsidRPr="0002465D">
                                    <w:rPr>
                                      <w:rFonts w:ascii="Arial" w:hAnsi="Arial" w:cs="Arial"/>
                                    </w:rPr>
                                    <w:t>Monate:</w:t>
                                  </w:r>
                                </w:p>
                              </w:tc>
                              <w:tc>
                                <w:tcPr>
                                  <w:tcW w:w="763" w:type="dxa"/>
                                  <w:tcBorders>
                                    <w:bottom w:val="single" w:sz="4" w:space="0" w:color="auto"/>
                                  </w:tcBorders>
                                </w:tcPr>
                                <w:p w14:paraId="45005BF5" w14:textId="77777777" w:rsidR="00D9340D" w:rsidRPr="0055776F" w:rsidRDefault="00D9340D" w:rsidP="00FE0401">
                                  <w:pPr>
                                    <w:rPr>
                                      <w:rFonts w:ascii="Arial" w:hAnsi="Arial" w:cs="Arial"/>
                                    </w:rPr>
                                  </w:pPr>
                                  <w:r w:rsidRPr="0055776F">
                                    <w:rPr>
                                      <w:rFonts w:ascii="Arial" w:hAnsi="Arial" w:cs="Arial"/>
                                    </w:rPr>
                                    <w:t>198</w:t>
                                  </w:r>
                                </w:p>
                              </w:tc>
                              <w:tc>
                                <w:tcPr>
                                  <w:tcW w:w="739" w:type="dxa"/>
                                  <w:tcBorders>
                                    <w:bottom w:val="single" w:sz="4" w:space="0" w:color="auto"/>
                                  </w:tcBorders>
                                </w:tcPr>
                                <w:p w14:paraId="39D4A5EA" w14:textId="77777777" w:rsidR="00D9340D" w:rsidRPr="0055776F" w:rsidRDefault="00D9340D" w:rsidP="00FE0401">
                                  <w:pPr>
                                    <w:rPr>
                                      <w:rFonts w:ascii="Arial" w:hAnsi="Arial" w:cs="Arial"/>
                                    </w:rPr>
                                  </w:pPr>
                                  <w:r w:rsidRPr="0055776F">
                                    <w:rPr>
                                      <w:rFonts w:ascii="Arial" w:hAnsi="Arial" w:cs="Arial"/>
                                    </w:rPr>
                                    <w:t>50</w:t>
                                  </w:r>
                                </w:p>
                              </w:tc>
                              <w:tc>
                                <w:tcPr>
                                  <w:tcW w:w="850" w:type="dxa"/>
                                  <w:tcBorders>
                                    <w:bottom w:val="single" w:sz="4" w:space="0" w:color="auto"/>
                                  </w:tcBorders>
                                </w:tcPr>
                                <w:p w14:paraId="2DEDC8AB" w14:textId="77777777" w:rsidR="00D9340D" w:rsidRPr="0055776F" w:rsidRDefault="00D9340D" w:rsidP="00FE0401">
                                  <w:pPr>
                                    <w:rPr>
                                      <w:rFonts w:ascii="Arial" w:hAnsi="Arial" w:cs="Arial"/>
                                    </w:rPr>
                                  </w:pPr>
                                  <w:r w:rsidRPr="0055776F">
                                    <w:rPr>
                                      <w:rFonts w:ascii="Arial" w:hAnsi="Arial" w:cs="Arial"/>
                                    </w:rPr>
                                    <w:t>148</w:t>
                                  </w:r>
                                </w:p>
                              </w:tc>
                            </w:tr>
                            <w:tr w:rsidR="00D9340D" w:rsidRPr="0055776F" w14:paraId="232400A3" w14:textId="77777777" w:rsidTr="003048B7">
                              <w:tc>
                                <w:tcPr>
                                  <w:tcW w:w="817" w:type="dxa"/>
                                </w:tcPr>
                                <w:p w14:paraId="7E627B3D" w14:textId="77777777" w:rsidR="00D9340D" w:rsidRPr="0055776F" w:rsidRDefault="00D9340D" w:rsidP="00FE0401">
                                  <w:pPr>
                                    <w:rPr>
                                      <w:rFonts w:ascii="Arial" w:hAnsi="Arial" w:cs="Arial"/>
                                    </w:rPr>
                                  </w:pPr>
                                  <w:r w:rsidRPr="0055776F">
                                    <w:rPr>
                                      <w:rFonts w:ascii="Arial" w:hAnsi="Arial" w:cs="Arial"/>
                                    </w:rPr>
                                    <w:t>│││</w:t>
                                  </w:r>
                                </w:p>
                              </w:tc>
                              <w:tc>
                                <w:tcPr>
                                  <w:tcW w:w="2552" w:type="dxa"/>
                                </w:tcPr>
                                <w:p w14:paraId="231EDAEF" w14:textId="77777777" w:rsidR="00D9340D" w:rsidRPr="0055776F" w:rsidRDefault="00D9340D" w:rsidP="00FE0401">
                                  <w:pPr>
                                    <w:rPr>
                                      <w:rFonts w:ascii="Arial" w:hAnsi="Arial" w:cs="Arial"/>
                                    </w:rPr>
                                  </w:pPr>
                                  <w:r w:rsidRPr="008558E7">
                                    <w:rPr>
                                      <w:rFonts w:ascii="Arial" w:hAnsi="Arial" w:cs="Arial"/>
                                    </w:rPr>
                                    <w:t>zensierte Beobachtungen</w:t>
                                  </w:r>
                                </w:p>
                              </w:tc>
                              <w:tc>
                                <w:tcPr>
                                  <w:tcW w:w="763" w:type="dxa"/>
                                  <w:tcBorders>
                                    <w:top w:val="single" w:sz="4" w:space="0" w:color="auto"/>
                                  </w:tcBorders>
                                </w:tcPr>
                                <w:p w14:paraId="71C1BB64" w14:textId="77777777" w:rsidR="00D9340D" w:rsidRPr="0055776F" w:rsidRDefault="00D9340D" w:rsidP="00FE0401">
                                  <w:pPr>
                                    <w:rPr>
                                      <w:rFonts w:ascii="Arial" w:hAnsi="Arial" w:cs="Arial"/>
                                    </w:rPr>
                                  </w:pPr>
                                </w:p>
                              </w:tc>
                              <w:tc>
                                <w:tcPr>
                                  <w:tcW w:w="739" w:type="dxa"/>
                                  <w:tcBorders>
                                    <w:top w:val="single" w:sz="4" w:space="0" w:color="auto"/>
                                  </w:tcBorders>
                                </w:tcPr>
                                <w:p w14:paraId="303EF0DA" w14:textId="77777777" w:rsidR="00D9340D" w:rsidRPr="0055776F" w:rsidRDefault="00D9340D" w:rsidP="00FE0401">
                                  <w:pPr>
                                    <w:rPr>
                                      <w:rFonts w:ascii="Arial" w:hAnsi="Arial" w:cs="Arial"/>
                                    </w:rPr>
                                  </w:pPr>
                                </w:p>
                              </w:tc>
                              <w:tc>
                                <w:tcPr>
                                  <w:tcW w:w="850" w:type="dxa"/>
                                  <w:tcBorders>
                                    <w:top w:val="single" w:sz="4" w:space="0" w:color="auto"/>
                                  </w:tcBorders>
                                </w:tcPr>
                                <w:p w14:paraId="79AAA90B" w14:textId="77777777" w:rsidR="00D9340D" w:rsidRPr="0055776F" w:rsidRDefault="00D9340D" w:rsidP="00FE0401">
                                  <w:pPr>
                                    <w:rPr>
                                      <w:rFonts w:ascii="Arial" w:hAnsi="Arial" w:cs="Arial"/>
                                    </w:rPr>
                                  </w:pPr>
                                </w:p>
                              </w:tc>
                            </w:tr>
                          </w:tbl>
                          <w:p w14:paraId="37392796" w14:textId="77777777" w:rsidR="00D9340D" w:rsidRPr="00A33DBA" w:rsidRDefault="00D9340D" w:rsidP="003A33A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EF03390">
              <v:shape id="_x0000_s1027" style="position:absolute;left:0;text-align:left;margin-left:27.6pt;margin-top:91.1pt;width:361.05pt;height:1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" w14:anchorId="556FF994">
                <v:textbox>
                  <w:txbxContent>
                    <w:tbl>
                      <w:tblPr>
                        <w:tblW w:w="0" w:type="auto"/>
                        <w:tblLook w:val="04A0" w:firstRow="1" w:lastRow="0" w:firstColumn="1" w:lastColumn="0" w:noHBand="0" w:noVBand="1"/>
                      </w:tblPr>
                      <w:tblGrid>
                        <w:gridCol w:w="817"/>
                        <w:gridCol w:w="2552"/>
                        <w:gridCol w:w="763"/>
                        <w:gridCol w:w="739"/>
                        <w:gridCol w:w="850"/>
                      </w:tblGrid>
                      <w:tr w:rsidRPr="0055776F" w:rsidR="00D9340D" w:rsidTr="003048B7" w14:paraId="084F07C5" w14:textId="77777777">
                        <w:trPr>
                          <w:gridAfter w:val="3"/>
                          <w:wAfter w:w="2352" w:type="dxa"/>
                        </w:trPr>
                        <w:tc>
                          <w:tcPr>
                            <w:tcW w:w="3369" w:type="dxa"/>
                            <w:gridSpan w:val="2"/>
                          </w:tcPr>
                          <w:p w:rsidRPr="0055776F" w:rsidR="00D9340D" w:rsidP="00117023" w:rsidRDefault="00D9340D" w14:paraId="4413F015" w14:textId="77777777">
                            <w:pPr>
                              <w:rPr>
                                <w:rFonts w:ascii="Arial" w:hAnsi="Arial" w:cs="Arial"/>
                              </w:rPr>
                            </w:pPr>
                            <w:r>
                              <w:rPr>
                                <w:rFonts w:ascii="Arial" w:hAnsi="Arial" w:cs="Arial"/>
                              </w:rPr>
                              <w:t xml:space="preserve">P </w:t>
                            </w:r>
                            <w:r>
                              <w:rPr>
                                <w:rFonts w:ascii="Arial" w:hAnsi="Arial" w:cs="Arial"/>
                              </w:rPr>
                              <w:t>&lt; 0,0001</w:t>
                            </w:r>
                          </w:p>
                          <w:p w:rsidRPr="0055776F" w:rsidR="00D9340D" w:rsidP="00117023" w:rsidRDefault="00D9340D" w14:paraId="292901C8" w14:textId="1C627C26">
                            <w:pPr>
                              <w:rPr>
                                <w:rFonts w:ascii="Arial" w:hAnsi="Arial" w:cs="Arial"/>
                              </w:rPr>
                            </w:pPr>
                            <w:r>
                              <w:rPr>
                                <w:rFonts w:ascii="Arial" w:hAnsi="Arial" w:cs="Arial"/>
                              </w:rPr>
                              <w:t>Hazard Ratio 0,</w:t>
                            </w:r>
                            <w:r w:rsidRPr="0055776F">
                              <w:rPr>
                                <w:rFonts w:ascii="Arial" w:hAnsi="Arial" w:cs="Arial"/>
                              </w:rPr>
                              <w:t>4</w:t>
                            </w:r>
                            <w:r>
                              <w:rPr>
                                <w:rFonts w:ascii="Arial" w:hAnsi="Arial" w:cs="Arial"/>
                              </w:rPr>
                              <w:t>6</w:t>
                            </w:r>
                          </w:p>
                          <w:p w:rsidRPr="0055776F" w:rsidR="00D9340D" w:rsidP="00117023" w:rsidRDefault="00D9340D" w14:paraId="1F1F0A30" w14:textId="77777777">
                            <w:pPr>
                              <w:rPr>
                                <w:rFonts w:ascii="Arial" w:hAnsi="Arial" w:cs="Arial"/>
                              </w:rPr>
                            </w:pPr>
                            <w:r>
                              <w:rPr>
                                <w:rFonts w:ascii="Arial" w:hAnsi="Arial" w:cs="Arial"/>
                              </w:rPr>
                              <w:t>(95%-KI, 0,3</w:t>
                            </w:r>
                            <w:r w:rsidRPr="0055776F">
                              <w:rPr>
                                <w:rFonts w:ascii="Arial" w:hAnsi="Arial" w:cs="Arial"/>
                              </w:rPr>
                              <w:t>2</w:t>
                            </w:r>
                            <w:r>
                              <w:rPr>
                                <w:rFonts w:ascii="Arial" w:hAnsi="Arial" w:cs="Arial"/>
                              </w:rPr>
                              <w:noBreakHyphen/>
                              <w:t>0,65</w:t>
                            </w:r>
                            <w:r w:rsidRPr="0055776F">
                              <w:rPr>
                                <w:rFonts w:ascii="Arial" w:hAnsi="Arial" w:cs="Arial"/>
                              </w:rPr>
                              <w:t>)</w:t>
                            </w:r>
                          </w:p>
                        </w:tc>
                      </w:tr>
                      <w:tr w:rsidRPr="0055776F" w:rsidR="00D9340D" w:rsidTr="003048B7" w14:paraId="6A724246" w14:textId="77777777">
                        <w:tc>
                          <w:tcPr>
                            <w:tcW w:w="817" w:type="dxa"/>
                          </w:tcPr>
                          <w:p w:rsidRPr="0055776F" w:rsidR="00D9340D" w:rsidP="00FE0401" w:rsidRDefault="00D9340D" w14:paraId="0A37501D" w14:textId="77777777">
                            <w:pPr>
                              <w:rPr>
                                <w:rFonts w:ascii="Arial" w:hAnsi="Arial" w:cs="Arial"/>
                              </w:rPr>
                            </w:pPr>
                          </w:p>
                        </w:tc>
                        <w:tc>
                          <w:tcPr>
                            <w:tcW w:w="2552" w:type="dxa"/>
                          </w:tcPr>
                          <w:p w:rsidRPr="0055776F" w:rsidR="00D9340D" w:rsidP="00FE0401" w:rsidRDefault="00D9340D" w14:paraId="5DAB6C7B" w14:textId="77777777">
                            <w:pPr>
                              <w:rPr>
                                <w:rFonts w:ascii="Arial" w:hAnsi="Arial" w:cs="Arial"/>
                              </w:rPr>
                            </w:pPr>
                          </w:p>
                        </w:tc>
                        <w:tc>
                          <w:tcPr>
                            <w:tcW w:w="763" w:type="dxa"/>
                            <w:tcBorders>
                              <w:bottom w:val="single" w:color="auto" w:sz="4" w:space="0"/>
                            </w:tcBorders>
                          </w:tcPr>
                          <w:p w:rsidRPr="00200154" w:rsidR="00D9340D" w:rsidP="00FE0401" w:rsidRDefault="00D9340D" w14:paraId="350C21BE" w14:textId="77777777">
                            <w:pPr>
                              <w:rPr>
                                <w:rFonts w:ascii="Arial" w:hAnsi="Arial" w:cs="Arial"/>
                              </w:rPr>
                            </w:pPr>
                            <w:r w:rsidRPr="00200154">
                              <w:rPr>
                                <w:rFonts w:ascii="Arial" w:hAnsi="Arial" w:cs="Arial"/>
                              </w:rPr>
                              <w:t>N</w:t>
                            </w:r>
                          </w:p>
                        </w:tc>
                        <w:tc>
                          <w:tcPr>
                            <w:tcW w:w="739" w:type="dxa"/>
                            <w:tcBorders>
                              <w:bottom w:val="single" w:color="auto" w:sz="4" w:space="0"/>
                            </w:tcBorders>
                          </w:tcPr>
                          <w:p w:rsidRPr="00200154" w:rsidR="00D9340D" w:rsidP="00FE0401" w:rsidRDefault="00D9340D" w14:paraId="637E176F" w14:textId="77777777">
                            <w:pPr>
                              <w:rPr>
                                <w:rFonts w:ascii="Arial" w:hAnsi="Arial" w:cs="Arial"/>
                              </w:rPr>
                            </w:pPr>
                            <w:r w:rsidRPr="00200154">
                              <w:rPr>
                                <w:rFonts w:ascii="Arial" w:hAnsi="Arial" w:cs="Arial"/>
                              </w:rPr>
                              <w:t>Ereig</w:t>
                            </w:r>
                            <w:r>
                              <w:rPr>
                                <w:rFonts w:ascii="Arial" w:hAnsi="Arial" w:cs="Arial"/>
                              </w:rPr>
                              <w:t>.</w:t>
                            </w:r>
                          </w:p>
                        </w:tc>
                        <w:tc>
                          <w:tcPr>
                            <w:tcW w:w="850" w:type="dxa"/>
                            <w:tcBorders>
                              <w:bottom w:val="single" w:color="auto" w:sz="4" w:space="0"/>
                            </w:tcBorders>
                          </w:tcPr>
                          <w:p w:rsidRPr="00200154" w:rsidR="00D9340D" w:rsidP="00FE0401" w:rsidRDefault="00D9340D" w14:paraId="7D167792" w14:textId="77777777">
                            <w:pPr>
                              <w:rPr>
                                <w:rFonts w:ascii="Arial" w:hAnsi="Arial" w:cs="Arial"/>
                              </w:rPr>
                            </w:pPr>
                            <w:r w:rsidRPr="00200154">
                              <w:rPr>
                                <w:rFonts w:ascii="Arial" w:hAnsi="Arial" w:cs="Arial"/>
                              </w:rPr>
                              <w:t>Zens.</w:t>
                            </w:r>
                          </w:p>
                        </w:tc>
                      </w:tr>
                      <w:tr w:rsidRPr="0055776F" w:rsidR="00D9340D" w:rsidTr="003048B7" w14:paraId="2B7E095A" w14:textId="77777777">
                        <w:tc>
                          <w:tcPr>
                            <w:tcW w:w="817" w:type="dxa"/>
                          </w:tcPr>
                          <w:p w:rsidRPr="0055776F" w:rsidR="00D9340D" w:rsidP="00FE0401" w:rsidRDefault="00D9340D" w14:paraId="1E0F15BC" w14:textId="77777777">
                            <w:pPr>
                              <w:rPr>
                                <w:rFonts w:ascii="Arial" w:hAnsi="Arial" w:cs="Arial"/>
                              </w:rPr>
                            </w:pPr>
                            <w:r w:rsidRPr="0055776F">
                              <w:rPr>
                                <w:rFonts w:ascii="Arial" w:hAnsi="Arial" w:cs="Arial"/>
                                <w:b/>
                              </w:rPr>
                              <w:t>——</w:t>
                            </w:r>
                          </w:p>
                        </w:tc>
                        <w:tc>
                          <w:tcPr>
                            <w:tcW w:w="2552" w:type="dxa"/>
                          </w:tcPr>
                          <w:p w:rsidRPr="0055776F" w:rsidR="00D9340D" w:rsidP="00FE0401" w:rsidRDefault="00D9340D" w14:paraId="2D62D4D2" w14:textId="77777777">
                            <w:pPr>
                              <w:rPr>
                                <w:rFonts w:ascii="Arial" w:hAnsi="Arial" w:cs="Arial"/>
                              </w:rPr>
                            </w:pPr>
                            <w:r w:rsidRPr="0055776F">
                              <w:rPr>
                                <w:rFonts w:ascii="Arial" w:hAnsi="Arial" w:cs="Arial"/>
                              </w:rPr>
                              <w:t xml:space="preserve">(1) </w:t>
                            </w:r>
                            <w:r>
                              <w:rPr>
                                <w:rFonts w:ascii="Arial" w:hAnsi="Arial" w:cs="Arial"/>
                              </w:rPr>
                              <w:t>Imatinib 12 </w:t>
                            </w:r>
                            <w:r w:rsidRPr="0002465D">
                              <w:rPr>
                                <w:rFonts w:ascii="Arial" w:hAnsi="Arial" w:cs="Arial"/>
                              </w:rPr>
                              <w:t>Monate:</w:t>
                            </w:r>
                          </w:p>
                        </w:tc>
                        <w:tc>
                          <w:tcPr>
                            <w:tcW w:w="763" w:type="dxa"/>
                            <w:tcBorders>
                              <w:top w:val="single" w:color="auto" w:sz="4" w:space="0"/>
                            </w:tcBorders>
                          </w:tcPr>
                          <w:p w:rsidRPr="0055776F" w:rsidR="00D9340D" w:rsidP="00FE0401" w:rsidRDefault="00D9340D" w14:paraId="51EDC13C" w14:textId="77777777">
                            <w:pPr>
                              <w:rPr>
                                <w:rFonts w:ascii="Arial" w:hAnsi="Arial" w:cs="Arial"/>
                              </w:rPr>
                            </w:pPr>
                            <w:r w:rsidRPr="0055776F">
                              <w:rPr>
                                <w:rFonts w:ascii="Arial" w:hAnsi="Arial" w:cs="Arial"/>
                              </w:rPr>
                              <w:t>199</w:t>
                            </w:r>
                          </w:p>
                        </w:tc>
                        <w:tc>
                          <w:tcPr>
                            <w:tcW w:w="739" w:type="dxa"/>
                            <w:tcBorders>
                              <w:top w:val="single" w:color="auto" w:sz="4" w:space="0"/>
                            </w:tcBorders>
                          </w:tcPr>
                          <w:p w:rsidRPr="0055776F" w:rsidR="00D9340D" w:rsidP="00FE0401" w:rsidRDefault="00D9340D" w14:paraId="31B2963F" w14:textId="77777777">
                            <w:pPr>
                              <w:rPr>
                                <w:rFonts w:ascii="Arial" w:hAnsi="Arial" w:cs="Arial"/>
                              </w:rPr>
                            </w:pPr>
                            <w:r w:rsidRPr="0055776F">
                              <w:rPr>
                                <w:rFonts w:ascii="Arial" w:hAnsi="Arial" w:cs="Arial"/>
                              </w:rPr>
                              <w:t>84</w:t>
                            </w:r>
                          </w:p>
                        </w:tc>
                        <w:tc>
                          <w:tcPr>
                            <w:tcW w:w="850" w:type="dxa"/>
                            <w:tcBorders>
                              <w:top w:val="single" w:color="auto" w:sz="4" w:space="0"/>
                            </w:tcBorders>
                          </w:tcPr>
                          <w:p w:rsidRPr="0055776F" w:rsidR="00D9340D" w:rsidP="00FE0401" w:rsidRDefault="00D9340D" w14:paraId="7FBB681B" w14:textId="77777777">
                            <w:pPr>
                              <w:rPr>
                                <w:rFonts w:ascii="Arial" w:hAnsi="Arial" w:cs="Arial"/>
                              </w:rPr>
                            </w:pPr>
                            <w:r w:rsidRPr="0055776F">
                              <w:rPr>
                                <w:rFonts w:ascii="Arial" w:hAnsi="Arial" w:cs="Arial"/>
                              </w:rPr>
                              <w:t>115</w:t>
                            </w:r>
                          </w:p>
                        </w:tc>
                      </w:tr>
                      <w:tr w:rsidRPr="0055776F" w:rsidR="00D9340D" w:rsidTr="003048B7" w14:paraId="0617785A" w14:textId="77777777">
                        <w:tc>
                          <w:tcPr>
                            <w:tcW w:w="817" w:type="dxa"/>
                          </w:tcPr>
                          <w:p w:rsidRPr="0055776F" w:rsidR="00D9340D" w:rsidP="00FE0401" w:rsidRDefault="00D9340D" w14:paraId="3661BAB8" w14:textId="77777777">
                            <w:pPr>
                              <w:rPr>
                                <w:rFonts w:ascii="Arial" w:hAnsi="Arial" w:cs="Arial"/>
                              </w:rPr>
                            </w:pPr>
                            <w:r w:rsidRPr="0055776F">
                              <w:rPr>
                                <w:rFonts w:ascii="Arial" w:hAnsi="Arial" w:cs="Arial"/>
                              </w:rPr>
                              <w:t>-----</w:t>
                            </w:r>
                          </w:p>
                        </w:tc>
                        <w:tc>
                          <w:tcPr>
                            <w:tcW w:w="2552" w:type="dxa"/>
                          </w:tcPr>
                          <w:p w:rsidRPr="0055776F" w:rsidR="00D9340D" w:rsidP="00FE0401" w:rsidRDefault="00D9340D" w14:paraId="61D3E044" w14:textId="77777777">
                            <w:pPr>
                              <w:rPr>
                                <w:rFonts w:ascii="Arial" w:hAnsi="Arial" w:cs="Arial"/>
                              </w:rPr>
                            </w:pPr>
                            <w:r w:rsidRPr="0055776F">
                              <w:rPr>
                                <w:rFonts w:ascii="Arial" w:hAnsi="Arial" w:cs="Arial"/>
                              </w:rPr>
                              <w:t xml:space="preserve">(2) </w:t>
                            </w:r>
                            <w:r>
                              <w:rPr>
                                <w:rFonts w:ascii="Arial" w:hAnsi="Arial" w:cs="Arial"/>
                              </w:rPr>
                              <w:t>Imatinib 36 </w:t>
                            </w:r>
                            <w:r w:rsidRPr="0002465D">
                              <w:rPr>
                                <w:rFonts w:ascii="Arial" w:hAnsi="Arial" w:cs="Arial"/>
                              </w:rPr>
                              <w:t>Monate:</w:t>
                            </w:r>
                          </w:p>
                        </w:tc>
                        <w:tc>
                          <w:tcPr>
                            <w:tcW w:w="763" w:type="dxa"/>
                            <w:tcBorders>
                              <w:bottom w:val="single" w:color="auto" w:sz="4" w:space="0"/>
                            </w:tcBorders>
                          </w:tcPr>
                          <w:p w:rsidRPr="0055776F" w:rsidR="00D9340D" w:rsidP="00FE0401" w:rsidRDefault="00D9340D" w14:paraId="61297EE0" w14:textId="77777777">
                            <w:pPr>
                              <w:rPr>
                                <w:rFonts w:ascii="Arial" w:hAnsi="Arial" w:cs="Arial"/>
                              </w:rPr>
                            </w:pPr>
                            <w:r w:rsidRPr="0055776F">
                              <w:rPr>
                                <w:rFonts w:ascii="Arial" w:hAnsi="Arial" w:cs="Arial"/>
                              </w:rPr>
                              <w:t>198</w:t>
                            </w:r>
                          </w:p>
                        </w:tc>
                        <w:tc>
                          <w:tcPr>
                            <w:tcW w:w="739" w:type="dxa"/>
                            <w:tcBorders>
                              <w:bottom w:val="single" w:color="auto" w:sz="4" w:space="0"/>
                            </w:tcBorders>
                          </w:tcPr>
                          <w:p w:rsidRPr="0055776F" w:rsidR="00D9340D" w:rsidP="00FE0401" w:rsidRDefault="00D9340D" w14:paraId="68861898" w14:textId="77777777">
                            <w:pPr>
                              <w:rPr>
                                <w:rFonts w:ascii="Arial" w:hAnsi="Arial" w:cs="Arial"/>
                              </w:rPr>
                            </w:pPr>
                            <w:r w:rsidRPr="0055776F">
                              <w:rPr>
                                <w:rFonts w:ascii="Arial" w:hAnsi="Arial" w:cs="Arial"/>
                              </w:rPr>
                              <w:t>50</w:t>
                            </w:r>
                          </w:p>
                        </w:tc>
                        <w:tc>
                          <w:tcPr>
                            <w:tcW w:w="850" w:type="dxa"/>
                            <w:tcBorders>
                              <w:bottom w:val="single" w:color="auto" w:sz="4" w:space="0"/>
                            </w:tcBorders>
                          </w:tcPr>
                          <w:p w:rsidRPr="0055776F" w:rsidR="00D9340D" w:rsidP="00FE0401" w:rsidRDefault="00D9340D" w14:paraId="1B5ACE85" w14:textId="77777777">
                            <w:pPr>
                              <w:rPr>
                                <w:rFonts w:ascii="Arial" w:hAnsi="Arial" w:cs="Arial"/>
                              </w:rPr>
                            </w:pPr>
                            <w:r w:rsidRPr="0055776F">
                              <w:rPr>
                                <w:rFonts w:ascii="Arial" w:hAnsi="Arial" w:cs="Arial"/>
                              </w:rPr>
                              <w:t>148</w:t>
                            </w:r>
                          </w:p>
                        </w:tc>
                      </w:tr>
                      <w:tr w:rsidRPr="0055776F" w:rsidR="00D9340D" w:rsidTr="003048B7" w14:paraId="1C4B6DE7" w14:textId="77777777">
                        <w:tc>
                          <w:tcPr>
                            <w:tcW w:w="817" w:type="dxa"/>
                          </w:tcPr>
                          <w:p w:rsidRPr="0055776F" w:rsidR="00D9340D" w:rsidP="00FE0401" w:rsidRDefault="00D9340D" w14:paraId="1604BB41" w14:textId="77777777">
                            <w:pPr>
                              <w:rPr>
                                <w:rFonts w:ascii="Arial" w:hAnsi="Arial" w:cs="Arial"/>
                              </w:rPr>
                            </w:pPr>
                            <w:r w:rsidRPr="0055776F">
                              <w:rPr>
                                <w:rFonts w:ascii="Arial" w:hAnsi="Arial" w:cs="Arial"/>
                              </w:rPr>
                              <w:t>│││</w:t>
                            </w:r>
                          </w:p>
                        </w:tc>
                        <w:tc>
                          <w:tcPr>
                            <w:tcW w:w="2552" w:type="dxa"/>
                          </w:tcPr>
                          <w:p w:rsidRPr="0055776F" w:rsidR="00D9340D" w:rsidP="00FE0401" w:rsidRDefault="00D9340D" w14:paraId="7A33FF8A" w14:textId="77777777">
                            <w:pPr>
                              <w:rPr>
                                <w:rFonts w:ascii="Arial" w:hAnsi="Arial" w:cs="Arial"/>
                              </w:rPr>
                            </w:pPr>
                            <w:r w:rsidRPr="008558E7">
                              <w:rPr>
                                <w:rFonts w:ascii="Arial" w:hAnsi="Arial" w:cs="Arial"/>
                              </w:rPr>
                              <w:t>zensierte Beobachtungen</w:t>
                            </w:r>
                          </w:p>
                        </w:tc>
                        <w:tc>
                          <w:tcPr>
                            <w:tcW w:w="763" w:type="dxa"/>
                            <w:tcBorders>
                              <w:top w:val="single" w:color="auto" w:sz="4" w:space="0"/>
                            </w:tcBorders>
                          </w:tcPr>
                          <w:p w:rsidRPr="0055776F" w:rsidR="00D9340D" w:rsidP="00FE0401" w:rsidRDefault="00D9340D" w14:paraId="02EB378F" w14:textId="77777777">
                            <w:pPr>
                              <w:rPr>
                                <w:rFonts w:ascii="Arial" w:hAnsi="Arial" w:cs="Arial"/>
                              </w:rPr>
                            </w:pPr>
                          </w:p>
                        </w:tc>
                        <w:tc>
                          <w:tcPr>
                            <w:tcW w:w="739" w:type="dxa"/>
                            <w:tcBorders>
                              <w:top w:val="single" w:color="auto" w:sz="4" w:space="0"/>
                            </w:tcBorders>
                          </w:tcPr>
                          <w:p w:rsidRPr="0055776F" w:rsidR="00D9340D" w:rsidP="00FE0401" w:rsidRDefault="00D9340D" w14:paraId="6A05A809" w14:textId="77777777">
                            <w:pPr>
                              <w:rPr>
                                <w:rFonts w:ascii="Arial" w:hAnsi="Arial" w:cs="Arial"/>
                              </w:rPr>
                            </w:pPr>
                          </w:p>
                        </w:tc>
                        <w:tc>
                          <w:tcPr>
                            <w:tcW w:w="850" w:type="dxa"/>
                            <w:tcBorders>
                              <w:top w:val="single" w:color="auto" w:sz="4" w:space="0"/>
                            </w:tcBorders>
                          </w:tcPr>
                          <w:p w:rsidRPr="0055776F" w:rsidR="00D9340D" w:rsidP="00FE0401" w:rsidRDefault="00D9340D" w14:paraId="5A39BBE3" w14:textId="77777777">
                            <w:pPr>
                              <w:rPr>
                                <w:rFonts w:ascii="Arial" w:hAnsi="Arial" w:cs="Arial"/>
                              </w:rPr>
                            </w:pPr>
                          </w:p>
                        </w:tc>
                      </w:tr>
                    </w:tbl>
                    <w:p w:rsidRPr="00A33DBA" w:rsidR="00D9340D" w:rsidP="003A33A6" w:rsidRDefault="00D9340D" w14:paraId="41C8F396" w14:textId="77777777">
                      <w:pPr>
                        <w:rPr>
                          <w:rFonts w:ascii="Arial" w:hAnsi="Arial" w:cs="Arial"/>
                        </w:rPr>
                      </w:pPr>
                    </w:p>
                  </w:txbxContent>
                </v:textbox>
              </v:shape>
            </w:pict>
          </mc:Fallback>
        </mc:AlternateContent>
      </w:r>
      <w:r w:rsidRPr="008A4F40">
        <w:rPr>
          <w:noProof/>
          <w:lang w:val="en-US"/>
        </w:rPr>
        <w:drawing>
          <wp:inline distT="0" distB="0" distL="0" distR="0" wp14:anchorId="33FCD192" wp14:editId="59E77D96">
            <wp:extent cx="5939790" cy="26797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32D17932" w14:textId="77777777" w:rsidR="003A33A6" w:rsidRPr="008A4F40" w:rsidRDefault="00367B53" w:rsidP="009044D1">
      <w:pPr>
        <w:keepNext/>
        <w:keepLines/>
        <w:widowControl w:val="0"/>
        <w:ind w:left="1418" w:hanging="1418"/>
        <w:rPr>
          <w:rFonts w:eastAsia="MS Mincho"/>
          <w:sz w:val="22"/>
          <w:szCs w:val="22"/>
        </w:rPr>
      </w:pPr>
      <w:r w:rsidRPr="008A4F40">
        <w:rPr>
          <w:noProof/>
          <w:lang w:val="en-US"/>
        </w:rPr>
        <mc:AlternateContent>
          <mc:Choice Requires="wps">
            <w:drawing>
              <wp:anchor distT="0" distB="0" distL="114300" distR="114300" simplePos="0" relativeHeight="251658242" behindDoc="0" locked="0" layoutInCell="1" allowOverlap="1" wp14:anchorId="05B0CEDA" wp14:editId="6AFC42D5">
                <wp:simplePos x="0" y="0"/>
                <wp:positionH relativeFrom="column">
                  <wp:posOffset>1929765</wp:posOffset>
                </wp:positionH>
                <wp:positionV relativeFrom="paragraph">
                  <wp:posOffset>26035</wp:posOffset>
                </wp:positionV>
                <wp:extent cx="1950085" cy="32639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085" cy="326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EF2C9" w14:textId="77777777" w:rsidR="00D9340D" w:rsidRPr="00A33DBA" w:rsidRDefault="00D9340D" w:rsidP="003A33A6">
                            <w:pPr>
                              <w:rPr>
                                <w:rFonts w:ascii="Arial" w:hAnsi="Arial" w:cs="Arial"/>
                              </w:rPr>
                            </w:pPr>
                            <w:r>
                              <w:rPr>
                                <w:rFonts w:ascii="Arial" w:hAnsi="Arial" w:cs="Arial"/>
                              </w:rPr>
                              <w:t>Überlebenszeit in Monaten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C3317F1">
              <v:shape id="_x0000_s1028" style="position:absolute;left:0;text-align:left;margin-left:151.95pt;margin-top:2.05pt;width:153.55pt;height:25.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" w14:anchorId="05B0CEDA">
                <v:fill opacity="0"/>
                <v:textbox>
                  <w:txbxContent>
                    <w:p w:rsidRPr="00A33DBA" w:rsidR="00D9340D" w:rsidP="003A33A6" w:rsidRDefault="00D9340D" w14:paraId="7B73910D" w14:textId="77777777">
                      <w:pPr>
                        <w:rPr>
                          <w:rFonts w:ascii="Arial" w:hAnsi="Arial" w:cs="Arial"/>
                        </w:rPr>
                      </w:pPr>
                      <w:r>
                        <w:rPr>
                          <w:rFonts w:ascii="Arial" w:hAnsi="Arial" w:cs="Arial"/>
                        </w:rPr>
                        <w:t xml:space="preserve">Überlebenszeit </w:t>
                      </w:r>
                      <w:r>
                        <w:rPr>
                          <w:rFonts w:ascii="Arial" w:hAnsi="Arial" w:cs="Arial"/>
                        </w:rPr>
                        <w:t>in Monaten</w:t>
                      </w:r>
                    </w:p>
                  </w:txbxContent>
                </v:textbox>
              </v:shape>
            </w:pict>
          </mc:Fallback>
        </mc:AlternateContent>
      </w:r>
    </w:p>
    <w:p w14:paraId="29233806" w14:textId="77777777" w:rsidR="003A33A6" w:rsidRPr="008A4F40" w:rsidRDefault="003A33A6" w:rsidP="009044D1">
      <w:pPr>
        <w:widowControl w:val="0"/>
        <w:ind w:left="1418" w:hanging="1418"/>
        <w:rPr>
          <w:rFonts w:eastAsia="MS Mincho"/>
          <w:sz w:val="22"/>
          <w:szCs w:val="22"/>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3A33A6" w:rsidRPr="008A4F40" w14:paraId="0E20EE47" w14:textId="77777777" w:rsidTr="00CE58F7">
        <w:tc>
          <w:tcPr>
            <w:tcW w:w="10599" w:type="dxa"/>
            <w:gridSpan w:val="16"/>
          </w:tcPr>
          <w:p w14:paraId="4729153F" w14:textId="77777777" w:rsidR="003A33A6" w:rsidRPr="008A4F40" w:rsidRDefault="003A33A6" w:rsidP="009044D1">
            <w:pPr>
              <w:widowControl w:val="0"/>
              <w:ind w:left="-27"/>
              <w:rPr>
                <w:rFonts w:ascii="Arial" w:hAnsi="Arial" w:cs="Arial"/>
              </w:rPr>
            </w:pPr>
            <w:r w:rsidRPr="008A4F40">
              <w:rPr>
                <w:rFonts w:ascii="Arial" w:hAnsi="Arial" w:cs="Arial"/>
              </w:rPr>
              <w:t>Patienten mit Risiko: Ereignisse</w:t>
            </w:r>
          </w:p>
        </w:tc>
      </w:tr>
      <w:tr w:rsidR="003A33A6" w:rsidRPr="008A4F40" w14:paraId="7496123F" w14:textId="77777777" w:rsidTr="00CE58F7">
        <w:tc>
          <w:tcPr>
            <w:tcW w:w="450" w:type="dxa"/>
          </w:tcPr>
          <w:p w14:paraId="2061CBD9" w14:textId="77777777" w:rsidR="003A33A6" w:rsidRPr="008A4F40" w:rsidRDefault="003A33A6" w:rsidP="009044D1">
            <w:pPr>
              <w:widowControl w:val="0"/>
              <w:rPr>
                <w:sz w:val="18"/>
                <w:szCs w:val="18"/>
              </w:rPr>
            </w:pPr>
            <w:r w:rsidRPr="008A4F40">
              <w:rPr>
                <w:sz w:val="18"/>
                <w:szCs w:val="18"/>
              </w:rPr>
              <w:t>(1)</w:t>
            </w:r>
          </w:p>
        </w:tc>
        <w:tc>
          <w:tcPr>
            <w:tcW w:w="646" w:type="dxa"/>
          </w:tcPr>
          <w:p w14:paraId="62D60432" w14:textId="77777777" w:rsidR="003A33A6" w:rsidRPr="008A4F40" w:rsidRDefault="003A33A6" w:rsidP="009044D1">
            <w:pPr>
              <w:widowControl w:val="0"/>
              <w:ind w:left="-27"/>
              <w:rPr>
                <w:sz w:val="18"/>
                <w:szCs w:val="18"/>
              </w:rPr>
            </w:pPr>
            <w:r w:rsidRPr="008A4F40">
              <w:rPr>
                <w:sz w:val="18"/>
                <w:szCs w:val="18"/>
              </w:rPr>
              <w:t>199:0</w:t>
            </w:r>
          </w:p>
        </w:tc>
        <w:tc>
          <w:tcPr>
            <w:tcW w:w="645" w:type="dxa"/>
          </w:tcPr>
          <w:p w14:paraId="476BCD20" w14:textId="77777777" w:rsidR="003A33A6" w:rsidRPr="008A4F40" w:rsidRDefault="003A33A6" w:rsidP="009044D1">
            <w:pPr>
              <w:widowControl w:val="0"/>
              <w:ind w:left="-27"/>
              <w:rPr>
                <w:sz w:val="18"/>
                <w:szCs w:val="18"/>
              </w:rPr>
            </w:pPr>
            <w:r w:rsidRPr="008A4F40">
              <w:rPr>
                <w:sz w:val="18"/>
                <w:szCs w:val="18"/>
              </w:rPr>
              <w:t>182:8</w:t>
            </w:r>
          </w:p>
        </w:tc>
        <w:tc>
          <w:tcPr>
            <w:tcW w:w="745" w:type="dxa"/>
          </w:tcPr>
          <w:p w14:paraId="0DA93219" w14:textId="77777777" w:rsidR="003A33A6" w:rsidRPr="008A4F40" w:rsidRDefault="003A33A6" w:rsidP="009044D1">
            <w:pPr>
              <w:widowControl w:val="0"/>
              <w:ind w:left="-27"/>
              <w:rPr>
                <w:sz w:val="18"/>
                <w:szCs w:val="18"/>
              </w:rPr>
            </w:pPr>
            <w:r w:rsidRPr="008A4F40">
              <w:rPr>
                <w:sz w:val="18"/>
                <w:szCs w:val="18"/>
              </w:rPr>
              <w:t>177:12</w:t>
            </w:r>
          </w:p>
        </w:tc>
        <w:tc>
          <w:tcPr>
            <w:tcW w:w="745" w:type="dxa"/>
          </w:tcPr>
          <w:p w14:paraId="2EF3AB05" w14:textId="77777777" w:rsidR="003A33A6" w:rsidRPr="008A4F40" w:rsidRDefault="003A33A6" w:rsidP="009044D1">
            <w:pPr>
              <w:widowControl w:val="0"/>
              <w:ind w:left="-27"/>
              <w:rPr>
                <w:sz w:val="18"/>
                <w:szCs w:val="18"/>
              </w:rPr>
            </w:pPr>
            <w:r w:rsidRPr="008A4F40">
              <w:rPr>
                <w:sz w:val="18"/>
                <w:szCs w:val="18"/>
              </w:rPr>
              <w:t>163:25</w:t>
            </w:r>
          </w:p>
        </w:tc>
        <w:tc>
          <w:tcPr>
            <w:tcW w:w="745" w:type="dxa"/>
          </w:tcPr>
          <w:p w14:paraId="54F4B2A9" w14:textId="77777777" w:rsidR="003A33A6" w:rsidRPr="008A4F40" w:rsidRDefault="003A33A6" w:rsidP="009044D1">
            <w:pPr>
              <w:widowControl w:val="0"/>
              <w:ind w:left="-27"/>
              <w:rPr>
                <w:sz w:val="18"/>
                <w:szCs w:val="18"/>
              </w:rPr>
            </w:pPr>
            <w:r w:rsidRPr="008A4F40">
              <w:rPr>
                <w:sz w:val="18"/>
                <w:szCs w:val="18"/>
              </w:rPr>
              <w:t>137:46</w:t>
            </w:r>
          </w:p>
        </w:tc>
        <w:tc>
          <w:tcPr>
            <w:tcW w:w="752" w:type="dxa"/>
          </w:tcPr>
          <w:p w14:paraId="4A76E10D" w14:textId="77777777" w:rsidR="003A33A6" w:rsidRPr="008A4F40" w:rsidRDefault="003A33A6" w:rsidP="009044D1">
            <w:pPr>
              <w:widowControl w:val="0"/>
              <w:ind w:left="-27"/>
              <w:rPr>
                <w:sz w:val="18"/>
                <w:szCs w:val="18"/>
              </w:rPr>
            </w:pPr>
            <w:r w:rsidRPr="008A4F40">
              <w:rPr>
                <w:sz w:val="18"/>
                <w:szCs w:val="18"/>
              </w:rPr>
              <w:t>105:65</w:t>
            </w:r>
          </w:p>
        </w:tc>
        <w:tc>
          <w:tcPr>
            <w:tcW w:w="745" w:type="dxa"/>
          </w:tcPr>
          <w:p w14:paraId="4DA47987" w14:textId="77777777" w:rsidR="003A33A6" w:rsidRPr="008A4F40" w:rsidRDefault="003A33A6" w:rsidP="009044D1">
            <w:pPr>
              <w:widowControl w:val="0"/>
              <w:ind w:left="-27"/>
              <w:rPr>
                <w:sz w:val="18"/>
                <w:szCs w:val="18"/>
              </w:rPr>
            </w:pPr>
            <w:r w:rsidRPr="008A4F40">
              <w:rPr>
                <w:sz w:val="18"/>
                <w:szCs w:val="18"/>
              </w:rPr>
              <w:t>88:72</w:t>
            </w:r>
          </w:p>
        </w:tc>
        <w:tc>
          <w:tcPr>
            <w:tcW w:w="745" w:type="dxa"/>
          </w:tcPr>
          <w:p w14:paraId="39D706A9" w14:textId="77777777" w:rsidR="003A33A6" w:rsidRPr="008A4F40" w:rsidRDefault="003A33A6" w:rsidP="009044D1">
            <w:pPr>
              <w:widowControl w:val="0"/>
              <w:ind w:left="-27"/>
              <w:rPr>
                <w:sz w:val="18"/>
                <w:szCs w:val="18"/>
              </w:rPr>
            </w:pPr>
            <w:r w:rsidRPr="008A4F40">
              <w:rPr>
                <w:sz w:val="18"/>
                <w:szCs w:val="18"/>
              </w:rPr>
              <w:t>61:77</w:t>
            </w:r>
          </w:p>
        </w:tc>
        <w:tc>
          <w:tcPr>
            <w:tcW w:w="652" w:type="dxa"/>
          </w:tcPr>
          <w:p w14:paraId="09275A57" w14:textId="77777777" w:rsidR="003A33A6" w:rsidRPr="008A4F40" w:rsidRDefault="003A33A6" w:rsidP="009044D1">
            <w:pPr>
              <w:widowControl w:val="0"/>
              <w:ind w:left="-27"/>
              <w:rPr>
                <w:sz w:val="18"/>
                <w:szCs w:val="18"/>
              </w:rPr>
            </w:pPr>
            <w:r w:rsidRPr="008A4F40">
              <w:rPr>
                <w:sz w:val="18"/>
                <w:szCs w:val="18"/>
              </w:rPr>
              <w:t>49:81</w:t>
            </w:r>
          </w:p>
        </w:tc>
        <w:tc>
          <w:tcPr>
            <w:tcW w:w="652" w:type="dxa"/>
          </w:tcPr>
          <w:p w14:paraId="45C16005" w14:textId="77777777" w:rsidR="003A33A6" w:rsidRPr="008A4F40" w:rsidRDefault="003A33A6" w:rsidP="009044D1">
            <w:pPr>
              <w:widowControl w:val="0"/>
              <w:ind w:left="-27"/>
              <w:rPr>
                <w:sz w:val="18"/>
                <w:szCs w:val="18"/>
              </w:rPr>
            </w:pPr>
            <w:r w:rsidRPr="008A4F40">
              <w:rPr>
                <w:sz w:val="18"/>
                <w:szCs w:val="18"/>
              </w:rPr>
              <w:t>36:83</w:t>
            </w:r>
          </w:p>
        </w:tc>
        <w:tc>
          <w:tcPr>
            <w:tcW w:w="649" w:type="dxa"/>
          </w:tcPr>
          <w:p w14:paraId="268D844C" w14:textId="77777777" w:rsidR="003A33A6" w:rsidRPr="008A4F40" w:rsidRDefault="003A33A6" w:rsidP="009044D1">
            <w:pPr>
              <w:widowControl w:val="0"/>
              <w:ind w:left="-27"/>
              <w:rPr>
                <w:sz w:val="18"/>
                <w:szCs w:val="18"/>
              </w:rPr>
            </w:pPr>
            <w:r w:rsidRPr="008A4F40">
              <w:rPr>
                <w:sz w:val="18"/>
                <w:szCs w:val="18"/>
              </w:rPr>
              <w:t>27:84</w:t>
            </w:r>
          </w:p>
        </w:tc>
        <w:tc>
          <w:tcPr>
            <w:tcW w:w="660" w:type="dxa"/>
          </w:tcPr>
          <w:p w14:paraId="1E192157" w14:textId="77777777" w:rsidR="003A33A6" w:rsidRPr="008A4F40" w:rsidRDefault="003A33A6" w:rsidP="009044D1">
            <w:pPr>
              <w:widowControl w:val="0"/>
              <w:ind w:left="-27"/>
              <w:rPr>
                <w:sz w:val="18"/>
                <w:szCs w:val="18"/>
              </w:rPr>
            </w:pPr>
            <w:r w:rsidRPr="008A4F40">
              <w:rPr>
                <w:sz w:val="18"/>
                <w:szCs w:val="18"/>
              </w:rPr>
              <w:t>14:84</w:t>
            </w:r>
          </w:p>
        </w:tc>
        <w:tc>
          <w:tcPr>
            <w:tcW w:w="649" w:type="dxa"/>
          </w:tcPr>
          <w:p w14:paraId="4520D641" w14:textId="77777777" w:rsidR="003A33A6" w:rsidRPr="008A4F40" w:rsidRDefault="003A33A6" w:rsidP="009044D1">
            <w:pPr>
              <w:widowControl w:val="0"/>
              <w:ind w:left="-27"/>
              <w:rPr>
                <w:sz w:val="18"/>
                <w:szCs w:val="18"/>
              </w:rPr>
            </w:pPr>
            <w:r w:rsidRPr="008A4F40">
              <w:rPr>
                <w:sz w:val="18"/>
                <w:szCs w:val="18"/>
              </w:rPr>
              <w:t>10:84</w:t>
            </w:r>
          </w:p>
        </w:tc>
        <w:tc>
          <w:tcPr>
            <w:tcW w:w="564" w:type="dxa"/>
          </w:tcPr>
          <w:p w14:paraId="17C858AD" w14:textId="77777777" w:rsidR="003A33A6" w:rsidRPr="008A4F40" w:rsidRDefault="003A33A6" w:rsidP="009044D1">
            <w:pPr>
              <w:widowControl w:val="0"/>
              <w:ind w:left="-27"/>
              <w:rPr>
                <w:sz w:val="18"/>
                <w:szCs w:val="18"/>
              </w:rPr>
            </w:pPr>
            <w:r w:rsidRPr="008A4F40">
              <w:rPr>
                <w:sz w:val="18"/>
                <w:szCs w:val="18"/>
              </w:rPr>
              <w:t>2:84</w:t>
            </w:r>
          </w:p>
        </w:tc>
        <w:tc>
          <w:tcPr>
            <w:tcW w:w="555" w:type="dxa"/>
          </w:tcPr>
          <w:p w14:paraId="7BFEAF40" w14:textId="77777777" w:rsidR="003A33A6" w:rsidRPr="008A4F40" w:rsidRDefault="003A33A6" w:rsidP="009044D1">
            <w:pPr>
              <w:widowControl w:val="0"/>
              <w:ind w:left="-27"/>
              <w:rPr>
                <w:sz w:val="18"/>
                <w:szCs w:val="18"/>
              </w:rPr>
            </w:pPr>
            <w:r w:rsidRPr="008A4F40">
              <w:rPr>
                <w:sz w:val="18"/>
                <w:szCs w:val="18"/>
              </w:rPr>
              <w:t>0:84</w:t>
            </w:r>
          </w:p>
        </w:tc>
      </w:tr>
      <w:tr w:rsidR="003A33A6" w:rsidRPr="008A4F40" w14:paraId="02870C41" w14:textId="77777777" w:rsidTr="00CE58F7">
        <w:tc>
          <w:tcPr>
            <w:tcW w:w="450" w:type="dxa"/>
          </w:tcPr>
          <w:p w14:paraId="3C46FF96" w14:textId="77777777" w:rsidR="003A33A6" w:rsidRPr="008A4F40" w:rsidRDefault="003A33A6" w:rsidP="009044D1">
            <w:pPr>
              <w:widowControl w:val="0"/>
              <w:rPr>
                <w:sz w:val="18"/>
                <w:szCs w:val="18"/>
              </w:rPr>
            </w:pPr>
            <w:r w:rsidRPr="008A4F40">
              <w:rPr>
                <w:sz w:val="18"/>
                <w:szCs w:val="18"/>
              </w:rPr>
              <w:t>(2)</w:t>
            </w:r>
          </w:p>
        </w:tc>
        <w:tc>
          <w:tcPr>
            <w:tcW w:w="646" w:type="dxa"/>
          </w:tcPr>
          <w:p w14:paraId="0AC7EB59" w14:textId="77777777" w:rsidR="003A33A6" w:rsidRPr="008A4F40" w:rsidRDefault="003A33A6" w:rsidP="009044D1">
            <w:pPr>
              <w:widowControl w:val="0"/>
              <w:ind w:left="-27"/>
              <w:rPr>
                <w:sz w:val="18"/>
                <w:szCs w:val="18"/>
              </w:rPr>
            </w:pPr>
            <w:r w:rsidRPr="008A4F40">
              <w:rPr>
                <w:sz w:val="18"/>
                <w:szCs w:val="18"/>
              </w:rPr>
              <w:t>198:0</w:t>
            </w:r>
          </w:p>
        </w:tc>
        <w:tc>
          <w:tcPr>
            <w:tcW w:w="645" w:type="dxa"/>
          </w:tcPr>
          <w:p w14:paraId="329C5E3E" w14:textId="77777777" w:rsidR="003A33A6" w:rsidRPr="008A4F40" w:rsidRDefault="003A33A6" w:rsidP="009044D1">
            <w:pPr>
              <w:widowControl w:val="0"/>
              <w:ind w:left="-27"/>
              <w:rPr>
                <w:sz w:val="18"/>
                <w:szCs w:val="18"/>
              </w:rPr>
            </w:pPr>
            <w:r w:rsidRPr="008A4F40">
              <w:rPr>
                <w:sz w:val="18"/>
                <w:szCs w:val="18"/>
              </w:rPr>
              <w:t>189:5</w:t>
            </w:r>
          </w:p>
        </w:tc>
        <w:tc>
          <w:tcPr>
            <w:tcW w:w="745" w:type="dxa"/>
          </w:tcPr>
          <w:p w14:paraId="33D8511B" w14:textId="77777777" w:rsidR="003A33A6" w:rsidRPr="008A4F40" w:rsidRDefault="003A33A6" w:rsidP="009044D1">
            <w:pPr>
              <w:widowControl w:val="0"/>
              <w:ind w:left="-27"/>
              <w:rPr>
                <w:sz w:val="18"/>
                <w:szCs w:val="18"/>
              </w:rPr>
            </w:pPr>
            <w:r w:rsidRPr="008A4F40">
              <w:rPr>
                <w:sz w:val="18"/>
                <w:szCs w:val="18"/>
              </w:rPr>
              <w:t>184:8</w:t>
            </w:r>
          </w:p>
        </w:tc>
        <w:tc>
          <w:tcPr>
            <w:tcW w:w="745" w:type="dxa"/>
          </w:tcPr>
          <w:p w14:paraId="0CAC57D2" w14:textId="77777777" w:rsidR="003A33A6" w:rsidRPr="008A4F40" w:rsidRDefault="003A33A6" w:rsidP="009044D1">
            <w:pPr>
              <w:widowControl w:val="0"/>
              <w:ind w:left="-27"/>
              <w:rPr>
                <w:sz w:val="18"/>
                <w:szCs w:val="18"/>
              </w:rPr>
            </w:pPr>
            <w:r w:rsidRPr="008A4F40">
              <w:rPr>
                <w:sz w:val="18"/>
                <w:szCs w:val="18"/>
              </w:rPr>
              <w:t>181:11</w:t>
            </w:r>
          </w:p>
        </w:tc>
        <w:tc>
          <w:tcPr>
            <w:tcW w:w="745" w:type="dxa"/>
          </w:tcPr>
          <w:p w14:paraId="4AB1D30D" w14:textId="77777777" w:rsidR="003A33A6" w:rsidRPr="008A4F40" w:rsidRDefault="003A33A6" w:rsidP="009044D1">
            <w:pPr>
              <w:widowControl w:val="0"/>
              <w:ind w:left="-27"/>
              <w:rPr>
                <w:sz w:val="18"/>
                <w:szCs w:val="18"/>
              </w:rPr>
            </w:pPr>
            <w:r w:rsidRPr="008A4F40">
              <w:rPr>
                <w:sz w:val="18"/>
                <w:szCs w:val="18"/>
              </w:rPr>
              <w:t>173:18</w:t>
            </w:r>
          </w:p>
        </w:tc>
        <w:tc>
          <w:tcPr>
            <w:tcW w:w="752" w:type="dxa"/>
          </w:tcPr>
          <w:p w14:paraId="22FA89AB" w14:textId="77777777" w:rsidR="003A33A6" w:rsidRPr="008A4F40" w:rsidRDefault="003A33A6" w:rsidP="009044D1">
            <w:pPr>
              <w:widowControl w:val="0"/>
              <w:ind w:left="-27"/>
              <w:rPr>
                <w:sz w:val="18"/>
                <w:szCs w:val="18"/>
              </w:rPr>
            </w:pPr>
            <w:r w:rsidRPr="008A4F40">
              <w:rPr>
                <w:sz w:val="18"/>
                <w:szCs w:val="18"/>
              </w:rPr>
              <w:t>152:22</w:t>
            </w:r>
          </w:p>
        </w:tc>
        <w:tc>
          <w:tcPr>
            <w:tcW w:w="745" w:type="dxa"/>
          </w:tcPr>
          <w:p w14:paraId="008026D6" w14:textId="77777777" w:rsidR="003A33A6" w:rsidRPr="008A4F40" w:rsidRDefault="003A33A6" w:rsidP="009044D1">
            <w:pPr>
              <w:widowControl w:val="0"/>
              <w:ind w:left="-27"/>
              <w:rPr>
                <w:sz w:val="18"/>
                <w:szCs w:val="18"/>
              </w:rPr>
            </w:pPr>
            <w:r w:rsidRPr="008A4F40">
              <w:rPr>
                <w:sz w:val="18"/>
                <w:szCs w:val="18"/>
              </w:rPr>
              <w:t>133:25</w:t>
            </w:r>
          </w:p>
        </w:tc>
        <w:tc>
          <w:tcPr>
            <w:tcW w:w="745" w:type="dxa"/>
          </w:tcPr>
          <w:p w14:paraId="4F5E9EAE" w14:textId="77777777" w:rsidR="003A33A6" w:rsidRPr="008A4F40" w:rsidRDefault="003A33A6" w:rsidP="009044D1">
            <w:pPr>
              <w:widowControl w:val="0"/>
              <w:ind w:left="-27"/>
              <w:rPr>
                <w:sz w:val="18"/>
                <w:szCs w:val="18"/>
              </w:rPr>
            </w:pPr>
            <w:r w:rsidRPr="008A4F40">
              <w:rPr>
                <w:sz w:val="18"/>
                <w:szCs w:val="18"/>
              </w:rPr>
              <w:t>102:29</w:t>
            </w:r>
          </w:p>
        </w:tc>
        <w:tc>
          <w:tcPr>
            <w:tcW w:w="652" w:type="dxa"/>
          </w:tcPr>
          <w:p w14:paraId="7BFA693A" w14:textId="77777777" w:rsidR="003A33A6" w:rsidRPr="008A4F40" w:rsidRDefault="003A33A6" w:rsidP="009044D1">
            <w:pPr>
              <w:widowControl w:val="0"/>
              <w:ind w:left="-27"/>
              <w:rPr>
                <w:sz w:val="18"/>
                <w:szCs w:val="18"/>
              </w:rPr>
            </w:pPr>
            <w:r w:rsidRPr="008A4F40">
              <w:rPr>
                <w:sz w:val="18"/>
                <w:szCs w:val="18"/>
              </w:rPr>
              <w:t>82:35</w:t>
            </w:r>
          </w:p>
        </w:tc>
        <w:tc>
          <w:tcPr>
            <w:tcW w:w="652" w:type="dxa"/>
          </w:tcPr>
          <w:p w14:paraId="50A3D094" w14:textId="77777777" w:rsidR="003A33A6" w:rsidRPr="008A4F40" w:rsidRDefault="003A33A6" w:rsidP="009044D1">
            <w:pPr>
              <w:widowControl w:val="0"/>
              <w:ind w:left="-27"/>
              <w:rPr>
                <w:sz w:val="18"/>
                <w:szCs w:val="18"/>
              </w:rPr>
            </w:pPr>
            <w:r w:rsidRPr="008A4F40">
              <w:rPr>
                <w:sz w:val="18"/>
                <w:szCs w:val="18"/>
              </w:rPr>
              <w:t>54:46</w:t>
            </w:r>
          </w:p>
        </w:tc>
        <w:tc>
          <w:tcPr>
            <w:tcW w:w="649" w:type="dxa"/>
          </w:tcPr>
          <w:p w14:paraId="37859702" w14:textId="77777777" w:rsidR="003A33A6" w:rsidRPr="008A4F40" w:rsidRDefault="003A33A6" w:rsidP="009044D1">
            <w:pPr>
              <w:widowControl w:val="0"/>
              <w:ind w:left="-27"/>
              <w:rPr>
                <w:sz w:val="18"/>
                <w:szCs w:val="18"/>
              </w:rPr>
            </w:pPr>
            <w:r w:rsidRPr="008A4F40">
              <w:rPr>
                <w:sz w:val="18"/>
                <w:szCs w:val="18"/>
              </w:rPr>
              <w:t>39:47</w:t>
            </w:r>
          </w:p>
        </w:tc>
        <w:tc>
          <w:tcPr>
            <w:tcW w:w="660" w:type="dxa"/>
          </w:tcPr>
          <w:p w14:paraId="1AFEE805" w14:textId="77777777" w:rsidR="003A33A6" w:rsidRPr="008A4F40" w:rsidRDefault="003A33A6" w:rsidP="009044D1">
            <w:pPr>
              <w:widowControl w:val="0"/>
              <w:ind w:left="-27"/>
              <w:rPr>
                <w:sz w:val="18"/>
                <w:szCs w:val="18"/>
              </w:rPr>
            </w:pPr>
            <w:r w:rsidRPr="008A4F40">
              <w:rPr>
                <w:sz w:val="18"/>
                <w:szCs w:val="18"/>
              </w:rPr>
              <w:t>21:49</w:t>
            </w:r>
          </w:p>
        </w:tc>
        <w:tc>
          <w:tcPr>
            <w:tcW w:w="649" w:type="dxa"/>
          </w:tcPr>
          <w:p w14:paraId="4017B573" w14:textId="77777777" w:rsidR="003A33A6" w:rsidRPr="008A4F40" w:rsidRDefault="003A33A6" w:rsidP="009044D1">
            <w:pPr>
              <w:widowControl w:val="0"/>
              <w:ind w:left="-27"/>
              <w:rPr>
                <w:sz w:val="18"/>
                <w:szCs w:val="18"/>
              </w:rPr>
            </w:pPr>
            <w:r w:rsidRPr="008A4F40">
              <w:rPr>
                <w:sz w:val="18"/>
                <w:szCs w:val="18"/>
              </w:rPr>
              <w:t>8:50</w:t>
            </w:r>
          </w:p>
        </w:tc>
        <w:tc>
          <w:tcPr>
            <w:tcW w:w="564" w:type="dxa"/>
          </w:tcPr>
          <w:p w14:paraId="6898C801" w14:textId="77777777" w:rsidR="003A33A6" w:rsidRPr="008A4F40" w:rsidRDefault="003A33A6" w:rsidP="009044D1">
            <w:pPr>
              <w:widowControl w:val="0"/>
              <w:ind w:left="-27"/>
              <w:rPr>
                <w:sz w:val="18"/>
                <w:szCs w:val="18"/>
              </w:rPr>
            </w:pPr>
            <w:r w:rsidRPr="008A4F40">
              <w:rPr>
                <w:sz w:val="18"/>
                <w:szCs w:val="18"/>
              </w:rPr>
              <w:t>0:50</w:t>
            </w:r>
          </w:p>
        </w:tc>
        <w:tc>
          <w:tcPr>
            <w:tcW w:w="555" w:type="dxa"/>
          </w:tcPr>
          <w:p w14:paraId="483DB64A" w14:textId="77777777" w:rsidR="003A33A6" w:rsidRPr="008A4F40" w:rsidRDefault="003A33A6" w:rsidP="009044D1">
            <w:pPr>
              <w:widowControl w:val="0"/>
              <w:ind w:left="-27"/>
              <w:rPr>
                <w:sz w:val="18"/>
                <w:szCs w:val="18"/>
              </w:rPr>
            </w:pPr>
          </w:p>
        </w:tc>
      </w:tr>
    </w:tbl>
    <w:p w14:paraId="11EDC526" w14:textId="77777777" w:rsidR="003A33A6" w:rsidRPr="008A4F40" w:rsidRDefault="003A33A6" w:rsidP="009044D1">
      <w:pPr>
        <w:widowControl w:val="0"/>
        <w:ind w:left="1418" w:hanging="1418"/>
        <w:rPr>
          <w:rFonts w:eastAsia="MS Mincho"/>
          <w:sz w:val="22"/>
          <w:szCs w:val="22"/>
        </w:rPr>
      </w:pPr>
    </w:p>
    <w:p w14:paraId="69B10ABC" w14:textId="77777777" w:rsidR="003A33A6" w:rsidRPr="008A4F40" w:rsidRDefault="00367B53" w:rsidP="009044D1">
      <w:pPr>
        <w:keepNext/>
        <w:widowControl w:val="0"/>
        <w:ind w:left="1134" w:hanging="1134"/>
        <w:rPr>
          <w:rFonts w:eastAsia="MS Mincho"/>
          <w:b/>
          <w:sz w:val="22"/>
          <w:szCs w:val="22"/>
        </w:rPr>
      </w:pPr>
      <w:r w:rsidRPr="008A4F40">
        <w:rPr>
          <w:noProof/>
          <w:lang w:val="en-US"/>
        </w:rPr>
        <mc:AlternateContent>
          <mc:Choice Requires="wps">
            <w:drawing>
              <wp:anchor distT="0" distB="0" distL="114300" distR="114300" simplePos="0" relativeHeight="251658243" behindDoc="0" locked="0" layoutInCell="1" allowOverlap="1" wp14:anchorId="6A9CC3B6" wp14:editId="1B0D1155">
                <wp:simplePos x="0" y="0"/>
                <wp:positionH relativeFrom="column">
                  <wp:posOffset>-266700</wp:posOffset>
                </wp:positionH>
                <wp:positionV relativeFrom="paragraph">
                  <wp:posOffset>140970</wp:posOffset>
                </wp:positionV>
                <wp:extent cx="335915" cy="246062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460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C9C27" w14:textId="77777777" w:rsidR="00D9340D" w:rsidRPr="00A33DBA" w:rsidRDefault="00D9340D" w:rsidP="003A33A6">
                            <w:pPr>
                              <w:rPr>
                                <w:rFonts w:ascii="Arial" w:hAnsi="Arial" w:cs="Arial"/>
                              </w:rPr>
                            </w:pPr>
                            <w:r>
                              <w:rPr>
                                <w:rFonts w:ascii="Arial" w:hAnsi="Arial" w:cs="Arial"/>
                              </w:rPr>
                              <w:t>Wahrscheinlichkeit für Gesamtüberleben</w:t>
                            </w:r>
                          </w:p>
                          <w:p w14:paraId="1F4F4056" w14:textId="77777777" w:rsidR="00D9340D" w:rsidRPr="00A33DBA" w:rsidRDefault="00D9340D" w:rsidP="003A33A6">
                            <w:pPr>
                              <w:rPr>
                                <w:rFonts w:ascii="Arial" w:hAnsi="Arial" w:cs="Arial"/>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934C58F">
              <v:shape id="_x0000_s1029" style="position:absolute;left:0;text-align:left;margin-left:-21pt;margin-top:11.1pt;width:26.45pt;height:193.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" w14:anchorId="6A9CC3B6">
                <v:fill opacity="0"/>
                <v:textbox style="layout-flow:vertical;mso-layout-flow-alt:bottom-to-top">
                  <w:txbxContent>
                    <w:p w:rsidRPr="00A33DBA" w:rsidR="00D9340D" w:rsidP="003A33A6" w:rsidRDefault="00D9340D" w14:paraId="7DB34151" w14:textId="77777777">
                      <w:pPr>
                        <w:rPr>
                          <w:rFonts w:ascii="Arial" w:hAnsi="Arial" w:cs="Arial"/>
                        </w:rPr>
                      </w:pPr>
                      <w:r>
                        <w:rPr>
                          <w:rFonts w:ascii="Arial" w:hAnsi="Arial" w:cs="Arial"/>
                        </w:rPr>
                        <w:t xml:space="preserve">Wahrscheinlichkeit </w:t>
                      </w:r>
                      <w:r>
                        <w:rPr>
                          <w:rFonts w:ascii="Arial" w:hAnsi="Arial" w:cs="Arial"/>
                        </w:rPr>
                        <w:t>für Gesamtüberleben</w:t>
                      </w:r>
                    </w:p>
                    <w:p w:rsidRPr="00A33DBA" w:rsidR="00D9340D" w:rsidP="003A33A6" w:rsidRDefault="00D9340D" w14:paraId="72A3D3EC" w14:textId="77777777">
                      <w:pPr>
                        <w:rPr>
                          <w:rFonts w:ascii="Arial" w:hAnsi="Arial" w:cs="Arial"/>
                        </w:rPr>
                      </w:pPr>
                    </w:p>
                  </w:txbxContent>
                </v:textbox>
              </v:shape>
            </w:pict>
          </mc:Fallback>
        </mc:AlternateContent>
      </w:r>
      <w:r w:rsidR="003A33A6" w:rsidRPr="008A4F40">
        <w:rPr>
          <w:rFonts w:eastAsia="MS Mincho"/>
          <w:b/>
          <w:sz w:val="22"/>
          <w:szCs w:val="22"/>
        </w:rPr>
        <w:t>Abbildung 2 Kaplan-Meier-Schätzung für das Gesamtüberleben (ITT-Population)</w:t>
      </w:r>
    </w:p>
    <w:p w14:paraId="47F5CD86" w14:textId="77777777" w:rsidR="003A33A6" w:rsidRPr="008A4F40" w:rsidRDefault="003A33A6" w:rsidP="009044D1">
      <w:pPr>
        <w:keepNext/>
        <w:widowControl w:val="0"/>
        <w:ind w:left="1418" w:hanging="1418"/>
        <w:rPr>
          <w:rFonts w:eastAsia="MS Mincho"/>
          <w:sz w:val="22"/>
          <w:szCs w:val="22"/>
        </w:rPr>
      </w:pPr>
    </w:p>
    <w:p w14:paraId="3BDA77DB" w14:textId="77777777" w:rsidR="003A33A6" w:rsidRPr="008A4F40" w:rsidRDefault="00367B53" w:rsidP="009044D1">
      <w:pPr>
        <w:widowControl w:val="0"/>
        <w:ind w:left="1418" w:hanging="1418"/>
        <w:rPr>
          <w:rFonts w:eastAsia="MS Mincho"/>
          <w:sz w:val="22"/>
          <w:szCs w:val="22"/>
        </w:rPr>
      </w:pPr>
      <w:r w:rsidRPr="008A4F40">
        <w:rPr>
          <w:rFonts w:eastAsia="MS Mincho"/>
          <w:noProof/>
          <w:sz w:val="22"/>
          <w:szCs w:val="22"/>
          <w:lang w:val="en-US"/>
        </w:rPr>
        <mc:AlternateContent>
          <mc:Choice Requires="wps">
            <w:drawing>
              <wp:anchor distT="0" distB="0" distL="114300" distR="114300" simplePos="0" relativeHeight="251658245" behindDoc="0" locked="0" layoutInCell="1" allowOverlap="1" wp14:anchorId="5F5EB927" wp14:editId="4FF1EDC0">
                <wp:simplePos x="0" y="0"/>
                <wp:positionH relativeFrom="column">
                  <wp:posOffset>2253615</wp:posOffset>
                </wp:positionH>
                <wp:positionV relativeFrom="paragraph">
                  <wp:posOffset>2657475</wp:posOffset>
                </wp:positionV>
                <wp:extent cx="1800225" cy="21971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F09BE" w14:textId="77777777" w:rsidR="00D9340D" w:rsidRPr="00A33DBA" w:rsidRDefault="00D9340D" w:rsidP="003A33A6">
                            <w:pPr>
                              <w:rPr>
                                <w:rFonts w:ascii="Arial" w:hAnsi="Arial" w:cs="Arial"/>
                              </w:rPr>
                            </w:pPr>
                            <w:r>
                              <w:rPr>
                                <w:rFonts w:ascii="Arial" w:hAnsi="Arial" w:cs="Arial"/>
                              </w:rPr>
                              <w:t>Überlebenszeit in Monaten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528B3230">
              <v:shape id="_x0000_s1030" style="position:absolute;left:0;text-align:left;margin-left:177.45pt;margin-top:209.25pt;width:141.75pt;height:17.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" w14:anchorId="5F5EB927">
                <v:fill opacity="0"/>
                <v:textbox>
                  <w:txbxContent>
                    <w:p w:rsidRPr="00A33DBA" w:rsidR="00D9340D" w:rsidP="003A33A6" w:rsidRDefault="00D9340D" w14:paraId="6686F3D9" w14:textId="77777777">
                      <w:pPr>
                        <w:rPr>
                          <w:rFonts w:ascii="Arial" w:hAnsi="Arial" w:cs="Arial"/>
                        </w:rPr>
                      </w:pPr>
                      <w:r>
                        <w:rPr>
                          <w:rFonts w:ascii="Arial" w:hAnsi="Arial" w:cs="Arial"/>
                        </w:rPr>
                        <w:t xml:space="preserve">Überlebenszeit </w:t>
                      </w:r>
                      <w:r>
                        <w:rPr>
                          <w:rFonts w:ascii="Arial" w:hAnsi="Arial" w:cs="Arial"/>
                        </w:rPr>
                        <w:t>in Monaten</w:t>
                      </w:r>
                    </w:p>
                  </w:txbxContent>
                </v:textbox>
              </v:shape>
            </w:pict>
          </mc:Fallback>
        </mc:AlternateContent>
      </w:r>
      <w:r w:rsidRPr="008A4F40">
        <w:rPr>
          <w:noProof/>
          <w:lang w:val="en-US"/>
        </w:rPr>
        <mc:AlternateContent>
          <mc:Choice Requires="wps">
            <w:drawing>
              <wp:anchor distT="0" distB="0" distL="114300" distR="114300" simplePos="0" relativeHeight="251658244" behindDoc="0" locked="0" layoutInCell="1" allowOverlap="1" wp14:anchorId="0F3ABDC3" wp14:editId="5B8EA19A">
                <wp:simplePos x="0" y="0"/>
                <wp:positionH relativeFrom="column">
                  <wp:posOffset>350520</wp:posOffset>
                </wp:positionH>
                <wp:positionV relativeFrom="paragraph">
                  <wp:posOffset>952500</wp:posOffset>
                </wp:positionV>
                <wp:extent cx="4585335" cy="1428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5B635" w14:textId="77777777" w:rsidR="00D9340D" w:rsidRDefault="00D9340D" w:rsidP="003A33A6">
                            <w:pPr>
                              <w:rPr>
                                <w:rFonts w:ascii="Arial" w:hAnsi="Arial" w:cs="Arial"/>
                              </w:rPr>
                            </w:pPr>
                          </w:p>
                          <w:tbl>
                            <w:tblPr>
                              <w:tblW w:w="0" w:type="auto"/>
                              <w:tblLook w:val="04A0" w:firstRow="1" w:lastRow="0" w:firstColumn="1" w:lastColumn="0" w:noHBand="0" w:noVBand="1"/>
                            </w:tblPr>
                            <w:tblGrid>
                              <w:gridCol w:w="817"/>
                              <w:gridCol w:w="2693"/>
                              <w:gridCol w:w="851"/>
                              <w:gridCol w:w="739"/>
                              <w:gridCol w:w="850"/>
                            </w:tblGrid>
                            <w:tr w:rsidR="00D9340D" w:rsidRPr="0055776F" w14:paraId="56916BF2" w14:textId="77777777" w:rsidTr="00200154">
                              <w:tc>
                                <w:tcPr>
                                  <w:tcW w:w="5920" w:type="dxa"/>
                                  <w:gridSpan w:val="5"/>
                                </w:tcPr>
                                <w:p w14:paraId="0C0BF5FC" w14:textId="0229051F" w:rsidR="00D9340D" w:rsidRPr="00F42FE0" w:rsidRDefault="00D9340D" w:rsidP="00200154">
                                  <w:pPr>
                                    <w:rPr>
                                      <w:rFonts w:ascii="Arial" w:hAnsi="Arial" w:cs="Arial"/>
                                      <w:lang w:val="en-US"/>
                                    </w:rPr>
                                  </w:pPr>
                                  <w:r>
                                    <w:rPr>
                                      <w:rFonts w:ascii="Arial" w:hAnsi="Arial" w:cs="Arial"/>
                                      <w:lang w:val="en-US"/>
                                    </w:rPr>
                                    <w:t>P =</w:t>
                                  </w:r>
                                  <w:r w:rsidRPr="00F42FE0">
                                    <w:rPr>
                                      <w:rFonts w:ascii="Arial" w:hAnsi="Arial" w:cs="Arial"/>
                                      <w:lang w:val="en-US"/>
                                    </w:rPr>
                                    <w:t xml:space="preserve"> 0,</w:t>
                                  </w:r>
                                  <w:r>
                                    <w:rPr>
                                      <w:rFonts w:ascii="Arial" w:hAnsi="Arial" w:cs="Arial"/>
                                      <w:lang w:val="en-US"/>
                                    </w:rPr>
                                    <w:t>0</w:t>
                                  </w:r>
                                  <w:r w:rsidRPr="00F42FE0">
                                    <w:rPr>
                                      <w:rFonts w:ascii="Arial" w:hAnsi="Arial" w:cs="Arial"/>
                                      <w:lang w:val="en-US"/>
                                    </w:rPr>
                                    <w:t>19</w:t>
                                  </w:r>
                                </w:p>
                                <w:p w14:paraId="41E87926" w14:textId="09418152" w:rsidR="00D9340D" w:rsidRPr="00F42FE0" w:rsidRDefault="00D9340D" w:rsidP="00200154">
                                  <w:pPr>
                                    <w:rPr>
                                      <w:rFonts w:ascii="Arial" w:hAnsi="Arial" w:cs="Arial"/>
                                      <w:lang w:val="en-US"/>
                                    </w:rPr>
                                  </w:pPr>
                                  <w:r w:rsidRPr="00F42FE0">
                                    <w:rPr>
                                      <w:rFonts w:ascii="Arial" w:hAnsi="Arial" w:cs="Arial"/>
                                      <w:lang w:val="en-US"/>
                                    </w:rPr>
                                    <w:t xml:space="preserve">Hazard </w:t>
                                  </w:r>
                                  <w:r>
                                    <w:rPr>
                                      <w:rFonts w:ascii="Arial" w:hAnsi="Arial" w:cs="Arial"/>
                                      <w:lang w:val="en-US"/>
                                    </w:rPr>
                                    <w:t>R</w:t>
                                  </w:r>
                                  <w:r w:rsidRPr="00F42FE0">
                                    <w:rPr>
                                      <w:rFonts w:ascii="Arial" w:hAnsi="Arial" w:cs="Arial"/>
                                      <w:lang w:val="en-US"/>
                                    </w:rPr>
                                    <w:t>atio 0,45</w:t>
                                  </w:r>
                                </w:p>
                                <w:p w14:paraId="0E7C6DEA" w14:textId="77777777" w:rsidR="00D9340D" w:rsidRPr="0055776F" w:rsidRDefault="00D9340D" w:rsidP="00200154">
                                  <w:pPr>
                                    <w:rPr>
                                      <w:rFonts w:ascii="Arial" w:hAnsi="Arial" w:cs="Arial"/>
                                    </w:rPr>
                                  </w:pPr>
                                  <w:r w:rsidRPr="00F42FE0">
                                    <w:rPr>
                                      <w:rFonts w:ascii="Arial" w:hAnsi="Arial" w:cs="Arial"/>
                                      <w:lang w:val="en-US"/>
                                    </w:rPr>
                                    <w:t>(95%</w:t>
                                  </w:r>
                                  <w:r>
                                    <w:rPr>
                                      <w:rFonts w:ascii="Arial" w:hAnsi="Arial" w:cs="Arial"/>
                                      <w:lang w:val="en-US"/>
                                    </w:rPr>
                                    <w:t>-KI</w:t>
                                  </w:r>
                                  <w:r w:rsidRPr="00F42FE0">
                                    <w:rPr>
                                      <w:rFonts w:ascii="Arial" w:hAnsi="Arial" w:cs="Arial"/>
                                      <w:lang w:val="en-US"/>
                                    </w:rPr>
                                    <w:t>, 0</w:t>
                                  </w:r>
                                  <w:r>
                                    <w:rPr>
                                      <w:rFonts w:ascii="Arial" w:hAnsi="Arial" w:cs="Arial"/>
                                      <w:lang w:val="en-US"/>
                                    </w:rPr>
                                    <w:t>,22</w:t>
                                  </w:r>
                                  <w:r>
                                    <w:rPr>
                                      <w:rFonts w:ascii="Arial" w:hAnsi="Arial" w:cs="Arial"/>
                                      <w:lang w:val="en-US"/>
                                    </w:rPr>
                                    <w:noBreakHyphen/>
                                  </w:r>
                                  <w:r w:rsidRPr="00F42FE0">
                                    <w:rPr>
                                      <w:rFonts w:ascii="Arial" w:hAnsi="Arial" w:cs="Arial"/>
                                      <w:lang w:val="en-US"/>
                                    </w:rPr>
                                    <w:t>0,89)</w:t>
                                  </w:r>
                                </w:p>
                              </w:tc>
                            </w:tr>
                            <w:tr w:rsidR="00D9340D" w:rsidRPr="0055776F" w14:paraId="565410ED" w14:textId="77777777" w:rsidTr="00200154">
                              <w:tc>
                                <w:tcPr>
                                  <w:tcW w:w="817" w:type="dxa"/>
                                </w:tcPr>
                                <w:p w14:paraId="23E6F6C3" w14:textId="77777777" w:rsidR="00D9340D" w:rsidRPr="0055776F" w:rsidRDefault="00D9340D" w:rsidP="00FE0401">
                                  <w:pPr>
                                    <w:rPr>
                                      <w:rFonts w:ascii="Arial" w:hAnsi="Arial" w:cs="Arial"/>
                                    </w:rPr>
                                  </w:pPr>
                                </w:p>
                              </w:tc>
                              <w:tc>
                                <w:tcPr>
                                  <w:tcW w:w="2693" w:type="dxa"/>
                                </w:tcPr>
                                <w:p w14:paraId="6E955421" w14:textId="77777777" w:rsidR="00D9340D" w:rsidRPr="0055776F" w:rsidRDefault="00D9340D" w:rsidP="00FE0401">
                                  <w:pPr>
                                    <w:rPr>
                                      <w:rFonts w:ascii="Arial" w:hAnsi="Arial" w:cs="Arial"/>
                                    </w:rPr>
                                  </w:pPr>
                                </w:p>
                              </w:tc>
                              <w:tc>
                                <w:tcPr>
                                  <w:tcW w:w="851" w:type="dxa"/>
                                  <w:tcBorders>
                                    <w:bottom w:val="single" w:sz="4" w:space="0" w:color="auto"/>
                                  </w:tcBorders>
                                </w:tcPr>
                                <w:p w14:paraId="71C96627" w14:textId="77777777" w:rsidR="00D9340D" w:rsidRPr="0055776F" w:rsidRDefault="00D9340D" w:rsidP="00FE0401">
                                  <w:pPr>
                                    <w:rPr>
                                      <w:rFonts w:ascii="Arial" w:hAnsi="Arial" w:cs="Arial"/>
                                    </w:rPr>
                                  </w:pPr>
                                  <w:r w:rsidRPr="00200154">
                                    <w:rPr>
                                      <w:rFonts w:ascii="Arial" w:hAnsi="Arial" w:cs="Arial"/>
                                    </w:rPr>
                                    <w:t>N</w:t>
                                  </w:r>
                                </w:p>
                              </w:tc>
                              <w:tc>
                                <w:tcPr>
                                  <w:tcW w:w="709" w:type="dxa"/>
                                  <w:tcBorders>
                                    <w:bottom w:val="single" w:sz="4" w:space="0" w:color="auto"/>
                                  </w:tcBorders>
                                </w:tcPr>
                                <w:p w14:paraId="5660E339" w14:textId="77777777" w:rsidR="00D9340D" w:rsidRPr="0055776F" w:rsidRDefault="00D9340D" w:rsidP="00FE0401">
                                  <w:pPr>
                                    <w:rPr>
                                      <w:rFonts w:ascii="Arial" w:hAnsi="Arial" w:cs="Arial"/>
                                    </w:rPr>
                                  </w:pPr>
                                  <w:r w:rsidRPr="00200154">
                                    <w:rPr>
                                      <w:rFonts w:ascii="Arial" w:hAnsi="Arial" w:cs="Arial"/>
                                    </w:rPr>
                                    <w:t>Ereig</w:t>
                                  </w:r>
                                  <w:r>
                                    <w:rPr>
                                      <w:rFonts w:ascii="Arial" w:hAnsi="Arial" w:cs="Arial"/>
                                    </w:rPr>
                                    <w:t>.</w:t>
                                  </w:r>
                                </w:p>
                              </w:tc>
                              <w:tc>
                                <w:tcPr>
                                  <w:tcW w:w="850" w:type="dxa"/>
                                  <w:tcBorders>
                                    <w:bottom w:val="single" w:sz="4" w:space="0" w:color="auto"/>
                                  </w:tcBorders>
                                </w:tcPr>
                                <w:p w14:paraId="5DF9E1B0" w14:textId="77777777" w:rsidR="00D9340D" w:rsidRPr="0055776F" w:rsidRDefault="00D9340D" w:rsidP="00FE0401">
                                  <w:pPr>
                                    <w:rPr>
                                      <w:rFonts w:ascii="Arial" w:hAnsi="Arial" w:cs="Arial"/>
                                    </w:rPr>
                                  </w:pPr>
                                  <w:r w:rsidRPr="00200154">
                                    <w:rPr>
                                      <w:rFonts w:ascii="Arial" w:hAnsi="Arial" w:cs="Arial"/>
                                    </w:rPr>
                                    <w:t>Zens.</w:t>
                                  </w:r>
                                </w:p>
                              </w:tc>
                            </w:tr>
                            <w:tr w:rsidR="00D9340D" w:rsidRPr="0055776F" w14:paraId="5C13D1E1" w14:textId="77777777" w:rsidTr="00200154">
                              <w:tc>
                                <w:tcPr>
                                  <w:tcW w:w="817" w:type="dxa"/>
                                </w:tcPr>
                                <w:p w14:paraId="721A34D4" w14:textId="77777777" w:rsidR="00D9340D" w:rsidRPr="0055776F" w:rsidRDefault="00D9340D" w:rsidP="00FE0401">
                                  <w:pPr>
                                    <w:rPr>
                                      <w:rFonts w:ascii="Arial" w:hAnsi="Arial" w:cs="Arial"/>
                                    </w:rPr>
                                  </w:pPr>
                                  <w:r w:rsidRPr="0055776F">
                                    <w:rPr>
                                      <w:rFonts w:ascii="Arial" w:hAnsi="Arial" w:cs="Arial"/>
                                      <w:b/>
                                    </w:rPr>
                                    <w:t>——</w:t>
                                  </w:r>
                                </w:p>
                              </w:tc>
                              <w:tc>
                                <w:tcPr>
                                  <w:tcW w:w="2693" w:type="dxa"/>
                                </w:tcPr>
                                <w:p w14:paraId="726995F5" w14:textId="77777777" w:rsidR="00D9340D" w:rsidRPr="0055776F" w:rsidRDefault="00D9340D" w:rsidP="00FE0401">
                                  <w:pPr>
                                    <w:rPr>
                                      <w:rFonts w:ascii="Arial" w:hAnsi="Arial" w:cs="Arial"/>
                                    </w:rPr>
                                  </w:pPr>
                                  <w:r w:rsidRPr="0055776F">
                                    <w:rPr>
                                      <w:rFonts w:ascii="Arial" w:hAnsi="Arial" w:cs="Arial"/>
                                    </w:rPr>
                                    <w:t xml:space="preserve">(1) </w:t>
                                  </w:r>
                                  <w:r>
                                    <w:rPr>
                                      <w:rFonts w:ascii="Arial" w:hAnsi="Arial" w:cs="Arial"/>
                                    </w:rPr>
                                    <w:t>Imatinib 12 </w:t>
                                  </w:r>
                                  <w:r w:rsidRPr="0002465D">
                                    <w:rPr>
                                      <w:rFonts w:ascii="Arial" w:hAnsi="Arial" w:cs="Arial"/>
                                    </w:rPr>
                                    <w:t>Monate:</w:t>
                                  </w:r>
                                </w:p>
                              </w:tc>
                              <w:tc>
                                <w:tcPr>
                                  <w:tcW w:w="851" w:type="dxa"/>
                                  <w:tcBorders>
                                    <w:top w:val="single" w:sz="4" w:space="0" w:color="auto"/>
                                  </w:tcBorders>
                                </w:tcPr>
                                <w:p w14:paraId="57AADC67" w14:textId="77777777" w:rsidR="00D9340D" w:rsidRPr="0055776F" w:rsidRDefault="00D9340D" w:rsidP="00FE0401">
                                  <w:pPr>
                                    <w:rPr>
                                      <w:rFonts w:ascii="Arial" w:hAnsi="Arial" w:cs="Arial"/>
                                    </w:rPr>
                                  </w:pPr>
                                  <w:r w:rsidRPr="0055776F">
                                    <w:rPr>
                                      <w:rFonts w:ascii="Arial" w:hAnsi="Arial" w:cs="Arial"/>
                                    </w:rPr>
                                    <w:t>199</w:t>
                                  </w:r>
                                </w:p>
                              </w:tc>
                              <w:tc>
                                <w:tcPr>
                                  <w:tcW w:w="709" w:type="dxa"/>
                                  <w:tcBorders>
                                    <w:top w:val="single" w:sz="4" w:space="0" w:color="auto"/>
                                  </w:tcBorders>
                                </w:tcPr>
                                <w:p w14:paraId="50D633C2" w14:textId="77777777" w:rsidR="00D9340D" w:rsidRPr="0055776F" w:rsidRDefault="00D9340D" w:rsidP="00FE0401">
                                  <w:pPr>
                                    <w:rPr>
                                      <w:rFonts w:ascii="Arial" w:hAnsi="Arial" w:cs="Arial"/>
                                    </w:rPr>
                                  </w:pPr>
                                  <w:r w:rsidRPr="0055776F">
                                    <w:rPr>
                                      <w:rFonts w:ascii="Arial" w:hAnsi="Arial" w:cs="Arial"/>
                                    </w:rPr>
                                    <w:t>25</w:t>
                                  </w:r>
                                </w:p>
                              </w:tc>
                              <w:tc>
                                <w:tcPr>
                                  <w:tcW w:w="850" w:type="dxa"/>
                                  <w:tcBorders>
                                    <w:top w:val="single" w:sz="4" w:space="0" w:color="auto"/>
                                  </w:tcBorders>
                                </w:tcPr>
                                <w:p w14:paraId="448C793C" w14:textId="77777777" w:rsidR="00D9340D" w:rsidRPr="0055776F" w:rsidRDefault="00D9340D" w:rsidP="00FE0401">
                                  <w:pPr>
                                    <w:rPr>
                                      <w:rFonts w:ascii="Arial" w:hAnsi="Arial" w:cs="Arial"/>
                                    </w:rPr>
                                  </w:pPr>
                                  <w:r w:rsidRPr="0055776F">
                                    <w:rPr>
                                      <w:rFonts w:ascii="Arial" w:hAnsi="Arial" w:cs="Arial"/>
                                    </w:rPr>
                                    <w:t>174</w:t>
                                  </w:r>
                                </w:p>
                              </w:tc>
                            </w:tr>
                            <w:tr w:rsidR="00D9340D" w:rsidRPr="0055776F" w14:paraId="1FAE4F2E" w14:textId="77777777" w:rsidTr="00200154">
                              <w:tc>
                                <w:tcPr>
                                  <w:tcW w:w="817" w:type="dxa"/>
                                </w:tcPr>
                                <w:p w14:paraId="7F6791D5" w14:textId="77777777" w:rsidR="00D9340D" w:rsidRPr="0055776F" w:rsidRDefault="00D9340D" w:rsidP="00FE0401">
                                  <w:pPr>
                                    <w:rPr>
                                      <w:rFonts w:ascii="Arial" w:hAnsi="Arial" w:cs="Arial"/>
                                    </w:rPr>
                                  </w:pPr>
                                  <w:r w:rsidRPr="0055776F">
                                    <w:rPr>
                                      <w:rFonts w:ascii="Arial" w:hAnsi="Arial" w:cs="Arial"/>
                                    </w:rPr>
                                    <w:t>-----</w:t>
                                  </w:r>
                                </w:p>
                              </w:tc>
                              <w:tc>
                                <w:tcPr>
                                  <w:tcW w:w="2693" w:type="dxa"/>
                                </w:tcPr>
                                <w:p w14:paraId="43528433" w14:textId="77777777" w:rsidR="00D9340D" w:rsidRPr="0055776F" w:rsidRDefault="00D9340D" w:rsidP="00FE0401">
                                  <w:pPr>
                                    <w:rPr>
                                      <w:rFonts w:ascii="Arial" w:hAnsi="Arial" w:cs="Arial"/>
                                    </w:rPr>
                                  </w:pPr>
                                  <w:r w:rsidRPr="0055776F">
                                    <w:rPr>
                                      <w:rFonts w:ascii="Arial" w:hAnsi="Arial" w:cs="Arial"/>
                                    </w:rPr>
                                    <w:t xml:space="preserve">(2) </w:t>
                                  </w:r>
                                  <w:r>
                                    <w:rPr>
                                      <w:rFonts w:ascii="Arial" w:hAnsi="Arial" w:cs="Arial"/>
                                    </w:rPr>
                                    <w:t>Imatinib 36 </w:t>
                                  </w:r>
                                  <w:r w:rsidRPr="0002465D">
                                    <w:rPr>
                                      <w:rFonts w:ascii="Arial" w:hAnsi="Arial" w:cs="Arial"/>
                                    </w:rPr>
                                    <w:t>Monate:</w:t>
                                  </w:r>
                                </w:p>
                              </w:tc>
                              <w:tc>
                                <w:tcPr>
                                  <w:tcW w:w="851" w:type="dxa"/>
                                  <w:tcBorders>
                                    <w:bottom w:val="single" w:sz="4" w:space="0" w:color="auto"/>
                                  </w:tcBorders>
                                </w:tcPr>
                                <w:p w14:paraId="4FA6810D" w14:textId="77777777" w:rsidR="00D9340D" w:rsidRPr="0055776F" w:rsidRDefault="00D9340D" w:rsidP="00FE0401">
                                  <w:pPr>
                                    <w:rPr>
                                      <w:rFonts w:ascii="Arial" w:hAnsi="Arial" w:cs="Arial"/>
                                    </w:rPr>
                                  </w:pPr>
                                  <w:r w:rsidRPr="0055776F">
                                    <w:rPr>
                                      <w:rFonts w:ascii="Arial" w:hAnsi="Arial" w:cs="Arial"/>
                                    </w:rPr>
                                    <w:t>198</w:t>
                                  </w:r>
                                </w:p>
                              </w:tc>
                              <w:tc>
                                <w:tcPr>
                                  <w:tcW w:w="709" w:type="dxa"/>
                                  <w:tcBorders>
                                    <w:bottom w:val="single" w:sz="4" w:space="0" w:color="auto"/>
                                  </w:tcBorders>
                                </w:tcPr>
                                <w:p w14:paraId="41B1B879" w14:textId="77777777" w:rsidR="00D9340D" w:rsidRPr="0055776F" w:rsidRDefault="00D9340D" w:rsidP="00FE0401">
                                  <w:pPr>
                                    <w:rPr>
                                      <w:rFonts w:ascii="Arial" w:hAnsi="Arial" w:cs="Arial"/>
                                    </w:rPr>
                                  </w:pPr>
                                  <w:r w:rsidRPr="0055776F">
                                    <w:rPr>
                                      <w:rFonts w:ascii="Arial" w:hAnsi="Arial" w:cs="Arial"/>
                                    </w:rPr>
                                    <w:t>12</w:t>
                                  </w:r>
                                </w:p>
                              </w:tc>
                              <w:tc>
                                <w:tcPr>
                                  <w:tcW w:w="850" w:type="dxa"/>
                                  <w:tcBorders>
                                    <w:bottom w:val="single" w:sz="4" w:space="0" w:color="auto"/>
                                  </w:tcBorders>
                                </w:tcPr>
                                <w:p w14:paraId="59FED13F" w14:textId="77777777" w:rsidR="00D9340D" w:rsidRPr="0055776F" w:rsidRDefault="00D9340D" w:rsidP="00FE0401">
                                  <w:pPr>
                                    <w:rPr>
                                      <w:rFonts w:ascii="Arial" w:hAnsi="Arial" w:cs="Arial"/>
                                    </w:rPr>
                                  </w:pPr>
                                  <w:r w:rsidRPr="0055776F">
                                    <w:rPr>
                                      <w:rFonts w:ascii="Arial" w:hAnsi="Arial" w:cs="Arial"/>
                                    </w:rPr>
                                    <w:t>186</w:t>
                                  </w:r>
                                </w:p>
                              </w:tc>
                            </w:tr>
                            <w:tr w:rsidR="00D9340D" w:rsidRPr="0055776F" w14:paraId="7FB72A3B" w14:textId="77777777" w:rsidTr="00200154">
                              <w:tc>
                                <w:tcPr>
                                  <w:tcW w:w="817" w:type="dxa"/>
                                </w:tcPr>
                                <w:p w14:paraId="7D2063C2" w14:textId="77777777" w:rsidR="00D9340D" w:rsidRPr="0055776F" w:rsidRDefault="00D9340D" w:rsidP="00FE0401">
                                  <w:pPr>
                                    <w:rPr>
                                      <w:rFonts w:ascii="Arial" w:hAnsi="Arial" w:cs="Arial"/>
                                    </w:rPr>
                                  </w:pPr>
                                  <w:r w:rsidRPr="0055776F">
                                    <w:rPr>
                                      <w:rFonts w:ascii="Arial" w:hAnsi="Arial" w:cs="Arial"/>
                                    </w:rPr>
                                    <w:t>│││</w:t>
                                  </w:r>
                                </w:p>
                              </w:tc>
                              <w:tc>
                                <w:tcPr>
                                  <w:tcW w:w="2693" w:type="dxa"/>
                                </w:tcPr>
                                <w:p w14:paraId="5EA017B0" w14:textId="77777777" w:rsidR="00D9340D" w:rsidRPr="0055776F" w:rsidRDefault="00D9340D" w:rsidP="00FE0401">
                                  <w:pPr>
                                    <w:rPr>
                                      <w:rFonts w:ascii="Arial" w:hAnsi="Arial" w:cs="Arial"/>
                                    </w:rPr>
                                  </w:pPr>
                                  <w:r>
                                    <w:rPr>
                                      <w:rFonts w:ascii="Arial" w:hAnsi="Arial" w:cs="Arial"/>
                                    </w:rPr>
                                    <w:t>z</w:t>
                                  </w:r>
                                  <w:r w:rsidRPr="0002465D">
                                    <w:rPr>
                                      <w:rFonts w:ascii="Arial" w:hAnsi="Arial" w:cs="Arial"/>
                                    </w:rPr>
                                    <w:t>ensierte Beobachtungen</w:t>
                                  </w:r>
                                </w:p>
                              </w:tc>
                              <w:tc>
                                <w:tcPr>
                                  <w:tcW w:w="851" w:type="dxa"/>
                                  <w:tcBorders>
                                    <w:top w:val="single" w:sz="4" w:space="0" w:color="auto"/>
                                  </w:tcBorders>
                                </w:tcPr>
                                <w:p w14:paraId="3EB9B1D9" w14:textId="77777777" w:rsidR="00D9340D" w:rsidRPr="0055776F" w:rsidRDefault="00D9340D" w:rsidP="00FE0401">
                                  <w:pPr>
                                    <w:rPr>
                                      <w:rFonts w:ascii="Arial" w:hAnsi="Arial" w:cs="Arial"/>
                                    </w:rPr>
                                  </w:pPr>
                                </w:p>
                              </w:tc>
                              <w:tc>
                                <w:tcPr>
                                  <w:tcW w:w="709" w:type="dxa"/>
                                  <w:tcBorders>
                                    <w:top w:val="single" w:sz="4" w:space="0" w:color="auto"/>
                                  </w:tcBorders>
                                </w:tcPr>
                                <w:p w14:paraId="74E8B5C9" w14:textId="77777777" w:rsidR="00D9340D" w:rsidRPr="0055776F" w:rsidRDefault="00D9340D" w:rsidP="00FE0401">
                                  <w:pPr>
                                    <w:rPr>
                                      <w:rFonts w:ascii="Arial" w:hAnsi="Arial" w:cs="Arial"/>
                                    </w:rPr>
                                  </w:pPr>
                                </w:p>
                              </w:tc>
                              <w:tc>
                                <w:tcPr>
                                  <w:tcW w:w="850" w:type="dxa"/>
                                  <w:tcBorders>
                                    <w:top w:val="single" w:sz="4" w:space="0" w:color="auto"/>
                                  </w:tcBorders>
                                </w:tcPr>
                                <w:p w14:paraId="1E92C5B3" w14:textId="77777777" w:rsidR="00D9340D" w:rsidRPr="0055776F" w:rsidRDefault="00D9340D" w:rsidP="00FE0401">
                                  <w:pPr>
                                    <w:rPr>
                                      <w:rFonts w:ascii="Arial" w:hAnsi="Arial" w:cs="Arial"/>
                                    </w:rPr>
                                  </w:pPr>
                                </w:p>
                              </w:tc>
                            </w:tr>
                          </w:tbl>
                          <w:p w14:paraId="30DC2134" w14:textId="77777777" w:rsidR="00D9340D" w:rsidRPr="00A33DBA" w:rsidRDefault="00D9340D" w:rsidP="003A33A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35C9A3D9">
              <v:shape id="_x0000_s1031" style="position:absolute;left:0;text-align:left;margin-left:27.6pt;margin-top:75pt;width:361.0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OY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" w14:anchorId="0F3ABDC3">
                <v:textbox>
                  <w:txbxContent>
                    <w:p w:rsidR="00D9340D" w:rsidP="003A33A6" w:rsidRDefault="00D9340D" w14:paraId="0D0B940D" w14:textId="77777777">
                      <w:pPr>
                        <w:rPr>
                          <w:rFonts w:ascii="Arial" w:hAnsi="Arial" w:cs="Arial"/>
                        </w:rPr>
                      </w:pPr>
                    </w:p>
                    <w:tbl>
                      <w:tblPr>
                        <w:tblW w:w="0" w:type="auto"/>
                        <w:tblLook w:val="04A0" w:firstRow="1" w:lastRow="0" w:firstColumn="1" w:lastColumn="0" w:noHBand="0" w:noVBand="1"/>
                      </w:tblPr>
                      <w:tblGrid>
                        <w:gridCol w:w="817"/>
                        <w:gridCol w:w="2693"/>
                        <w:gridCol w:w="851"/>
                        <w:gridCol w:w="739"/>
                        <w:gridCol w:w="850"/>
                      </w:tblGrid>
                      <w:tr w:rsidRPr="0055776F" w:rsidR="00D9340D" w:rsidTr="00200154" w14:paraId="26E8F6DB" w14:textId="77777777">
                        <w:tc>
                          <w:tcPr>
                            <w:tcW w:w="5920" w:type="dxa"/>
                            <w:gridSpan w:val="5"/>
                          </w:tcPr>
                          <w:p w:rsidRPr="00F42FE0" w:rsidR="00D9340D" w:rsidP="00200154" w:rsidRDefault="00D9340D" w14:paraId="3BE5C88C" w14:textId="0229051F">
                            <w:pPr>
                              <w:rPr>
                                <w:rFonts w:ascii="Arial" w:hAnsi="Arial" w:cs="Arial"/>
                                <w:lang w:val="en-US"/>
                              </w:rPr>
                            </w:pPr>
                            <w:r>
                              <w:rPr>
                                <w:rFonts w:ascii="Arial" w:hAnsi="Arial" w:cs="Arial"/>
                                <w:lang w:val="en-US"/>
                              </w:rPr>
                              <w:t>P =</w:t>
                            </w:r>
                            <w:r w:rsidRPr="00F42FE0">
                              <w:rPr>
                                <w:rFonts w:ascii="Arial" w:hAnsi="Arial" w:cs="Arial"/>
                                <w:lang w:val="en-US"/>
                              </w:rPr>
                              <w:t xml:space="preserve"> 0,</w:t>
                            </w:r>
                            <w:r>
                              <w:rPr>
                                <w:rFonts w:ascii="Arial" w:hAnsi="Arial" w:cs="Arial"/>
                                <w:lang w:val="en-US"/>
                              </w:rPr>
                              <w:t>0</w:t>
                            </w:r>
                            <w:r w:rsidRPr="00F42FE0">
                              <w:rPr>
                                <w:rFonts w:ascii="Arial" w:hAnsi="Arial" w:cs="Arial"/>
                                <w:lang w:val="en-US"/>
                              </w:rPr>
                              <w:t>19</w:t>
                            </w:r>
                          </w:p>
                          <w:p w:rsidRPr="00F42FE0" w:rsidR="00D9340D" w:rsidP="00200154" w:rsidRDefault="00D9340D" w14:paraId="4CE8C073" w14:textId="09418152">
                            <w:pPr>
                              <w:rPr>
                                <w:rFonts w:ascii="Arial" w:hAnsi="Arial" w:cs="Arial"/>
                                <w:lang w:val="en-US"/>
                              </w:rPr>
                            </w:pPr>
                            <w:r w:rsidRPr="00F42FE0">
                              <w:rPr>
                                <w:rFonts w:ascii="Arial" w:hAnsi="Arial" w:cs="Arial"/>
                                <w:lang w:val="en-US"/>
                              </w:rPr>
                              <w:t xml:space="preserve">Hazard </w:t>
                            </w:r>
                            <w:r>
                              <w:rPr>
                                <w:rFonts w:ascii="Arial" w:hAnsi="Arial" w:cs="Arial"/>
                                <w:lang w:val="en-US"/>
                              </w:rPr>
                              <w:t>R</w:t>
                            </w:r>
                            <w:r w:rsidRPr="00F42FE0">
                              <w:rPr>
                                <w:rFonts w:ascii="Arial" w:hAnsi="Arial" w:cs="Arial"/>
                                <w:lang w:val="en-US"/>
                              </w:rPr>
                              <w:t>atio 0,45</w:t>
                            </w:r>
                          </w:p>
                          <w:p w:rsidRPr="0055776F" w:rsidR="00D9340D" w:rsidP="00200154" w:rsidRDefault="00D9340D" w14:paraId="1241034F" w14:textId="77777777">
                            <w:pPr>
                              <w:rPr>
                                <w:rFonts w:ascii="Arial" w:hAnsi="Arial" w:cs="Arial"/>
                              </w:rPr>
                            </w:pPr>
                            <w:r w:rsidRPr="00F42FE0">
                              <w:rPr>
                                <w:rFonts w:ascii="Arial" w:hAnsi="Arial" w:cs="Arial"/>
                                <w:lang w:val="en-US"/>
                              </w:rPr>
                              <w:t>(95%</w:t>
                            </w:r>
                            <w:r>
                              <w:rPr>
                                <w:rFonts w:ascii="Arial" w:hAnsi="Arial" w:cs="Arial"/>
                                <w:lang w:val="en-US"/>
                              </w:rPr>
                              <w:t>-KI</w:t>
                            </w:r>
                            <w:r w:rsidRPr="00F42FE0">
                              <w:rPr>
                                <w:rFonts w:ascii="Arial" w:hAnsi="Arial" w:cs="Arial"/>
                                <w:lang w:val="en-US"/>
                              </w:rPr>
                              <w:t>, 0</w:t>
                            </w:r>
                            <w:r>
                              <w:rPr>
                                <w:rFonts w:ascii="Arial" w:hAnsi="Arial" w:cs="Arial"/>
                                <w:lang w:val="en-US"/>
                              </w:rPr>
                              <w:t>,22</w:t>
                            </w:r>
                            <w:r>
                              <w:rPr>
                                <w:rFonts w:ascii="Arial" w:hAnsi="Arial" w:cs="Arial"/>
                                <w:lang w:val="en-US"/>
                              </w:rPr>
                              <w:noBreakHyphen/>
                            </w:r>
                            <w:r w:rsidRPr="00F42FE0">
                              <w:rPr>
                                <w:rFonts w:ascii="Arial" w:hAnsi="Arial" w:cs="Arial"/>
                                <w:lang w:val="en-US"/>
                              </w:rPr>
                              <w:t>0,89)</w:t>
                            </w:r>
                          </w:p>
                        </w:tc>
                      </w:tr>
                      <w:tr w:rsidRPr="0055776F" w:rsidR="00D9340D" w:rsidTr="00200154" w14:paraId="06005932" w14:textId="77777777">
                        <w:tc>
                          <w:tcPr>
                            <w:tcW w:w="817" w:type="dxa"/>
                          </w:tcPr>
                          <w:p w:rsidRPr="0055776F" w:rsidR="00D9340D" w:rsidP="00FE0401" w:rsidRDefault="00D9340D" w14:paraId="0E27B00A" w14:textId="77777777">
                            <w:pPr>
                              <w:rPr>
                                <w:rFonts w:ascii="Arial" w:hAnsi="Arial" w:cs="Arial"/>
                              </w:rPr>
                            </w:pPr>
                          </w:p>
                        </w:tc>
                        <w:tc>
                          <w:tcPr>
                            <w:tcW w:w="2693" w:type="dxa"/>
                          </w:tcPr>
                          <w:p w:rsidRPr="0055776F" w:rsidR="00D9340D" w:rsidP="00FE0401" w:rsidRDefault="00D9340D" w14:paraId="60061E4C" w14:textId="77777777">
                            <w:pPr>
                              <w:rPr>
                                <w:rFonts w:ascii="Arial" w:hAnsi="Arial" w:cs="Arial"/>
                              </w:rPr>
                            </w:pPr>
                          </w:p>
                        </w:tc>
                        <w:tc>
                          <w:tcPr>
                            <w:tcW w:w="851" w:type="dxa"/>
                            <w:tcBorders>
                              <w:bottom w:val="single" w:color="auto" w:sz="4" w:space="0"/>
                            </w:tcBorders>
                          </w:tcPr>
                          <w:p w:rsidRPr="0055776F" w:rsidR="00D9340D" w:rsidP="00FE0401" w:rsidRDefault="00D9340D" w14:paraId="13F9A875" w14:textId="77777777">
                            <w:pPr>
                              <w:rPr>
                                <w:rFonts w:ascii="Arial" w:hAnsi="Arial" w:cs="Arial"/>
                              </w:rPr>
                            </w:pPr>
                            <w:r w:rsidRPr="00200154">
                              <w:rPr>
                                <w:rFonts w:ascii="Arial" w:hAnsi="Arial" w:cs="Arial"/>
                              </w:rPr>
                              <w:t>N</w:t>
                            </w:r>
                          </w:p>
                        </w:tc>
                        <w:tc>
                          <w:tcPr>
                            <w:tcW w:w="709" w:type="dxa"/>
                            <w:tcBorders>
                              <w:bottom w:val="single" w:color="auto" w:sz="4" w:space="0"/>
                            </w:tcBorders>
                          </w:tcPr>
                          <w:p w:rsidRPr="0055776F" w:rsidR="00D9340D" w:rsidP="00FE0401" w:rsidRDefault="00D9340D" w14:paraId="1E1CF305" w14:textId="77777777">
                            <w:pPr>
                              <w:rPr>
                                <w:rFonts w:ascii="Arial" w:hAnsi="Arial" w:cs="Arial"/>
                              </w:rPr>
                            </w:pPr>
                            <w:r w:rsidRPr="00200154">
                              <w:rPr>
                                <w:rFonts w:ascii="Arial" w:hAnsi="Arial" w:cs="Arial"/>
                              </w:rPr>
                              <w:t>Ereig</w:t>
                            </w:r>
                            <w:r>
                              <w:rPr>
                                <w:rFonts w:ascii="Arial" w:hAnsi="Arial" w:cs="Arial"/>
                              </w:rPr>
                              <w:t>.</w:t>
                            </w:r>
                          </w:p>
                        </w:tc>
                        <w:tc>
                          <w:tcPr>
                            <w:tcW w:w="850" w:type="dxa"/>
                            <w:tcBorders>
                              <w:bottom w:val="single" w:color="auto" w:sz="4" w:space="0"/>
                            </w:tcBorders>
                          </w:tcPr>
                          <w:p w:rsidRPr="0055776F" w:rsidR="00D9340D" w:rsidP="00FE0401" w:rsidRDefault="00D9340D" w14:paraId="058970D4" w14:textId="77777777">
                            <w:pPr>
                              <w:rPr>
                                <w:rFonts w:ascii="Arial" w:hAnsi="Arial" w:cs="Arial"/>
                              </w:rPr>
                            </w:pPr>
                            <w:r w:rsidRPr="00200154">
                              <w:rPr>
                                <w:rFonts w:ascii="Arial" w:hAnsi="Arial" w:cs="Arial"/>
                              </w:rPr>
                              <w:t>Zens.</w:t>
                            </w:r>
                          </w:p>
                        </w:tc>
                      </w:tr>
                      <w:tr w:rsidRPr="0055776F" w:rsidR="00D9340D" w:rsidTr="00200154" w14:paraId="650F6D2F" w14:textId="77777777">
                        <w:tc>
                          <w:tcPr>
                            <w:tcW w:w="817" w:type="dxa"/>
                          </w:tcPr>
                          <w:p w:rsidRPr="0055776F" w:rsidR="00D9340D" w:rsidP="00FE0401" w:rsidRDefault="00D9340D" w14:paraId="60EC4311" w14:textId="77777777">
                            <w:pPr>
                              <w:rPr>
                                <w:rFonts w:ascii="Arial" w:hAnsi="Arial" w:cs="Arial"/>
                              </w:rPr>
                            </w:pPr>
                            <w:r w:rsidRPr="0055776F">
                              <w:rPr>
                                <w:rFonts w:ascii="Arial" w:hAnsi="Arial" w:cs="Arial"/>
                                <w:b/>
                              </w:rPr>
                              <w:t>——</w:t>
                            </w:r>
                          </w:p>
                        </w:tc>
                        <w:tc>
                          <w:tcPr>
                            <w:tcW w:w="2693" w:type="dxa"/>
                          </w:tcPr>
                          <w:p w:rsidRPr="0055776F" w:rsidR="00D9340D" w:rsidP="00FE0401" w:rsidRDefault="00D9340D" w14:paraId="276B2264" w14:textId="77777777">
                            <w:pPr>
                              <w:rPr>
                                <w:rFonts w:ascii="Arial" w:hAnsi="Arial" w:cs="Arial"/>
                              </w:rPr>
                            </w:pPr>
                            <w:r w:rsidRPr="0055776F">
                              <w:rPr>
                                <w:rFonts w:ascii="Arial" w:hAnsi="Arial" w:cs="Arial"/>
                              </w:rPr>
                              <w:t xml:space="preserve">(1) </w:t>
                            </w:r>
                            <w:r>
                              <w:rPr>
                                <w:rFonts w:ascii="Arial" w:hAnsi="Arial" w:cs="Arial"/>
                              </w:rPr>
                              <w:t>Imatinib 12 </w:t>
                            </w:r>
                            <w:r w:rsidRPr="0002465D">
                              <w:rPr>
                                <w:rFonts w:ascii="Arial" w:hAnsi="Arial" w:cs="Arial"/>
                              </w:rPr>
                              <w:t>Monate:</w:t>
                            </w:r>
                          </w:p>
                        </w:tc>
                        <w:tc>
                          <w:tcPr>
                            <w:tcW w:w="851" w:type="dxa"/>
                            <w:tcBorders>
                              <w:top w:val="single" w:color="auto" w:sz="4" w:space="0"/>
                            </w:tcBorders>
                          </w:tcPr>
                          <w:p w:rsidRPr="0055776F" w:rsidR="00D9340D" w:rsidP="00FE0401" w:rsidRDefault="00D9340D" w14:paraId="773A03DD" w14:textId="77777777">
                            <w:pPr>
                              <w:rPr>
                                <w:rFonts w:ascii="Arial" w:hAnsi="Arial" w:cs="Arial"/>
                              </w:rPr>
                            </w:pPr>
                            <w:r w:rsidRPr="0055776F">
                              <w:rPr>
                                <w:rFonts w:ascii="Arial" w:hAnsi="Arial" w:cs="Arial"/>
                              </w:rPr>
                              <w:t>199</w:t>
                            </w:r>
                          </w:p>
                        </w:tc>
                        <w:tc>
                          <w:tcPr>
                            <w:tcW w:w="709" w:type="dxa"/>
                            <w:tcBorders>
                              <w:top w:val="single" w:color="auto" w:sz="4" w:space="0"/>
                            </w:tcBorders>
                          </w:tcPr>
                          <w:p w:rsidRPr="0055776F" w:rsidR="00D9340D" w:rsidP="00FE0401" w:rsidRDefault="00D9340D" w14:paraId="4BFDD700" w14:textId="77777777">
                            <w:pPr>
                              <w:rPr>
                                <w:rFonts w:ascii="Arial" w:hAnsi="Arial" w:cs="Arial"/>
                              </w:rPr>
                            </w:pPr>
                            <w:r w:rsidRPr="0055776F">
                              <w:rPr>
                                <w:rFonts w:ascii="Arial" w:hAnsi="Arial" w:cs="Arial"/>
                              </w:rPr>
                              <w:t>25</w:t>
                            </w:r>
                          </w:p>
                        </w:tc>
                        <w:tc>
                          <w:tcPr>
                            <w:tcW w:w="850" w:type="dxa"/>
                            <w:tcBorders>
                              <w:top w:val="single" w:color="auto" w:sz="4" w:space="0"/>
                            </w:tcBorders>
                          </w:tcPr>
                          <w:p w:rsidRPr="0055776F" w:rsidR="00D9340D" w:rsidP="00FE0401" w:rsidRDefault="00D9340D" w14:paraId="6696E785" w14:textId="77777777">
                            <w:pPr>
                              <w:rPr>
                                <w:rFonts w:ascii="Arial" w:hAnsi="Arial" w:cs="Arial"/>
                              </w:rPr>
                            </w:pPr>
                            <w:r w:rsidRPr="0055776F">
                              <w:rPr>
                                <w:rFonts w:ascii="Arial" w:hAnsi="Arial" w:cs="Arial"/>
                              </w:rPr>
                              <w:t>174</w:t>
                            </w:r>
                          </w:p>
                        </w:tc>
                      </w:tr>
                      <w:tr w:rsidRPr="0055776F" w:rsidR="00D9340D" w:rsidTr="00200154" w14:paraId="5AA6F0DA" w14:textId="77777777">
                        <w:tc>
                          <w:tcPr>
                            <w:tcW w:w="817" w:type="dxa"/>
                          </w:tcPr>
                          <w:p w:rsidRPr="0055776F" w:rsidR="00D9340D" w:rsidP="00FE0401" w:rsidRDefault="00D9340D" w14:paraId="59DF3314" w14:textId="77777777">
                            <w:pPr>
                              <w:rPr>
                                <w:rFonts w:ascii="Arial" w:hAnsi="Arial" w:cs="Arial"/>
                              </w:rPr>
                            </w:pPr>
                            <w:r w:rsidRPr="0055776F">
                              <w:rPr>
                                <w:rFonts w:ascii="Arial" w:hAnsi="Arial" w:cs="Arial"/>
                              </w:rPr>
                              <w:t>-----</w:t>
                            </w:r>
                          </w:p>
                        </w:tc>
                        <w:tc>
                          <w:tcPr>
                            <w:tcW w:w="2693" w:type="dxa"/>
                          </w:tcPr>
                          <w:p w:rsidRPr="0055776F" w:rsidR="00D9340D" w:rsidP="00FE0401" w:rsidRDefault="00D9340D" w14:paraId="1C8EC2ED" w14:textId="77777777">
                            <w:pPr>
                              <w:rPr>
                                <w:rFonts w:ascii="Arial" w:hAnsi="Arial" w:cs="Arial"/>
                              </w:rPr>
                            </w:pPr>
                            <w:r w:rsidRPr="0055776F">
                              <w:rPr>
                                <w:rFonts w:ascii="Arial" w:hAnsi="Arial" w:cs="Arial"/>
                              </w:rPr>
                              <w:t xml:space="preserve">(2) </w:t>
                            </w:r>
                            <w:r>
                              <w:rPr>
                                <w:rFonts w:ascii="Arial" w:hAnsi="Arial" w:cs="Arial"/>
                              </w:rPr>
                              <w:t>Imatinib 36 </w:t>
                            </w:r>
                            <w:r w:rsidRPr="0002465D">
                              <w:rPr>
                                <w:rFonts w:ascii="Arial" w:hAnsi="Arial" w:cs="Arial"/>
                              </w:rPr>
                              <w:t>Monate:</w:t>
                            </w:r>
                          </w:p>
                        </w:tc>
                        <w:tc>
                          <w:tcPr>
                            <w:tcW w:w="851" w:type="dxa"/>
                            <w:tcBorders>
                              <w:bottom w:val="single" w:color="auto" w:sz="4" w:space="0"/>
                            </w:tcBorders>
                          </w:tcPr>
                          <w:p w:rsidRPr="0055776F" w:rsidR="00D9340D" w:rsidP="00FE0401" w:rsidRDefault="00D9340D" w14:paraId="4CBC315F" w14:textId="77777777">
                            <w:pPr>
                              <w:rPr>
                                <w:rFonts w:ascii="Arial" w:hAnsi="Arial" w:cs="Arial"/>
                              </w:rPr>
                            </w:pPr>
                            <w:r w:rsidRPr="0055776F">
                              <w:rPr>
                                <w:rFonts w:ascii="Arial" w:hAnsi="Arial" w:cs="Arial"/>
                              </w:rPr>
                              <w:t>198</w:t>
                            </w:r>
                          </w:p>
                        </w:tc>
                        <w:tc>
                          <w:tcPr>
                            <w:tcW w:w="709" w:type="dxa"/>
                            <w:tcBorders>
                              <w:bottom w:val="single" w:color="auto" w:sz="4" w:space="0"/>
                            </w:tcBorders>
                          </w:tcPr>
                          <w:p w:rsidRPr="0055776F" w:rsidR="00D9340D" w:rsidP="00FE0401" w:rsidRDefault="00D9340D" w14:paraId="4B73E586" w14:textId="77777777">
                            <w:pPr>
                              <w:rPr>
                                <w:rFonts w:ascii="Arial" w:hAnsi="Arial" w:cs="Arial"/>
                              </w:rPr>
                            </w:pPr>
                            <w:r w:rsidRPr="0055776F">
                              <w:rPr>
                                <w:rFonts w:ascii="Arial" w:hAnsi="Arial" w:cs="Arial"/>
                              </w:rPr>
                              <w:t>12</w:t>
                            </w:r>
                          </w:p>
                        </w:tc>
                        <w:tc>
                          <w:tcPr>
                            <w:tcW w:w="850" w:type="dxa"/>
                            <w:tcBorders>
                              <w:bottom w:val="single" w:color="auto" w:sz="4" w:space="0"/>
                            </w:tcBorders>
                          </w:tcPr>
                          <w:p w:rsidRPr="0055776F" w:rsidR="00D9340D" w:rsidP="00FE0401" w:rsidRDefault="00D9340D" w14:paraId="22AF83E7" w14:textId="77777777">
                            <w:pPr>
                              <w:rPr>
                                <w:rFonts w:ascii="Arial" w:hAnsi="Arial" w:cs="Arial"/>
                              </w:rPr>
                            </w:pPr>
                            <w:r w:rsidRPr="0055776F">
                              <w:rPr>
                                <w:rFonts w:ascii="Arial" w:hAnsi="Arial" w:cs="Arial"/>
                              </w:rPr>
                              <w:t>186</w:t>
                            </w:r>
                          </w:p>
                        </w:tc>
                      </w:tr>
                      <w:tr w:rsidRPr="0055776F" w:rsidR="00D9340D" w:rsidTr="00200154" w14:paraId="23B6C346" w14:textId="77777777">
                        <w:tc>
                          <w:tcPr>
                            <w:tcW w:w="817" w:type="dxa"/>
                          </w:tcPr>
                          <w:p w:rsidRPr="0055776F" w:rsidR="00D9340D" w:rsidP="00FE0401" w:rsidRDefault="00D9340D" w14:paraId="56F40977" w14:textId="77777777">
                            <w:pPr>
                              <w:rPr>
                                <w:rFonts w:ascii="Arial" w:hAnsi="Arial" w:cs="Arial"/>
                              </w:rPr>
                            </w:pPr>
                            <w:r w:rsidRPr="0055776F">
                              <w:rPr>
                                <w:rFonts w:ascii="Arial" w:hAnsi="Arial" w:cs="Arial"/>
                              </w:rPr>
                              <w:t>│││</w:t>
                            </w:r>
                          </w:p>
                        </w:tc>
                        <w:tc>
                          <w:tcPr>
                            <w:tcW w:w="2693" w:type="dxa"/>
                          </w:tcPr>
                          <w:p w:rsidRPr="0055776F" w:rsidR="00D9340D" w:rsidP="00FE0401" w:rsidRDefault="00D9340D" w14:paraId="59EF1CC2" w14:textId="77777777">
                            <w:pPr>
                              <w:rPr>
                                <w:rFonts w:ascii="Arial" w:hAnsi="Arial" w:cs="Arial"/>
                              </w:rPr>
                            </w:pPr>
                            <w:r>
                              <w:rPr>
                                <w:rFonts w:ascii="Arial" w:hAnsi="Arial" w:cs="Arial"/>
                              </w:rPr>
                              <w:t>z</w:t>
                            </w:r>
                            <w:r w:rsidRPr="0002465D">
                              <w:rPr>
                                <w:rFonts w:ascii="Arial" w:hAnsi="Arial" w:cs="Arial"/>
                              </w:rPr>
                              <w:t>ensierte Beobachtungen</w:t>
                            </w:r>
                          </w:p>
                        </w:tc>
                        <w:tc>
                          <w:tcPr>
                            <w:tcW w:w="851" w:type="dxa"/>
                            <w:tcBorders>
                              <w:top w:val="single" w:color="auto" w:sz="4" w:space="0"/>
                            </w:tcBorders>
                          </w:tcPr>
                          <w:p w:rsidRPr="0055776F" w:rsidR="00D9340D" w:rsidP="00FE0401" w:rsidRDefault="00D9340D" w14:paraId="44EAFD9C" w14:textId="77777777">
                            <w:pPr>
                              <w:rPr>
                                <w:rFonts w:ascii="Arial" w:hAnsi="Arial" w:cs="Arial"/>
                              </w:rPr>
                            </w:pPr>
                          </w:p>
                        </w:tc>
                        <w:tc>
                          <w:tcPr>
                            <w:tcW w:w="709" w:type="dxa"/>
                            <w:tcBorders>
                              <w:top w:val="single" w:color="auto" w:sz="4" w:space="0"/>
                            </w:tcBorders>
                          </w:tcPr>
                          <w:p w:rsidRPr="0055776F" w:rsidR="00D9340D" w:rsidP="00FE0401" w:rsidRDefault="00D9340D" w14:paraId="4B94D5A5" w14:textId="77777777">
                            <w:pPr>
                              <w:rPr>
                                <w:rFonts w:ascii="Arial" w:hAnsi="Arial" w:cs="Arial"/>
                              </w:rPr>
                            </w:pPr>
                          </w:p>
                        </w:tc>
                        <w:tc>
                          <w:tcPr>
                            <w:tcW w:w="850" w:type="dxa"/>
                            <w:tcBorders>
                              <w:top w:val="single" w:color="auto" w:sz="4" w:space="0"/>
                            </w:tcBorders>
                          </w:tcPr>
                          <w:p w:rsidRPr="0055776F" w:rsidR="00D9340D" w:rsidP="00FE0401" w:rsidRDefault="00D9340D" w14:paraId="3DEEC669" w14:textId="77777777">
                            <w:pPr>
                              <w:rPr>
                                <w:rFonts w:ascii="Arial" w:hAnsi="Arial" w:cs="Arial"/>
                              </w:rPr>
                            </w:pPr>
                          </w:p>
                        </w:tc>
                      </w:tr>
                    </w:tbl>
                    <w:p w:rsidRPr="00A33DBA" w:rsidR="00D9340D" w:rsidP="003A33A6" w:rsidRDefault="00D9340D" w14:paraId="3656B9AB" w14:textId="77777777">
                      <w:pPr>
                        <w:rPr>
                          <w:rFonts w:ascii="Arial" w:hAnsi="Arial" w:cs="Arial"/>
                        </w:rPr>
                      </w:pPr>
                    </w:p>
                  </w:txbxContent>
                </v:textbox>
              </v:shape>
            </w:pict>
          </mc:Fallback>
        </mc:AlternateContent>
      </w:r>
      <w:r w:rsidRPr="008A4F40">
        <w:rPr>
          <w:noProof/>
          <w:lang w:val="en-US"/>
        </w:rPr>
        <w:drawing>
          <wp:inline distT="0" distB="0" distL="0" distR="0" wp14:anchorId="09DA80E4" wp14:editId="5486FEBD">
            <wp:extent cx="5947410" cy="2632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4734CECC" w14:textId="77777777" w:rsidR="003A33A6" w:rsidRPr="008A4F40" w:rsidRDefault="003A33A6" w:rsidP="009044D1">
      <w:pPr>
        <w:keepNext/>
        <w:widowControl w:val="0"/>
        <w:ind w:left="1418" w:hanging="1418"/>
        <w:rPr>
          <w:rFonts w:eastAsia="MS Mincho"/>
          <w:sz w:val="22"/>
          <w:szCs w:val="22"/>
        </w:rPr>
      </w:pPr>
    </w:p>
    <w:p w14:paraId="4FEE3177" w14:textId="77777777" w:rsidR="003A33A6" w:rsidRPr="008A4F40" w:rsidRDefault="003A33A6" w:rsidP="009044D1">
      <w:pPr>
        <w:keepNext/>
        <w:widowControl w:val="0"/>
        <w:rPr>
          <w:noProof/>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3A33A6" w:rsidRPr="008A4F40" w14:paraId="2D60BBB9" w14:textId="77777777" w:rsidTr="00CE58F7">
        <w:tc>
          <w:tcPr>
            <w:tcW w:w="10632" w:type="dxa"/>
            <w:gridSpan w:val="16"/>
          </w:tcPr>
          <w:p w14:paraId="7FEC7566" w14:textId="77777777" w:rsidR="003A33A6" w:rsidRPr="008A4F40" w:rsidRDefault="003A33A6" w:rsidP="009044D1">
            <w:pPr>
              <w:keepNext/>
              <w:widowControl w:val="0"/>
              <w:ind w:left="-28"/>
              <w:rPr>
                <w:rFonts w:ascii="Arial" w:hAnsi="Arial" w:cs="Arial"/>
                <w:sz w:val="16"/>
                <w:szCs w:val="16"/>
              </w:rPr>
            </w:pPr>
            <w:r w:rsidRPr="008A4F40">
              <w:rPr>
                <w:rFonts w:ascii="Arial" w:hAnsi="Arial" w:cs="Arial"/>
              </w:rPr>
              <w:t>Patienten mit Risiko: Ereignisse</w:t>
            </w:r>
          </w:p>
        </w:tc>
      </w:tr>
      <w:tr w:rsidR="003A33A6" w:rsidRPr="008A4F40" w14:paraId="3D710BC3" w14:textId="77777777" w:rsidTr="00CE58F7">
        <w:tc>
          <w:tcPr>
            <w:tcW w:w="450" w:type="dxa"/>
          </w:tcPr>
          <w:p w14:paraId="730E70CF" w14:textId="77777777" w:rsidR="003A33A6" w:rsidRPr="008A4F40" w:rsidRDefault="003A33A6" w:rsidP="009044D1">
            <w:pPr>
              <w:widowControl w:val="0"/>
            </w:pPr>
            <w:r w:rsidRPr="008A4F40">
              <w:t>(1)</w:t>
            </w:r>
          </w:p>
        </w:tc>
        <w:tc>
          <w:tcPr>
            <w:tcW w:w="691" w:type="dxa"/>
          </w:tcPr>
          <w:p w14:paraId="0C0AB5C8" w14:textId="77777777" w:rsidR="003A33A6" w:rsidRPr="008A4F40" w:rsidRDefault="003A33A6" w:rsidP="009044D1">
            <w:pPr>
              <w:widowControl w:val="0"/>
              <w:ind w:left="-45"/>
            </w:pPr>
            <w:r w:rsidRPr="008A4F40">
              <w:t>199:0</w:t>
            </w:r>
          </w:p>
        </w:tc>
        <w:tc>
          <w:tcPr>
            <w:tcW w:w="672" w:type="dxa"/>
          </w:tcPr>
          <w:p w14:paraId="11EC6172" w14:textId="77777777" w:rsidR="003A33A6" w:rsidRPr="008A4F40" w:rsidRDefault="003A33A6" w:rsidP="009044D1">
            <w:pPr>
              <w:widowControl w:val="0"/>
              <w:ind w:left="-45"/>
            </w:pPr>
            <w:r w:rsidRPr="008A4F40">
              <w:t>190:2</w:t>
            </w:r>
          </w:p>
        </w:tc>
        <w:tc>
          <w:tcPr>
            <w:tcW w:w="714" w:type="dxa"/>
          </w:tcPr>
          <w:p w14:paraId="34631733" w14:textId="77777777" w:rsidR="003A33A6" w:rsidRPr="008A4F40" w:rsidRDefault="003A33A6" w:rsidP="009044D1">
            <w:pPr>
              <w:widowControl w:val="0"/>
              <w:ind w:left="-45"/>
            </w:pPr>
            <w:r w:rsidRPr="008A4F40">
              <w:t>188:2</w:t>
            </w:r>
          </w:p>
        </w:tc>
        <w:tc>
          <w:tcPr>
            <w:tcW w:w="722" w:type="dxa"/>
          </w:tcPr>
          <w:p w14:paraId="587DCFA0" w14:textId="77777777" w:rsidR="003A33A6" w:rsidRPr="008A4F40" w:rsidRDefault="003A33A6" w:rsidP="009044D1">
            <w:pPr>
              <w:widowControl w:val="0"/>
              <w:ind w:left="-45"/>
            </w:pPr>
            <w:r w:rsidRPr="008A4F40">
              <w:t>183:6</w:t>
            </w:r>
          </w:p>
        </w:tc>
        <w:tc>
          <w:tcPr>
            <w:tcW w:w="694" w:type="dxa"/>
          </w:tcPr>
          <w:p w14:paraId="6D930DA1" w14:textId="77777777" w:rsidR="003A33A6" w:rsidRPr="008A4F40" w:rsidRDefault="003A33A6" w:rsidP="009044D1">
            <w:pPr>
              <w:widowControl w:val="0"/>
              <w:ind w:left="-45"/>
            </w:pPr>
            <w:r w:rsidRPr="008A4F40">
              <w:t>176:8</w:t>
            </w:r>
          </w:p>
        </w:tc>
        <w:tc>
          <w:tcPr>
            <w:tcW w:w="772" w:type="dxa"/>
          </w:tcPr>
          <w:p w14:paraId="3D7ED7E5" w14:textId="77777777" w:rsidR="003A33A6" w:rsidRPr="008A4F40" w:rsidRDefault="003A33A6" w:rsidP="009044D1">
            <w:pPr>
              <w:widowControl w:val="0"/>
              <w:ind w:left="-45"/>
            </w:pPr>
            <w:r w:rsidRPr="008A4F40">
              <w:t>156:10</w:t>
            </w:r>
          </w:p>
        </w:tc>
        <w:tc>
          <w:tcPr>
            <w:tcW w:w="782" w:type="dxa"/>
          </w:tcPr>
          <w:p w14:paraId="462D3027" w14:textId="77777777" w:rsidR="003A33A6" w:rsidRPr="008A4F40" w:rsidRDefault="003A33A6" w:rsidP="009044D1">
            <w:pPr>
              <w:widowControl w:val="0"/>
              <w:ind w:left="-45"/>
            </w:pPr>
            <w:r w:rsidRPr="008A4F40">
              <w:t>140:11</w:t>
            </w:r>
          </w:p>
        </w:tc>
        <w:tc>
          <w:tcPr>
            <w:tcW w:w="798" w:type="dxa"/>
          </w:tcPr>
          <w:p w14:paraId="4E9D1857" w14:textId="77777777" w:rsidR="003A33A6" w:rsidRPr="008A4F40" w:rsidRDefault="003A33A6" w:rsidP="009044D1">
            <w:pPr>
              <w:widowControl w:val="0"/>
              <w:ind w:left="-45"/>
            </w:pPr>
            <w:r w:rsidRPr="008A4F40">
              <w:t>105:14</w:t>
            </w:r>
          </w:p>
        </w:tc>
        <w:tc>
          <w:tcPr>
            <w:tcW w:w="654" w:type="dxa"/>
          </w:tcPr>
          <w:p w14:paraId="7BBBA914" w14:textId="77777777" w:rsidR="003A33A6" w:rsidRPr="008A4F40" w:rsidRDefault="003A33A6" w:rsidP="009044D1">
            <w:pPr>
              <w:widowControl w:val="0"/>
              <w:ind w:left="-45"/>
            </w:pPr>
            <w:r w:rsidRPr="008A4F40">
              <w:t>87:18</w:t>
            </w:r>
          </w:p>
        </w:tc>
        <w:tc>
          <w:tcPr>
            <w:tcW w:w="630" w:type="dxa"/>
          </w:tcPr>
          <w:p w14:paraId="69525E8C" w14:textId="77777777" w:rsidR="003A33A6" w:rsidRPr="008A4F40" w:rsidRDefault="003A33A6" w:rsidP="009044D1">
            <w:pPr>
              <w:widowControl w:val="0"/>
              <w:ind w:left="-45"/>
            </w:pPr>
            <w:r w:rsidRPr="008A4F40">
              <w:t>64:22</w:t>
            </w:r>
          </w:p>
        </w:tc>
        <w:tc>
          <w:tcPr>
            <w:tcW w:w="644" w:type="dxa"/>
          </w:tcPr>
          <w:p w14:paraId="18020B7C" w14:textId="77777777" w:rsidR="003A33A6" w:rsidRPr="008A4F40" w:rsidRDefault="003A33A6" w:rsidP="009044D1">
            <w:pPr>
              <w:widowControl w:val="0"/>
              <w:ind w:left="-45"/>
            </w:pPr>
            <w:r w:rsidRPr="008A4F40">
              <w:t>46:23</w:t>
            </w:r>
          </w:p>
        </w:tc>
        <w:tc>
          <w:tcPr>
            <w:tcW w:w="672" w:type="dxa"/>
          </w:tcPr>
          <w:p w14:paraId="217F59BB" w14:textId="77777777" w:rsidR="003A33A6" w:rsidRPr="008A4F40" w:rsidRDefault="003A33A6" w:rsidP="009044D1">
            <w:pPr>
              <w:widowControl w:val="0"/>
              <w:ind w:left="-45"/>
            </w:pPr>
            <w:r w:rsidRPr="008A4F40">
              <w:t>27:25</w:t>
            </w:r>
          </w:p>
        </w:tc>
        <w:tc>
          <w:tcPr>
            <w:tcW w:w="686" w:type="dxa"/>
          </w:tcPr>
          <w:p w14:paraId="2DA231ED" w14:textId="77777777" w:rsidR="003A33A6" w:rsidRPr="008A4F40" w:rsidRDefault="003A33A6" w:rsidP="009044D1">
            <w:pPr>
              <w:widowControl w:val="0"/>
              <w:ind w:left="-45"/>
            </w:pPr>
            <w:r w:rsidRPr="008A4F40">
              <w:t>20:25</w:t>
            </w:r>
          </w:p>
        </w:tc>
        <w:tc>
          <w:tcPr>
            <w:tcW w:w="560" w:type="dxa"/>
          </w:tcPr>
          <w:p w14:paraId="42622684" w14:textId="77777777" w:rsidR="003A33A6" w:rsidRPr="008A4F40" w:rsidRDefault="003A33A6" w:rsidP="009044D1">
            <w:pPr>
              <w:widowControl w:val="0"/>
              <w:ind w:left="-45"/>
            </w:pPr>
            <w:r w:rsidRPr="008A4F40">
              <w:t>2:25</w:t>
            </w:r>
          </w:p>
        </w:tc>
        <w:tc>
          <w:tcPr>
            <w:tcW w:w="491" w:type="dxa"/>
          </w:tcPr>
          <w:p w14:paraId="4A6C727D" w14:textId="77777777" w:rsidR="003A33A6" w:rsidRPr="008A4F40" w:rsidRDefault="003A33A6" w:rsidP="009044D1">
            <w:pPr>
              <w:widowControl w:val="0"/>
              <w:ind w:left="-45"/>
            </w:pPr>
            <w:r w:rsidRPr="008A4F40">
              <w:t>0:25</w:t>
            </w:r>
          </w:p>
        </w:tc>
      </w:tr>
      <w:tr w:rsidR="003A33A6" w:rsidRPr="008A4F40" w14:paraId="1EBB9962" w14:textId="77777777" w:rsidTr="00CE58F7">
        <w:tc>
          <w:tcPr>
            <w:tcW w:w="450" w:type="dxa"/>
          </w:tcPr>
          <w:p w14:paraId="34DD1653" w14:textId="77777777" w:rsidR="003A33A6" w:rsidRPr="008A4F40" w:rsidRDefault="003A33A6" w:rsidP="009044D1">
            <w:pPr>
              <w:widowControl w:val="0"/>
            </w:pPr>
            <w:r w:rsidRPr="008A4F40">
              <w:t>(2)</w:t>
            </w:r>
          </w:p>
        </w:tc>
        <w:tc>
          <w:tcPr>
            <w:tcW w:w="691" w:type="dxa"/>
          </w:tcPr>
          <w:p w14:paraId="20AE49DE" w14:textId="77777777" w:rsidR="003A33A6" w:rsidRPr="008A4F40" w:rsidRDefault="003A33A6" w:rsidP="009044D1">
            <w:pPr>
              <w:widowControl w:val="0"/>
              <w:ind w:left="-45"/>
            </w:pPr>
            <w:r w:rsidRPr="008A4F40">
              <w:t>198:0</w:t>
            </w:r>
          </w:p>
        </w:tc>
        <w:tc>
          <w:tcPr>
            <w:tcW w:w="672" w:type="dxa"/>
          </w:tcPr>
          <w:p w14:paraId="595489B6" w14:textId="77777777" w:rsidR="003A33A6" w:rsidRPr="008A4F40" w:rsidRDefault="003A33A6" w:rsidP="009044D1">
            <w:pPr>
              <w:widowControl w:val="0"/>
              <w:ind w:left="-45"/>
            </w:pPr>
            <w:r w:rsidRPr="008A4F40">
              <w:t>196:0</w:t>
            </w:r>
          </w:p>
        </w:tc>
        <w:tc>
          <w:tcPr>
            <w:tcW w:w="714" w:type="dxa"/>
          </w:tcPr>
          <w:p w14:paraId="1B33F093" w14:textId="77777777" w:rsidR="003A33A6" w:rsidRPr="008A4F40" w:rsidRDefault="003A33A6" w:rsidP="009044D1">
            <w:pPr>
              <w:widowControl w:val="0"/>
              <w:ind w:left="-45"/>
            </w:pPr>
            <w:r w:rsidRPr="008A4F40">
              <w:t>192:0</w:t>
            </w:r>
          </w:p>
        </w:tc>
        <w:tc>
          <w:tcPr>
            <w:tcW w:w="722" w:type="dxa"/>
          </w:tcPr>
          <w:p w14:paraId="32A0E8A2" w14:textId="77777777" w:rsidR="003A33A6" w:rsidRPr="008A4F40" w:rsidRDefault="003A33A6" w:rsidP="009044D1">
            <w:pPr>
              <w:widowControl w:val="0"/>
              <w:ind w:left="-45"/>
            </w:pPr>
            <w:r w:rsidRPr="008A4F40">
              <w:t>187:4</w:t>
            </w:r>
          </w:p>
        </w:tc>
        <w:tc>
          <w:tcPr>
            <w:tcW w:w="694" w:type="dxa"/>
          </w:tcPr>
          <w:p w14:paraId="62094F4A" w14:textId="77777777" w:rsidR="003A33A6" w:rsidRPr="008A4F40" w:rsidRDefault="003A33A6" w:rsidP="009044D1">
            <w:pPr>
              <w:widowControl w:val="0"/>
              <w:ind w:left="-45"/>
            </w:pPr>
            <w:r w:rsidRPr="008A4F40">
              <w:t>184:5</w:t>
            </w:r>
          </w:p>
        </w:tc>
        <w:tc>
          <w:tcPr>
            <w:tcW w:w="772" w:type="dxa"/>
          </w:tcPr>
          <w:p w14:paraId="1A33ABD1" w14:textId="77777777" w:rsidR="003A33A6" w:rsidRPr="008A4F40" w:rsidRDefault="003A33A6" w:rsidP="009044D1">
            <w:pPr>
              <w:widowControl w:val="0"/>
              <w:ind w:left="-45"/>
            </w:pPr>
            <w:r w:rsidRPr="008A4F40">
              <w:t>164:7</w:t>
            </w:r>
          </w:p>
        </w:tc>
        <w:tc>
          <w:tcPr>
            <w:tcW w:w="782" w:type="dxa"/>
          </w:tcPr>
          <w:p w14:paraId="4B5333E9" w14:textId="77777777" w:rsidR="003A33A6" w:rsidRPr="008A4F40" w:rsidRDefault="003A33A6" w:rsidP="009044D1">
            <w:pPr>
              <w:widowControl w:val="0"/>
              <w:ind w:left="-45"/>
            </w:pPr>
            <w:r w:rsidRPr="008A4F40">
              <w:t>152:7</w:t>
            </w:r>
          </w:p>
        </w:tc>
        <w:tc>
          <w:tcPr>
            <w:tcW w:w="798" w:type="dxa"/>
          </w:tcPr>
          <w:p w14:paraId="51FB5A52" w14:textId="77777777" w:rsidR="003A33A6" w:rsidRPr="008A4F40" w:rsidRDefault="003A33A6" w:rsidP="009044D1">
            <w:pPr>
              <w:widowControl w:val="0"/>
              <w:ind w:left="-45"/>
            </w:pPr>
            <w:r w:rsidRPr="008A4F40">
              <w:t>119:8</w:t>
            </w:r>
          </w:p>
        </w:tc>
        <w:tc>
          <w:tcPr>
            <w:tcW w:w="654" w:type="dxa"/>
          </w:tcPr>
          <w:p w14:paraId="32C4CC1D" w14:textId="77777777" w:rsidR="003A33A6" w:rsidRPr="008A4F40" w:rsidRDefault="003A33A6" w:rsidP="009044D1">
            <w:pPr>
              <w:widowControl w:val="0"/>
              <w:ind w:left="-45"/>
            </w:pPr>
            <w:r w:rsidRPr="008A4F40">
              <w:t>100:8</w:t>
            </w:r>
          </w:p>
        </w:tc>
        <w:tc>
          <w:tcPr>
            <w:tcW w:w="630" w:type="dxa"/>
          </w:tcPr>
          <w:p w14:paraId="42D74396" w14:textId="77777777" w:rsidR="003A33A6" w:rsidRPr="008A4F40" w:rsidRDefault="003A33A6" w:rsidP="009044D1">
            <w:pPr>
              <w:widowControl w:val="0"/>
              <w:ind w:left="-45"/>
            </w:pPr>
            <w:r w:rsidRPr="008A4F40">
              <w:t>76:10</w:t>
            </w:r>
          </w:p>
        </w:tc>
        <w:tc>
          <w:tcPr>
            <w:tcW w:w="644" w:type="dxa"/>
          </w:tcPr>
          <w:p w14:paraId="57489D2B" w14:textId="77777777" w:rsidR="003A33A6" w:rsidRPr="008A4F40" w:rsidRDefault="003A33A6" w:rsidP="009044D1">
            <w:pPr>
              <w:widowControl w:val="0"/>
              <w:ind w:left="-45"/>
            </w:pPr>
            <w:r w:rsidRPr="008A4F40">
              <w:t>56:11</w:t>
            </w:r>
          </w:p>
        </w:tc>
        <w:tc>
          <w:tcPr>
            <w:tcW w:w="672" w:type="dxa"/>
          </w:tcPr>
          <w:p w14:paraId="17C265FF" w14:textId="77777777" w:rsidR="003A33A6" w:rsidRPr="008A4F40" w:rsidRDefault="003A33A6" w:rsidP="009044D1">
            <w:pPr>
              <w:widowControl w:val="0"/>
              <w:ind w:left="-45"/>
            </w:pPr>
            <w:r w:rsidRPr="008A4F40">
              <w:t>31:11</w:t>
            </w:r>
          </w:p>
        </w:tc>
        <w:tc>
          <w:tcPr>
            <w:tcW w:w="686" w:type="dxa"/>
          </w:tcPr>
          <w:p w14:paraId="17CFA648" w14:textId="77777777" w:rsidR="003A33A6" w:rsidRPr="008A4F40" w:rsidRDefault="003A33A6" w:rsidP="009044D1">
            <w:pPr>
              <w:widowControl w:val="0"/>
              <w:ind w:left="-45"/>
            </w:pPr>
            <w:r w:rsidRPr="008A4F40">
              <w:t>13:12</w:t>
            </w:r>
          </w:p>
        </w:tc>
        <w:tc>
          <w:tcPr>
            <w:tcW w:w="560" w:type="dxa"/>
          </w:tcPr>
          <w:p w14:paraId="142AC5F1" w14:textId="77777777" w:rsidR="003A33A6" w:rsidRPr="008A4F40" w:rsidRDefault="003A33A6" w:rsidP="009044D1">
            <w:pPr>
              <w:widowControl w:val="0"/>
              <w:ind w:left="-45"/>
            </w:pPr>
            <w:r w:rsidRPr="008A4F40">
              <w:t>0:12</w:t>
            </w:r>
          </w:p>
        </w:tc>
        <w:tc>
          <w:tcPr>
            <w:tcW w:w="491" w:type="dxa"/>
          </w:tcPr>
          <w:p w14:paraId="47F8615A" w14:textId="77777777" w:rsidR="003A33A6" w:rsidRPr="008A4F40" w:rsidRDefault="003A33A6" w:rsidP="009044D1">
            <w:pPr>
              <w:widowControl w:val="0"/>
              <w:ind w:left="-45"/>
            </w:pPr>
          </w:p>
        </w:tc>
      </w:tr>
    </w:tbl>
    <w:p w14:paraId="1DF7F65B" w14:textId="77777777" w:rsidR="003A33A6" w:rsidRPr="008A4F40" w:rsidRDefault="003A33A6" w:rsidP="009044D1">
      <w:pPr>
        <w:pStyle w:val="Header"/>
        <w:widowControl w:val="0"/>
        <w:tabs>
          <w:tab w:val="clear" w:pos="4320"/>
          <w:tab w:val="clear" w:pos="8640"/>
          <w:tab w:val="center" w:pos="6804"/>
          <w:tab w:val="right" w:leader="underscore" w:pos="9072"/>
        </w:tabs>
        <w:rPr>
          <w:color w:val="000000"/>
          <w:szCs w:val="22"/>
        </w:rPr>
      </w:pPr>
    </w:p>
    <w:p w14:paraId="4CB2CBE9"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Es gibt keine kontrollierten Studien bei Kindern und Jugendlichen mit c-Kit positivem GIST. In 7 Publikationen wurde über 17 Patienten mit GIST (mit oder ohne Kit und PDGFR-Mutationen) berichtet. Das Alter dieser Patienten reichte von 8 bis 18 Jahren und Imatinib wurde in Dosen von 300 bis 800 mg täglich sowohl in der Adjuvanz als auch in der metastasierten Situation gegeben. Für die Mehrheit der pädiatrischen Patienten, die gegen GIST behandelt wurden, fehlten Daten hinsichtlich c-Kit oder PDGFR-Mutationen, die zu verschiedenen klinischen Ergebnissen geführt haben könnten.</w:t>
      </w:r>
    </w:p>
    <w:p w14:paraId="02459519"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42757F54" w14:textId="505B3CB1" w:rsidR="003A33A6" w:rsidRPr="008A4F40" w:rsidRDefault="003A33A6" w:rsidP="004E7659">
      <w:pPr>
        <w:pStyle w:val="Header"/>
        <w:keepNext/>
        <w:tabs>
          <w:tab w:val="clear" w:pos="4320"/>
          <w:tab w:val="clear" w:pos="8640"/>
          <w:tab w:val="center" w:pos="6804"/>
          <w:tab w:val="right" w:leader="underscore" w:pos="9072"/>
        </w:tabs>
        <w:rPr>
          <w:color w:val="000000"/>
          <w:szCs w:val="22"/>
          <w:u w:val="single"/>
        </w:rPr>
      </w:pPr>
      <w:r w:rsidRPr="008A4F40">
        <w:rPr>
          <w:color w:val="000000"/>
          <w:szCs w:val="22"/>
          <w:u w:val="single"/>
        </w:rPr>
        <w:t>Klinische Studien bei DFSP</w:t>
      </w:r>
    </w:p>
    <w:p w14:paraId="57342240" w14:textId="77777777" w:rsidR="00072317" w:rsidRPr="008A4F40" w:rsidRDefault="00072317" w:rsidP="004E7659">
      <w:pPr>
        <w:pStyle w:val="Header"/>
        <w:keepNext/>
        <w:tabs>
          <w:tab w:val="clear" w:pos="4320"/>
          <w:tab w:val="clear" w:pos="8640"/>
          <w:tab w:val="center" w:pos="6804"/>
          <w:tab w:val="right" w:leader="underscore" w:pos="9072"/>
        </w:tabs>
        <w:rPr>
          <w:color w:val="000000"/>
          <w:szCs w:val="22"/>
          <w:u w:val="single"/>
        </w:rPr>
      </w:pPr>
    </w:p>
    <w:p w14:paraId="30A2898B" w14:textId="6087624B"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Es wurde eine offene, multizentrische Phase-II-Studie (Studie B2225) bei 12 Patienten mit D</w:t>
      </w:r>
      <w:r w:rsidR="00952054">
        <w:rPr>
          <w:color w:val="000000"/>
          <w:szCs w:val="22"/>
        </w:rPr>
        <w:t>F</w:t>
      </w:r>
      <w:r w:rsidRPr="008A4F40">
        <w:rPr>
          <w:color w:val="000000"/>
          <w:szCs w:val="22"/>
        </w:rPr>
        <w:t>SP durchgeführt, die mit täglich 800 mg Glivec behandelt wurden. Das Alter der DFSP-Patienten betrug 23</w:t>
      </w:r>
      <w:r w:rsidRPr="008A4F40">
        <w:rPr>
          <w:color w:val="000000"/>
          <w:szCs w:val="22"/>
        </w:rPr>
        <w:noBreakHyphen/>
        <w:t>75 Jahre; das DFSP war zum Zeitpunkt des Eintritts in die Studie metastasiert mit lokalen Rezidiven nach initialer chirurgischer Resektion und wurde als nicht behandelbar durch weitere chirurgische Resektionen beurteilt. Der primäre Wirksamkeitsnachweis beruhte auf objektiven Ansprechraten. Von den 12 eingeschlossenen Patienten sprachen 9 an, ein Patient komplett und 8 teilweise. Drei der Patienten mit teilweisem Ansprechen wurden nach anschließender Operation als krankheitsfrei eingestuft. Die mediane Behandlungsdauer in der Studie B2225 betrug 6,2 Monate bei einer maximalen Behandlungsdauer von 24,3 Monaten. Über weitere 6 DFSP-Patienten, die mit Glivec behandelt wurden, wurde in 5 publizierten Fallberichten berichtet; ihr Alter betrug 18 Monate bis 49 Jahre. Die erwachsenen Patienten, über die in der publizierten Literatur berichtet wird, wurden mit täglich 400 mg (4 Fälle) oder 800 mg (1 Fall) Glivec behandelt. Fünf Patienten sprachen an, 3 vollständig und 2 teilweise. Die mediane Behandlungsdauer lag in der publizierten Literatur zwischen 4 Wochen und mehr als 20 Monaten. Die Translokation t(17:22)[(q22:q13)] oder ihr Genprodukt waren bei fast allen Patienten, die auf die Glivec-Behandlung ansprachen, vorhanden.</w:t>
      </w:r>
    </w:p>
    <w:p w14:paraId="668363AC"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5993B6F1"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r w:rsidRPr="008A4F40">
        <w:rPr>
          <w:color w:val="000000"/>
          <w:szCs w:val="22"/>
        </w:rPr>
        <w:t>Es gibt keine kontrollierten Studien mit Kindern und Jugendlichen mit DFSP. In 3 Publikationen wurde über 5 Patienten mit DFSP und PDGFR-Genumlagerungen berichtet. Die Altersspanne dieser Patienten reichte vom Neugeborenen bis 14 Jahre und Imatinib wurde in einer Dosierung von 50 mg täglich oder in Dosen von 400 bis 520 mg/m² täglich gegeben. Alle Patienten zeigten teilweises und/oder komplettes Ansprechen.</w:t>
      </w:r>
    </w:p>
    <w:p w14:paraId="12DE2640" w14:textId="77777777" w:rsidR="003A33A6" w:rsidRPr="008A4F40" w:rsidRDefault="003A33A6" w:rsidP="004E7659">
      <w:pPr>
        <w:pStyle w:val="Header"/>
        <w:tabs>
          <w:tab w:val="clear" w:pos="4320"/>
          <w:tab w:val="clear" w:pos="8640"/>
          <w:tab w:val="center" w:pos="6804"/>
          <w:tab w:val="right" w:leader="underscore" w:pos="9072"/>
        </w:tabs>
        <w:rPr>
          <w:color w:val="000000"/>
          <w:szCs w:val="22"/>
        </w:rPr>
      </w:pPr>
    </w:p>
    <w:p w14:paraId="6F6E31E6" w14:textId="77777777" w:rsidR="000742FC" w:rsidRPr="008A4F40" w:rsidRDefault="000742FC" w:rsidP="004E7659">
      <w:pPr>
        <w:keepNext/>
        <w:ind w:left="567" w:hanging="567"/>
        <w:rPr>
          <w:color w:val="000000"/>
          <w:sz w:val="22"/>
          <w:szCs w:val="22"/>
        </w:rPr>
      </w:pPr>
      <w:r w:rsidRPr="008A4F40">
        <w:rPr>
          <w:b/>
          <w:color w:val="000000"/>
          <w:sz w:val="22"/>
          <w:szCs w:val="22"/>
        </w:rPr>
        <w:t>5.2</w:t>
      </w:r>
      <w:r w:rsidRPr="008A4F40">
        <w:rPr>
          <w:b/>
          <w:color w:val="000000"/>
          <w:sz w:val="22"/>
          <w:szCs w:val="22"/>
        </w:rPr>
        <w:tab/>
        <w:t>Pharmakokinetische Eigenschaften</w:t>
      </w:r>
    </w:p>
    <w:p w14:paraId="717D3DC9" w14:textId="77777777" w:rsidR="000742FC" w:rsidRPr="008A4F40" w:rsidRDefault="000742FC" w:rsidP="004E7659">
      <w:pPr>
        <w:keepNext/>
        <w:ind w:firstLine="3"/>
        <w:rPr>
          <w:color w:val="000000"/>
          <w:sz w:val="22"/>
          <w:szCs w:val="22"/>
        </w:rPr>
      </w:pPr>
    </w:p>
    <w:p w14:paraId="6CB84453" w14:textId="61A6E0AC" w:rsidR="000742FC" w:rsidRPr="008A4F40" w:rsidRDefault="000742FC" w:rsidP="004E7659">
      <w:pPr>
        <w:keepNext/>
        <w:ind w:firstLine="3"/>
        <w:rPr>
          <w:color w:val="000000"/>
          <w:sz w:val="22"/>
          <w:szCs w:val="22"/>
          <w:u w:val="single"/>
        </w:rPr>
      </w:pPr>
      <w:r w:rsidRPr="008A4F40">
        <w:rPr>
          <w:color w:val="000000"/>
          <w:sz w:val="22"/>
          <w:szCs w:val="22"/>
          <w:u w:val="single"/>
        </w:rPr>
        <w:t>Pharmakokinetik von Glivec</w:t>
      </w:r>
    </w:p>
    <w:p w14:paraId="5A0611EE" w14:textId="77777777" w:rsidR="00072317" w:rsidRPr="008A4F40" w:rsidRDefault="00072317" w:rsidP="004E7659">
      <w:pPr>
        <w:keepNext/>
        <w:ind w:firstLine="3"/>
        <w:rPr>
          <w:color w:val="000000"/>
          <w:sz w:val="22"/>
          <w:szCs w:val="22"/>
          <w:u w:val="single"/>
        </w:rPr>
      </w:pPr>
    </w:p>
    <w:p w14:paraId="74220B2D" w14:textId="231A7C9C" w:rsidR="000742FC" w:rsidRPr="008A4F40" w:rsidRDefault="000742FC" w:rsidP="004E7659">
      <w:pPr>
        <w:ind w:firstLine="3"/>
        <w:rPr>
          <w:color w:val="000000"/>
          <w:sz w:val="22"/>
          <w:szCs w:val="22"/>
        </w:rPr>
      </w:pPr>
      <w:r w:rsidRPr="008A4F40">
        <w:rPr>
          <w:color w:val="000000"/>
          <w:sz w:val="22"/>
          <w:szCs w:val="22"/>
        </w:rPr>
        <w:t>Die Pharmakokinetik von Glivec wurde in einem Dosisbereich von 25 bis 1</w:t>
      </w:r>
      <w:ins w:id="806" w:author="Author">
        <w:r w:rsidR="00C85770">
          <w:rPr>
            <w:color w:val="000000"/>
            <w:sz w:val="22"/>
            <w:szCs w:val="22"/>
          </w:rPr>
          <w:t> </w:t>
        </w:r>
      </w:ins>
      <w:del w:id="807" w:author="Author">
        <w:r w:rsidRPr="008A4F40" w:rsidDel="00C85770">
          <w:rPr>
            <w:color w:val="000000"/>
            <w:sz w:val="22"/>
            <w:szCs w:val="22"/>
          </w:rPr>
          <w:delText>.</w:delText>
        </w:r>
      </w:del>
      <w:r w:rsidRPr="008A4F40">
        <w:rPr>
          <w:color w:val="000000"/>
          <w:sz w:val="22"/>
          <w:szCs w:val="22"/>
        </w:rPr>
        <w:t>000 mg untersucht. Es wur</w:t>
      </w:r>
      <w:del w:id="808" w:author="Author">
        <w:r w:rsidRPr="008A4F40" w:rsidDel="004E7659">
          <w:rPr>
            <w:color w:val="000000"/>
            <w:sz w:val="22"/>
            <w:szCs w:val="22"/>
          </w:rPr>
          <w:softHyphen/>
        </w:r>
      </w:del>
      <w:r w:rsidRPr="008A4F40">
        <w:rPr>
          <w:color w:val="000000"/>
          <w:sz w:val="22"/>
          <w:szCs w:val="22"/>
        </w:rPr>
        <w:t>den die pharmakokinetischen Profile im Plasma am Tag 1 und am Tag 7 oder 28 untersucht, an denen die Gleichgewichtskonzentrationen (Steady</w:t>
      </w:r>
      <w:ins w:id="809" w:author="Author">
        <w:r w:rsidR="00A404B9">
          <w:rPr>
            <w:color w:val="000000"/>
            <w:sz w:val="22"/>
            <w:szCs w:val="22"/>
          </w:rPr>
          <w:t xml:space="preserve"> </w:t>
        </w:r>
      </w:ins>
      <w:del w:id="810" w:author="Author">
        <w:r w:rsidRPr="008A4F40" w:rsidDel="00A404B9">
          <w:rPr>
            <w:color w:val="000000"/>
            <w:sz w:val="22"/>
            <w:szCs w:val="22"/>
          </w:rPr>
          <w:delText>-</w:delText>
        </w:r>
      </w:del>
      <w:r w:rsidRPr="008A4F40">
        <w:rPr>
          <w:color w:val="000000"/>
          <w:sz w:val="22"/>
          <w:szCs w:val="22"/>
        </w:rPr>
        <w:t>State) erreicht wurden.</w:t>
      </w:r>
    </w:p>
    <w:p w14:paraId="5913B442" w14:textId="77777777" w:rsidR="000742FC" w:rsidRPr="008A4F40" w:rsidRDefault="000742FC" w:rsidP="004E7659">
      <w:pPr>
        <w:ind w:firstLine="3"/>
        <w:rPr>
          <w:color w:val="000000"/>
          <w:sz w:val="22"/>
          <w:szCs w:val="22"/>
        </w:rPr>
      </w:pPr>
    </w:p>
    <w:p w14:paraId="63F72C01" w14:textId="16809A06" w:rsidR="009D506D" w:rsidRPr="008A4F40" w:rsidRDefault="009D506D" w:rsidP="004E7659">
      <w:pPr>
        <w:keepNext/>
        <w:ind w:firstLine="6"/>
        <w:rPr>
          <w:color w:val="000000"/>
          <w:sz w:val="22"/>
          <w:szCs w:val="22"/>
          <w:u w:val="single"/>
        </w:rPr>
      </w:pPr>
      <w:r w:rsidRPr="008A4F40">
        <w:rPr>
          <w:color w:val="000000"/>
          <w:sz w:val="22"/>
          <w:szCs w:val="22"/>
          <w:u w:val="single"/>
        </w:rPr>
        <w:t>Resorption</w:t>
      </w:r>
    </w:p>
    <w:p w14:paraId="5EA18E93" w14:textId="77777777" w:rsidR="00072317" w:rsidRPr="008A4F40" w:rsidRDefault="00072317" w:rsidP="004E7659">
      <w:pPr>
        <w:keepNext/>
        <w:ind w:firstLine="6"/>
        <w:rPr>
          <w:color w:val="000000"/>
          <w:sz w:val="22"/>
          <w:szCs w:val="22"/>
          <w:u w:val="single"/>
        </w:rPr>
      </w:pPr>
    </w:p>
    <w:p w14:paraId="1C600F03" w14:textId="77777777" w:rsidR="009D506D" w:rsidRPr="008A4F40" w:rsidRDefault="009D506D" w:rsidP="004E7659">
      <w:pPr>
        <w:ind w:firstLine="3"/>
        <w:rPr>
          <w:color w:val="000000"/>
          <w:sz w:val="22"/>
          <w:szCs w:val="22"/>
        </w:rPr>
      </w:pPr>
      <w:r w:rsidRPr="008A4F40">
        <w:rPr>
          <w:color w:val="000000"/>
          <w:sz w:val="22"/>
          <w:szCs w:val="22"/>
        </w:rPr>
        <w:t xml:space="preserve">Die mittlere absolute Bioverfügbarkeit </w:t>
      </w:r>
      <w:r w:rsidR="00F76F51" w:rsidRPr="008A4F40">
        <w:rPr>
          <w:color w:val="000000"/>
          <w:sz w:val="22"/>
          <w:szCs w:val="22"/>
        </w:rPr>
        <w:t>von Imatinib</w:t>
      </w:r>
      <w:r w:rsidRPr="008A4F40">
        <w:rPr>
          <w:color w:val="000000"/>
          <w:sz w:val="22"/>
          <w:szCs w:val="22"/>
        </w:rPr>
        <w:t xml:space="preserve"> beträgt 98%. Nach einer oralen Dosis fand sich eine hohe interindividuelle Variabilität der Plasma-AUC-Spiegel von Imatinib. Nach Gabe mit einer fettreichen Mahlzeit wird die Resorptionsrate von Imatinib verglichen mit dem Nüchternzustand gering</w:t>
      </w:r>
      <w:del w:id="811" w:author="Author">
        <w:r w:rsidRPr="008A4F40" w:rsidDel="004E7659">
          <w:rPr>
            <w:color w:val="000000"/>
            <w:sz w:val="22"/>
            <w:szCs w:val="22"/>
          </w:rPr>
          <w:softHyphen/>
        </w:r>
      </w:del>
      <w:r w:rsidRPr="008A4F40">
        <w:rPr>
          <w:color w:val="000000"/>
          <w:sz w:val="22"/>
          <w:szCs w:val="22"/>
        </w:rPr>
        <w:t>fügig vermindert (11% Abnahme der C</w:t>
      </w:r>
      <w:r w:rsidRPr="008A4F40">
        <w:rPr>
          <w:color w:val="000000"/>
          <w:sz w:val="22"/>
          <w:szCs w:val="22"/>
          <w:vertAlign w:val="subscript"/>
        </w:rPr>
        <w:t xml:space="preserve">max </w:t>
      </w:r>
      <w:r w:rsidRPr="008A4F40">
        <w:rPr>
          <w:color w:val="000000"/>
          <w:sz w:val="22"/>
          <w:szCs w:val="22"/>
        </w:rPr>
        <w:t>und Verlängerung der t</w:t>
      </w:r>
      <w:r w:rsidRPr="008A4F40">
        <w:rPr>
          <w:color w:val="000000"/>
          <w:sz w:val="22"/>
          <w:szCs w:val="22"/>
          <w:vertAlign w:val="subscript"/>
        </w:rPr>
        <w:t xml:space="preserve">max </w:t>
      </w:r>
      <w:r w:rsidRPr="008A4F40">
        <w:rPr>
          <w:color w:val="000000"/>
          <w:sz w:val="22"/>
          <w:szCs w:val="22"/>
        </w:rPr>
        <w:t>um 1,5 Stunden) mit einer gerin</w:t>
      </w:r>
      <w:del w:id="812" w:author="Author">
        <w:r w:rsidRPr="008A4F40" w:rsidDel="004E7659">
          <w:rPr>
            <w:color w:val="000000"/>
            <w:sz w:val="22"/>
            <w:szCs w:val="22"/>
          </w:rPr>
          <w:softHyphen/>
        </w:r>
      </w:del>
      <w:r w:rsidRPr="008A4F40">
        <w:rPr>
          <w:color w:val="000000"/>
          <w:sz w:val="22"/>
          <w:szCs w:val="22"/>
        </w:rPr>
        <w:t>gen Reduktion der AUC (7,4%). Der Einfluss eines vorhergehenden gastrointestinalen Eingriffs auf die Resorption des Wirkstoffs wurde nicht untersucht.</w:t>
      </w:r>
    </w:p>
    <w:p w14:paraId="2C2CA81A" w14:textId="77777777" w:rsidR="009D506D" w:rsidRPr="008A4F40" w:rsidRDefault="009D506D" w:rsidP="004E7659">
      <w:pPr>
        <w:ind w:firstLine="3"/>
        <w:rPr>
          <w:color w:val="000000"/>
          <w:sz w:val="22"/>
          <w:szCs w:val="22"/>
        </w:rPr>
      </w:pPr>
    </w:p>
    <w:p w14:paraId="4839C842" w14:textId="640D13C3" w:rsidR="00D04F08" w:rsidRPr="008A4F40" w:rsidRDefault="00D04F08" w:rsidP="004E7659">
      <w:pPr>
        <w:keepNext/>
        <w:ind w:firstLine="6"/>
        <w:rPr>
          <w:color w:val="000000"/>
          <w:sz w:val="22"/>
          <w:szCs w:val="22"/>
          <w:u w:val="single"/>
        </w:rPr>
      </w:pPr>
      <w:r w:rsidRPr="008A4F40">
        <w:rPr>
          <w:color w:val="000000"/>
          <w:sz w:val="22"/>
          <w:szCs w:val="22"/>
          <w:u w:val="single"/>
        </w:rPr>
        <w:t>Verteilung</w:t>
      </w:r>
    </w:p>
    <w:p w14:paraId="64BC152D" w14:textId="77777777" w:rsidR="00072317" w:rsidRPr="008A4F40" w:rsidRDefault="00072317" w:rsidP="004E7659">
      <w:pPr>
        <w:keepNext/>
        <w:ind w:firstLine="6"/>
        <w:rPr>
          <w:color w:val="000000"/>
          <w:sz w:val="22"/>
          <w:szCs w:val="22"/>
          <w:u w:val="single"/>
        </w:rPr>
      </w:pPr>
    </w:p>
    <w:p w14:paraId="6BC46B82" w14:textId="77777777" w:rsidR="00D04F08" w:rsidRPr="008A4F40" w:rsidRDefault="00D04F08" w:rsidP="004E7659">
      <w:pPr>
        <w:ind w:firstLine="3"/>
        <w:rPr>
          <w:color w:val="000000"/>
          <w:sz w:val="22"/>
          <w:szCs w:val="22"/>
        </w:rPr>
      </w:pPr>
      <w:r w:rsidRPr="008A4F40">
        <w:rPr>
          <w:color w:val="000000"/>
          <w:sz w:val="22"/>
          <w:szCs w:val="22"/>
        </w:rPr>
        <w:t xml:space="preserve">Bei klinisch relevanten Konzentrationen von Imatinib betrug bei </w:t>
      </w:r>
      <w:r w:rsidRPr="008A4F40">
        <w:rPr>
          <w:i/>
          <w:color w:val="000000"/>
          <w:sz w:val="22"/>
          <w:szCs w:val="22"/>
        </w:rPr>
        <w:t>In-vitro</w:t>
      </w:r>
      <w:r w:rsidRPr="008A4F40">
        <w:rPr>
          <w:color w:val="000000"/>
          <w:sz w:val="22"/>
          <w:szCs w:val="22"/>
        </w:rPr>
        <w:t>-Experimenten die Plasmapro</w:t>
      </w:r>
      <w:del w:id="813" w:author="Author">
        <w:r w:rsidRPr="008A4F40" w:rsidDel="004E7659">
          <w:rPr>
            <w:color w:val="000000"/>
            <w:sz w:val="22"/>
            <w:szCs w:val="22"/>
          </w:rPr>
          <w:softHyphen/>
        </w:r>
      </w:del>
      <w:r w:rsidRPr="008A4F40">
        <w:rPr>
          <w:color w:val="000000"/>
          <w:sz w:val="22"/>
          <w:szCs w:val="22"/>
        </w:rPr>
        <w:t>teinbindung etwa 95%, hauptsächlich gebunden an Albumin und alpha-saures Glykoprotein und mit nur geringer Bindung an Lipoprotein.</w:t>
      </w:r>
    </w:p>
    <w:p w14:paraId="695D4AC4" w14:textId="77777777" w:rsidR="00D04F08" w:rsidRPr="008A4F40" w:rsidRDefault="00D04F08" w:rsidP="004E7659">
      <w:pPr>
        <w:ind w:firstLine="3"/>
        <w:rPr>
          <w:color w:val="000000"/>
          <w:sz w:val="22"/>
          <w:szCs w:val="22"/>
        </w:rPr>
      </w:pPr>
    </w:p>
    <w:p w14:paraId="3B0A3AD0" w14:textId="77F2C370" w:rsidR="00D04F08" w:rsidRPr="008A4F40" w:rsidRDefault="00481135" w:rsidP="004E7659">
      <w:pPr>
        <w:keepNext/>
        <w:ind w:firstLine="6"/>
        <w:rPr>
          <w:color w:val="000000"/>
          <w:sz w:val="22"/>
          <w:szCs w:val="22"/>
          <w:u w:val="single"/>
        </w:rPr>
      </w:pPr>
      <w:r w:rsidRPr="008A4F40">
        <w:rPr>
          <w:color w:val="000000"/>
          <w:sz w:val="22"/>
          <w:szCs w:val="22"/>
          <w:u w:val="single"/>
        </w:rPr>
        <w:t>Biotransformation</w:t>
      </w:r>
    </w:p>
    <w:p w14:paraId="374089A3" w14:textId="77777777" w:rsidR="00072317" w:rsidRPr="008A4F40" w:rsidRDefault="00072317" w:rsidP="004E7659">
      <w:pPr>
        <w:keepNext/>
        <w:ind w:firstLine="6"/>
        <w:rPr>
          <w:color w:val="000000"/>
          <w:sz w:val="22"/>
          <w:szCs w:val="22"/>
          <w:u w:val="single"/>
        </w:rPr>
      </w:pPr>
    </w:p>
    <w:p w14:paraId="127F0FD6" w14:textId="77777777" w:rsidR="00D04F08" w:rsidRPr="008A4F40" w:rsidRDefault="00D04F08" w:rsidP="004E7659">
      <w:pPr>
        <w:ind w:firstLine="3"/>
        <w:rPr>
          <w:color w:val="000000"/>
          <w:sz w:val="22"/>
          <w:szCs w:val="22"/>
        </w:rPr>
      </w:pPr>
      <w:r w:rsidRPr="008A4F40">
        <w:rPr>
          <w:color w:val="000000"/>
          <w:sz w:val="22"/>
          <w:szCs w:val="22"/>
        </w:rPr>
        <w:t xml:space="preserve">Der beim Menschen hauptsächlich zirkulierende Metabolit ist das N-demethylierte Piperazinderivat, welches </w:t>
      </w:r>
      <w:r w:rsidRPr="008A4F40">
        <w:rPr>
          <w:i/>
          <w:color w:val="000000"/>
          <w:sz w:val="22"/>
          <w:szCs w:val="22"/>
        </w:rPr>
        <w:t>in vitro</w:t>
      </w:r>
      <w:r w:rsidRPr="008A4F40">
        <w:rPr>
          <w:color w:val="000000"/>
          <w:sz w:val="22"/>
          <w:szCs w:val="22"/>
        </w:rPr>
        <w:t xml:space="preserve"> eine ähnliche Wirkung wie der unveränderte Wirkstoff aufweist. Die Plasma-AUC die</w:t>
      </w:r>
      <w:del w:id="814" w:author="Author">
        <w:r w:rsidRPr="008A4F40" w:rsidDel="004E7659">
          <w:rPr>
            <w:color w:val="000000"/>
            <w:sz w:val="22"/>
            <w:szCs w:val="22"/>
          </w:rPr>
          <w:softHyphen/>
        </w:r>
      </w:del>
      <w:r w:rsidRPr="008A4F40">
        <w:rPr>
          <w:color w:val="000000"/>
          <w:sz w:val="22"/>
          <w:szCs w:val="22"/>
        </w:rPr>
        <w:t>ses Metaboliten beträgt nur 16% der AUC von Imatinib. Die Plasmaproteinbindung des N-demethylierten Metaboliten ist mit derjenigen der Muttersubstanz vergleichbar.</w:t>
      </w:r>
    </w:p>
    <w:p w14:paraId="2F8F4927" w14:textId="77777777" w:rsidR="00D04F08" w:rsidRPr="008A4F40" w:rsidRDefault="00D04F08" w:rsidP="004E7659">
      <w:pPr>
        <w:ind w:firstLine="3"/>
        <w:rPr>
          <w:color w:val="000000"/>
          <w:sz w:val="22"/>
          <w:szCs w:val="22"/>
        </w:rPr>
      </w:pPr>
    </w:p>
    <w:p w14:paraId="26F630CA" w14:textId="77777777" w:rsidR="00D04F08" w:rsidRPr="008A4F40" w:rsidRDefault="00D04F08" w:rsidP="004E7659">
      <w:pPr>
        <w:ind w:firstLine="3"/>
        <w:rPr>
          <w:color w:val="000000"/>
          <w:sz w:val="22"/>
          <w:szCs w:val="22"/>
        </w:rPr>
      </w:pPr>
      <w:r w:rsidRPr="008A4F40">
        <w:rPr>
          <w:color w:val="000000"/>
          <w:sz w:val="22"/>
          <w:szCs w:val="22"/>
        </w:rPr>
        <w:t>Imatinib und sein N-Demethyl-Metabolit machten zusammen etwa 65% der zirkulierenden Radioaktivität (AUC</w:t>
      </w:r>
      <w:r w:rsidRPr="008A4F40">
        <w:rPr>
          <w:color w:val="000000"/>
          <w:sz w:val="22"/>
          <w:szCs w:val="22"/>
          <w:vertAlign w:val="subscript"/>
        </w:rPr>
        <w:t>0-48h</w:t>
      </w:r>
      <w:r w:rsidRPr="008A4F40">
        <w:rPr>
          <w:color w:val="000000"/>
          <w:sz w:val="22"/>
          <w:szCs w:val="22"/>
        </w:rPr>
        <w:t>) aus. Die verbleibende zirkulierende Radioaktivität bestand aus einer Anzahl von Ne</w:t>
      </w:r>
      <w:del w:id="815" w:author="Author">
        <w:r w:rsidRPr="008A4F40" w:rsidDel="004E7659">
          <w:rPr>
            <w:color w:val="000000"/>
            <w:sz w:val="22"/>
            <w:szCs w:val="22"/>
          </w:rPr>
          <w:softHyphen/>
        </w:r>
      </w:del>
      <w:r w:rsidRPr="008A4F40">
        <w:rPr>
          <w:color w:val="000000"/>
          <w:sz w:val="22"/>
          <w:szCs w:val="22"/>
        </w:rPr>
        <w:t>benmetaboliten.</w:t>
      </w:r>
    </w:p>
    <w:p w14:paraId="4DBA8422" w14:textId="77777777" w:rsidR="00D04F08" w:rsidRPr="008A4F40" w:rsidRDefault="00D04F08" w:rsidP="004E7659">
      <w:pPr>
        <w:ind w:firstLine="3"/>
        <w:rPr>
          <w:color w:val="000000"/>
          <w:sz w:val="22"/>
          <w:szCs w:val="22"/>
        </w:rPr>
      </w:pPr>
    </w:p>
    <w:p w14:paraId="076BE286" w14:textId="0C4EC478" w:rsidR="00D04F08" w:rsidRPr="008A4F40" w:rsidRDefault="00D04F08" w:rsidP="004E7659">
      <w:pPr>
        <w:ind w:firstLine="3"/>
        <w:rPr>
          <w:color w:val="000000"/>
          <w:sz w:val="22"/>
          <w:szCs w:val="22"/>
        </w:rPr>
      </w:pPr>
      <w:r w:rsidRPr="008A4F40">
        <w:rPr>
          <w:i/>
          <w:color w:val="000000"/>
          <w:sz w:val="22"/>
          <w:szCs w:val="22"/>
        </w:rPr>
        <w:t>In-vitro</w:t>
      </w:r>
      <w:r w:rsidRPr="008A4F40">
        <w:rPr>
          <w:color w:val="000000"/>
          <w:sz w:val="22"/>
          <w:szCs w:val="22"/>
        </w:rPr>
        <w:t>-Untersuchungen zeigten, dass CYP3A4 das wesentliche humane P450</w:t>
      </w:r>
      <w:r w:rsidR="00952054">
        <w:rPr>
          <w:color w:val="000000"/>
          <w:sz w:val="22"/>
          <w:szCs w:val="22"/>
        </w:rPr>
        <w:t>-</w:t>
      </w:r>
      <w:r w:rsidRPr="008A4F40">
        <w:rPr>
          <w:color w:val="000000"/>
          <w:sz w:val="22"/>
          <w:szCs w:val="22"/>
        </w:rPr>
        <w:t>Enzym für die Biotrans</w:t>
      </w:r>
      <w:del w:id="816" w:author="Author">
        <w:r w:rsidRPr="008A4F40" w:rsidDel="004E7659">
          <w:rPr>
            <w:color w:val="000000"/>
            <w:sz w:val="22"/>
            <w:szCs w:val="22"/>
          </w:rPr>
          <w:softHyphen/>
        </w:r>
      </w:del>
      <w:r w:rsidRPr="008A4F40">
        <w:rPr>
          <w:color w:val="000000"/>
          <w:sz w:val="22"/>
          <w:szCs w:val="22"/>
        </w:rPr>
        <w:t>formation von Imatinib darstellt. Aus einer Reihe potenzieller Begleitmedikationen (Paracetamol, Aci</w:t>
      </w:r>
      <w:del w:id="817" w:author="Author">
        <w:r w:rsidRPr="008A4F40" w:rsidDel="004E7659">
          <w:rPr>
            <w:color w:val="000000"/>
            <w:sz w:val="22"/>
            <w:szCs w:val="22"/>
          </w:rPr>
          <w:softHyphen/>
        </w:r>
      </w:del>
      <w:r w:rsidRPr="008A4F40">
        <w:rPr>
          <w:color w:val="000000"/>
          <w:sz w:val="22"/>
          <w:szCs w:val="22"/>
        </w:rPr>
        <w:t>clovir, Allopurinol, Amphotericin, Cytarabin, Erythromycin, Fluconazol, Hydroxyharnstoff, Norfloxa</w:t>
      </w:r>
      <w:del w:id="818" w:author="Author">
        <w:r w:rsidRPr="008A4F40" w:rsidDel="004E7659">
          <w:rPr>
            <w:color w:val="000000"/>
            <w:sz w:val="22"/>
            <w:szCs w:val="22"/>
          </w:rPr>
          <w:softHyphen/>
        </w:r>
      </w:del>
      <w:r w:rsidRPr="008A4F40">
        <w:rPr>
          <w:color w:val="000000"/>
          <w:sz w:val="22"/>
          <w:szCs w:val="22"/>
        </w:rPr>
        <w:t>cin, Penicillin</w:t>
      </w:r>
      <w:ins w:id="819" w:author="Author">
        <w:r w:rsidR="00DF5410">
          <w:rPr>
            <w:color w:val="000000"/>
            <w:sz w:val="22"/>
            <w:szCs w:val="22"/>
          </w:rPr>
          <w:t> </w:t>
        </w:r>
      </w:ins>
      <w:del w:id="820" w:author="Author">
        <w:r w:rsidRPr="008A4F40" w:rsidDel="00DF5410">
          <w:rPr>
            <w:color w:val="000000"/>
            <w:sz w:val="22"/>
            <w:szCs w:val="22"/>
          </w:rPr>
          <w:delText xml:space="preserve"> </w:delText>
        </w:r>
      </w:del>
      <w:r w:rsidRPr="008A4F40">
        <w:rPr>
          <w:color w:val="000000"/>
          <w:sz w:val="22"/>
          <w:szCs w:val="22"/>
        </w:rPr>
        <w:t>V) zeigten nur Erythromycin (IC</w:t>
      </w:r>
      <w:r w:rsidRPr="008A4F40">
        <w:rPr>
          <w:color w:val="000000"/>
          <w:sz w:val="22"/>
          <w:szCs w:val="22"/>
          <w:vertAlign w:val="subscript"/>
        </w:rPr>
        <w:t>50</w:t>
      </w:r>
      <w:r w:rsidRPr="008A4F40">
        <w:rPr>
          <w:color w:val="000000"/>
          <w:sz w:val="22"/>
          <w:szCs w:val="22"/>
        </w:rPr>
        <w:t xml:space="preserve"> 50 µM) und Fluconazol (IC</w:t>
      </w:r>
      <w:r w:rsidRPr="008A4F40">
        <w:rPr>
          <w:color w:val="000000"/>
          <w:sz w:val="22"/>
          <w:szCs w:val="22"/>
          <w:vertAlign w:val="subscript"/>
        </w:rPr>
        <w:t>50</w:t>
      </w:r>
      <w:r w:rsidRPr="008A4F40">
        <w:rPr>
          <w:color w:val="000000"/>
          <w:sz w:val="22"/>
          <w:szCs w:val="22"/>
        </w:rPr>
        <w:t xml:space="preserve"> 118 µM) eine Hemmung des Imatinibmetabolismus, die möglicherweise klinische Relevanz hat.</w:t>
      </w:r>
    </w:p>
    <w:p w14:paraId="50DDDDCF" w14:textId="77777777" w:rsidR="00D04F08" w:rsidRPr="008A4F40" w:rsidRDefault="00D04F08" w:rsidP="004E7659">
      <w:pPr>
        <w:ind w:firstLine="3"/>
        <w:rPr>
          <w:color w:val="000000"/>
          <w:sz w:val="22"/>
          <w:szCs w:val="22"/>
        </w:rPr>
      </w:pPr>
    </w:p>
    <w:p w14:paraId="6A9331B4" w14:textId="79E6B394" w:rsidR="00D04F08" w:rsidRPr="008A4F40" w:rsidRDefault="00D04F08" w:rsidP="004E7659">
      <w:pPr>
        <w:ind w:firstLine="3"/>
        <w:rPr>
          <w:color w:val="000000"/>
          <w:sz w:val="22"/>
          <w:szCs w:val="22"/>
        </w:rPr>
      </w:pPr>
      <w:r w:rsidRPr="008A4F40">
        <w:rPr>
          <w:color w:val="000000"/>
          <w:sz w:val="22"/>
          <w:szCs w:val="22"/>
        </w:rPr>
        <w:t xml:space="preserve">Imatinib erwies sich </w:t>
      </w:r>
      <w:r w:rsidRPr="008A4F40">
        <w:rPr>
          <w:i/>
          <w:color w:val="000000"/>
          <w:sz w:val="22"/>
          <w:szCs w:val="22"/>
        </w:rPr>
        <w:t>in vitro</w:t>
      </w:r>
      <w:r w:rsidRPr="008A4F40">
        <w:rPr>
          <w:color w:val="000000"/>
          <w:sz w:val="22"/>
          <w:szCs w:val="22"/>
        </w:rPr>
        <w:t xml:space="preserve"> als ein kompetitiver Hemmstoff von Markersubstraten für CYP2C9, CYP2D6 und CYP3A4/5. Die K</w:t>
      </w:r>
      <w:r w:rsidRPr="008A4F40">
        <w:rPr>
          <w:color w:val="000000"/>
          <w:sz w:val="22"/>
          <w:szCs w:val="22"/>
          <w:vertAlign w:val="subscript"/>
        </w:rPr>
        <w:t>i</w:t>
      </w:r>
      <w:r w:rsidRPr="008A4F40">
        <w:rPr>
          <w:color w:val="000000"/>
          <w:sz w:val="22"/>
          <w:szCs w:val="22"/>
        </w:rPr>
        <w:t>-Werte in humanen Lebermikrosomen betrugen 27, 7,5 bzw. 7,9 µmol/l. Die maximalen Plasmakonzentrationen von Imatinib lagen bei Patienten zwischen 2 und 4 µmol/l. Von daher ist eine Hemmung des CYP2D6- und/oder CYP3A4/5-vermittelten Metabolismus von gleichzeitig angewendeten Arzneimitteln möglich. Imatinib interferierte nicht mit der Biotransfor</w:t>
      </w:r>
      <w:r w:rsidRPr="008A4F40">
        <w:rPr>
          <w:color w:val="000000"/>
          <w:sz w:val="22"/>
          <w:szCs w:val="22"/>
        </w:rPr>
        <w:softHyphen/>
        <w:t>mation von 5-Fluorouracil, aber es inhibierte auf Grund einer kompetitiven Hemmung von CYP2C8 (K</w:t>
      </w:r>
      <w:r w:rsidRPr="008A4F40">
        <w:rPr>
          <w:color w:val="000000"/>
          <w:sz w:val="22"/>
          <w:szCs w:val="22"/>
          <w:vertAlign w:val="subscript"/>
        </w:rPr>
        <w:t>i</w:t>
      </w:r>
      <w:ins w:id="821" w:author="Author">
        <w:r w:rsidR="00CD0876">
          <w:rPr>
            <w:color w:val="000000"/>
            <w:sz w:val="22"/>
            <w:szCs w:val="22"/>
          </w:rPr>
          <w:t> </w:t>
        </w:r>
      </w:ins>
      <w:del w:id="822" w:author="Author">
        <w:r w:rsidRPr="008A4F40" w:rsidDel="00CD0876">
          <w:rPr>
            <w:color w:val="000000"/>
            <w:sz w:val="22"/>
            <w:szCs w:val="22"/>
          </w:rPr>
          <w:delText xml:space="preserve"> </w:delText>
        </w:r>
      </w:del>
      <w:r w:rsidRPr="008A4F40">
        <w:rPr>
          <w:color w:val="000000"/>
          <w:sz w:val="22"/>
          <w:szCs w:val="22"/>
        </w:rPr>
        <w:t>=</w:t>
      </w:r>
      <w:ins w:id="823" w:author="Author">
        <w:r w:rsidR="00CD0876">
          <w:rPr>
            <w:color w:val="000000"/>
            <w:sz w:val="22"/>
            <w:szCs w:val="22"/>
          </w:rPr>
          <w:t> </w:t>
        </w:r>
      </w:ins>
      <w:del w:id="824" w:author="Author">
        <w:r w:rsidRPr="008A4F40" w:rsidDel="00CD0876">
          <w:rPr>
            <w:color w:val="000000"/>
            <w:sz w:val="22"/>
            <w:szCs w:val="22"/>
          </w:rPr>
          <w:delText xml:space="preserve"> </w:delText>
        </w:r>
      </w:del>
      <w:r w:rsidRPr="008A4F40">
        <w:rPr>
          <w:color w:val="000000"/>
          <w:sz w:val="22"/>
          <w:szCs w:val="22"/>
        </w:rPr>
        <w:t>34,7 µM) den Metabolismus von Paclitaxel. Dieser K</w:t>
      </w:r>
      <w:r w:rsidRPr="008A4F40">
        <w:rPr>
          <w:color w:val="000000"/>
          <w:sz w:val="22"/>
          <w:szCs w:val="22"/>
          <w:vertAlign w:val="subscript"/>
        </w:rPr>
        <w:t>i</w:t>
      </w:r>
      <w:r w:rsidRPr="008A4F40">
        <w:rPr>
          <w:color w:val="000000"/>
          <w:sz w:val="22"/>
          <w:szCs w:val="22"/>
        </w:rPr>
        <w:t>-Wert ist weit höher als der erwartete Plasma</w:t>
      </w:r>
      <w:del w:id="825" w:author="Author">
        <w:r w:rsidRPr="008A4F40" w:rsidDel="004E7659">
          <w:rPr>
            <w:color w:val="000000"/>
            <w:sz w:val="22"/>
            <w:szCs w:val="22"/>
          </w:rPr>
          <w:softHyphen/>
        </w:r>
      </w:del>
      <w:r w:rsidRPr="008A4F40">
        <w:rPr>
          <w:color w:val="000000"/>
          <w:sz w:val="22"/>
          <w:szCs w:val="22"/>
        </w:rPr>
        <w:t>spiegel von Imatinib bei Patienten. Daher ist keine Interaktion bei gleichzeitiger Gabe von entweder 5-Fluorouracil oder Paclitaxel und Imatinib zu erwarten.</w:t>
      </w:r>
    </w:p>
    <w:p w14:paraId="2BE6A8A0" w14:textId="77777777" w:rsidR="00D04F08" w:rsidRPr="008A4F40" w:rsidRDefault="00D04F08" w:rsidP="004E7659">
      <w:pPr>
        <w:ind w:firstLine="3"/>
        <w:rPr>
          <w:color w:val="000000"/>
          <w:sz w:val="22"/>
          <w:szCs w:val="22"/>
        </w:rPr>
      </w:pPr>
    </w:p>
    <w:p w14:paraId="4ADFBA9F" w14:textId="5DC5C21C" w:rsidR="00D04F08" w:rsidRPr="008A4F40" w:rsidRDefault="00481135" w:rsidP="004E7659">
      <w:pPr>
        <w:keepNext/>
        <w:ind w:firstLine="6"/>
        <w:rPr>
          <w:color w:val="000000"/>
          <w:sz w:val="22"/>
          <w:szCs w:val="22"/>
          <w:u w:val="single"/>
        </w:rPr>
      </w:pPr>
      <w:r w:rsidRPr="008A4F40">
        <w:rPr>
          <w:color w:val="000000"/>
          <w:sz w:val="22"/>
          <w:szCs w:val="22"/>
          <w:u w:val="single"/>
        </w:rPr>
        <w:t>Elimination</w:t>
      </w:r>
    </w:p>
    <w:p w14:paraId="06B48291" w14:textId="77777777" w:rsidR="00072317" w:rsidRPr="008A4F40" w:rsidRDefault="00072317" w:rsidP="004E7659">
      <w:pPr>
        <w:keepNext/>
        <w:ind w:firstLine="6"/>
        <w:rPr>
          <w:color w:val="000000"/>
          <w:sz w:val="22"/>
          <w:szCs w:val="22"/>
          <w:u w:val="single"/>
        </w:rPr>
      </w:pPr>
    </w:p>
    <w:p w14:paraId="04073DF5" w14:textId="77777777" w:rsidR="00D04F08" w:rsidRPr="008A4F40" w:rsidRDefault="00D04F08" w:rsidP="004E7659">
      <w:pPr>
        <w:ind w:firstLine="3"/>
        <w:rPr>
          <w:color w:val="000000"/>
          <w:sz w:val="22"/>
          <w:szCs w:val="22"/>
        </w:rPr>
      </w:pPr>
      <w:r w:rsidRPr="008A4F40">
        <w:rPr>
          <w:color w:val="000000"/>
          <w:sz w:val="22"/>
          <w:szCs w:val="22"/>
        </w:rPr>
        <w:t xml:space="preserve">Basierend auf dem Wiederauffinden von Verbindungen nach einer oralen Gabe von </w:t>
      </w:r>
      <w:r w:rsidRPr="008A4F40">
        <w:rPr>
          <w:color w:val="000000"/>
          <w:sz w:val="22"/>
          <w:szCs w:val="22"/>
          <w:vertAlign w:val="superscript"/>
        </w:rPr>
        <w:t>14</w:t>
      </w:r>
      <w:r w:rsidRPr="008A4F40">
        <w:rPr>
          <w:color w:val="000000"/>
          <w:sz w:val="22"/>
          <w:szCs w:val="22"/>
        </w:rPr>
        <w:t>C-markiertem Imatinib werden etwa 81% der Dosis innerhalb von 7 Tagen in den Fäzes (68% der Dosis) und im Urin (13% der Dosis) wiedergefunden. Unverändert bleiben etwa 25% der Imatinib-Dosis (5% im Urin, 20% in den Fäzes), der Rest sind Metaboliten.</w:t>
      </w:r>
    </w:p>
    <w:p w14:paraId="24E08B77" w14:textId="77777777" w:rsidR="00D04F08" w:rsidRPr="008A4F40" w:rsidRDefault="00D04F08" w:rsidP="004E7659">
      <w:pPr>
        <w:ind w:firstLine="3"/>
        <w:rPr>
          <w:color w:val="000000"/>
          <w:sz w:val="22"/>
          <w:szCs w:val="22"/>
        </w:rPr>
      </w:pPr>
    </w:p>
    <w:p w14:paraId="55531531" w14:textId="1105503D" w:rsidR="00D04F08" w:rsidRPr="008A4F40" w:rsidRDefault="00D04F08" w:rsidP="004E7659">
      <w:pPr>
        <w:keepNext/>
        <w:ind w:firstLine="6"/>
        <w:rPr>
          <w:color w:val="000000"/>
          <w:sz w:val="22"/>
          <w:szCs w:val="22"/>
          <w:u w:val="single"/>
        </w:rPr>
      </w:pPr>
      <w:r w:rsidRPr="008A4F40">
        <w:rPr>
          <w:color w:val="000000"/>
          <w:sz w:val="22"/>
          <w:szCs w:val="22"/>
          <w:u w:val="single"/>
        </w:rPr>
        <w:t>Plasmapharmakokinetik</w:t>
      </w:r>
    </w:p>
    <w:p w14:paraId="13E3DDD3" w14:textId="77777777" w:rsidR="00072317" w:rsidRPr="008A4F40" w:rsidRDefault="00072317" w:rsidP="004E7659">
      <w:pPr>
        <w:keepNext/>
        <w:ind w:firstLine="6"/>
        <w:rPr>
          <w:color w:val="000000"/>
          <w:sz w:val="22"/>
          <w:szCs w:val="22"/>
          <w:u w:val="single"/>
        </w:rPr>
      </w:pPr>
    </w:p>
    <w:p w14:paraId="6F60E525" w14:textId="6799C848" w:rsidR="00D04F08" w:rsidRPr="008A4F40" w:rsidRDefault="00D04F08" w:rsidP="004E7659">
      <w:pPr>
        <w:ind w:firstLine="3"/>
        <w:rPr>
          <w:color w:val="000000"/>
          <w:sz w:val="22"/>
          <w:szCs w:val="22"/>
        </w:rPr>
      </w:pPr>
      <w:r w:rsidRPr="008A4F40">
        <w:rPr>
          <w:color w:val="000000"/>
          <w:sz w:val="22"/>
          <w:szCs w:val="22"/>
        </w:rPr>
        <w:t>Nach oraler Anwendung bei Probanden betrug die Halbwertszeit t</w:t>
      </w:r>
      <w:r w:rsidRPr="008A4F40">
        <w:rPr>
          <w:color w:val="000000"/>
          <w:sz w:val="22"/>
          <w:szCs w:val="22"/>
          <w:vertAlign w:val="subscript"/>
        </w:rPr>
        <w:t>1/2</w:t>
      </w:r>
      <w:r w:rsidRPr="008A4F40">
        <w:rPr>
          <w:color w:val="000000"/>
          <w:sz w:val="22"/>
          <w:szCs w:val="22"/>
        </w:rPr>
        <w:t xml:space="preserve"> etwa 18 Stunden. Dies weist darauf hin, dass eine einmal tägliche Dosierung möglich ist. Die Zunahme der mittleren AUC war im Bereich von 25–1</w:t>
      </w:r>
      <w:r w:rsidR="00C85770">
        <w:rPr>
          <w:color w:val="000000"/>
          <w:sz w:val="22"/>
          <w:szCs w:val="22"/>
        </w:rPr>
        <w:t> </w:t>
      </w:r>
      <w:r w:rsidRPr="008A4F40">
        <w:rPr>
          <w:color w:val="000000"/>
          <w:sz w:val="22"/>
          <w:szCs w:val="22"/>
        </w:rPr>
        <w:t>000 mg Imatinib nach oraler Anwendung linear und dosisproportional. Es gab nach wieder</w:t>
      </w:r>
      <w:del w:id="826" w:author="Author">
        <w:r w:rsidRPr="008A4F40" w:rsidDel="004E7659">
          <w:rPr>
            <w:color w:val="000000"/>
            <w:sz w:val="22"/>
            <w:szCs w:val="22"/>
          </w:rPr>
          <w:softHyphen/>
        </w:r>
      </w:del>
      <w:r w:rsidRPr="008A4F40">
        <w:rPr>
          <w:color w:val="000000"/>
          <w:sz w:val="22"/>
          <w:szCs w:val="22"/>
        </w:rPr>
        <w:t>holter Gabe von Imatinib keine Veränderungen der Kinetik und die Akkumulation betrug nach einmal täglicher Anwendung im Gleichgewichtszustand (Steady</w:t>
      </w:r>
      <w:ins w:id="827" w:author="Author">
        <w:r w:rsidR="00A404B9">
          <w:rPr>
            <w:color w:val="000000"/>
            <w:sz w:val="22"/>
            <w:szCs w:val="22"/>
          </w:rPr>
          <w:t xml:space="preserve"> </w:t>
        </w:r>
      </w:ins>
      <w:del w:id="828" w:author="Author">
        <w:r w:rsidRPr="008A4F40" w:rsidDel="00A404B9">
          <w:rPr>
            <w:color w:val="000000"/>
            <w:sz w:val="22"/>
            <w:szCs w:val="22"/>
          </w:rPr>
          <w:delText>-</w:delText>
        </w:r>
      </w:del>
      <w:r w:rsidRPr="008A4F40">
        <w:rPr>
          <w:color w:val="000000"/>
          <w:sz w:val="22"/>
          <w:szCs w:val="22"/>
        </w:rPr>
        <w:t>State) das 1,5–2,5fache.</w:t>
      </w:r>
    </w:p>
    <w:p w14:paraId="7343AF4E" w14:textId="77777777" w:rsidR="00D04F08" w:rsidRPr="008A4F40" w:rsidRDefault="00D04F08" w:rsidP="004E7659">
      <w:pPr>
        <w:ind w:firstLine="3"/>
        <w:rPr>
          <w:color w:val="000000"/>
          <w:sz w:val="22"/>
          <w:szCs w:val="22"/>
        </w:rPr>
      </w:pPr>
    </w:p>
    <w:p w14:paraId="06A92EB6" w14:textId="1431B192" w:rsidR="00D04F08" w:rsidRPr="008A4F40" w:rsidRDefault="00D04F08" w:rsidP="004E7659">
      <w:pPr>
        <w:keepNext/>
        <w:ind w:firstLine="6"/>
        <w:rPr>
          <w:color w:val="000000"/>
          <w:sz w:val="22"/>
          <w:szCs w:val="22"/>
          <w:u w:val="single"/>
        </w:rPr>
      </w:pPr>
      <w:r w:rsidRPr="008A4F40">
        <w:rPr>
          <w:color w:val="000000"/>
          <w:sz w:val="22"/>
          <w:szCs w:val="22"/>
          <w:u w:val="single"/>
        </w:rPr>
        <w:t>Pharmakokinetik bei GIST-Patienten</w:t>
      </w:r>
    </w:p>
    <w:p w14:paraId="5175E111" w14:textId="77777777" w:rsidR="00072317" w:rsidRPr="008A4F40" w:rsidRDefault="00072317" w:rsidP="004E7659">
      <w:pPr>
        <w:keepNext/>
        <w:ind w:firstLine="6"/>
        <w:rPr>
          <w:color w:val="000000"/>
          <w:sz w:val="22"/>
          <w:szCs w:val="22"/>
          <w:u w:val="single"/>
        </w:rPr>
      </w:pPr>
    </w:p>
    <w:p w14:paraId="2371BAD6" w14:textId="539FC566" w:rsidR="00D04F08" w:rsidRPr="008A4F40" w:rsidRDefault="00D04F08" w:rsidP="004E7659">
      <w:pPr>
        <w:ind w:firstLine="3"/>
        <w:rPr>
          <w:color w:val="000000"/>
          <w:sz w:val="22"/>
          <w:szCs w:val="22"/>
        </w:rPr>
      </w:pPr>
      <w:r w:rsidRPr="008A4F40">
        <w:rPr>
          <w:color w:val="000000"/>
          <w:sz w:val="22"/>
          <w:szCs w:val="22"/>
        </w:rPr>
        <w:t>Bei GIST-Patienten war die Exposition im Steady</w:t>
      </w:r>
      <w:ins w:id="829" w:author="Author">
        <w:r w:rsidR="00A404B9">
          <w:rPr>
            <w:color w:val="000000"/>
            <w:sz w:val="22"/>
            <w:szCs w:val="22"/>
          </w:rPr>
          <w:t xml:space="preserve"> </w:t>
        </w:r>
      </w:ins>
      <w:del w:id="830" w:author="Author">
        <w:r w:rsidRPr="008A4F40" w:rsidDel="00A404B9">
          <w:rPr>
            <w:color w:val="000000"/>
            <w:sz w:val="22"/>
            <w:szCs w:val="22"/>
          </w:rPr>
          <w:delText>-</w:delText>
        </w:r>
      </w:del>
      <w:r w:rsidRPr="008A4F40">
        <w:rPr>
          <w:color w:val="000000"/>
          <w:sz w:val="22"/>
          <w:szCs w:val="22"/>
        </w:rPr>
        <w:t>State 1,5fach höher als bei CML-Patienten bei gleicher Dosierung (400 mg täglich). Auf der Grundlage vorläufiger populationspharmakokinetischer Un</w:t>
      </w:r>
      <w:del w:id="831" w:author="Author">
        <w:r w:rsidRPr="008A4F40" w:rsidDel="004E7659">
          <w:rPr>
            <w:color w:val="000000"/>
            <w:sz w:val="22"/>
            <w:szCs w:val="22"/>
          </w:rPr>
          <w:softHyphen/>
        </w:r>
      </w:del>
      <w:r w:rsidRPr="008A4F40">
        <w:rPr>
          <w:color w:val="000000"/>
          <w:sz w:val="22"/>
          <w:szCs w:val="22"/>
        </w:rPr>
        <w:t>tersuchungen bei GIST-Patienten gibt es drei Variable (Albumin, Leukozytenzahl und Bilirubin), die einen statistisch signifikanten Einfluss auf die Pharmakokinetik von Imatinib haben. Niedrige Albumin</w:t>
      </w:r>
      <w:del w:id="832" w:author="Author">
        <w:r w:rsidRPr="008A4F40" w:rsidDel="004E7659">
          <w:rPr>
            <w:color w:val="000000"/>
            <w:sz w:val="22"/>
            <w:szCs w:val="22"/>
          </w:rPr>
          <w:softHyphen/>
        </w:r>
      </w:del>
      <w:r w:rsidRPr="008A4F40">
        <w:rPr>
          <w:color w:val="000000"/>
          <w:sz w:val="22"/>
          <w:szCs w:val="22"/>
        </w:rPr>
        <w:t>spiegel verursachten ebenso wie höhere Leukozytenzahlen eine verminderte Clearance (CL/f). Diese Auswirkungen sind jedoch nicht ausgeprägt genug, um eine Dosisanpassung zu rechtfertigen. Bei dieser Patientenpopulation können Lebermetastasen möglicherweise zu Leberinsuffizienz und reduzierter Me</w:t>
      </w:r>
      <w:del w:id="833" w:author="Author">
        <w:r w:rsidRPr="008A4F40" w:rsidDel="004E7659">
          <w:rPr>
            <w:color w:val="000000"/>
            <w:sz w:val="22"/>
            <w:szCs w:val="22"/>
          </w:rPr>
          <w:softHyphen/>
        </w:r>
      </w:del>
      <w:r w:rsidRPr="008A4F40">
        <w:rPr>
          <w:color w:val="000000"/>
          <w:sz w:val="22"/>
          <w:szCs w:val="22"/>
        </w:rPr>
        <w:t>tabolisierung führen.</w:t>
      </w:r>
    </w:p>
    <w:p w14:paraId="5D19587E" w14:textId="77777777" w:rsidR="00D04F08" w:rsidRPr="008A4F40" w:rsidRDefault="00D04F08" w:rsidP="004E7659">
      <w:pPr>
        <w:ind w:firstLine="3"/>
        <w:rPr>
          <w:color w:val="000000"/>
          <w:sz w:val="22"/>
          <w:szCs w:val="22"/>
        </w:rPr>
      </w:pPr>
    </w:p>
    <w:p w14:paraId="3064AED1" w14:textId="34E7AB53" w:rsidR="00D04F08" w:rsidRPr="008A4F40" w:rsidRDefault="00D04F08" w:rsidP="004E7659">
      <w:pPr>
        <w:keepNext/>
        <w:ind w:firstLine="6"/>
        <w:rPr>
          <w:color w:val="000000"/>
          <w:sz w:val="22"/>
          <w:szCs w:val="22"/>
          <w:u w:val="single"/>
        </w:rPr>
      </w:pPr>
      <w:r w:rsidRPr="008A4F40">
        <w:rPr>
          <w:color w:val="000000"/>
          <w:sz w:val="22"/>
          <w:szCs w:val="22"/>
          <w:u w:val="single"/>
        </w:rPr>
        <w:t>Populationspharmakokinetik</w:t>
      </w:r>
    </w:p>
    <w:p w14:paraId="36A46F23" w14:textId="77777777" w:rsidR="00072317" w:rsidRPr="008A4F40" w:rsidRDefault="00072317" w:rsidP="004E7659">
      <w:pPr>
        <w:keepNext/>
        <w:ind w:firstLine="6"/>
        <w:rPr>
          <w:color w:val="000000"/>
          <w:sz w:val="22"/>
          <w:szCs w:val="22"/>
          <w:u w:val="single"/>
        </w:rPr>
      </w:pPr>
    </w:p>
    <w:p w14:paraId="219367FC" w14:textId="77777777" w:rsidR="00D04F08" w:rsidRPr="008A4F40" w:rsidRDefault="00D04F08" w:rsidP="004E7659">
      <w:pPr>
        <w:ind w:firstLine="3"/>
        <w:rPr>
          <w:color w:val="000000"/>
          <w:sz w:val="22"/>
          <w:szCs w:val="22"/>
        </w:rPr>
      </w:pPr>
      <w:r w:rsidRPr="008A4F40">
        <w:rPr>
          <w:color w:val="000000"/>
          <w:sz w:val="22"/>
          <w:szCs w:val="22"/>
        </w:rPr>
        <w:t>Die Analyse der Populationspharmakokinetik bei CML-Patienten ergab einen geringen Einfluss des Al</w:t>
      </w:r>
      <w:r w:rsidRPr="008A4F40">
        <w:rPr>
          <w:color w:val="000000"/>
          <w:sz w:val="22"/>
          <w:szCs w:val="22"/>
        </w:rPr>
        <w:softHyphen/>
        <w:t>ters auf das Verteilungsvolumen (12% Zunahme bei Patienten &gt; 65 Jahre alt). Diese Veränderung scheint klinisch nicht signifikant zu sein. Der Einfluss des Körpergewichts auf die Clearance von Imati</w:t>
      </w:r>
      <w:r w:rsidRPr="008A4F40">
        <w:rPr>
          <w:color w:val="000000"/>
          <w:sz w:val="22"/>
          <w:szCs w:val="22"/>
        </w:rPr>
        <w:softHyphen/>
        <w:t>nib zeigt sich darin, dass bei einem Patienten von 50 kg eine mittlere Clearance von 8,5 l/h erwartet werden kann, während bei einem Patienten von 100 kg die Clearance auf 11,8 l/h ansteigt. Diese Verän</w:t>
      </w:r>
      <w:r w:rsidRPr="008A4F40">
        <w:rPr>
          <w:color w:val="000000"/>
          <w:sz w:val="22"/>
          <w:szCs w:val="22"/>
        </w:rPr>
        <w:softHyphen/>
        <w:t>derungen begründen keine Dosisanpassung nach kg Körpergewicht. Es gibt keinen geschlechtspezifi</w:t>
      </w:r>
      <w:r w:rsidRPr="008A4F40">
        <w:rPr>
          <w:color w:val="000000"/>
          <w:sz w:val="22"/>
          <w:szCs w:val="22"/>
        </w:rPr>
        <w:softHyphen/>
        <w:t>schen Einfluss auf die Kinetik von Imatinib.</w:t>
      </w:r>
    </w:p>
    <w:p w14:paraId="2F090324" w14:textId="77777777" w:rsidR="00D04F08" w:rsidRPr="008A4F40" w:rsidRDefault="00D04F08" w:rsidP="004E7659">
      <w:pPr>
        <w:ind w:firstLine="3"/>
        <w:rPr>
          <w:color w:val="000000"/>
          <w:sz w:val="22"/>
          <w:szCs w:val="22"/>
        </w:rPr>
      </w:pPr>
    </w:p>
    <w:p w14:paraId="07CA58B1" w14:textId="4D20C8E0" w:rsidR="00D04F08" w:rsidRPr="008A4F40" w:rsidRDefault="00D04F08" w:rsidP="004E7659">
      <w:pPr>
        <w:keepNext/>
        <w:ind w:firstLine="6"/>
        <w:rPr>
          <w:color w:val="000000"/>
          <w:sz w:val="22"/>
          <w:szCs w:val="22"/>
          <w:u w:val="single"/>
        </w:rPr>
      </w:pPr>
      <w:r w:rsidRPr="008A4F40">
        <w:rPr>
          <w:color w:val="000000"/>
          <w:sz w:val="22"/>
          <w:szCs w:val="22"/>
          <w:u w:val="single"/>
        </w:rPr>
        <w:t>Pharmakokinetik bei Kindern</w:t>
      </w:r>
    </w:p>
    <w:p w14:paraId="7DC72950" w14:textId="77777777" w:rsidR="00072317" w:rsidRPr="008A4F40" w:rsidRDefault="00072317" w:rsidP="004E7659">
      <w:pPr>
        <w:keepNext/>
        <w:ind w:firstLine="6"/>
        <w:rPr>
          <w:color w:val="000000"/>
          <w:sz w:val="22"/>
          <w:szCs w:val="22"/>
          <w:u w:val="single"/>
        </w:rPr>
      </w:pPr>
    </w:p>
    <w:p w14:paraId="78B94541" w14:textId="5312D5A6" w:rsidR="003719C2" w:rsidRPr="008A4F40" w:rsidRDefault="00D04F08" w:rsidP="004E7659">
      <w:pPr>
        <w:ind w:firstLine="3"/>
        <w:rPr>
          <w:color w:val="000000"/>
          <w:sz w:val="22"/>
          <w:szCs w:val="22"/>
        </w:rPr>
      </w:pPr>
      <w:r w:rsidRPr="008A4F40">
        <w:rPr>
          <w:color w:val="000000"/>
          <w:sz w:val="22"/>
          <w:szCs w:val="22"/>
        </w:rPr>
        <w:t>Wie bei erwachsenen Patienten wurde Imatinib sowohl in Phase-I- als auch in Phase-II-Studien bei Kindern nach oraler Gabe schnell absorbiert. Bei den Kindern führten Dosierungen von 260 bzw. 340 mg/m</w:t>
      </w:r>
      <w:r w:rsidRPr="008A4F40">
        <w:rPr>
          <w:color w:val="000000"/>
          <w:sz w:val="22"/>
          <w:szCs w:val="22"/>
          <w:vertAlign w:val="superscript"/>
        </w:rPr>
        <w:t>2</w:t>
      </w:r>
      <w:r w:rsidRPr="008A4F40">
        <w:rPr>
          <w:color w:val="000000"/>
          <w:sz w:val="22"/>
          <w:szCs w:val="22"/>
        </w:rPr>
        <w:t>/Tag zu einer vergleichbaren Exposi</w:t>
      </w:r>
      <w:r w:rsidRPr="008A4F40">
        <w:rPr>
          <w:color w:val="000000"/>
          <w:sz w:val="22"/>
          <w:szCs w:val="22"/>
        </w:rPr>
        <w:softHyphen/>
        <w:t>tion wie Dosen von 400 mg bzw. 600 mg bei Erwachsenen. Der Vergleich zwischen der AUC</w:t>
      </w:r>
      <w:r w:rsidRPr="008A4F40">
        <w:rPr>
          <w:color w:val="000000"/>
          <w:sz w:val="22"/>
          <w:szCs w:val="22"/>
          <w:vertAlign w:val="subscript"/>
        </w:rPr>
        <w:t>(0-24)</w:t>
      </w:r>
      <w:r w:rsidRPr="008A4F40">
        <w:rPr>
          <w:color w:val="000000"/>
          <w:sz w:val="22"/>
          <w:szCs w:val="22"/>
        </w:rPr>
        <w:t xml:space="preserve"> am Tag 8 und am Tag 1 bei einer Dosierung von 340 mg/m</w:t>
      </w:r>
      <w:r w:rsidRPr="008A4F40">
        <w:rPr>
          <w:color w:val="000000"/>
          <w:sz w:val="22"/>
          <w:szCs w:val="22"/>
          <w:vertAlign w:val="superscript"/>
        </w:rPr>
        <w:t>2</w:t>
      </w:r>
      <w:r w:rsidRPr="008A4F40">
        <w:rPr>
          <w:color w:val="000000"/>
          <w:sz w:val="22"/>
          <w:szCs w:val="22"/>
        </w:rPr>
        <w:t>/Tag resultierte in einer 1,7fachen Akkumula</w:t>
      </w:r>
      <w:del w:id="834" w:author="Author">
        <w:r w:rsidRPr="008A4F40" w:rsidDel="004E7659">
          <w:rPr>
            <w:color w:val="000000"/>
            <w:sz w:val="22"/>
            <w:szCs w:val="22"/>
          </w:rPr>
          <w:softHyphen/>
        </w:r>
      </w:del>
      <w:r w:rsidRPr="008A4F40">
        <w:rPr>
          <w:color w:val="000000"/>
          <w:sz w:val="22"/>
          <w:szCs w:val="22"/>
        </w:rPr>
        <w:t>tion bei wiederholter einmal täglicher Dosierung.</w:t>
      </w:r>
    </w:p>
    <w:p w14:paraId="76A2CF56" w14:textId="77777777" w:rsidR="003719C2" w:rsidRPr="008A4F40" w:rsidRDefault="003719C2" w:rsidP="004E7659">
      <w:pPr>
        <w:ind w:firstLine="3"/>
        <w:rPr>
          <w:color w:val="000000"/>
          <w:sz w:val="22"/>
          <w:szCs w:val="22"/>
        </w:rPr>
      </w:pPr>
    </w:p>
    <w:p w14:paraId="5EF918D7" w14:textId="77777777" w:rsidR="00D04F08" w:rsidRPr="008A4F40" w:rsidRDefault="003719C2" w:rsidP="004E7659">
      <w:pPr>
        <w:ind w:firstLine="3"/>
        <w:rPr>
          <w:color w:val="000000"/>
          <w:sz w:val="22"/>
          <w:szCs w:val="22"/>
        </w:rPr>
      </w:pPr>
      <w:r w:rsidRPr="008A4F40">
        <w:rPr>
          <w:color w:val="000000"/>
          <w:sz w:val="22"/>
          <w:szCs w:val="22"/>
        </w:rPr>
        <w:t>Basierend auf der gepoolten Analyse der Populationspharmakokinetik bei pädiatrischen Patienten mit hämatologischen Erkrankungen (CML, Ph+ ALL oder andere hämatologische Erkrankungen, die mit Imatinib behandelt werden) steigt die Clearance von Imatinib mit zunehmender Körperoberfläche (BSA). Nach der Korrektur des BSA-Effekts haben andere demographische Faktoren wie Alter, Körpergewicht und Body-Mass-Index keine klinisch signifikanten Auswirkungen auf die Exposition von Imatinib. Die Analyse bestätigte, dass die Exposition von Imatinib bei pädiatrischen Patienten, die einmal täglich 260 mg/m² (täglich nicht mehr als 400 mg) oder einmal täglich 340 mg/m² (täglich nicht mehr als 600 mg) erhielten, vergleichbar war mit der von erwachsenen Patienten, die einmal täglich 400 mg oder 600 mg Imatinib erhielten.</w:t>
      </w:r>
    </w:p>
    <w:p w14:paraId="153AE106" w14:textId="77777777" w:rsidR="00D04F08" w:rsidRPr="008A4F40" w:rsidRDefault="00D04F08" w:rsidP="004E7659">
      <w:pPr>
        <w:ind w:firstLine="3"/>
        <w:rPr>
          <w:color w:val="000000"/>
          <w:sz w:val="22"/>
          <w:szCs w:val="22"/>
        </w:rPr>
      </w:pPr>
    </w:p>
    <w:p w14:paraId="0ED772C2" w14:textId="39B9314D" w:rsidR="00D04F08" w:rsidRPr="008A4F40" w:rsidRDefault="00D04F08" w:rsidP="004E7659">
      <w:pPr>
        <w:keepNext/>
        <w:ind w:firstLine="6"/>
        <w:rPr>
          <w:color w:val="000000"/>
          <w:sz w:val="22"/>
          <w:szCs w:val="22"/>
          <w:u w:val="single"/>
        </w:rPr>
      </w:pPr>
      <w:r w:rsidRPr="008A4F40">
        <w:rPr>
          <w:color w:val="000000"/>
          <w:sz w:val="22"/>
          <w:szCs w:val="22"/>
          <w:u w:val="single"/>
        </w:rPr>
        <w:t>Beeinträchtigung der Organfunktionen</w:t>
      </w:r>
    </w:p>
    <w:p w14:paraId="10A51D09" w14:textId="77777777" w:rsidR="00072317" w:rsidRPr="008A4F40" w:rsidRDefault="00072317" w:rsidP="004E7659">
      <w:pPr>
        <w:keepNext/>
        <w:ind w:firstLine="6"/>
        <w:rPr>
          <w:color w:val="000000"/>
          <w:sz w:val="22"/>
          <w:szCs w:val="22"/>
          <w:u w:val="single"/>
        </w:rPr>
      </w:pPr>
    </w:p>
    <w:p w14:paraId="7A5A2C34" w14:textId="28B69839" w:rsidR="00D04F08" w:rsidRPr="008A4F40" w:rsidRDefault="00D04F08" w:rsidP="004E7659">
      <w:pPr>
        <w:ind w:firstLine="3"/>
        <w:rPr>
          <w:color w:val="000000"/>
          <w:sz w:val="22"/>
          <w:szCs w:val="22"/>
        </w:rPr>
      </w:pPr>
      <w:r w:rsidRPr="008A4F40">
        <w:rPr>
          <w:color w:val="000000"/>
          <w:sz w:val="22"/>
          <w:szCs w:val="22"/>
        </w:rPr>
        <w:t>Imatinib und seine Metaboliten werden nicht in bedeutendem Ausmaß durch die Nieren ausgeschieden. Patienten mit leichter und mäßiger Niereninsuffizienz scheinen eine höhere Plasmaexposition zu haben als Patienten mit normaler Nierenfunktion. Der Anstieg ist etwa 1,5- bis 2fach, entsprechend einem 1,5fachen Anstieg von AGP im Plasma, an das Imatinib stark bindet. Die Clearance von ungebundenem Imatinib ist wahrscheinlich vergleichbar zwischen Patienten mit Niereninsuffizienz und Patienten mit normaler Nierenfunktion, da die renale Ausscheidung nur einen unbedeutenden Eliminationsweg für Imatinib darstellt (siehe Abschnitte</w:t>
      </w:r>
      <w:ins w:id="835" w:author="Author">
        <w:r w:rsidR="00E96CC8">
          <w:rPr>
            <w:color w:val="000000"/>
            <w:sz w:val="22"/>
            <w:szCs w:val="22"/>
          </w:rPr>
          <w:t> </w:t>
        </w:r>
      </w:ins>
      <w:del w:id="836" w:author="Author">
        <w:r w:rsidRPr="008A4F40" w:rsidDel="00E96CC8">
          <w:rPr>
            <w:color w:val="000000"/>
            <w:sz w:val="22"/>
            <w:szCs w:val="22"/>
          </w:rPr>
          <w:delText xml:space="preserve"> </w:delText>
        </w:r>
      </w:del>
      <w:r w:rsidRPr="008A4F40">
        <w:rPr>
          <w:color w:val="000000"/>
          <w:sz w:val="22"/>
          <w:szCs w:val="22"/>
        </w:rPr>
        <w:t>4.2 und 4.4).</w:t>
      </w:r>
    </w:p>
    <w:p w14:paraId="705EBBC7" w14:textId="77777777" w:rsidR="00D04F08" w:rsidRPr="008A4F40" w:rsidRDefault="00D04F08" w:rsidP="004E7659">
      <w:pPr>
        <w:ind w:firstLine="3"/>
        <w:rPr>
          <w:color w:val="000000"/>
          <w:sz w:val="22"/>
          <w:szCs w:val="22"/>
        </w:rPr>
      </w:pPr>
    </w:p>
    <w:p w14:paraId="7D56A8EA" w14:textId="44CFDD00" w:rsidR="00D04F08" w:rsidRPr="008A4F40" w:rsidRDefault="00D04F08" w:rsidP="004E7659">
      <w:pPr>
        <w:ind w:firstLine="3"/>
        <w:rPr>
          <w:color w:val="000000"/>
          <w:sz w:val="22"/>
          <w:szCs w:val="22"/>
        </w:rPr>
      </w:pPr>
      <w:r w:rsidRPr="008A4F40">
        <w:rPr>
          <w:color w:val="000000"/>
          <w:sz w:val="22"/>
          <w:szCs w:val="22"/>
        </w:rPr>
        <w:t>Obwohl die Ergebnisse der pharmakokinetischen Analyse eine beträchtliche interindividuelle Variabilität zeigten, stieg die mittlere Imatinib-Exposition bei Patienten mit unterschiedlichem Ausmaß von Leberfunktionsstörungen im Vergleich zu Patienten mit normaler Leberfunktion nicht an (siehe Abschnitte</w:t>
      </w:r>
      <w:ins w:id="837" w:author="Author">
        <w:r w:rsidR="00E96CC8">
          <w:rPr>
            <w:color w:val="000000"/>
            <w:sz w:val="22"/>
            <w:szCs w:val="22"/>
          </w:rPr>
          <w:t> </w:t>
        </w:r>
      </w:ins>
      <w:del w:id="838" w:author="Author">
        <w:r w:rsidRPr="008A4F40" w:rsidDel="00E96CC8">
          <w:rPr>
            <w:color w:val="000000"/>
            <w:sz w:val="22"/>
            <w:szCs w:val="22"/>
          </w:rPr>
          <w:delText xml:space="preserve"> </w:delText>
        </w:r>
      </w:del>
      <w:r w:rsidRPr="008A4F40">
        <w:rPr>
          <w:color w:val="000000"/>
          <w:sz w:val="22"/>
          <w:szCs w:val="22"/>
        </w:rPr>
        <w:t>4.2, 4.4 und 4.8).</w:t>
      </w:r>
    </w:p>
    <w:p w14:paraId="009B214E" w14:textId="77777777" w:rsidR="00D04F08" w:rsidRPr="008A4F40" w:rsidRDefault="00D04F08" w:rsidP="004E7659">
      <w:pPr>
        <w:rPr>
          <w:color w:val="000000"/>
          <w:sz w:val="22"/>
          <w:szCs w:val="22"/>
        </w:rPr>
      </w:pPr>
    </w:p>
    <w:p w14:paraId="5A597065" w14:textId="77777777" w:rsidR="00D04F08" w:rsidRPr="008A4F40" w:rsidRDefault="00D04F08" w:rsidP="004E7659">
      <w:pPr>
        <w:keepNext/>
        <w:ind w:left="567" w:hanging="567"/>
        <w:rPr>
          <w:color w:val="000000"/>
          <w:sz w:val="22"/>
          <w:szCs w:val="22"/>
        </w:rPr>
      </w:pPr>
      <w:r w:rsidRPr="008A4F40">
        <w:rPr>
          <w:b/>
          <w:color w:val="000000"/>
          <w:sz w:val="22"/>
          <w:szCs w:val="22"/>
        </w:rPr>
        <w:t>5.3</w:t>
      </w:r>
      <w:r w:rsidRPr="008A4F40">
        <w:rPr>
          <w:b/>
          <w:color w:val="000000"/>
          <w:sz w:val="22"/>
          <w:szCs w:val="22"/>
        </w:rPr>
        <w:tab/>
        <w:t>Präklinische Daten zur Sicherheit</w:t>
      </w:r>
    </w:p>
    <w:p w14:paraId="3439C256" w14:textId="77777777" w:rsidR="00D04F08" w:rsidRPr="008A4F40" w:rsidRDefault="00D04F08" w:rsidP="004E7659">
      <w:pPr>
        <w:keepNext/>
        <w:ind w:firstLine="3"/>
        <w:rPr>
          <w:color w:val="000000"/>
          <w:sz w:val="22"/>
          <w:szCs w:val="22"/>
        </w:rPr>
      </w:pPr>
    </w:p>
    <w:p w14:paraId="26E134E9" w14:textId="77777777" w:rsidR="00D04F08" w:rsidRPr="008A4F40" w:rsidRDefault="00D04F08" w:rsidP="004E7659">
      <w:pPr>
        <w:ind w:firstLine="3"/>
        <w:rPr>
          <w:color w:val="000000"/>
          <w:sz w:val="22"/>
          <w:szCs w:val="22"/>
        </w:rPr>
      </w:pPr>
      <w:r w:rsidRPr="008A4F40">
        <w:rPr>
          <w:color w:val="000000"/>
          <w:sz w:val="22"/>
          <w:szCs w:val="22"/>
        </w:rPr>
        <w:t>Das präklinische Sicherheitsprofil von Imatinib wurde an Ratten, Hunden, Affen und Kaninchen unter</w:t>
      </w:r>
      <w:del w:id="839" w:author="Author">
        <w:r w:rsidRPr="008A4F40" w:rsidDel="004E7659">
          <w:rPr>
            <w:color w:val="000000"/>
            <w:sz w:val="22"/>
            <w:szCs w:val="22"/>
          </w:rPr>
          <w:softHyphen/>
        </w:r>
      </w:del>
      <w:r w:rsidRPr="008A4F40">
        <w:rPr>
          <w:color w:val="000000"/>
          <w:sz w:val="22"/>
          <w:szCs w:val="22"/>
        </w:rPr>
        <w:t>sucht.</w:t>
      </w:r>
    </w:p>
    <w:p w14:paraId="28B7960E" w14:textId="77777777" w:rsidR="00D04F08" w:rsidRPr="008A4F40" w:rsidRDefault="00D04F08" w:rsidP="004E7659">
      <w:pPr>
        <w:ind w:firstLine="3"/>
        <w:rPr>
          <w:color w:val="000000"/>
          <w:sz w:val="22"/>
          <w:szCs w:val="22"/>
        </w:rPr>
      </w:pPr>
    </w:p>
    <w:p w14:paraId="26044E89" w14:textId="77777777" w:rsidR="00D04F08" w:rsidRPr="008A4F40" w:rsidRDefault="00D04F08" w:rsidP="004E7659">
      <w:pPr>
        <w:ind w:firstLine="3"/>
        <w:rPr>
          <w:color w:val="000000"/>
          <w:sz w:val="22"/>
          <w:szCs w:val="22"/>
        </w:rPr>
      </w:pPr>
      <w:r w:rsidRPr="008A4F40">
        <w:rPr>
          <w:color w:val="000000"/>
          <w:sz w:val="22"/>
          <w:szCs w:val="22"/>
        </w:rPr>
        <w:t>Toxizitätsstudien nach wiederholter Gabe zeigten bei Ratten, Hunden und Affen leichte bis mäßige hä</w:t>
      </w:r>
      <w:del w:id="840" w:author="Author">
        <w:r w:rsidRPr="008A4F40" w:rsidDel="004E7659">
          <w:rPr>
            <w:color w:val="000000"/>
            <w:sz w:val="22"/>
            <w:szCs w:val="22"/>
          </w:rPr>
          <w:softHyphen/>
        </w:r>
      </w:del>
      <w:r w:rsidRPr="008A4F40">
        <w:rPr>
          <w:color w:val="000000"/>
          <w:sz w:val="22"/>
          <w:szCs w:val="22"/>
        </w:rPr>
        <w:t>matologische Veränderungen, die bei Ratten und Hunden mit Veränderungen des Knochenmarks einher</w:t>
      </w:r>
      <w:del w:id="841" w:author="Author">
        <w:r w:rsidRPr="008A4F40" w:rsidDel="004E7659">
          <w:rPr>
            <w:color w:val="000000"/>
            <w:sz w:val="22"/>
            <w:szCs w:val="22"/>
          </w:rPr>
          <w:softHyphen/>
        </w:r>
      </w:del>
      <w:r w:rsidRPr="008A4F40">
        <w:rPr>
          <w:color w:val="000000"/>
          <w:sz w:val="22"/>
          <w:szCs w:val="22"/>
        </w:rPr>
        <w:t>gingen.</w:t>
      </w:r>
    </w:p>
    <w:p w14:paraId="0E45A122" w14:textId="77777777" w:rsidR="00D04F08" w:rsidRPr="008A4F40" w:rsidRDefault="00D04F08" w:rsidP="004E7659">
      <w:pPr>
        <w:ind w:firstLine="3"/>
        <w:rPr>
          <w:color w:val="000000"/>
          <w:sz w:val="22"/>
          <w:szCs w:val="22"/>
        </w:rPr>
      </w:pPr>
    </w:p>
    <w:p w14:paraId="20435425" w14:textId="77777777" w:rsidR="00D04F08" w:rsidRPr="008A4F40" w:rsidRDefault="00D04F08" w:rsidP="004E7659">
      <w:pPr>
        <w:ind w:firstLine="3"/>
        <w:rPr>
          <w:color w:val="000000"/>
          <w:sz w:val="22"/>
          <w:szCs w:val="22"/>
        </w:rPr>
      </w:pPr>
      <w:r w:rsidRPr="008A4F40">
        <w:rPr>
          <w:color w:val="000000"/>
          <w:sz w:val="22"/>
          <w:szCs w:val="22"/>
        </w:rPr>
        <w:t>Die Leber war das Zielorgan bei Ratten und Hunden. Leichte bis mäßige Anstiege der Transaminasen und geringe Abnahmen von Cholesterin, Triglyzeriden, des Gesamtproteins und der Albuminspiegel wurden in beiden Spezies beobachtet. In der Rattenleber wurden keine histopathologischen Veränderun</w:t>
      </w:r>
      <w:del w:id="842" w:author="Author">
        <w:r w:rsidRPr="008A4F40" w:rsidDel="004E7659">
          <w:rPr>
            <w:color w:val="000000"/>
            <w:sz w:val="22"/>
            <w:szCs w:val="22"/>
          </w:rPr>
          <w:softHyphen/>
        </w:r>
      </w:del>
      <w:r w:rsidRPr="008A4F40">
        <w:rPr>
          <w:color w:val="000000"/>
          <w:sz w:val="22"/>
          <w:szCs w:val="22"/>
        </w:rPr>
        <w:t>gen gefunden. Schwere Lebertoxizität mit erhöhten Leberenzymen, Leberzellnekrose, Gallengangs</w:t>
      </w:r>
      <w:del w:id="843" w:author="Author">
        <w:r w:rsidRPr="008A4F40" w:rsidDel="004E7659">
          <w:rPr>
            <w:color w:val="000000"/>
            <w:sz w:val="22"/>
            <w:szCs w:val="22"/>
          </w:rPr>
          <w:softHyphen/>
        </w:r>
      </w:del>
      <w:r w:rsidRPr="008A4F40">
        <w:rPr>
          <w:color w:val="000000"/>
          <w:sz w:val="22"/>
          <w:szCs w:val="22"/>
        </w:rPr>
        <w:t>nekrose und Gallengangshyperplasie wurde bei Hunden nach zweiwöchiger Behandlung beobachtet.</w:t>
      </w:r>
    </w:p>
    <w:p w14:paraId="51FFCB29" w14:textId="77777777" w:rsidR="00D04F08" w:rsidRPr="008A4F40" w:rsidRDefault="00D04F08" w:rsidP="004E7659">
      <w:pPr>
        <w:ind w:firstLine="3"/>
        <w:rPr>
          <w:color w:val="000000"/>
          <w:sz w:val="22"/>
          <w:szCs w:val="22"/>
        </w:rPr>
      </w:pPr>
    </w:p>
    <w:p w14:paraId="5D21B4D1" w14:textId="77777777" w:rsidR="00D04F08" w:rsidRPr="008A4F40" w:rsidRDefault="00D04F08" w:rsidP="004E7659">
      <w:pPr>
        <w:ind w:firstLine="3"/>
        <w:rPr>
          <w:color w:val="000000"/>
          <w:sz w:val="22"/>
          <w:szCs w:val="22"/>
        </w:rPr>
      </w:pPr>
      <w:r w:rsidRPr="008A4F40">
        <w:rPr>
          <w:color w:val="000000"/>
          <w:sz w:val="22"/>
          <w:szCs w:val="22"/>
        </w:rPr>
        <w:t>Nierentoxizität mit fokaler Mineralisierung und Dilatation der renalen Tubuli und einer tubulären Nekrose wurde bei Affen nach zweiwöchiger Behandlung beobachtet. Erhöhte Blutharnstoffwerte (BUN) und Kreatininspiegel wurden bei einigen dieser Tiere gefunden. Bei Ratten wurde eine Hyperpla</w:t>
      </w:r>
      <w:del w:id="844" w:author="Author">
        <w:r w:rsidRPr="008A4F40" w:rsidDel="004E7659">
          <w:rPr>
            <w:color w:val="000000"/>
            <w:sz w:val="22"/>
            <w:szCs w:val="22"/>
          </w:rPr>
          <w:softHyphen/>
        </w:r>
      </w:del>
      <w:r w:rsidRPr="008A4F40">
        <w:rPr>
          <w:color w:val="000000"/>
          <w:sz w:val="22"/>
          <w:szCs w:val="22"/>
        </w:rPr>
        <w:t>sie des Übergangsepithels in der Nierenpapille und in der Harnblase bei Dosen &gt; 6 mg/kg in einer 13-Wochenstudie ohne Änderungen der Serum- oder Urinparameter festgestellt. Eine erhöhte Rate oppor</w:t>
      </w:r>
      <w:del w:id="845" w:author="Author">
        <w:r w:rsidRPr="008A4F40" w:rsidDel="004E7659">
          <w:rPr>
            <w:color w:val="000000"/>
            <w:sz w:val="22"/>
            <w:szCs w:val="22"/>
          </w:rPr>
          <w:softHyphen/>
        </w:r>
      </w:del>
      <w:r w:rsidRPr="008A4F40">
        <w:rPr>
          <w:color w:val="000000"/>
          <w:sz w:val="22"/>
          <w:szCs w:val="22"/>
        </w:rPr>
        <w:t>tunistischer Infektionen trat unter chronischer Imatinib-Behandlung auf.</w:t>
      </w:r>
    </w:p>
    <w:p w14:paraId="7122965B" w14:textId="77777777" w:rsidR="00D04F08" w:rsidRPr="008A4F40" w:rsidRDefault="00D04F08" w:rsidP="004E7659">
      <w:pPr>
        <w:ind w:firstLine="3"/>
        <w:rPr>
          <w:color w:val="000000"/>
          <w:sz w:val="22"/>
          <w:szCs w:val="22"/>
        </w:rPr>
      </w:pPr>
    </w:p>
    <w:p w14:paraId="56EF187E" w14:textId="77777777" w:rsidR="00D04F08" w:rsidRPr="008A4F40" w:rsidRDefault="00D04F08" w:rsidP="004E7659">
      <w:pPr>
        <w:ind w:firstLine="3"/>
        <w:rPr>
          <w:color w:val="000000"/>
          <w:sz w:val="22"/>
          <w:szCs w:val="22"/>
        </w:rPr>
      </w:pPr>
      <w:r w:rsidRPr="008A4F40">
        <w:rPr>
          <w:color w:val="000000"/>
          <w:sz w:val="22"/>
          <w:szCs w:val="22"/>
        </w:rPr>
        <w:t>In einer Affenstudie über 39 Wochen konnte bei der niedrigsten Dosierung von 15 mg/kg, die etwa einem Drittel der maximalen Humandosis von 800 mg/Tag bezogen auf die Körperoberfläche entsprach, kein „No Observed Adverse Effect Level“ (NOAEL) festgestellt werden. Die Behandlung ergab bei diesen Versuchstie</w:t>
      </w:r>
      <w:del w:id="846" w:author="Author">
        <w:r w:rsidRPr="008A4F40" w:rsidDel="004E7659">
          <w:rPr>
            <w:color w:val="000000"/>
            <w:sz w:val="22"/>
            <w:szCs w:val="22"/>
          </w:rPr>
          <w:softHyphen/>
        </w:r>
      </w:del>
      <w:r w:rsidRPr="008A4F40">
        <w:rPr>
          <w:color w:val="000000"/>
          <w:sz w:val="22"/>
          <w:szCs w:val="22"/>
        </w:rPr>
        <w:t>ren eine Verschlechterung normalerweise unterdrückter Malariainfektionen.</w:t>
      </w:r>
    </w:p>
    <w:p w14:paraId="2D8B884B" w14:textId="77777777" w:rsidR="00D04F08" w:rsidRPr="008A4F40" w:rsidRDefault="00D04F08" w:rsidP="004E7659">
      <w:pPr>
        <w:ind w:firstLine="3"/>
        <w:rPr>
          <w:color w:val="000000"/>
          <w:sz w:val="22"/>
          <w:szCs w:val="22"/>
        </w:rPr>
      </w:pPr>
    </w:p>
    <w:p w14:paraId="5CF87C03" w14:textId="7EF9D6F1" w:rsidR="00D04F08" w:rsidRPr="008A4F40" w:rsidRDefault="00D04F08" w:rsidP="004E7659">
      <w:pPr>
        <w:ind w:firstLine="3"/>
        <w:rPr>
          <w:color w:val="000000"/>
          <w:sz w:val="22"/>
          <w:szCs w:val="22"/>
        </w:rPr>
      </w:pPr>
      <w:r w:rsidRPr="008A4F40">
        <w:rPr>
          <w:color w:val="000000"/>
          <w:sz w:val="22"/>
          <w:szCs w:val="22"/>
        </w:rPr>
        <w:t xml:space="preserve">Imatinib zeigte keine genotoxischen Eigenschaften in einem </w:t>
      </w:r>
      <w:r w:rsidRPr="008A4F40">
        <w:rPr>
          <w:i/>
          <w:color w:val="000000"/>
          <w:sz w:val="22"/>
          <w:szCs w:val="22"/>
        </w:rPr>
        <w:t>in vitro</w:t>
      </w:r>
      <w:r w:rsidRPr="008A4F40">
        <w:rPr>
          <w:color w:val="000000"/>
          <w:sz w:val="22"/>
          <w:szCs w:val="22"/>
        </w:rPr>
        <w:t xml:space="preserve"> bakteriellen Zelltest (Ames Test), einem </w:t>
      </w:r>
      <w:r w:rsidR="00B41A0F">
        <w:rPr>
          <w:i/>
          <w:color w:val="000000"/>
          <w:sz w:val="22"/>
          <w:szCs w:val="22"/>
        </w:rPr>
        <w:t>I</w:t>
      </w:r>
      <w:r w:rsidRPr="008A4F40">
        <w:rPr>
          <w:i/>
          <w:color w:val="000000"/>
          <w:sz w:val="22"/>
          <w:szCs w:val="22"/>
        </w:rPr>
        <w:t>n</w:t>
      </w:r>
      <w:r w:rsidR="00B41A0F">
        <w:rPr>
          <w:i/>
          <w:color w:val="000000"/>
          <w:sz w:val="22"/>
          <w:szCs w:val="22"/>
        </w:rPr>
        <w:noBreakHyphen/>
      </w:r>
      <w:r w:rsidRPr="008A4F40">
        <w:rPr>
          <w:i/>
          <w:color w:val="000000"/>
          <w:sz w:val="22"/>
          <w:szCs w:val="22"/>
        </w:rPr>
        <w:t>vitro</w:t>
      </w:r>
      <w:r w:rsidR="00B41A0F">
        <w:rPr>
          <w:color w:val="000000"/>
          <w:sz w:val="22"/>
          <w:szCs w:val="22"/>
        </w:rPr>
        <w:noBreakHyphen/>
      </w:r>
      <w:r w:rsidRPr="008A4F40">
        <w:rPr>
          <w:color w:val="000000"/>
          <w:sz w:val="22"/>
          <w:szCs w:val="22"/>
        </w:rPr>
        <w:t xml:space="preserve">Säugetierzelltest (Maus-Lymphoma-Test) und einem </w:t>
      </w:r>
      <w:r w:rsidR="00B41A0F">
        <w:rPr>
          <w:i/>
          <w:color w:val="000000"/>
          <w:sz w:val="22"/>
          <w:szCs w:val="22"/>
        </w:rPr>
        <w:t>I</w:t>
      </w:r>
      <w:r w:rsidRPr="008A4F40">
        <w:rPr>
          <w:i/>
          <w:color w:val="000000"/>
          <w:sz w:val="22"/>
          <w:szCs w:val="22"/>
        </w:rPr>
        <w:t>n</w:t>
      </w:r>
      <w:r w:rsidR="00B41A0F">
        <w:rPr>
          <w:i/>
          <w:color w:val="000000"/>
          <w:sz w:val="22"/>
          <w:szCs w:val="22"/>
        </w:rPr>
        <w:noBreakHyphen/>
      </w:r>
      <w:r w:rsidRPr="008A4F40">
        <w:rPr>
          <w:i/>
          <w:color w:val="000000"/>
          <w:sz w:val="22"/>
          <w:szCs w:val="22"/>
        </w:rPr>
        <w:t>vivo</w:t>
      </w:r>
      <w:r w:rsidR="00B41A0F">
        <w:rPr>
          <w:color w:val="000000"/>
          <w:sz w:val="22"/>
          <w:szCs w:val="22"/>
        </w:rPr>
        <w:noBreakHyphen/>
      </w:r>
      <w:r w:rsidRPr="008A4F40">
        <w:rPr>
          <w:color w:val="000000"/>
          <w:sz w:val="22"/>
          <w:szCs w:val="22"/>
        </w:rPr>
        <w:t xml:space="preserve">Rattenmikrokerntest. Positive genotoxische Effekte wurden für Imatinib in einem </w:t>
      </w:r>
      <w:r w:rsidR="00B41A0F">
        <w:rPr>
          <w:i/>
          <w:color w:val="000000"/>
          <w:sz w:val="22"/>
          <w:szCs w:val="22"/>
        </w:rPr>
        <w:t>I</w:t>
      </w:r>
      <w:r w:rsidRPr="008A4F40">
        <w:rPr>
          <w:i/>
          <w:color w:val="000000"/>
          <w:sz w:val="22"/>
          <w:szCs w:val="22"/>
        </w:rPr>
        <w:t>n</w:t>
      </w:r>
      <w:r w:rsidR="00B41A0F">
        <w:rPr>
          <w:i/>
          <w:color w:val="000000"/>
          <w:sz w:val="22"/>
          <w:szCs w:val="22"/>
        </w:rPr>
        <w:noBreakHyphen/>
      </w:r>
      <w:r w:rsidRPr="008A4F40">
        <w:rPr>
          <w:i/>
          <w:color w:val="000000"/>
          <w:sz w:val="22"/>
          <w:szCs w:val="22"/>
        </w:rPr>
        <w:t>vitro</w:t>
      </w:r>
      <w:r w:rsidR="00B41A0F">
        <w:rPr>
          <w:color w:val="000000"/>
          <w:sz w:val="22"/>
          <w:szCs w:val="22"/>
        </w:rPr>
        <w:noBreakHyphen/>
      </w:r>
      <w:r w:rsidRPr="008A4F40">
        <w:rPr>
          <w:color w:val="000000"/>
          <w:sz w:val="22"/>
          <w:szCs w:val="22"/>
        </w:rPr>
        <w:t>Säugetierzelltest (Ovarialzellen des Chi</w:t>
      </w:r>
      <w:del w:id="847" w:author="Author">
        <w:r w:rsidRPr="008A4F40" w:rsidDel="004E7659">
          <w:rPr>
            <w:color w:val="000000"/>
            <w:sz w:val="22"/>
            <w:szCs w:val="22"/>
          </w:rPr>
          <w:softHyphen/>
        </w:r>
      </w:del>
      <w:r w:rsidRPr="008A4F40">
        <w:rPr>
          <w:color w:val="000000"/>
          <w:sz w:val="22"/>
          <w:szCs w:val="22"/>
        </w:rPr>
        <w:t>nesischen Hamsters) auf klastogene Effekte (Chromosomenaberrationen) bei Vorliegen einer metaboli</w:t>
      </w:r>
      <w:del w:id="848" w:author="Author">
        <w:r w:rsidRPr="008A4F40" w:rsidDel="004E7659">
          <w:rPr>
            <w:color w:val="000000"/>
            <w:sz w:val="22"/>
            <w:szCs w:val="22"/>
          </w:rPr>
          <w:softHyphen/>
        </w:r>
      </w:del>
      <w:r w:rsidRPr="008A4F40">
        <w:rPr>
          <w:color w:val="000000"/>
          <w:sz w:val="22"/>
          <w:szCs w:val="22"/>
        </w:rPr>
        <w:t>schen Aktivierung gefunden. Zwei Zwischenprodukte im Herstellungsprozess, die sich auch im Endpro</w:t>
      </w:r>
      <w:del w:id="849" w:author="Author">
        <w:r w:rsidRPr="008A4F40" w:rsidDel="004E7659">
          <w:rPr>
            <w:color w:val="000000"/>
            <w:sz w:val="22"/>
            <w:szCs w:val="22"/>
          </w:rPr>
          <w:softHyphen/>
        </w:r>
      </w:del>
      <w:r w:rsidRPr="008A4F40">
        <w:rPr>
          <w:color w:val="000000"/>
          <w:sz w:val="22"/>
          <w:szCs w:val="22"/>
        </w:rPr>
        <w:t>dukt finden, zeigten im Ames Test Mutagenität. Eines dieser Zwischenprodukte war auch im Maus Lymphoma Test positiv.</w:t>
      </w:r>
    </w:p>
    <w:p w14:paraId="43BA65F7" w14:textId="77777777" w:rsidR="00D04F08" w:rsidRPr="008A4F40" w:rsidRDefault="00D04F08" w:rsidP="004E7659">
      <w:pPr>
        <w:ind w:firstLine="3"/>
        <w:rPr>
          <w:color w:val="000000"/>
          <w:sz w:val="22"/>
          <w:szCs w:val="22"/>
        </w:rPr>
      </w:pPr>
    </w:p>
    <w:p w14:paraId="60E69DA1" w14:textId="77777777" w:rsidR="00D04F08" w:rsidRPr="008A4F40" w:rsidRDefault="00D04F08" w:rsidP="004E7659">
      <w:pPr>
        <w:ind w:firstLine="3"/>
        <w:rPr>
          <w:color w:val="000000"/>
          <w:sz w:val="22"/>
          <w:szCs w:val="22"/>
        </w:rPr>
      </w:pPr>
      <w:r w:rsidRPr="008A4F40">
        <w:rPr>
          <w:color w:val="000000"/>
          <w:sz w:val="22"/>
          <w:szCs w:val="22"/>
        </w:rPr>
        <w:t>Männliche Ratten, die in einer Fertilitätsstudie 70 Tage lang mit 60 mg/kg, was etwa der maximalen klinischen Dosierung von 800 mg/Tag bezogen auf die Körperoberfläche entspricht, vor der Verpaarung behandelt wurden, zeigten ein vermindertes Hoden- und Nebenhodengewicht und eine verringerte Sper</w:t>
      </w:r>
      <w:del w:id="850" w:author="Author">
        <w:r w:rsidRPr="008A4F40" w:rsidDel="004E7659">
          <w:rPr>
            <w:color w:val="000000"/>
            <w:sz w:val="22"/>
            <w:szCs w:val="22"/>
          </w:rPr>
          <w:softHyphen/>
        </w:r>
      </w:del>
      <w:r w:rsidRPr="008A4F40">
        <w:rPr>
          <w:color w:val="000000"/>
          <w:sz w:val="22"/>
          <w:szCs w:val="22"/>
        </w:rPr>
        <w:t>mienmotilität. Dies wurde bei Dosen ≤ 20 mg/kg nicht gefunden. Eine leichte bis mäßige Verminderung der Spermatogenese wurde auch bei Hunden unter oralen Dosen von &gt; 30 mg/kg beobachtet. Wenn weibliche Ratten 14 Tage vor der Verpaarung und bis zum 6. Tag der Gestation behandelt wurden, er</w:t>
      </w:r>
      <w:del w:id="851" w:author="Author">
        <w:r w:rsidRPr="008A4F40" w:rsidDel="004E7659">
          <w:rPr>
            <w:color w:val="000000"/>
            <w:sz w:val="22"/>
            <w:szCs w:val="22"/>
          </w:rPr>
          <w:softHyphen/>
        </w:r>
      </w:del>
      <w:r w:rsidRPr="008A4F40">
        <w:rPr>
          <w:color w:val="000000"/>
          <w:sz w:val="22"/>
          <w:szCs w:val="22"/>
        </w:rPr>
        <w:t>gab sich kein Effekt auf die Verpaarung oder auf die Zahl trächtiger Tiere. Bei einer Dosierung von 60 mg/kg hatten weibliche Ratten einen signifikanten Verlust von Feten nach der Implantation und eine verminderte Anzahl lebender Feten. Dies war bei Dosen ≤ 20 mg/kg nicht nachweisbar.</w:t>
      </w:r>
    </w:p>
    <w:p w14:paraId="0A3A0EB8" w14:textId="77777777" w:rsidR="00D04F08" w:rsidRPr="008A4F40" w:rsidRDefault="00D04F08" w:rsidP="004E7659">
      <w:pPr>
        <w:ind w:firstLine="3"/>
        <w:rPr>
          <w:color w:val="000000"/>
          <w:sz w:val="22"/>
          <w:szCs w:val="22"/>
        </w:rPr>
      </w:pPr>
    </w:p>
    <w:p w14:paraId="70536B87" w14:textId="77777777" w:rsidR="00D04F08" w:rsidRPr="008A4F40" w:rsidRDefault="00D04F08" w:rsidP="004E7659">
      <w:pPr>
        <w:ind w:firstLine="3"/>
        <w:rPr>
          <w:color w:val="000000"/>
          <w:sz w:val="22"/>
          <w:szCs w:val="22"/>
        </w:rPr>
      </w:pPr>
      <w:r w:rsidRPr="008A4F40">
        <w:rPr>
          <w:color w:val="000000"/>
          <w:sz w:val="22"/>
          <w:szCs w:val="22"/>
        </w:rPr>
        <w:t>In einer oralen Studie zur prä- und postnatalen Entwicklung bei Ratten wurde in der Gruppe mit 45 mg/kg/Tag am Tag 14 oder 15 der Tragzeit ein roter vaginaler Ausfluss beobachtet. Bei der gleichen Dosis war die Anzahl der Totgeburten ebenso erhöht wie die Zahl der Nachkommen, die in den Tagen 0 bis 4 post partum starben. In der F</w:t>
      </w:r>
      <w:r w:rsidRPr="008A4F40">
        <w:rPr>
          <w:color w:val="000000"/>
          <w:sz w:val="22"/>
          <w:szCs w:val="22"/>
          <w:vertAlign w:val="subscript"/>
        </w:rPr>
        <w:t>1</w:t>
      </w:r>
      <w:r w:rsidRPr="008A4F40">
        <w:rPr>
          <w:color w:val="000000"/>
          <w:sz w:val="22"/>
          <w:szCs w:val="22"/>
        </w:rPr>
        <w:t>-Generation war in der gleichen Dosisgruppe das gemittelte Körper</w:t>
      </w:r>
      <w:del w:id="852" w:author="Author">
        <w:r w:rsidRPr="008A4F40" w:rsidDel="004E7659">
          <w:rPr>
            <w:color w:val="000000"/>
            <w:sz w:val="22"/>
            <w:szCs w:val="22"/>
          </w:rPr>
          <w:softHyphen/>
        </w:r>
      </w:del>
      <w:r w:rsidRPr="008A4F40">
        <w:rPr>
          <w:color w:val="000000"/>
          <w:sz w:val="22"/>
          <w:szCs w:val="22"/>
        </w:rPr>
        <w:t>gewicht von der Geburt bis zur versuchsgemäßen Tötung der Tiere reduziert und die Anzahl der Jung</w:t>
      </w:r>
      <w:del w:id="853" w:author="Author">
        <w:r w:rsidRPr="008A4F40" w:rsidDel="004E7659">
          <w:rPr>
            <w:color w:val="000000"/>
            <w:sz w:val="22"/>
            <w:szCs w:val="22"/>
          </w:rPr>
          <w:softHyphen/>
        </w:r>
      </w:del>
      <w:r w:rsidRPr="008A4F40">
        <w:rPr>
          <w:color w:val="000000"/>
          <w:sz w:val="22"/>
          <w:szCs w:val="22"/>
        </w:rPr>
        <w:t>tiere, die den Zeitpunkt der Ablösung des Präputiums erreichten, war leicht vermindert. Die Fertilität der F</w:t>
      </w:r>
      <w:r w:rsidRPr="008A4F40">
        <w:rPr>
          <w:color w:val="000000"/>
          <w:sz w:val="22"/>
          <w:szCs w:val="22"/>
          <w:vertAlign w:val="subscript"/>
        </w:rPr>
        <w:t>1</w:t>
      </w:r>
      <w:r w:rsidRPr="008A4F40">
        <w:rPr>
          <w:color w:val="000000"/>
          <w:sz w:val="22"/>
          <w:szCs w:val="22"/>
        </w:rPr>
        <w:t>-Generation war nicht beeinträchtigt, während eine erhöhte Anzahl von Resorptionen der Feten und eine verminderte Zahl von lebensfähigen Feten bei der Gruppe mit 45 mg/kg/Tag beobachtet wur</w:t>
      </w:r>
      <w:del w:id="854" w:author="Author">
        <w:r w:rsidRPr="008A4F40" w:rsidDel="004E7659">
          <w:rPr>
            <w:color w:val="000000"/>
            <w:sz w:val="22"/>
            <w:szCs w:val="22"/>
          </w:rPr>
          <w:softHyphen/>
        </w:r>
      </w:del>
      <w:r w:rsidRPr="008A4F40">
        <w:rPr>
          <w:color w:val="000000"/>
          <w:sz w:val="22"/>
          <w:szCs w:val="22"/>
        </w:rPr>
        <w:t>den. Der „No Observed Effect Level“ (NOEL) betrug sowohl für die Muttertiere als auch für die F</w:t>
      </w:r>
      <w:r w:rsidRPr="008A4F40">
        <w:rPr>
          <w:color w:val="000000"/>
          <w:sz w:val="22"/>
          <w:szCs w:val="22"/>
          <w:vertAlign w:val="subscript"/>
        </w:rPr>
        <w:t>1</w:t>
      </w:r>
      <w:r w:rsidRPr="008A4F40">
        <w:rPr>
          <w:color w:val="000000"/>
          <w:sz w:val="22"/>
          <w:szCs w:val="22"/>
        </w:rPr>
        <w:t>-Generation 15 mg/kg/Tag (ein Viertel der maximalen Dosis beim Menschen von 800 mg).</w:t>
      </w:r>
    </w:p>
    <w:p w14:paraId="4B510D35" w14:textId="77777777" w:rsidR="00D04F08" w:rsidRPr="008A4F40" w:rsidRDefault="00D04F08" w:rsidP="004E7659">
      <w:pPr>
        <w:ind w:firstLine="3"/>
        <w:rPr>
          <w:color w:val="000000"/>
          <w:sz w:val="22"/>
          <w:szCs w:val="22"/>
        </w:rPr>
      </w:pPr>
    </w:p>
    <w:p w14:paraId="7F748B22" w14:textId="77777777" w:rsidR="00D04F08" w:rsidRPr="008A4F40" w:rsidRDefault="00D04F08" w:rsidP="004E7659">
      <w:pPr>
        <w:ind w:firstLine="3"/>
        <w:rPr>
          <w:color w:val="000000"/>
          <w:sz w:val="22"/>
          <w:szCs w:val="22"/>
        </w:rPr>
      </w:pPr>
      <w:r w:rsidRPr="008A4F40">
        <w:rPr>
          <w:color w:val="000000"/>
          <w:sz w:val="22"/>
          <w:szCs w:val="22"/>
        </w:rPr>
        <w:t>Imatinib war teratogen bei Ratten, wenn es während der Organogenese in Dosen von ≥ 100 mg/kg gege</w:t>
      </w:r>
      <w:del w:id="855" w:author="Author">
        <w:r w:rsidRPr="008A4F40" w:rsidDel="004E7659">
          <w:rPr>
            <w:color w:val="000000"/>
            <w:sz w:val="22"/>
            <w:szCs w:val="22"/>
          </w:rPr>
          <w:softHyphen/>
        </w:r>
      </w:del>
      <w:r w:rsidRPr="008A4F40">
        <w:rPr>
          <w:color w:val="000000"/>
          <w:sz w:val="22"/>
          <w:szCs w:val="22"/>
        </w:rPr>
        <w:t>ben wurde, was etwa der maximalen klinischen Dosierung von 800 mg/Tag bezogen auf die Körper</w:t>
      </w:r>
      <w:del w:id="856" w:author="Author">
        <w:r w:rsidRPr="008A4F40" w:rsidDel="004E7659">
          <w:rPr>
            <w:color w:val="000000"/>
            <w:sz w:val="22"/>
            <w:szCs w:val="22"/>
          </w:rPr>
          <w:softHyphen/>
        </w:r>
      </w:del>
      <w:r w:rsidRPr="008A4F40">
        <w:rPr>
          <w:color w:val="000000"/>
          <w:sz w:val="22"/>
          <w:szCs w:val="22"/>
        </w:rPr>
        <w:t>oberfläche entspricht. Die teratogenen Effekte beinhalteten Exenzephalie oder Enzephalozele sowie feh</w:t>
      </w:r>
      <w:del w:id="857" w:author="Author">
        <w:r w:rsidRPr="008A4F40" w:rsidDel="004E7659">
          <w:rPr>
            <w:color w:val="000000"/>
            <w:sz w:val="22"/>
            <w:szCs w:val="22"/>
          </w:rPr>
          <w:softHyphen/>
        </w:r>
      </w:del>
      <w:r w:rsidRPr="008A4F40">
        <w:rPr>
          <w:color w:val="000000"/>
          <w:sz w:val="22"/>
          <w:szCs w:val="22"/>
        </w:rPr>
        <w:t>lende/reduzierte frontale sowie fehlende parietale Knochen. Diese Effekte wurden bei Dosen von ≤ 30 mg/kg nicht gesehen.</w:t>
      </w:r>
    </w:p>
    <w:p w14:paraId="350A923C" w14:textId="77777777" w:rsidR="00B87DDF" w:rsidRPr="008A4F40" w:rsidRDefault="00B87DDF" w:rsidP="004E7659">
      <w:pPr>
        <w:ind w:firstLine="3"/>
        <w:rPr>
          <w:color w:val="000000"/>
          <w:sz w:val="22"/>
          <w:szCs w:val="22"/>
        </w:rPr>
      </w:pPr>
    </w:p>
    <w:p w14:paraId="7198DD70" w14:textId="77777777" w:rsidR="00B87DDF" w:rsidRPr="008A4F40" w:rsidRDefault="00B87DDF" w:rsidP="004E7659">
      <w:pPr>
        <w:ind w:firstLine="3"/>
        <w:rPr>
          <w:color w:val="000000"/>
          <w:sz w:val="22"/>
          <w:szCs w:val="22"/>
        </w:rPr>
      </w:pPr>
      <w:r w:rsidRPr="008A4F40">
        <w:rPr>
          <w:color w:val="000000"/>
          <w:sz w:val="22"/>
          <w:szCs w:val="22"/>
        </w:rPr>
        <w:t>Hinsichtlich der bekannten Zielorgane bei erwachsenen Ratten wurden in der toxikologischen Studie zur juvenilen Entwicklung von Ratten (Tag 10 bis Tag 70 nach der Geburt) keine neuen Zielorgane identifiziert. In dieser Studie wurden Effekte auf das Wachstum sowie eine Verzögerung der Vaginalöffnung und der Vorhautablösung ungefähr bei der 0,3</w:t>
      </w:r>
      <w:r w:rsidRPr="008A4F40">
        <w:rPr>
          <w:color w:val="000000"/>
          <w:sz w:val="22"/>
          <w:szCs w:val="22"/>
        </w:rPr>
        <w:noBreakHyphen/>
        <w:t xml:space="preserve"> bis 2fachen durchschnittlichen pädiatrischen Exposition bei der höchsten empfohlenen Dosis von 340 mg/m</w:t>
      </w:r>
      <w:r w:rsidRPr="008A4F40">
        <w:rPr>
          <w:color w:val="000000"/>
          <w:sz w:val="22"/>
          <w:szCs w:val="22"/>
          <w:vertAlign w:val="superscript"/>
        </w:rPr>
        <w:t>2</w:t>
      </w:r>
      <w:r w:rsidRPr="008A4F40">
        <w:rPr>
          <w:color w:val="000000"/>
          <w:sz w:val="22"/>
          <w:szCs w:val="22"/>
        </w:rPr>
        <w:t xml:space="preserve"> beobachtet. Zusätzlich wurde Mortalität bei juvenilen Tieren (etwa zum Zeitpunkt des Abstillens) ungefähr bei der 2fachen durchschnittlichen pädiatrischen Exposition bei der höchsten empfohlenen Dosis von 340 mg/m</w:t>
      </w:r>
      <w:r w:rsidRPr="008A4F40">
        <w:rPr>
          <w:color w:val="000000"/>
          <w:sz w:val="22"/>
          <w:szCs w:val="22"/>
          <w:vertAlign w:val="superscript"/>
        </w:rPr>
        <w:t>2</w:t>
      </w:r>
      <w:r w:rsidRPr="008A4F40">
        <w:rPr>
          <w:color w:val="000000"/>
          <w:sz w:val="22"/>
          <w:szCs w:val="22"/>
        </w:rPr>
        <w:t xml:space="preserve"> beobachtet.</w:t>
      </w:r>
    </w:p>
    <w:p w14:paraId="10740322" w14:textId="77777777" w:rsidR="00D04F08" w:rsidRPr="008A4F40" w:rsidRDefault="00D04F08" w:rsidP="004E7659">
      <w:pPr>
        <w:ind w:firstLine="3"/>
        <w:rPr>
          <w:color w:val="000000"/>
          <w:sz w:val="22"/>
          <w:szCs w:val="22"/>
        </w:rPr>
      </w:pPr>
    </w:p>
    <w:p w14:paraId="4DA8E320" w14:textId="77777777" w:rsidR="00D04F08" w:rsidRPr="008A4F40" w:rsidRDefault="00D04F08" w:rsidP="004E7659">
      <w:pPr>
        <w:rPr>
          <w:color w:val="000000"/>
          <w:sz w:val="22"/>
          <w:szCs w:val="22"/>
        </w:rPr>
      </w:pPr>
      <w:r w:rsidRPr="008A4F40">
        <w:rPr>
          <w:color w:val="000000"/>
          <w:sz w:val="22"/>
          <w:szCs w:val="22"/>
        </w:rPr>
        <w:t>In einer zweijährigen Kanzerogenitätsstudie an Ratten resultierte die Gabe von 15, 30 und 60 mg/kg/Tag Imatinib in einer statistisch signifikanten Reduktion der Lebensdauer der männlichen Tiere bei 60 mg/kg/Tag und der weiblichen Tiere bei Dosen von ≥ 30 mg/kg/Tag. Die histopathologische Untersuchung der verstorbenen Tiere ergab Kardiomyopathie (beide Geschlechter), chronische progressive Nephropathie (Weibchen) und Papillome der Präputialdrüse als vorrangige Todesursache oder als Grund für die Tötung der Tiere. Die Zielorgane für neoplastische Veränderungen waren Nieren, Harnblase, Harnröhre, Präputial- und Klitorisdrüse, Dünndarm, Nebenschilddrüsen, Nebennierendrüsen und Antrum.</w:t>
      </w:r>
    </w:p>
    <w:p w14:paraId="631E302B" w14:textId="77777777" w:rsidR="00D04F08" w:rsidRPr="008A4F40" w:rsidRDefault="00D04F08" w:rsidP="004E7659">
      <w:pPr>
        <w:rPr>
          <w:color w:val="000000"/>
          <w:sz w:val="22"/>
          <w:szCs w:val="22"/>
        </w:rPr>
      </w:pPr>
    </w:p>
    <w:p w14:paraId="182AD0E4" w14:textId="77777777" w:rsidR="00D04F08" w:rsidRPr="008A4F40" w:rsidRDefault="00D04F08" w:rsidP="004E7659">
      <w:pPr>
        <w:rPr>
          <w:color w:val="000000"/>
          <w:sz w:val="22"/>
          <w:szCs w:val="22"/>
          <w:lang w:val="en-US"/>
        </w:rPr>
      </w:pPr>
      <w:r w:rsidRPr="008A4F40">
        <w:rPr>
          <w:color w:val="000000"/>
          <w:sz w:val="22"/>
          <w:szCs w:val="22"/>
        </w:rPr>
        <w:t>Die Papillome/Karzinome der Präputial- bzw. Klitorisdrüse wurden bei Dosen von 30 mg/kg/Tag und mehr festgestellt. Dies entspricht (auf der Grundlage der AUC) etwa dem 0,5- bzw. 0,3fachen der täglichen Dosis von 400 mg/Tag bzw. 800 mg/Tag bei Erwachsenen und (auf der Grundlage der AUC) dem 0,4fachen der täglichen Dosis von 340 mg/m</w:t>
      </w:r>
      <w:r w:rsidRPr="008A4F40">
        <w:rPr>
          <w:color w:val="000000"/>
          <w:sz w:val="22"/>
          <w:szCs w:val="22"/>
          <w:vertAlign w:val="superscript"/>
        </w:rPr>
        <w:t>2</w:t>
      </w:r>
      <w:r w:rsidRPr="008A4F40">
        <w:rPr>
          <w:color w:val="000000"/>
          <w:sz w:val="22"/>
          <w:szCs w:val="22"/>
        </w:rPr>
        <w:t xml:space="preserve">/Tag bei Kindern. </w:t>
      </w:r>
      <w:r w:rsidRPr="008A4F40">
        <w:rPr>
          <w:color w:val="000000"/>
          <w:sz w:val="22"/>
          <w:szCs w:val="22"/>
          <w:lang w:val="en-US"/>
        </w:rPr>
        <w:t xml:space="preserve">Der „No Observed Effect Level“ (NOEL) </w:t>
      </w:r>
      <w:proofErr w:type="spellStart"/>
      <w:r w:rsidRPr="008A4F40">
        <w:rPr>
          <w:color w:val="000000"/>
          <w:sz w:val="22"/>
          <w:szCs w:val="22"/>
          <w:lang w:val="en-US"/>
        </w:rPr>
        <w:t>betrug</w:t>
      </w:r>
      <w:proofErr w:type="spellEnd"/>
      <w:r w:rsidRPr="008A4F40">
        <w:rPr>
          <w:color w:val="000000"/>
          <w:sz w:val="22"/>
          <w:szCs w:val="22"/>
          <w:lang w:val="en-US"/>
        </w:rPr>
        <w:t xml:space="preserve"> 15 mg/kg/Tag. </w:t>
      </w:r>
      <w:r w:rsidRPr="008A4F40">
        <w:rPr>
          <w:color w:val="000000"/>
          <w:sz w:val="22"/>
          <w:szCs w:val="22"/>
        </w:rPr>
        <w:t>Die renalen Adenome/Karzinome, die Papillome der Harnblase und Harnröhre, die Adenokarzinome des Dünndarms, die Adenome der Nebenschilddrüsen, die benignen und malignen medullären Tumoren der Nebennierendrüsen und die Papillome/Karzinome des Antrums wurden bei 60 mg/kg/Tag beobachtet, entsprechend (auf der Grundlage der AUC) dem etwa 1,7- bzw. 1fachen der täglichen Dosis von 400 mg/Tag bzw. 800 mg/Tag und (auf der Grundlage der AUC) dem 1,2fachen der täglichen Dosis von 340 mg/m</w:t>
      </w:r>
      <w:r w:rsidRPr="008A4F40">
        <w:rPr>
          <w:color w:val="000000"/>
          <w:sz w:val="22"/>
          <w:szCs w:val="22"/>
          <w:vertAlign w:val="superscript"/>
        </w:rPr>
        <w:t>2</w:t>
      </w:r>
      <w:r w:rsidRPr="008A4F40">
        <w:rPr>
          <w:color w:val="000000"/>
          <w:sz w:val="22"/>
          <w:szCs w:val="22"/>
        </w:rPr>
        <w:t xml:space="preserve">/Tag bei Kindern. </w:t>
      </w:r>
      <w:r w:rsidRPr="008A4F40">
        <w:rPr>
          <w:color w:val="000000"/>
          <w:sz w:val="22"/>
          <w:szCs w:val="22"/>
          <w:lang w:val="en-US"/>
        </w:rPr>
        <w:t xml:space="preserve">Der „No Observed Effect Level“ (NOEL) </w:t>
      </w:r>
      <w:proofErr w:type="spellStart"/>
      <w:r w:rsidRPr="008A4F40">
        <w:rPr>
          <w:color w:val="000000"/>
          <w:sz w:val="22"/>
          <w:szCs w:val="22"/>
          <w:lang w:val="en-US"/>
        </w:rPr>
        <w:t>betrug</w:t>
      </w:r>
      <w:proofErr w:type="spellEnd"/>
      <w:r w:rsidRPr="008A4F40">
        <w:rPr>
          <w:color w:val="000000"/>
          <w:sz w:val="22"/>
          <w:szCs w:val="22"/>
          <w:lang w:val="en-US"/>
        </w:rPr>
        <w:t xml:space="preserve"> 30 mg/kg/Tag.</w:t>
      </w:r>
    </w:p>
    <w:p w14:paraId="3D9C8A8D" w14:textId="77777777" w:rsidR="00D04F08" w:rsidRPr="008A4F40" w:rsidRDefault="00D04F08" w:rsidP="004E7659">
      <w:pPr>
        <w:rPr>
          <w:color w:val="000000"/>
          <w:sz w:val="22"/>
          <w:szCs w:val="22"/>
          <w:lang w:val="en-US"/>
        </w:rPr>
      </w:pPr>
    </w:p>
    <w:p w14:paraId="397C2741" w14:textId="77777777" w:rsidR="00D04F08" w:rsidRPr="008A4F40" w:rsidRDefault="00D04F08" w:rsidP="004E7659">
      <w:pPr>
        <w:rPr>
          <w:color w:val="000000"/>
          <w:sz w:val="22"/>
          <w:szCs w:val="22"/>
        </w:rPr>
      </w:pPr>
      <w:r w:rsidRPr="008A4F40">
        <w:rPr>
          <w:color w:val="000000"/>
          <w:sz w:val="22"/>
          <w:szCs w:val="22"/>
        </w:rPr>
        <w:t>Der Mechanismus und die Bedeutung dieser Befunde für den Menschen aus der Kanzerogenitätsstudie an Ratten sind noch nicht geklärt.</w:t>
      </w:r>
    </w:p>
    <w:p w14:paraId="6AFAAEE5" w14:textId="77777777" w:rsidR="00D04F08" w:rsidRPr="008A4F40" w:rsidRDefault="00D04F08" w:rsidP="004E7659">
      <w:pPr>
        <w:rPr>
          <w:color w:val="000000"/>
          <w:sz w:val="22"/>
          <w:szCs w:val="22"/>
        </w:rPr>
      </w:pPr>
    </w:p>
    <w:p w14:paraId="2E146F91" w14:textId="77777777" w:rsidR="002C4FAA" w:rsidRPr="008A4F40" w:rsidRDefault="00D04F08" w:rsidP="004E7659">
      <w:pPr>
        <w:rPr>
          <w:color w:val="000000"/>
          <w:sz w:val="22"/>
          <w:szCs w:val="22"/>
        </w:rPr>
      </w:pPr>
      <w:r w:rsidRPr="008A4F40">
        <w:rPr>
          <w:color w:val="000000"/>
          <w:sz w:val="22"/>
          <w:szCs w:val="22"/>
        </w:rPr>
        <w:t>Nichtneoplastische Läsionen, die in früheren präklinischen Studien nicht gesehen wurden, betrafen das kardiovaskuläre System, das Pankreas, die endokrinen Organe und die Zähne. Die wichtigsten Veränderungen beinhalteten kardiale Hypertrophie und Dilatation, die bei einigen Tieren zu Anzeichen einer Herzinsuffizienz führten.</w:t>
      </w:r>
      <w:r w:rsidR="002C4FAA" w:rsidRPr="008A4F40">
        <w:rPr>
          <w:color w:val="000000"/>
          <w:sz w:val="22"/>
          <w:szCs w:val="22"/>
        </w:rPr>
        <w:t xml:space="preserve"> </w:t>
      </w:r>
    </w:p>
    <w:p w14:paraId="6108E890" w14:textId="77777777" w:rsidR="002C4FAA" w:rsidRPr="008A4F40" w:rsidRDefault="002C4FAA" w:rsidP="004E7659">
      <w:pPr>
        <w:rPr>
          <w:color w:val="000000"/>
          <w:sz w:val="22"/>
          <w:szCs w:val="22"/>
        </w:rPr>
      </w:pPr>
    </w:p>
    <w:p w14:paraId="2DCEC2D1" w14:textId="77777777" w:rsidR="00D04F08" w:rsidRPr="008A4F40" w:rsidRDefault="002C4FAA" w:rsidP="004E7659">
      <w:pPr>
        <w:rPr>
          <w:color w:val="000000"/>
          <w:sz w:val="22"/>
          <w:szCs w:val="22"/>
        </w:rPr>
      </w:pPr>
      <w:r w:rsidRPr="008A4F40">
        <w:rPr>
          <w:color w:val="000000"/>
          <w:sz w:val="22"/>
          <w:szCs w:val="22"/>
        </w:rPr>
        <w:t>Der Wirkstoff Imatinib zeigt ein Umweltrisiko für Sedimentorganismen.</w:t>
      </w:r>
    </w:p>
    <w:p w14:paraId="701491FB" w14:textId="77777777" w:rsidR="00D04F08" w:rsidRPr="008A4F40" w:rsidRDefault="00D04F08" w:rsidP="004E7659">
      <w:pPr>
        <w:rPr>
          <w:color w:val="000000"/>
          <w:sz w:val="22"/>
          <w:szCs w:val="22"/>
        </w:rPr>
      </w:pPr>
    </w:p>
    <w:p w14:paraId="60314404" w14:textId="77777777" w:rsidR="00D04F08" w:rsidRPr="008A4F40" w:rsidRDefault="00D04F08" w:rsidP="004E7659">
      <w:pPr>
        <w:rPr>
          <w:color w:val="000000"/>
          <w:sz w:val="22"/>
          <w:szCs w:val="22"/>
        </w:rPr>
      </w:pPr>
    </w:p>
    <w:p w14:paraId="5D0B34C7" w14:textId="77777777" w:rsidR="00F56A4B" w:rsidRPr="008A4F40" w:rsidRDefault="00F56A4B" w:rsidP="004E7659">
      <w:pPr>
        <w:keepNext/>
        <w:ind w:left="567" w:hanging="567"/>
        <w:rPr>
          <w:color w:val="000000"/>
          <w:sz w:val="22"/>
          <w:szCs w:val="22"/>
        </w:rPr>
      </w:pPr>
      <w:r w:rsidRPr="008A4F40">
        <w:rPr>
          <w:b/>
          <w:color w:val="000000"/>
          <w:sz w:val="22"/>
          <w:szCs w:val="22"/>
        </w:rPr>
        <w:t>6.</w:t>
      </w:r>
      <w:r w:rsidRPr="008A4F40">
        <w:rPr>
          <w:b/>
          <w:color w:val="000000"/>
          <w:sz w:val="22"/>
          <w:szCs w:val="22"/>
        </w:rPr>
        <w:tab/>
        <w:t>PHARMAZEUTISCHE ANGABEN</w:t>
      </w:r>
    </w:p>
    <w:p w14:paraId="11F4A2A4" w14:textId="77777777" w:rsidR="00F56A4B" w:rsidRPr="008A4F40" w:rsidRDefault="00F56A4B" w:rsidP="004E7659">
      <w:pPr>
        <w:pStyle w:val="EndnoteText"/>
        <w:keepNext/>
        <w:rPr>
          <w:color w:val="000000"/>
          <w:sz w:val="22"/>
          <w:szCs w:val="22"/>
          <w:lang w:val="de-DE"/>
        </w:rPr>
      </w:pPr>
    </w:p>
    <w:p w14:paraId="71103A14" w14:textId="77777777" w:rsidR="009D506D" w:rsidRPr="008A4F40" w:rsidRDefault="009D506D" w:rsidP="004E7659">
      <w:pPr>
        <w:keepNext/>
        <w:ind w:left="567" w:hanging="567"/>
        <w:rPr>
          <w:b/>
          <w:color w:val="000000"/>
          <w:sz w:val="22"/>
          <w:szCs w:val="22"/>
        </w:rPr>
      </w:pPr>
      <w:r w:rsidRPr="008A4F40">
        <w:rPr>
          <w:b/>
          <w:color w:val="000000"/>
          <w:sz w:val="22"/>
          <w:szCs w:val="22"/>
        </w:rPr>
        <w:t>6.1</w:t>
      </w:r>
      <w:r w:rsidRPr="008A4F40">
        <w:rPr>
          <w:b/>
          <w:color w:val="000000"/>
          <w:sz w:val="22"/>
          <w:szCs w:val="22"/>
        </w:rPr>
        <w:tab/>
        <w:t>Liste der sonstigen Bestandteile</w:t>
      </w:r>
    </w:p>
    <w:p w14:paraId="1690FC91" w14:textId="77777777" w:rsidR="00F56A4B" w:rsidRPr="008A4F40" w:rsidRDefault="00F56A4B" w:rsidP="004E7659">
      <w:pPr>
        <w:keepNext/>
        <w:ind w:left="567" w:hanging="567"/>
        <w:rPr>
          <w:color w:val="000000"/>
          <w:sz w:val="22"/>
          <w:szCs w:val="22"/>
        </w:rPr>
      </w:pPr>
    </w:p>
    <w:p w14:paraId="5335FE59" w14:textId="77777777" w:rsidR="00F56A4B" w:rsidRPr="008A4F40" w:rsidRDefault="00392E98" w:rsidP="004E7659">
      <w:pPr>
        <w:pStyle w:val="Header"/>
        <w:keepNext/>
        <w:tabs>
          <w:tab w:val="clear" w:pos="4320"/>
          <w:tab w:val="clear" w:pos="8640"/>
        </w:tabs>
        <w:rPr>
          <w:color w:val="000000"/>
          <w:szCs w:val="22"/>
        </w:rPr>
      </w:pPr>
      <w:r w:rsidRPr="008A4F40">
        <w:rPr>
          <w:color w:val="000000"/>
          <w:szCs w:val="22"/>
        </w:rPr>
        <w:t>Tablettenkern</w:t>
      </w:r>
      <w:r w:rsidR="00F56A4B" w:rsidRPr="008A4F40">
        <w:rPr>
          <w:color w:val="000000"/>
          <w:szCs w:val="22"/>
        </w:rPr>
        <w:t>:</w:t>
      </w:r>
    </w:p>
    <w:p w14:paraId="596B7499" w14:textId="77777777" w:rsidR="00F56A4B" w:rsidRPr="008A4F40" w:rsidRDefault="00F56A4B" w:rsidP="004E7659">
      <w:pPr>
        <w:pStyle w:val="Header"/>
        <w:keepNext/>
        <w:tabs>
          <w:tab w:val="clear" w:pos="4320"/>
          <w:tab w:val="clear" w:pos="8640"/>
        </w:tabs>
        <w:rPr>
          <w:color w:val="000000"/>
          <w:szCs w:val="22"/>
        </w:rPr>
      </w:pPr>
      <w:r w:rsidRPr="008A4F40">
        <w:rPr>
          <w:color w:val="000000"/>
          <w:szCs w:val="22"/>
        </w:rPr>
        <w:t>Mikrokristalline Cellulose</w:t>
      </w:r>
    </w:p>
    <w:p w14:paraId="0A64EA60" w14:textId="532297D1" w:rsidR="00F56A4B" w:rsidRPr="008A4F40" w:rsidRDefault="00F56A4B" w:rsidP="004E7659">
      <w:pPr>
        <w:keepNext/>
        <w:rPr>
          <w:color w:val="000000"/>
          <w:sz w:val="22"/>
          <w:szCs w:val="22"/>
        </w:rPr>
      </w:pPr>
      <w:r w:rsidRPr="008A4F40">
        <w:rPr>
          <w:color w:val="000000"/>
          <w:sz w:val="22"/>
          <w:szCs w:val="22"/>
        </w:rPr>
        <w:t>Crospovidon</w:t>
      </w:r>
    </w:p>
    <w:p w14:paraId="5C8021B7" w14:textId="77777777" w:rsidR="00F56A4B" w:rsidRPr="008A4F40" w:rsidRDefault="00F56A4B" w:rsidP="004E7659">
      <w:pPr>
        <w:keepNext/>
        <w:rPr>
          <w:color w:val="000000"/>
          <w:sz w:val="22"/>
          <w:szCs w:val="22"/>
        </w:rPr>
      </w:pPr>
      <w:r w:rsidRPr="008A4F40">
        <w:rPr>
          <w:color w:val="000000"/>
          <w:sz w:val="22"/>
          <w:szCs w:val="22"/>
        </w:rPr>
        <w:t>Hypromellose</w:t>
      </w:r>
    </w:p>
    <w:p w14:paraId="3A9A5634" w14:textId="77777777" w:rsidR="00F56A4B" w:rsidRPr="008A4F40" w:rsidRDefault="00F56A4B" w:rsidP="004E7659">
      <w:pPr>
        <w:keepNext/>
        <w:rPr>
          <w:color w:val="000000"/>
          <w:sz w:val="22"/>
          <w:szCs w:val="22"/>
        </w:rPr>
      </w:pPr>
      <w:r w:rsidRPr="008A4F40">
        <w:rPr>
          <w:color w:val="000000"/>
          <w:sz w:val="22"/>
          <w:szCs w:val="22"/>
        </w:rPr>
        <w:t>Magnesiumstearat</w:t>
      </w:r>
      <w:r w:rsidR="000F76A4" w:rsidRPr="008A4F40">
        <w:rPr>
          <w:color w:val="000000"/>
          <w:sz w:val="22"/>
          <w:szCs w:val="22"/>
        </w:rPr>
        <w:t xml:space="preserve"> [pflanzlich]</w:t>
      </w:r>
    </w:p>
    <w:p w14:paraId="4DE9D1DF" w14:textId="4C7175BD" w:rsidR="00F56A4B" w:rsidRPr="008A4F40" w:rsidRDefault="00A404B9" w:rsidP="004E7659">
      <w:pPr>
        <w:rPr>
          <w:color w:val="000000"/>
          <w:sz w:val="22"/>
          <w:szCs w:val="22"/>
        </w:rPr>
      </w:pPr>
      <w:ins w:id="858" w:author="Author">
        <w:r>
          <w:rPr>
            <w:color w:val="000000"/>
            <w:sz w:val="22"/>
            <w:szCs w:val="22"/>
          </w:rPr>
          <w:t>H</w:t>
        </w:r>
      </w:ins>
      <w:del w:id="859" w:author="Author">
        <w:r w:rsidR="00F56A4B" w:rsidRPr="008A4F40" w:rsidDel="00A404B9">
          <w:rPr>
            <w:color w:val="000000"/>
            <w:sz w:val="22"/>
            <w:szCs w:val="22"/>
          </w:rPr>
          <w:delText>h</w:delText>
        </w:r>
      </w:del>
      <w:r w:rsidR="00F56A4B" w:rsidRPr="008A4F40">
        <w:rPr>
          <w:color w:val="000000"/>
          <w:sz w:val="22"/>
          <w:szCs w:val="22"/>
        </w:rPr>
        <w:t>ochdisperses Siliciumdioxid</w:t>
      </w:r>
    </w:p>
    <w:p w14:paraId="1E252EB5" w14:textId="77777777" w:rsidR="00F56A4B" w:rsidRPr="008A4F40" w:rsidRDefault="00F56A4B" w:rsidP="004E7659">
      <w:pPr>
        <w:rPr>
          <w:color w:val="000000"/>
          <w:sz w:val="22"/>
          <w:szCs w:val="22"/>
        </w:rPr>
      </w:pPr>
    </w:p>
    <w:p w14:paraId="137D8F4D" w14:textId="77777777" w:rsidR="00F56A4B" w:rsidRPr="008A4F40" w:rsidRDefault="00392E98" w:rsidP="004E7659">
      <w:pPr>
        <w:keepNext/>
        <w:rPr>
          <w:color w:val="000000"/>
          <w:sz w:val="22"/>
          <w:szCs w:val="22"/>
        </w:rPr>
      </w:pPr>
      <w:r w:rsidRPr="008A4F40">
        <w:rPr>
          <w:color w:val="000000"/>
          <w:sz w:val="22"/>
          <w:szCs w:val="22"/>
        </w:rPr>
        <w:t>Filmüberzug</w:t>
      </w:r>
      <w:r w:rsidR="00F56A4B" w:rsidRPr="008A4F40">
        <w:rPr>
          <w:color w:val="000000"/>
          <w:sz w:val="22"/>
          <w:szCs w:val="22"/>
        </w:rPr>
        <w:t>:</w:t>
      </w:r>
    </w:p>
    <w:p w14:paraId="52EF43A1" w14:textId="04C54154" w:rsidR="00F56A4B" w:rsidRPr="008A4F40" w:rsidRDefault="00AC3BA7" w:rsidP="004E7659">
      <w:pPr>
        <w:keepNext/>
        <w:rPr>
          <w:color w:val="000000"/>
          <w:sz w:val="22"/>
          <w:szCs w:val="22"/>
        </w:rPr>
      </w:pPr>
      <w:r w:rsidRPr="008A4F40">
        <w:rPr>
          <w:color w:val="000000"/>
          <w:sz w:val="22"/>
          <w:szCs w:val="22"/>
        </w:rPr>
        <w:t>Eisen(</w:t>
      </w:r>
      <w:smartTag w:uri="urn:schemas-microsoft-com:office:smarttags" w:element="stockticker">
        <w:r w:rsidRPr="008A4F40">
          <w:rPr>
            <w:color w:val="000000"/>
            <w:sz w:val="22"/>
            <w:szCs w:val="22"/>
          </w:rPr>
          <w:t>III</w:t>
        </w:r>
      </w:smartTag>
      <w:r w:rsidRPr="008A4F40">
        <w:rPr>
          <w:color w:val="000000"/>
          <w:sz w:val="22"/>
          <w:szCs w:val="22"/>
        </w:rPr>
        <w:t>)-oxid (E </w:t>
      </w:r>
      <w:r w:rsidR="00F56A4B" w:rsidRPr="008A4F40">
        <w:rPr>
          <w:color w:val="000000"/>
          <w:sz w:val="22"/>
          <w:szCs w:val="22"/>
        </w:rPr>
        <w:t>172</w:t>
      </w:r>
      <w:r w:rsidR="001371BD" w:rsidRPr="008A4F40">
        <w:rPr>
          <w:color w:val="000000"/>
          <w:sz w:val="22"/>
          <w:szCs w:val="22"/>
        </w:rPr>
        <w:t>, rot</w:t>
      </w:r>
      <w:r w:rsidR="00F56A4B" w:rsidRPr="008A4F40">
        <w:rPr>
          <w:color w:val="000000"/>
          <w:sz w:val="22"/>
          <w:szCs w:val="22"/>
        </w:rPr>
        <w:t>)</w:t>
      </w:r>
    </w:p>
    <w:p w14:paraId="40025C58" w14:textId="1E67E4BF" w:rsidR="00F56A4B" w:rsidRPr="008A4F40" w:rsidRDefault="001371BD" w:rsidP="004E7659">
      <w:pPr>
        <w:keepNext/>
        <w:rPr>
          <w:color w:val="000000"/>
          <w:sz w:val="22"/>
          <w:szCs w:val="22"/>
          <w:lang w:val="pt-PT"/>
        </w:rPr>
      </w:pPr>
      <w:r w:rsidRPr="008A4F40">
        <w:rPr>
          <w:sz w:val="22"/>
          <w:szCs w:val="22"/>
          <w:lang w:val="pt-PT"/>
        </w:rPr>
        <w:t>Eisen(III)-hydroxid-oxid x H</w:t>
      </w:r>
      <w:r w:rsidRPr="008A4F40">
        <w:rPr>
          <w:sz w:val="22"/>
          <w:szCs w:val="22"/>
          <w:vertAlign w:val="subscript"/>
          <w:lang w:val="pt-PT"/>
        </w:rPr>
        <w:t>2</w:t>
      </w:r>
      <w:r w:rsidRPr="008A4F40">
        <w:rPr>
          <w:sz w:val="22"/>
          <w:szCs w:val="22"/>
          <w:lang w:val="pt-PT"/>
        </w:rPr>
        <w:t>O</w:t>
      </w:r>
      <w:r w:rsidRPr="008A4F40">
        <w:rPr>
          <w:color w:val="000000"/>
          <w:sz w:val="22"/>
          <w:szCs w:val="22"/>
          <w:lang w:val="pt-PT"/>
        </w:rPr>
        <w:t xml:space="preserve"> </w:t>
      </w:r>
      <w:r w:rsidR="00AC3BA7" w:rsidRPr="008A4F40">
        <w:rPr>
          <w:color w:val="000000"/>
          <w:sz w:val="22"/>
          <w:szCs w:val="22"/>
          <w:lang w:val="pt-PT"/>
        </w:rPr>
        <w:t>(E </w:t>
      </w:r>
      <w:r w:rsidR="00F56A4B" w:rsidRPr="008A4F40">
        <w:rPr>
          <w:color w:val="000000"/>
          <w:sz w:val="22"/>
          <w:szCs w:val="22"/>
          <w:lang w:val="pt-PT"/>
        </w:rPr>
        <w:t>172</w:t>
      </w:r>
      <w:r w:rsidRPr="008A4F40">
        <w:rPr>
          <w:color w:val="000000"/>
          <w:sz w:val="22"/>
          <w:szCs w:val="22"/>
          <w:lang w:val="pt-PT"/>
        </w:rPr>
        <w:t>, gelb</w:t>
      </w:r>
      <w:r w:rsidR="00F56A4B" w:rsidRPr="008A4F40">
        <w:rPr>
          <w:color w:val="000000"/>
          <w:sz w:val="22"/>
          <w:szCs w:val="22"/>
          <w:lang w:val="pt-PT"/>
        </w:rPr>
        <w:t>)</w:t>
      </w:r>
    </w:p>
    <w:p w14:paraId="359D622D" w14:textId="55B408FA" w:rsidR="007A1459" w:rsidRPr="008A4F40" w:rsidRDefault="007A1459" w:rsidP="004E7659">
      <w:pPr>
        <w:keepNext/>
        <w:rPr>
          <w:color w:val="000000"/>
          <w:sz w:val="22"/>
          <w:szCs w:val="22"/>
          <w:lang w:val="de-CH"/>
        </w:rPr>
      </w:pPr>
      <w:r w:rsidRPr="008A4F40">
        <w:rPr>
          <w:color w:val="000000"/>
          <w:sz w:val="22"/>
          <w:szCs w:val="22"/>
          <w:lang w:val="de-CH"/>
        </w:rPr>
        <w:t>Macrogol</w:t>
      </w:r>
    </w:p>
    <w:p w14:paraId="71CC39C0" w14:textId="77777777" w:rsidR="007A1459" w:rsidRPr="008A4F40" w:rsidRDefault="007A1459" w:rsidP="004E7659">
      <w:pPr>
        <w:keepNext/>
        <w:rPr>
          <w:color w:val="000000"/>
          <w:sz w:val="22"/>
          <w:szCs w:val="22"/>
          <w:lang w:val="de-CH"/>
        </w:rPr>
      </w:pPr>
      <w:r w:rsidRPr="008A4F40">
        <w:rPr>
          <w:color w:val="000000"/>
          <w:sz w:val="22"/>
          <w:szCs w:val="22"/>
          <w:lang w:val="de-CH"/>
        </w:rPr>
        <w:t>Talkum</w:t>
      </w:r>
    </w:p>
    <w:p w14:paraId="42D0800C" w14:textId="77777777" w:rsidR="007A1459" w:rsidRPr="008A4F40" w:rsidRDefault="007A1459" w:rsidP="004E7659">
      <w:pPr>
        <w:rPr>
          <w:color w:val="000000"/>
          <w:sz w:val="22"/>
          <w:szCs w:val="22"/>
        </w:rPr>
      </w:pPr>
      <w:r w:rsidRPr="008A4F40">
        <w:rPr>
          <w:color w:val="000000"/>
          <w:sz w:val="22"/>
          <w:szCs w:val="22"/>
        </w:rPr>
        <w:t>Hypromellose</w:t>
      </w:r>
    </w:p>
    <w:p w14:paraId="53CD2B98" w14:textId="77777777" w:rsidR="00F56A4B" w:rsidRPr="008A4F40" w:rsidRDefault="00F56A4B" w:rsidP="004E7659">
      <w:pPr>
        <w:pStyle w:val="Header"/>
        <w:tabs>
          <w:tab w:val="clear" w:pos="4320"/>
          <w:tab w:val="clear" w:pos="8640"/>
        </w:tabs>
        <w:rPr>
          <w:color w:val="000000"/>
          <w:szCs w:val="22"/>
        </w:rPr>
      </w:pPr>
    </w:p>
    <w:p w14:paraId="010E3AE4" w14:textId="77777777" w:rsidR="00F56A4B" w:rsidRPr="008A4F40" w:rsidRDefault="00F56A4B" w:rsidP="004E7659">
      <w:pPr>
        <w:keepNext/>
        <w:rPr>
          <w:color w:val="000000"/>
          <w:sz w:val="22"/>
          <w:szCs w:val="22"/>
        </w:rPr>
      </w:pPr>
      <w:r w:rsidRPr="008A4F40">
        <w:rPr>
          <w:b/>
          <w:color w:val="000000"/>
          <w:sz w:val="22"/>
          <w:szCs w:val="22"/>
        </w:rPr>
        <w:t>6.2</w:t>
      </w:r>
      <w:r w:rsidRPr="008A4F40">
        <w:rPr>
          <w:b/>
          <w:color w:val="000000"/>
          <w:sz w:val="22"/>
          <w:szCs w:val="22"/>
        </w:rPr>
        <w:tab/>
        <w:t>Inkompatibilitäten</w:t>
      </w:r>
    </w:p>
    <w:p w14:paraId="19F5FA0C" w14:textId="77777777" w:rsidR="00F56A4B" w:rsidRPr="008A4F40" w:rsidRDefault="00F56A4B" w:rsidP="004E7659">
      <w:pPr>
        <w:keepNext/>
        <w:rPr>
          <w:color w:val="000000"/>
          <w:sz w:val="22"/>
          <w:szCs w:val="22"/>
        </w:rPr>
      </w:pPr>
    </w:p>
    <w:p w14:paraId="0C866133" w14:textId="77777777" w:rsidR="00F56A4B" w:rsidRPr="008A4F40" w:rsidRDefault="00F56A4B" w:rsidP="004E7659">
      <w:pPr>
        <w:rPr>
          <w:color w:val="000000"/>
          <w:sz w:val="22"/>
          <w:szCs w:val="22"/>
        </w:rPr>
      </w:pPr>
      <w:r w:rsidRPr="008A4F40">
        <w:rPr>
          <w:color w:val="000000"/>
          <w:sz w:val="22"/>
          <w:szCs w:val="22"/>
        </w:rPr>
        <w:t>Nicht zutreffend</w:t>
      </w:r>
      <w:r w:rsidR="009D506D" w:rsidRPr="008A4F40">
        <w:rPr>
          <w:color w:val="000000"/>
          <w:sz w:val="22"/>
          <w:szCs w:val="22"/>
        </w:rPr>
        <w:t>.</w:t>
      </w:r>
    </w:p>
    <w:p w14:paraId="1A4BA168" w14:textId="77777777" w:rsidR="00F56A4B" w:rsidRPr="008A4F40" w:rsidRDefault="00F56A4B" w:rsidP="004E7659">
      <w:pPr>
        <w:rPr>
          <w:color w:val="000000"/>
          <w:sz w:val="22"/>
          <w:szCs w:val="22"/>
        </w:rPr>
      </w:pPr>
    </w:p>
    <w:p w14:paraId="627BD3A1" w14:textId="77777777" w:rsidR="00F56A4B" w:rsidRPr="008A4F40" w:rsidRDefault="00F56A4B" w:rsidP="004E7659">
      <w:pPr>
        <w:keepNext/>
        <w:rPr>
          <w:color w:val="000000"/>
          <w:sz w:val="22"/>
          <w:szCs w:val="22"/>
        </w:rPr>
      </w:pPr>
      <w:r w:rsidRPr="008A4F40">
        <w:rPr>
          <w:b/>
          <w:color w:val="000000"/>
          <w:sz w:val="22"/>
          <w:szCs w:val="22"/>
        </w:rPr>
        <w:t>6.3</w:t>
      </w:r>
      <w:r w:rsidRPr="008A4F40">
        <w:rPr>
          <w:b/>
          <w:color w:val="000000"/>
          <w:sz w:val="22"/>
          <w:szCs w:val="22"/>
        </w:rPr>
        <w:tab/>
        <w:t>Dauer der Haltbarkeit</w:t>
      </w:r>
    </w:p>
    <w:p w14:paraId="4372BC90" w14:textId="77777777" w:rsidR="00F56A4B" w:rsidRPr="008A4F40" w:rsidRDefault="00F56A4B" w:rsidP="004E7659">
      <w:pPr>
        <w:keepNext/>
        <w:rPr>
          <w:color w:val="000000"/>
          <w:sz w:val="22"/>
          <w:szCs w:val="22"/>
        </w:rPr>
      </w:pPr>
    </w:p>
    <w:p w14:paraId="23B8C638" w14:textId="77777777" w:rsidR="00F56A4B" w:rsidRPr="008A4F40" w:rsidRDefault="00FC141B" w:rsidP="004E7659">
      <w:pPr>
        <w:rPr>
          <w:color w:val="000000"/>
          <w:sz w:val="22"/>
          <w:szCs w:val="22"/>
        </w:rPr>
      </w:pPr>
      <w:r w:rsidRPr="008A4F40">
        <w:rPr>
          <w:color w:val="000000"/>
          <w:sz w:val="22"/>
          <w:szCs w:val="22"/>
        </w:rPr>
        <w:t>3</w:t>
      </w:r>
      <w:r w:rsidR="00940063" w:rsidRPr="008A4F40">
        <w:rPr>
          <w:color w:val="000000"/>
          <w:sz w:val="22"/>
          <w:szCs w:val="22"/>
        </w:rPr>
        <w:t> </w:t>
      </w:r>
      <w:r w:rsidR="00F56A4B" w:rsidRPr="008A4F40">
        <w:rPr>
          <w:color w:val="000000"/>
          <w:sz w:val="22"/>
          <w:szCs w:val="22"/>
        </w:rPr>
        <w:t>Jahre</w:t>
      </w:r>
    </w:p>
    <w:p w14:paraId="02990706" w14:textId="77777777" w:rsidR="00F56A4B" w:rsidRPr="008A4F40" w:rsidRDefault="00F56A4B" w:rsidP="004E7659">
      <w:pPr>
        <w:rPr>
          <w:color w:val="000000"/>
          <w:sz w:val="22"/>
          <w:szCs w:val="22"/>
        </w:rPr>
      </w:pPr>
    </w:p>
    <w:p w14:paraId="43AF18E4" w14:textId="77777777" w:rsidR="009D506D" w:rsidRPr="008A4F40" w:rsidRDefault="009D506D" w:rsidP="004E7659">
      <w:pPr>
        <w:keepNext/>
        <w:rPr>
          <w:color w:val="000000"/>
          <w:sz w:val="22"/>
          <w:szCs w:val="22"/>
        </w:rPr>
      </w:pPr>
      <w:r w:rsidRPr="008A4F40">
        <w:rPr>
          <w:b/>
          <w:color w:val="000000"/>
          <w:sz w:val="22"/>
          <w:szCs w:val="22"/>
        </w:rPr>
        <w:t>6.4</w:t>
      </w:r>
      <w:r w:rsidRPr="008A4F40">
        <w:rPr>
          <w:b/>
          <w:color w:val="000000"/>
          <w:sz w:val="22"/>
          <w:szCs w:val="22"/>
        </w:rPr>
        <w:tab/>
        <w:t>Besondere Vorsichtsmaßnahmen für die Aufbewahrung</w:t>
      </w:r>
    </w:p>
    <w:p w14:paraId="2F5AC703" w14:textId="77777777" w:rsidR="00F56A4B" w:rsidRPr="008A4F40" w:rsidRDefault="00F56A4B" w:rsidP="004E7659">
      <w:pPr>
        <w:keepNext/>
        <w:rPr>
          <w:color w:val="000000"/>
          <w:sz w:val="22"/>
          <w:szCs w:val="22"/>
        </w:rPr>
      </w:pPr>
    </w:p>
    <w:p w14:paraId="7AAED712" w14:textId="77777777" w:rsidR="00F1664D" w:rsidRPr="008A4F40" w:rsidRDefault="00F1664D" w:rsidP="004E7659">
      <w:pPr>
        <w:keepNext/>
        <w:rPr>
          <w:color w:val="000000"/>
          <w:sz w:val="22"/>
          <w:szCs w:val="22"/>
          <w:u w:val="single"/>
        </w:rPr>
      </w:pPr>
      <w:r w:rsidRPr="008A4F40">
        <w:rPr>
          <w:color w:val="000000"/>
          <w:sz w:val="22"/>
          <w:szCs w:val="22"/>
          <w:u w:val="single"/>
        </w:rPr>
        <w:t>Glivec 100 mg Filmtabletten</w:t>
      </w:r>
    </w:p>
    <w:p w14:paraId="207DB89D" w14:textId="77777777" w:rsidR="00F1664D" w:rsidRPr="008A4F40" w:rsidRDefault="00F1664D" w:rsidP="004E7659">
      <w:pPr>
        <w:keepNext/>
        <w:rPr>
          <w:color w:val="000000"/>
          <w:sz w:val="22"/>
          <w:szCs w:val="22"/>
        </w:rPr>
      </w:pPr>
    </w:p>
    <w:p w14:paraId="489182F3" w14:textId="03FABD2A" w:rsidR="00D72F2D" w:rsidRPr="008A4F40" w:rsidRDefault="00F56A4B" w:rsidP="004E7659">
      <w:pPr>
        <w:rPr>
          <w:color w:val="000000"/>
          <w:sz w:val="22"/>
          <w:szCs w:val="22"/>
        </w:rPr>
      </w:pPr>
      <w:r w:rsidRPr="008A4F40">
        <w:rPr>
          <w:color w:val="000000"/>
          <w:sz w:val="22"/>
          <w:szCs w:val="22"/>
        </w:rPr>
        <w:t>Nicht über 30</w:t>
      </w:r>
      <w:ins w:id="860" w:author="Author">
        <w:r w:rsidR="00B2659D">
          <w:rPr>
            <w:color w:val="000000"/>
            <w:sz w:val="22"/>
            <w:szCs w:val="22"/>
          </w:rPr>
          <w:t> </w:t>
        </w:r>
      </w:ins>
      <w:r w:rsidRPr="008A4F40">
        <w:rPr>
          <w:color w:val="000000"/>
          <w:sz w:val="22"/>
          <w:szCs w:val="22"/>
        </w:rPr>
        <w:t>°C lagern.</w:t>
      </w:r>
    </w:p>
    <w:p w14:paraId="11597B59" w14:textId="3E686386" w:rsidR="00F56A4B" w:rsidRPr="008A4F40" w:rsidRDefault="00F56A4B" w:rsidP="004E7659">
      <w:pPr>
        <w:rPr>
          <w:color w:val="000000"/>
          <w:sz w:val="22"/>
          <w:szCs w:val="22"/>
        </w:rPr>
      </w:pPr>
    </w:p>
    <w:p w14:paraId="2AEED43F" w14:textId="77777777" w:rsidR="00F1664D" w:rsidRPr="008A4F40" w:rsidRDefault="00F1664D" w:rsidP="004E7659">
      <w:pPr>
        <w:keepNext/>
        <w:rPr>
          <w:color w:val="000000"/>
          <w:sz w:val="22"/>
          <w:szCs w:val="22"/>
          <w:u w:val="single"/>
        </w:rPr>
      </w:pPr>
      <w:r w:rsidRPr="008A4F40">
        <w:rPr>
          <w:color w:val="000000"/>
          <w:sz w:val="22"/>
          <w:szCs w:val="22"/>
          <w:u w:val="single"/>
        </w:rPr>
        <w:t>Glivec 400 mg Filmtabletten</w:t>
      </w:r>
    </w:p>
    <w:p w14:paraId="1D5639A6" w14:textId="77777777" w:rsidR="00F1664D" w:rsidRPr="008A4F40" w:rsidRDefault="00F1664D" w:rsidP="004E7659">
      <w:pPr>
        <w:keepNext/>
        <w:rPr>
          <w:color w:val="000000"/>
          <w:sz w:val="22"/>
          <w:szCs w:val="22"/>
        </w:rPr>
      </w:pPr>
    </w:p>
    <w:p w14:paraId="45BED735" w14:textId="59C968C6" w:rsidR="00F1664D" w:rsidRPr="008A4F40" w:rsidRDefault="00F81214" w:rsidP="004E7659">
      <w:pPr>
        <w:rPr>
          <w:color w:val="000000"/>
          <w:sz w:val="22"/>
          <w:szCs w:val="22"/>
        </w:rPr>
      </w:pPr>
      <w:r w:rsidRPr="008A4F40">
        <w:rPr>
          <w:color w:val="000000"/>
          <w:sz w:val="22"/>
          <w:szCs w:val="22"/>
        </w:rPr>
        <w:t>Nicht über 25</w:t>
      </w:r>
      <w:ins w:id="861" w:author="Author">
        <w:r w:rsidR="00B2659D">
          <w:rPr>
            <w:color w:val="000000"/>
            <w:sz w:val="22"/>
            <w:szCs w:val="22"/>
          </w:rPr>
          <w:t> </w:t>
        </w:r>
      </w:ins>
      <w:r w:rsidRPr="008A4F40">
        <w:rPr>
          <w:color w:val="000000"/>
          <w:sz w:val="22"/>
          <w:szCs w:val="22"/>
        </w:rPr>
        <w:t>°C lagern.</w:t>
      </w:r>
    </w:p>
    <w:p w14:paraId="2CD6F4E0" w14:textId="77777777" w:rsidR="00F1664D" w:rsidRPr="008A4F40" w:rsidRDefault="00F1664D" w:rsidP="004E7659">
      <w:pPr>
        <w:rPr>
          <w:color w:val="000000"/>
          <w:sz w:val="22"/>
          <w:szCs w:val="22"/>
        </w:rPr>
      </w:pPr>
    </w:p>
    <w:p w14:paraId="30DDBB5B" w14:textId="77777777" w:rsidR="00F56A4B" w:rsidRPr="008A4F40" w:rsidRDefault="00F56A4B" w:rsidP="004E7659">
      <w:pPr>
        <w:rPr>
          <w:color w:val="000000"/>
          <w:sz w:val="22"/>
          <w:szCs w:val="22"/>
        </w:rPr>
      </w:pPr>
      <w:r w:rsidRPr="008A4F40">
        <w:rPr>
          <w:color w:val="000000"/>
          <w:sz w:val="22"/>
          <w:szCs w:val="22"/>
        </w:rPr>
        <w:t>In der Originalverpackung aufbewahren, um den Inhalt vor Feuchtigkeit zu schützen.</w:t>
      </w:r>
    </w:p>
    <w:p w14:paraId="45696A79" w14:textId="77777777" w:rsidR="00F56A4B" w:rsidRPr="008A4F40" w:rsidRDefault="00F56A4B" w:rsidP="004E7659">
      <w:pPr>
        <w:rPr>
          <w:color w:val="000000"/>
          <w:sz w:val="22"/>
          <w:szCs w:val="22"/>
        </w:rPr>
      </w:pPr>
    </w:p>
    <w:p w14:paraId="78268AAE" w14:textId="77777777" w:rsidR="00F56A4B" w:rsidRPr="008A4F40" w:rsidRDefault="00F56A4B" w:rsidP="004E7659">
      <w:pPr>
        <w:keepNext/>
        <w:rPr>
          <w:color w:val="000000"/>
          <w:sz w:val="22"/>
          <w:szCs w:val="22"/>
        </w:rPr>
      </w:pPr>
      <w:r w:rsidRPr="008A4F40">
        <w:rPr>
          <w:b/>
          <w:color w:val="000000"/>
          <w:sz w:val="22"/>
          <w:szCs w:val="22"/>
        </w:rPr>
        <w:t>6.5</w:t>
      </w:r>
      <w:r w:rsidRPr="008A4F40">
        <w:rPr>
          <w:b/>
          <w:color w:val="000000"/>
          <w:sz w:val="22"/>
          <w:szCs w:val="22"/>
        </w:rPr>
        <w:tab/>
        <w:t>Art und Inhalt des Behältnisses</w:t>
      </w:r>
    </w:p>
    <w:p w14:paraId="79A33689" w14:textId="77777777" w:rsidR="00F56A4B" w:rsidRPr="008A4F40" w:rsidRDefault="00F56A4B" w:rsidP="004E7659">
      <w:pPr>
        <w:keepNext/>
        <w:rPr>
          <w:color w:val="000000"/>
          <w:sz w:val="22"/>
          <w:szCs w:val="22"/>
        </w:rPr>
      </w:pPr>
    </w:p>
    <w:p w14:paraId="05701365" w14:textId="2FA4A6CB" w:rsidR="00BA3DF3" w:rsidRPr="008A4F40" w:rsidRDefault="00BA3DF3" w:rsidP="004E7659">
      <w:pPr>
        <w:keepNext/>
        <w:rPr>
          <w:color w:val="000000"/>
          <w:sz w:val="22"/>
          <w:szCs w:val="22"/>
          <w:u w:val="single"/>
        </w:rPr>
      </w:pPr>
      <w:r w:rsidRPr="008A4F40">
        <w:rPr>
          <w:color w:val="000000"/>
          <w:sz w:val="22"/>
          <w:szCs w:val="22"/>
          <w:u w:val="single"/>
        </w:rPr>
        <w:t>Glivec 100 mg Filmtabletten</w:t>
      </w:r>
    </w:p>
    <w:p w14:paraId="5A9F7743" w14:textId="77777777" w:rsidR="00A87074" w:rsidRPr="008A4F40" w:rsidRDefault="00A87074" w:rsidP="004E7659">
      <w:pPr>
        <w:keepNext/>
        <w:rPr>
          <w:color w:val="000000"/>
          <w:sz w:val="22"/>
          <w:szCs w:val="22"/>
          <w:u w:val="single"/>
        </w:rPr>
      </w:pPr>
    </w:p>
    <w:p w14:paraId="37A4B347" w14:textId="77777777" w:rsidR="00621238" w:rsidRPr="008A4F40" w:rsidRDefault="009D506D" w:rsidP="004E7659">
      <w:pPr>
        <w:rPr>
          <w:color w:val="000000"/>
          <w:sz w:val="22"/>
          <w:szCs w:val="22"/>
        </w:rPr>
      </w:pPr>
      <w:r w:rsidRPr="008A4F40">
        <w:rPr>
          <w:color w:val="000000"/>
          <w:sz w:val="22"/>
          <w:szCs w:val="22"/>
        </w:rPr>
        <w:t>PVC/Aluminium-</w:t>
      </w:r>
      <w:r w:rsidR="00621238" w:rsidRPr="008A4F40">
        <w:rPr>
          <w:color w:val="000000"/>
          <w:sz w:val="22"/>
          <w:szCs w:val="22"/>
        </w:rPr>
        <w:t>Blisterpackungen</w:t>
      </w:r>
    </w:p>
    <w:p w14:paraId="447E7D5D" w14:textId="77777777" w:rsidR="00D72F2D" w:rsidRPr="008A4F40" w:rsidRDefault="00F56A4B" w:rsidP="004E7659">
      <w:pPr>
        <w:pStyle w:val="Header"/>
        <w:tabs>
          <w:tab w:val="clear" w:pos="4320"/>
          <w:tab w:val="clear" w:pos="8640"/>
        </w:tabs>
        <w:rPr>
          <w:color w:val="000000"/>
          <w:szCs w:val="22"/>
        </w:rPr>
      </w:pPr>
      <w:r w:rsidRPr="008A4F40">
        <w:rPr>
          <w:color w:val="000000"/>
          <w:szCs w:val="22"/>
        </w:rPr>
        <w:t>Packungen mit 20, 60, 120 oder 180</w:t>
      </w:r>
      <w:r w:rsidR="00940063" w:rsidRPr="008A4F40">
        <w:rPr>
          <w:color w:val="000000"/>
          <w:szCs w:val="22"/>
        </w:rPr>
        <w:t> </w:t>
      </w:r>
      <w:r w:rsidRPr="008A4F40">
        <w:rPr>
          <w:color w:val="000000"/>
          <w:szCs w:val="22"/>
        </w:rPr>
        <w:t>Filmtabletten.</w:t>
      </w:r>
    </w:p>
    <w:p w14:paraId="439C3911" w14:textId="77777777" w:rsidR="00510E36" w:rsidRPr="008A4F40" w:rsidRDefault="00510E36" w:rsidP="004E7659">
      <w:pPr>
        <w:pStyle w:val="Header"/>
        <w:tabs>
          <w:tab w:val="clear" w:pos="4320"/>
          <w:tab w:val="clear" w:pos="8640"/>
        </w:tabs>
        <w:rPr>
          <w:color w:val="000000"/>
          <w:szCs w:val="22"/>
        </w:rPr>
      </w:pPr>
    </w:p>
    <w:p w14:paraId="5B462AAC" w14:textId="77777777" w:rsidR="00510E36" w:rsidRPr="008A4F40" w:rsidRDefault="00510E36" w:rsidP="004E7659">
      <w:pPr>
        <w:rPr>
          <w:color w:val="000000"/>
          <w:sz w:val="22"/>
          <w:szCs w:val="22"/>
        </w:rPr>
      </w:pPr>
      <w:r w:rsidRPr="008A4F40">
        <w:rPr>
          <w:color w:val="000000"/>
          <w:sz w:val="22"/>
          <w:szCs w:val="22"/>
        </w:rPr>
        <w:t>PVDC/Aluminium-Blisterpackungen</w:t>
      </w:r>
    </w:p>
    <w:p w14:paraId="2DDFFF19" w14:textId="77777777" w:rsidR="00510E36" w:rsidRPr="008A4F40" w:rsidRDefault="00510E36" w:rsidP="004E7659">
      <w:pPr>
        <w:rPr>
          <w:color w:val="000000"/>
          <w:sz w:val="22"/>
          <w:szCs w:val="22"/>
        </w:rPr>
      </w:pPr>
      <w:r w:rsidRPr="008A4F40">
        <w:rPr>
          <w:color w:val="000000"/>
          <w:sz w:val="22"/>
          <w:szCs w:val="22"/>
        </w:rPr>
        <w:t xml:space="preserve">Packungen mit </w:t>
      </w:r>
      <w:r w:rsidR="00F64E85" w:rsidRPr="008A4F40">
        <w:rPr>
          <w:color w:val="000000"/>
          <w:sz w:val="22"/>
          <w:szCs w:val="22"/>
        </w:rPr>
        <w:t>6</w:t>
      </w:r>
      <w:r w:rsidRPr="008A4F40">
        <w:rPr>
          <w:color w:val="000000"/>
          <w:sz w:val="22"/>
          <w:szCs w:val="22"/>
        </w:rPr>
        <w:t>0, 120 oder 180 Filmtabletten.</w:t>
      </w:r>
    </w:p>
    <w:p w14:paraId="054A2A2B" w14:textId="77777777" w:rsidR="00F56A4B" w:rsidRPr="008A4F40" w:rsidRDefault="00F56A4B" w:rsidP="004E7659">
      <w:pPr>
        <w:pStyle w:val="Header"/>
        <w:tabs>
          <w:tab w:val="clear" w:pos="4320"/>
          <w:tab w:val="clear" w:pos="8640"/>
        </w:tabs>
        <w:rPr>
          <w:color w:val="000000"/>
          <w:szCs w:val="22"/>
        </w:rPr>
      </w:pPr>
    </w:p>
    <w:p w14:paraId="09405D0F" w14:textId="2FB2BAB0" w:rsidR="00BA3DF3" w:rsidRPr="008A4F40" w:rsidRDefault="00BA3DF3" w:rsidP="004E7659">
      <w:pPr>
        <w:keepNext/>
        <w:rPr>
          <w:color w:val="000000"/>
          <w:sz w:val="22"/>
          <w:szCs w:val="22"/>
          <w:u w:val="single"/>
        </w:rPr>
      </w:pPr>
      <w:r w:rsidRPr="008A4F40">
        <w:rPr>
          <w:color w:val="000000"/>
          <w:sz w:val="22"/>
          <w:szCs w:val="22"/>
          <w:u w:val="single"/>
        </w:rPr>
        <w:t>Glivec 400 mg Filmtabletten</w:t>
      </w:r>
    </w:p>
    <w:p w14:paraId="76B0B78B" w14:textId="77777777" w:rsidR="00A87074" w:rsidRPr="008A4F40" w:rsidRDefault="00A87074" w:rsidP="004E7659">
      <w:pPr>
        <w:keepNext/>
        <w:rPr>
          <w:color w:val="000000"/>
          <w:sz w:val="22"/>
          <w:szCs w:val="22"/>
          <w:u w:val="single"/>
        </w:rPr>
      </w:pPr>
    </w:p>
    <w:p w14:paraId="053ECD16" w14:textId="77777777" w:rsidR="00BA3DF3" w:rsidRPr="008A4F40" w:rsidRDefault="009C1C5E" w:rsidP="004E7659">
      <w:pPr>
        <w:rPr>
          <w:color w:val="000000"/>
          <w:sz w:val="22"/>
          <w:szCs w:val="22"/>
        </w:rPr>
      </w:pPr>
      <w:r w:rsidRPr="008A4F40">
        <w:rPr>
          <w:color w:val="000000"/>
          <w:sz w:val="22"/>
          <w:szCs w:val="22"/>
        </w:rPr>
        <w:t>PVDC/</w:t>
      </w:r>
      <w:r w:rsidR="00BA3DF3" w:rsidRPr="008A4F40">
        <w:rPr>
          <w:color w:val="000000"/>
          <w:sz w:val="22"/>
          <w:szCs w:val="22"/>
        </w:rPr>
        <w:t>Aluminium-Blisterpackungen</w:t>
      </w:r>
    </w:p>
    <w:p w14:paraId="554E8727" w14:textId="77777777" w:rsidR="00BA3DF3" w:rsidRPr="008A4F40" w:rsidRDefault="00BA3DF3" w:rsidP="004E7659">
      <w:pPr>
        <w:rPr>
          <w:color w:val="000000"/>
          <w:sz w:val="22"/>
          <w:szCs w:val="22"/>
        </w:rPr>
      </w:pPr>
      <w:r w:rsidRPr="008A4F40">
        <w:rPr>
          <w:color w:val="000000"/>
          <w:sz w:val="22"/>
          <w:szCs w:val="22"/>
        </w:rPr>
        <w:t>Packungen mit 10, 30 oder 90 Filmtabletten.</w:t>
      </w:r>
    </w:p>
    <w:p w14:paraId="40A3CBEB" w14:textId="77777777" w:rsidR="00BA3DF3" w:rsidRPr="008A4F40" w:rsidRDefault="00BA3DF3" w:rsidP="004E7659">
      <w:pPr>
        <w:pStyle w:val="Header"/>
        <w:tabs>
          <w:tab w:val="clear" w:pos="4320"/>
          <w:tab w:val="clear" w:pos="8640"/>
        </w:tabs>
        <w:rPr>
          <w:color w:val="000000"/>
          <w:szCs w:val="22"/>
        </w:rPr>
      </w:pPr>
    </w:p>
    <w:p w14:paraId="66D2CDA9" w14:textId="77777777" w:rsidR="00F56A4B" w:rsidRPr="008A4F40" w:rsidRDefault="00F56A4B" w:rsidP="004E7659">
      <w:pPr>
        <w:pStyle w:val="Header"/>
        <w:tabs>
          <w:tab w:val="clear" w:pos="4320"/>
          <w:tab w:val="clear" w:pos="8640"/>
        </w:tabs>
        <w:rPr>
          <w:color w:val="000000"/>
          <w:szCs w:val="22"/>
        </w:rPr>
      </w:pPr>
      <w:r w:rsidRPr="008A4F40">
        <w:rPr>
          <w:color w:val="000000"/>
          <w:szCs w:val="22"/>
        </w:rPr>
        <w:t>Es werden möglicherweise nicht alle Packungsgrößen in den Verkehr gebracht.</w:t>
      </w:r>
    </w:p>
    <w:p w14:paraId="4028BDB0" w14:textId="77777777" w:rsidR="00F56A4B" w:rsidRPr="008A4F40" w:rsidRDefault="00F56A4B" w:rsidP="004E7659">
      <w:pPr>
        <w:rPr>
          <w:color w:val="000000"/>
          <w:sz w:val="22"/>
          <w:szCs w:val="22"/>
        </w:rPr>
      </w:pPr>
    </w:p>
    <w:p w14:paraId="7601D4FD" w14:textId="77777777" w:rsidR="009D506D" w:rsidRPr="008A4F40" w:rsidRDefault="009D506D" w:rsidP="004E7659">
      <w:pPr>
        <w:keepNext/>
        <w:rPr>
          <w:b/>
          <w:color w:val="000000"/>
          <w:sz w:val="22"/>
          <w:szCs w:val="22"/>
        </w:rPr>
      </w:pPr>
      <w:r w:rsidRPr="008A4F40">
        <w:rPr>
          <w:b/>
          <w:color w:val="000000"/>
          <w:sz w:val="22"/>
          <w:szCs w:val="22"/>
        </w:rPr>
        <w:t>6.6</w:t>
      </w:r>
      <w:r w:rsidRPr="008A4F40">
        <w:rPr>
          <w:b/>
          <w:color w:val="000000"/>
          <w:sz w:val="22"/>
          <w:szCs w:val="22"/>
        </w:rPr>
        <w:tab/>
        <w:t>Besondere Vorsichtsmaßnahmen für die Beseitigung</w:t>
      </w:r>
    </w:p>
    <w:p w14:paraId="3F54D5C3" w14:textId="77777777" w:rsidR="009D506D" w:rsidRPr="008A4F40" w:rsidRDefault="009D506D" w:rsidP="004E7659">
      <w:pPr>
        <w:keepNext/>
        <w:rPr>
          <w:color w:val="000000"/>
          <w:sz w:val="22"/>
          <w:szCs w:val="22"/>
        </w:rPr>
      </w:pPr>
    </w:p>
    <w:p w14:paraId="34996A64" w14:textId="77777777" w:rsidR="009D506D" w:rsidRPr="008A4F40" w:rsidRDefault="000951F8" w:rsidP="004E7659">
      <w:pPr>
        <w:rPr>
          <w:color w:val="000000"/>
          <w:sz w:val="22"/>
          <w:szCs w:val="22"/>
        </w:rPr>
      </w:pPr>
      <w:r w:rsidRPr="008A4F40">
        <w:rPr>
          <w:color w:val="000000"/>
          <w:sz w:val="22"/>
          <w:szCs w:val="22"/>
        </w:rPr>
        <w:t>Nicht verwendetes Arzneimittel oder Abfallmaterial ist entsprechend den nationalen Anforderungen zu beseitigen.</w:t>
      </w:r>
    </w:p>
    <w:p w14:paraId="7C933BEA" w14:textId="77777777" w:rsidR="009D506D" w:rsidRPr="008A4F40" w:rsidRDefault="009D506D" w:rsidP="004E7659">
      <w:pPr>
        <w:rPr>
          <w:color w:val="000000"/>
          <w:sz w:val="22"/>
          <w:szCs w:val="22"/>
        </w:rPr>
      </w:pPr>
    </w:p>
    <w:p w14:paraId="376E8C0D" w14:textId="77777777" w:rsidR="009D506D" w:rsidRPr="008A4F40" w:rsidRDefault="009D506D" w:rsidP="004E7659">
      <w:pPr>
        <w:rPr>
          <w:color w:val="000000"/>
          <w:sz w:val="22"/>
          <w:szCs w:val="22"/>
        </w:rPr>
      </w:pPr>
    </w:p>
    <w:p w14:paraId="26FF94EF" w14:textId="77777777" w:rsidR="009D506D" w:rsidRPr="008A4F40" w:rsidRDefault="009D506D" w:rsidP="004E7659">
      <w:pPr>
        <w:keepNext/>
        <w:rPr>
          <w:color w:val="000000"/>
          <w:sz w:val="22"/>
          <w:szCs w:val="22"/>
        </w:rPr>
      </w:pPr>
      <w:r w:rsidRPr="008A4F40">
        <w:rPr>
          <w:b/>
          <w:color w:val="000000"/>
          <w:sz w:val="22"/>
          <w:szCs w:val="22"/>
        </w:rPr>
        <w:t>7.</w:t>
      </w:r>
      <w:r w:rsidRPr="008A4F40">
        <w:rPr>
          <w:b/>
          <w:color w:val="000000"/>
          <w:sz w:val="22"/>
          <w:szCs w:val="22"/>
        </w:rPr>
        <w:tab/>
        <w:t xml:space="preserve">INHABER </w:t>
      </w:r>
      <w:smartTag w:uri="urn:schemas-microsoft-com:office:smarttags" w:element="stockticker">
        <w:r w:rsidRPr="008A4F40">
          <w:rPr>
            <w:b/>
            <w:color w:val="000000"/>
            <w:sz w:val="22"/>
            <w:szCs w:val="22"/>
          </w:rPr>
          <w:t>DER</w:t>
        </w:r>
      </w:smartTag>
      <w:r w:rsidRPr="008A4F40">
        <w:rPr>
          <w:b/>
          <w:color w:val="000000"/>
          <w:sz w:val="22"/>
          <w:szCs w:val="22"/>
        </w:rPr>
        <w:t xml:space="preserve"> ZULASSUNG</w:t>
      </w:r>
    </w:p>
    <w:p w14:paraId="36014FDE" w14:textId="77777777" w:rsidR="00F56A4B" w:rsidRPr="008A4F40" w:rsidRDefault="00F56A4B" w:rsidP="004E7659">
      <w:pPr>
        <w:keepNext/>
        <w:rPr>
          <w:color w:val="000000"/>
          <w:sz w:val="22"/>
          <w:szCs w:val="22"/>
        </w:rPr>
      </w:pPr>
    </w:p>
    <w:p w14:paraId="6B61D695" w14:textId="77777777" w:rsidR="00F56A4B" w:rsidRPr="008A4F40" w:rsidRDefault="00F56A4B" w:rsidP="004E7659">
      <w:pPr>
        <w:keepNext/>
        <w:rPr>
          <w:color w:val="000000"/>
          <w:sz w:val="22"/>
          <w:szCs w:val="22"/>
        </w:rPr>
      </w:pPr>
      <w:r w:rsidRPr="008A4F40">
        <w:rPr>
          <w:color w:val="000000"/>
          <w:sz w:val="22"/>
          <w:szCs w:val="22"/>
        </w:rPr>
        <w:t>Novartis Europharm Limited</w:t>
      </w:r>
    </w:p>
    <w:p w14:paraId="2371F14A" w14:textId="77777777" w:rsidR="002C158B" w:rsidRPr="008A4F40" w:rsidRDefault="002C158B" w:rsidP="004E7659">
      <w:pPr>
        <w:keepNext/>
        <w:rPr>
          <w:color w:val="000000"/>
          <w:sz w:val="22"/>
          <w:szCs w:val="22"/>
          <w:lang w:val="en-US"/>
        </w:rPr>
      </w:pPr>
      <w:r w:rsidRPr="008A4F40">
        <w:rPr>
          <w:color w:val="000000"/>
          <w:sz w:val="22"/>
          <w:szCs w:val="22"/>
          <w:lang w:val="en-US"/>
        </w:rPr>
        <w:t>Vista Building</w:t>
      </w:r>
    </w:p>
    <w:p w14:paraId="654271BB" w14:textId="77777777" w:rsidR="002C158B" w:rsidRPr="008A4F40" w:rsidRDefault="002C158B" w:rsidP="004E7659">
      <w:pPr>
        <w:keepNext/>
        <w:rPr>
          <w:color w:val="000000"/>
          <w:sz w:val="22"/>
          <w:szCs w:val="22"/>
          <w:lang w:val="en-US"/>
        </w:rPr>
      </w:pPr>
      <w:r w:rsidRPr="008A4F40">
        <w:rPr>
          <w:color w:val="000000"/>
          <w:sz w:val="22"/>
          <w:szCs w:val="22"/>
          <w:lang w:val="en-US"/>
        </w:rPr>
        <w:t>Elm Park, Merrion Road</w:t>
      </w:r>
    </w:p>
    <w:p w14:paraId="41120892" w14:textId="77777777" w:rsidR="002C158B" w:rsidRPr="008A4F40" w:rsidRDefault="002C158B" w:rsidP="004E7659">
      <w:pPr>
        <w:keepNext/>
        <w:rPr>
          <w:color w:val="000000"/>
          <w:sz w:val="22"/>
          <w:szCs w:val="22"/>
        </w:rPr>
      </w:pPr>
      <w:r w:rsidRPr="008A4F40">
        <w:rPr>
          <w:color w:val="000000"/>
          <w:sz w:val="22"/>
          <w:szCs w:val="22"/>
        </w:rPr>
        <w:t>Dublin 4</w:t>
      </w:r>
    </w:p>
    <w:p w14:paraId="6BDFA99F" w14:textId="77777777" w:rsidR="00F56A4B" w:rsidRPr="008A4F40" w:rsidRDefault="002C158B" w:rsidP="004E7659">
      <w:pPr>
        <w:pStyle w:val="Header"/>
        <w:tabs>
          <w:tab w:val="clear" w:pos="4320"/>
          <w:tab w:val="clear" w:pos="8640"/>
        </w:tabs>
        <w:rPr>
          <w:caps/>
          <w:color w:val="000000"/>
          <w:szCs w:val="22"/>
        </w:rPr>
      </w:pPr>
      <w:r w:rsidRPr="008A4F40">
        <w:rPr>
          <w:color w:val="000000"/>
          <w:szCs w:val="22"/>
        </w:rPr>
        <w:t>Irland</w:t>
      </w:r>
    </w:p>
    <w:p w14:paraId="7E7B17C4" w14:textId="77777777" w:rsidR="00F56A4B" w:rsidRPr="008A4F40" w:rsidRDefault="00F56A4B" w:rsidP="004E7659">
      <w:pPr>
        <w:rPr>
          <w:color w:val="000000"/>
          <w:sz w:val="22"/>
          <w:szCs w:val="22"/>
        </w:rPr>
      </w:pPr>
    </w:p>
    <w:p w14:paraId="534BC6B1" w14:textId="77777777" w:rsidR="00F56A4B" w:rsidRPr="008A4F40" w:rsidRDefault="00F56A4B" w:rsidP="004E7659">
      <w:pPr>
        <w:rPr>
          <w:color w:val="000000"/>
          <w:sz w:val="22"/>
          <w:szCs w:val="22"/>
        </w:rPr>
      </w:pPr>
    </w:p>
    <w:p w14:paraId="1D126452" w14:textId="77777777" w:rsidR="00D72F2D" w:rsidRPr="008A4F40" w:rsidRDefault="00F56A4B" w:rsidP="004E7659">
      <w:pPr>
        <w:keepNext/>
        <w:rPr>
          <w:b/>
          <w:color w:val="000000"/>
          <w:sz w:val="22"/>
          <w:szCs w:val="22"/>
        </w:rPr>
      </w:pPr>
      <w:r w:rsidRPr="008A4F40">
        <w:rPr>
          <w:b/>
          <w:color w:val="000000"/>
          <w:sz w:val="22"/>
          <w:szCs w:val="22"/>
        </w:rPr>
        <w:t>8.</w:t>
      </w:r>
      <w:r w:rsidRPr="008A4F40">
        <w:rPr>
          <w:b/>
          <w:color w:val="000000"/>
          <w:sz w:val="22"/>
          <w:szCs w:val="22"/>
        </w:rPr>
        <w:tab/>
        <w:t>ZULASSUNGSNUMMER(N)</w:t>
      </w:r>
    </w:p>
    <w:p w14:paraId="659F6678" w14:textId="77777777" w:rsidR="00F56A4B" w:rsidRPr="008A4F40" w:rsidRDefault="00F56A4B" w:rsidP="004E7659">
      <w:pPr>
        <w:keepNext/>
        <w:rPr>
          <w:color w:val="000000"/>
          <w:sz w:val="22"/>
          <w:szCs w:val="22"/>
        </w:rPr>
      </w:pPr>
    </w:p>
    <w:p w14:paraId="2F2AEAC7" w14:textId="4E1E7528" w:rsidR="00BA3DF3" w:rsidRPr="008A4F40" w:rsidRDefault="00BA3DF3" w:rsidP="004E7659">
      <w:pPr>
        <w:keepNext/>
        <w:rPr>
          <w:color w:val="000000"/>
          <w:sz w:val="22"/>
          <w:szCs w:val="22"/>
          <w:u w:val="single"/>
        </w:rPr>
      </w:pPr>
      <w:r w:rsidRPr="008A4F40">
        <w:rPr>
          <w:color w:val="000000"/>
          <w:sz w:val="22"/>
          <w:szCs w:val="22"/>
          <w:u w:val="single"/>
        </w:rPr>
        <w:t>Glivec 100 mg Filmtabletten</w:t>
      </w:r>
    </w:p>
    <w:p w14:paraId="01816297" w14:textId="77777777" w:rsidR="00A87074" w:rsidRPr="008A4F40" w:rsidRDefault="00A87074" w:rsidP="004E7659">
      <w:pPr>
        <w:keepNext/>
        <w:rPr>
          <w:color w:val="000000"/>
          <w:sz w:val="22"/>
          <w:szCs w:val="22"/>
          <w:u w:val="single"/>
        </w:rPr>
      </w:pPr>
    </w:p>
    <w:p w14:paraId="1C7D9E53" w14:textId="77777777" w:rsidR="00F56A4B" w:rsidRPr="008A4F40" w:rsidRDefault="00F56A4B" w:rsidP="004E7659">
      <w:pPr>
        <w:pStyle w:val="Header"/>
        <w:keepNext/>
        <w:tabs>
          <w:tab w:val="clear" w:pos="4320"/>
          <w:tab w:val="clear" w:pos="8640"/>
        </w:tabs>
        <w:rPr>
          <w:color w:val="000000"/>
          <w:szCs w:val="22"/>
          <w:lang w:val="pt-PT"/>
        </w:rPr>
      </w:pPr>
      <w:r w:rsidRPr="008A4F40">
        <w:rPr>
          <w:color w:val="000000"/>
          <w:szCs w:val="22"/>
          <w:lang w:val="pt-PT"/>
        </w:rPr>
        <w:t>EU/1/01/198/007</w:t>
      </w:r>
    </w:p>
    <w:p w14:paraId="1A2F9B50" w14:textId="77777777" w:rsidR="00F56A4B" w:rsidRPr="008A4F40" w:rsidRDefault="00F56A4B" w:rsidP="004E7659">
      <w:pPr>
        <w:pStyle w:val="Header"/>
        <w:keepNext/>
        <w:tabs>
          <w:tab w:val="clear" w:pos="4320"/>
          <w:tab w:val="clear" w:pos="8640"/>
        </w:tabs>
        <w:rPr>
          <w:color w:val="000000"/>
          <w:szCs w:val="22"/>
          <w:lang w:val="pt-PT"/>
        </w:rPr>
      </w:pPr>
      <w:r w:rsidRPr="008A4F40">
        <w:rPr>
          <w:color w:val="000000"/>
          <w:szCs w:val="22"/>
          <w:lang w:val="pt-PT"/>
        </w:rPr>
        <w:t>EU/1/01/198/008</w:t>
      </w:r>
    </w:p>
    <w:p w14:paraId="2F6618A4" w14:textId="77777777" w:rsidR="00F56A4B" w:rsidRPr="008A4F40" w:rsidRDefault="00F56A4B" w:rsidP="004E7659">
      <w:pPr>
        <w:pStyle w:val="Header"/>
        <w:keepNext/>
        <w:tabs>
          <w:tab w:val="clear" w:pos="4320"/>
          <w:tab w:val="clear" w:pos="8640"/>
        </w:tabs>
        <w:rPr>
          <w:color w:val="000000"/>
          <w:szCs w:val="22"/>
          <w:lang w:val="pt-PT"/>
        </w:rPr>
      </w:pPr>
      <w:r w:rsidRPr="008A4F40">
        <w:rPr>
          <w:color w:val="000000"/>
          <w:szCs w:val="22"/>
          <w:lang w:val="pt-PT"/>
        </w:rPr>
        <w:t>EU/1/01/198/</w:t>
      </w:r>
      <w:r w:rsidR="00C35470" w:rsidRPr="008A4F40">
        <w:rPr>
          <w:color w:val="000000"/>
          <w:szCs w:val="22"/>
          <w:lang w:val="pt-PT"/>
        </w:rPr>
        <w:t>011</w:t>
      </w:r>
    </w:p>
    <w:p w14:paraId="7ACC177A" w14:textId="77777777" w:rsidR="00F56A4B" w:rsidRPr="008A4F40" w:rsidRDefault="00F56A4B" w:rsidP="004E7659">
      <w:pPr>
        <w:pStyle w:val="Header"/>
        <w:keepNext/>
        <w:tabs>
          <w:tab w:val="clear" w:pos="4320"/>
          <w:tab w:val="clear" w:pos="8640"/>
        </w:tabs>
        <w:rPr>
          <w:color w:val="000000"/>
          <w:szCs w:val="22"/>
          <w:lang w:val="pt-PT"/>
        </w:rPr>
      </w:pPr>
      <w:r w:rsidRPr="008A4F40">
        <w:rPr>
          <w:color w:val="000000"/>
          <w:szCs w:val="22"/>
          <w:lang w:val="pt-PT"/>
        </w:rPr>
        <w:t>EU/1/01/198/</w:t>
      </w:r>
      <w:r w:rsidR="00C35470" w:rsidRPr="008A4F40">
        <w:rPr>
          <w:color w:val="000000"/>
          <w:szCs w:val="22"/>
          <w:lang w:val="pt-PT"/>
        </w:rPr>
        <w:t>012</w:t>
      </w:r>
    </w:p>
    <w:p w14:paraId="02ADA39A" w14:textId="77777777" w:rsidR="00510E36" w:rsidRPr="008A4F40" w:rsidRDefault="00510E36" w:rsidP="004E7659">
      <w:pPr>
        <w:pStyle w:val="Header"/>
        <w:keepNext/>
        <w:rPr>
          <w:color w:val="000000"/>
          <w:szCs w:val="22"/>
          <w:lang w:val="pt-PT"/>
        </w:rPr>
      </w:pPr>
      <w:r w:rsidRPr="008A4F40">
        <w:rPr>
          <w:color w:val="000000"/>
          <w:szCs w:val="22"/>
          <w:lang w:val="pt-PT"/>
        </w:rPr>
        <w:t>EU/1/01/198/01</w:t>
      </w:r>
      <w:r w:rsidR="00EC09FB" w:rsidRPr="008A4F40">
        <w:rPr>
          <w:color w:val="000000"/>
          <w:szCs w:val="22"/>
          <w:lang w:val="pt-PT"/>
        </w:rPr>
        <w:t>4</w:t>
      </w:r>
    </w:p>
    <w:p w14:paraId="5A69FD39" w14:textId="77777777" w:rsidR="00510E36" w:rsidRPr="008A4F40" w:rsidRDefault="00510E36" w:rsidP="004E7659">
      <w:pPr>
        <w:pStyle w:val="Header"/>
        <w:keepNext/>
        <w:tabs>
          <w:tab w:val="clear" w:pos="4320"/>
          <w:tab w:val="clear" w:pos="8640"/>
        </w:tabs>
        <w:rPr>
          <w:color w:val="000000"/>
          <w:szCs w:val="22"/>
        </w:rPr>
      </w:pPr>
      <w:r w:rsidRPr="008A4F40">
        <w:rPr>
          <w:color w:val="000000"/>
          <w:szCs w:val="22"/>
        </w:rPr>
        <w:t>EU/1/01/198/01</w:t>
      </w:r>
      <w:r w:rsidR="00EC09FB" w:rsidRPr="008A4F40">
        <w:rPr>
          <w:color w:val="000000"/>
          <w:szCs w:val="22"/>
        </w:rPr>
        <w:t>5</w:t>
      </w:r>
    </w:p>
    <w:p w14:paraId="2F2448FB" w14:textId="77777777" w:rsidR="00F64E85" w:rsidRPr="008A4F40" w:rsidRDefault="00F64E85" w:rsidP="004E7659">
      <w:pPr>
        <w:pStyle w:val="Header"/>
        <w:tabs>
          <w:tab w:val="clear" w:pos="4320"/>
          <w:tab w:val="clear" w:pos="8640"/>
        </w:tabs>
        <w:rPr>
          <w:color w:val="000000"/>
          <w:szCs w:val="22"/>
        </w:rPr>
      </w:pPr>
      <w:r w:rsidRPr="008A4F40">
        <w:rPr>
          <w:color w:val="000000"/>
          <w:szCs w:val="22"/>
        </w:rPr>
        <w:t>EU/1/01/198/01</w:t>
      </w:r>
      <w:r w:rsidR="00EC09FB" w:rsidRPr="008A4F40">
        <w:rPr>
          <w:color w:val="000000"/>
          <w:szCs w:val="22"/>
        </w:rPr>
        <w:t>6</w:t>
      </w:r>
    </w:p>
    <w:p w14:paraId="1E10846D" w14:textId="77777777" w:rsidR="00F56A4B" w:rsidRPr="008A4F40" w:rsidRDefault="00F56A4B" w:rsidP="004E7659">
      <w:pPr>
        <w:pStyle w:val="Header"/>
        <w:tabs>
          <w:tab w:val="clear" w:pos="4320"/>
          <w:tab w:val="clear" w:pos="8640"/>
        </w:tabs>
        <w:rPr>
          <w:color w:val="000000"/>
          <w:szCs w:val="22"/>
        </w:rPr>
      </w:pPr>
    </w:p>
    <w:p w14:paraId="7AB508C2" w14:textId="51BF472A" w:rsidR="00BA3DF3" w:rsidRPr="008A4F40" w:rsidRDefault="00BA3DF3" w:rsidP="004E7659">
      <w:pPr>
        <w:keepNext/>
        <w:rPr>
          <w:color w:val="000000"/>
          <w:sz w:val="22"/>
          <w:szCs w:val="22"/>
          <w:u w:val="single"/>
          <w:lang w:val="de-CH"/>
        </w:rPr>
      </w:pPr>
      <w:r w:rsidRPr="008A4F40">
        <w:rPr>
          <w:color w:val="000000"/>
          <w:sz w:val="22"/>
          <w:szCs w:val="22"/>
          <w:u w:val="single"/>
          <w:lang w:val="de-CH"/>
        </w:rPr>
        <w:t>Glivec 400 mg Filmtabletten</w:t>
      </w:r>
    </w:p>
    <w:p w14:paraId="321A041B" w14:textId="77777777" w:rsidR="00A87074" w:rsidRPr="008A4F40" w:rsidRDefault="00A87074" w:rsidP="004E7659">
      <w:pPr>
        <w:keepNext/>
        <w:rPr>
          <w:color w:val="000000"/>
          <w:sz w:val="22"/>
          <w:szCs w:val="22"/>
          <w:u w:val="single"/>
          <w:lang w:val="de-CH"/>
        </w:rPr>
      </w:pPr>
    </w:p>
    <w:p w14:paraId="0E1DFF67" w14:textId="77777777" w:rsidR="00BA3DF3" w:rsidRPr="008A4F40" w:rsidRDefault="00BA3DF3" w:rsidP="004E7659">
      <w:pPr>
        <w:keepNext/>
        <w:rPr>
          <w:color w:val="000000"/>
          <w:sz w:val="22"/>
          <w:szCs w:val="22"/>
          <w:lang w:val="de-CH"/>
        </w:rPr>
      </w:pPr>
      <w:r w:rsidRPr="008A4F40">
        <w:rPr>
          <w:color w:val="000000"/>
          <w:sz w:val="22"/>
          <w:szCs w:val="22"/>
          <w:lang w:val="de-CH"/>
        </w:rPr>
        <w:t>EU/1/01/198/009</w:t>
      </w:r>
    </w:p>
    <w:p w14:paraId="2FDBCEE3" w14:textId="77777777" w:rsidR="00BA3DF3" w:rsidRPr="008A4F40" w:rsidRDefault="00BA3DF3" w:rsidP="004E7659">
      <w:pPr>
        <w:keepNext/>
        <w:rPr>
          <w:color w:val="000000"/>
          <w:sz w:val="22"/>
          <w:szCs w:val="22"/>
          <w:lang w:val="de-CH"/>
        </w:rPr>
      </w:pPr>
      <w:r w:rsidRPr="008A4F40">
        <w:rPr>
          <w:color w:val="000000"/>
          <w:sz w:val="22"/>
          <w:szCs w:val="22"/>
          <w:lang w:val="de-CH"/>
        </w:rPr>
        <w:t>EU/1/01/198/010</w:t>
      </w:r>
    </w:p>
    <w:p w14:paraId="1E9CA459" w14:textId="77777777" w:rsidR="00BA3DF3" w:rsidRPr="008A4F40" w:rsidRDefault="00BA3DF3" w:rsidP="004E7659">
      <w:pPr>
        <w:rPr>
          <w:color w:val="000000"/>
          <w:sz w:val="22"/>
          <w:szCs w:val="22"/>
          <w:lang w:val="de-CH"/>
        </w:rPr>
      </w:pPr>
      <w:r w:rsidRPr="008A4F40">
        <w:rPr>
          <w:color w:val="000000"/>
          <w:sz w:val="22"/>
          <w:szCs w:val="22"/>
          <w:lang w:val="de-CH"/>
        </w:rPr>
        <w:t>EU/1/01/198/013</w:t>
      </w:r>
    </w:p>
    <w:p w14:paraId="7A59A18D" w14:textId="77777777" w:rsidR="009C1C5E" w:rsidRPr="008A4F40" w:rsidRDefault="009C1C5E" w:rsidP="004E7659">
      <w:pPr>
        <w:rPr>
          <w:color w:val="000000"/>
          <w:sz w:val="22"/>
          <w:szCs w:val="22"/>
          <w:lang w:val="de-CH"/>
        </w:rPr>
      </w:pPr>
    </w:p>
    <w:p w14:paraId="5B979967" w14:textId="77777777" w:rsidR="00F56A4B" w:rsidRPr="008A4F40" w:rsidRDefault="00F56A4B" w:rsidP="004E7659">
      <w:pPr>
        <w:rPr>
          <w:color w:val="000000"/>
          <w:sz w:val="22"/>
          <w:szCs w:val="22"/>
          <w:lang w:val="de-CH"/>
        </w:rPr>
      </w:pPr>
    </w:p>
    <w:p w14:paraId="61E4F5EF" w14:textId="77777777" w:rsidR="009D506D" w:rsidRPr="008A4F40" w:rsidRDefault="009D506D" w:rsidP="004E7659">
      <w:pPr>
        <w:keepNext/>
        <w:ind w:left="567" w:hanging="567"/>
        <w:rPr>
          <w:color w:val="000000"/>
          <w:sz w:val="22"/>
          <w:szCs w:val="22"/>
        </w:rPr>
      </w:pPr>
      <w:r w:rsidRPr="008A4F40">
        <w:rPr>
          <w:b/>
          <w:color w:val="000000"/>
          <w:sz w:val="22"/>
          <w:szCs w:val="22"/>
        </w:rPr>
        <w:t>9.</w:t>
      </w:r>
      <w:r w:rsidRPr="008A4F40">
        <w:rPr>
          <w:b/>
          <w:color w:val="000000"/>
          <w:sz w:val="22"/>
          <w:szCs w:val="22"/>
        </w:rPr>
        <w:tab/>
        <w:t xml:space="preserve">DATUM </w:t>
      </w:r>
      <w:smartTag w:uri="urn:schemas-microsoft-com:office:smarttags" w:element="stockticker">
        <w:r w:rsidRPr="008A4F40">
          <w:rPr>
            <w:b/>
            <w:color w:val="000000"/>
            <w:sz w:val="22"/>
            <w:szCs w:val="22"/>
          </w:rPr>
          <w:t>DER</w:t>
        </w:r>
      </w:smartTag>
      <w:r w:rsidRPr="008A4F40">
        <w:rPr>
          <w:b/>
          <w:color w:val="000000"/>
          <w:sz w:val="22"/>
          <w:szCs w:val="22"/>
        </w:rPr>
        <w:t xml:space="preserve"> ERTEILUNG </w:t>
      </w:r>
      <w:smartTag w:uri="urn:schemas-microsoft-com:office:smarttags" w:element="stockticker">
        <w:r w:rsidRPr="008A4F40">
          <w:rPr>
            <w:b/>
            <w:color w:val="000000"/>
            <w:sz w:val="22"/>
            <w:szCs w:val="22"/>
          </w:rPr>
          <w:t>DER</w:t>
        </w:r>
      </w:smartTag>
      <w:r w:rsidRPr="008A4F40">
        <w:rPr>
          <w:b/>
          <w:color w:val="000000"/>
          <w:sz w:val="22"/>
          <w:szCs w:val="22"/>
        </w:rPr>
        <w:t xml:space="preserve"> ZULASSUNG/VERLÄNGERUNG </w:t>
      </w:r>
      <w:smartTag w:uri="urn:schemas-microsoft-com:office:smarttags" w:element="stockticker">
        <w:r w:rsidRPr="008A4F40">
          <w:rPr>
            <w:b/>
            <w:color w:val="000000"/>
            <w:sz w:val="22"/>
            <w:szCs w:val="22"/>
          </w:rPr>
          <w:t>DER</w:t>
        </w:r>
      </w:smartTag>
      <w:r w:rsidRPr="008A4F40">
        <w:rPr>
          <w:b/>
          <w:color w:val="000000"/>
          <w:sz w:val="22"/>
          <w:szCs w:val="22"/>
        </w:rPr>
        <w:t xml:space="preserve"> ZULASSUNG</w:t>
      </w:r>
    </w:p>
    <w:p w14:paraId="27BBB2C9" w14:textId="77777777" w:rsidR="00F56A4B" w:rsidRPr="008A4F40" w:rsidRDefault="00F56A4B" w:rsidP="004E7659">
      <w:pPr>
        <w:keepNext/>
        <w:rPr>
          <w:color w:val="000000"/>
          <w:sz w:val="22"/>
          <w:szCs w:val="22"/>
        </w:rPr>
      </w:pPr>
    </w:p>
    <w:p w14:paraId="66C67E24" w14:textId="77777777" w:rsidR="00F56A4B" w:rsidRPr="008A4F40" w:rsidRDefault="009D506D" w:rsidP="004E7659">
      <w:pPr>
        <w:keepNext/>
        <w:rPr>
          <w:color w:val="000000"/>
          <w:sz w:val="22"/>
          <w:szCs w:val="22"/>
        </w:rPr>
      </w:pPr>
      <w:r w:rsidRPr="008A4F40">
        <w:rPr>
          <w:color w:val="000000"/>
          <w:sz w:val="22"/>
          <w:szCs w:val="22"/>
          <w:lang w:val="de-CH"/>
        </w:rPr>
        <w:t xml:space="preserve">Datum der Erteilung der Zulassung: </w:t>
      </w:r>
      <w:r w:rsidR="002D3E85" w:rsidRPr="008A4F40">
        <w:rPr>
          <w:color w:val="000000"/>
          <w:sz w:val="22"/>
          <w:szCs w:val="22"/>
        </w:rPr>
        <w:t>07</w:t>
      </w:r>
      <w:r w:rsidR="00F56A4B" w:rsidRPr="008A4F40">
        <w:rPr>
          <w:color w:val="000000"/>
          <w:sz w:val="22"/>
          <w:szCs w:val="22"/>
        </w:rPr>
        <w:t>.</w:t>
      </w:r>
      <w:r w:rsidR="00481135" w:rsidRPr="008A4F40">
        <w:rPr>
          <w:color w:val="000000"/>
          <w:sz w:val="22"/>
          <w:szCs w:val="22"/>
        </w:rPr>
        <w:t xml:space="preserve"> November </w:t>
      </w:r>
      <w:r w:rsidR="00F56A4B" w:rsidRPr="008A4F40">
        <w:rPr>
          <w:color w:val="000000"/>
          <w:sz w:val="22"/>
          <w:szCs w:val="22"/>
        </w:rPr>
        <w:t>200</w:t>
      </w:r>
      <w:r w:rsidR="002D3E85" w:rsidRPr="008A4F40">
        <w:rPr>
          <w:color w:val="000000"/>
          <w:sz w:val="22"/>
          <w:szCs w:val="22"/>
        </w:rPr>
        <w:t>1</w:t>
      </w:r>
    </w:p>
    <w:p w14:paraId="67E222F6" w14:textId="77777777" w:rsidR="009D506D" w:rsidRPr="008A4F40" w:rsidRDefault="009D506D" w:rsidP="004E7659">
      <w:pPr>
        <w:rPr>
          <w:color w:val="000000"/>
          <w:sz w:val="22"/>
          <w:szCs w:val="22"/>
          <w:lang w:val="de-CH"/>
        </w:rPr>
      </w:pPr>
      <w:r w:rsidRPr="008A4F40">
        <w:rPr>
          <w:color w:val="000000"/>
          <w:sz w:val="22"/>
          <w:szCs w:val="22"/>
          <w:lang w:val="de-CH"/>
        </w:rPr>
        <w:t xml:space="preserve">Datum der </w:t>
      </w:r>
      <w:r w:rsidR="00481135" w:rsidRPr="008A4F40">
        <w:rPr>
          <w:color w:val="000000"/>
          <w:sz w:val="22"/>
          <w:szCs w:val="22"/>
          <w:lang w:val="de-CH"/>
        </w:rPr>
        <w:t>letzten</w:t>
      </w:r>
      <w:r w:rsidRPr="008A4F40">
        <w:rPr>
          <w:color w:val="000000"/>
          <w:sz w:val="22"/>
          <w:szCs w:val="22"/>
          <w:lang w:val="de-CH"/>
        </w:rPr>
        <w:t xml:space="preserve"> Verlängerung der Zulassung:</w:t>
      </w:r>
      <w:r w:rsidR="00F0540C" w:rsidRPr="008A4F40">
        <w:rPr>
          <w:color w:val="000000"/>
          <w:sz w:val="22"/>
          <w:szCs w:val="22"/>
          <w:lang w:val="de-CH"/>
        </w:rPr>
        <w:t xml:space="preserve"> 07.</w:t>
      </w:r>
      <w:r w:rsidR="002D3E85" w:rsidRPr="008A4F40">
        <w:rPr>
          <w:color w:val="000000"/>
          <w:sz w:val="22"/>
          <w:szCs w:val="22"/>
          <w:lang w:val="de-CH"/>
        </w:rPr>
        <w:t> </w:t>
      </w:r>
      <w:r w:rsidR="00481135" w:rsidRPr="008A4F40">
        <w:rPr>
          <w:color w:val="000000"/>
          <w:sz w:val="22"/>
          <w:szCs w:val="22"/>
          <w:lang w:val="de-CH"/>
        </w:rPr>
        <w:t xml:space="preserve">November </w:t>
      </w:r>
      <w:r w:rsidR="00F0540C" w:rsidRPr="008A4F40">
        <w:rPr>
          <w:color w:val="000000"/>
          <w:sz w:val="22"/>
          <w:szCs w:val="22"/>
          <w:lang w:val="de-CH"/>
        </w:rPr>
        <w:t>2006</w:t>
      </w:r>
    </w:p>
    <w:p w14:paraId="6964292E" w14:textId="77777777" w:rsidR="00F56A4B" w:rsidRPr="008A4F40" w:rsidRDefault="00F56A4B" w:rsidP="004E7659">
      <w:pPr>
        <w:rPr>
          <w:color w:val="000000"/>
          <w:sz w:val="22"/>
          <w:szCs w:val="22"/>
          <w:lang w:val="de-CH"/>
        </w:rPr>
      </w:pPr>
    </w:p>
    <w:p w14:paraId="428CC68B" w14:textId="77777777" w:rsidR="00F56A4B" w:rsidRPr="008A4F40" w:rsidRDefault="00F56A4B" w:rsidP="004E7659">
      <w:pPr>
        <w:pStyle w:val="Header"/>
        <w:tabs>
          <w:tab w:val="clear" w:pos="4320"/>
          <w:tab w:val="clear" w:pos="8640"/>
        </w:tabs>
        <w:rPr>
          <w:color w:val="000000"/>
          <w:szCs w:val="22"/>
        </w:rPr>
      </w:pPr>
    </w:p>
    <w:p w14:paraId="2DA98D80" w14:textId="77777777" w:rsidR="004C1FC2" w:rsidRPr="008A4F40" w:rsidRDefault="00F56A4B" w:rsidP="004E7659">
      <w:pPr>
        <w:rPr>
          <w:color w:val="000000"/>
          <w:sz w:val="22"/>
          <w:szCs w:val="22"/>
        </w:rPr>
      </w:pPr>
      <w:r w:rsidRPr="008A4F40">
        <w:rPr>
          <w:b/>
          <w:color w:val="000000"/>
          <w:sz w:val="22"/>
          <w:szCs w:val="22"/>
        </w:rPr>
        <w:t>10.</w:t>
      </w:r>
      <w:r w:rsidRPr="008A4F40">
        <w:rPr>
          <w:b/>
          <w:color w:val="000000"/>
          <w:sz w:val="22"/>
          <w:szCs w:val="22"/>
        </w:rPr>
        <w:tab/>
        <w:t xml:space="preserve">STAND </w:t>
      </w:r>
      <w:smartTag w:uri="urn:schemas-microsoft-com:office:smarttags" w:element="stockticker">
        <w:r w:rsidRPr="008A4F40">
          <w:rPr>
            <w:b/>
            <w:color w:val="000000"/>
            <w:sz w:val="22"/>
            <w:szCs w:val="22"/>
          </w:rPr>
          <w:t>DER</w:t>
        </w:r>
      </w:smartTag>
      <w:r w:rsidRPr="008A4F40">
        <w:rPr>
          <w:b/>
          <w:color w:val="000000"/>
          <w:sz w:val="22"/>
          <w:szCs w:val="22"/>
        </w:rPr>
        <w:t xml:space="preserve"> INFORMATION</w:t>
      </w:r>
    </w:p>
    <w:p w14:paraId="5CA63A85" w14:textId="77777777" w:rsidR="004C1FC2" w:rsidRPr="008A4F40" w:rsidRDefault="004C1FC2" w:rsidP="004E7659">
      <w:pPr>
        <w:rPr>
          <w:color w:val="000000"/>
          <w:sz w:val="22"/>
          <w:szCs w:val="22"/>
        </w:rPr>
      </w:pPr>
    </w:p>
    <w:p w14:paraId="701FE40B" w14:textId="77777777" w:rsidR="00A4443C" w:rsidRPr="008A4F40" w:rsidRDefault="00A4443C" w:rsidP="004E7659">
      <w:pPr>
        <w:rPr>
          <w:color w:val="000000"/>
          <w:sz w:val="22"/>
          <w:szCs w:val="22"/>
        </w:rPr>
      </w:pPr>
    </w:p>
    <w:p w14:paraId="127C7123" w14:textId="2601CC5C" w:rsidR="00F56A4B" w:rsidRPr="008A4F40" w:rsidRDefault="004C1FC2" w:rsidP="004E7659">
      <w:pPr>
        <w:rPr>
          <w:color w:val="000000"/>
          <w:sz w:val="22"/>
          <w:szCs w:val="22"/>
        </w:rPr>
      </w:pPr>
      <w:r w:rsidRPr="008A4F40">
        <w:rPr>
          <w:bCs/>
          <w:color w:val="000000"/>
          <w:sz w:val="22"/>
          <w:szCs w:val="22"/>
        </w:rPr>
        <w:t>Ausführliche Informationen zu diesem Arzneimittel sind auf de</w:t>
      </w:r>
      <w:r w:rsidR="00481135" w:rsidRPr="008A4F40">
        <w:rPr>
          <w:bCs/>
          <w:color w:val="000000"/>
          <w:sz w:val="22"/>
          <w:szCs w:val="22"/>
        </w:rPr>
        <w:t>n Internetseiten</w:t>
      </w:r>
      <w:r w:rsidRPr="008A4F40">
        <w:rPr>
          <w:bCs/>
          <w:color w:val="000000"/>
          <w:sz w:val="22"/>
          <w:szCs w:val="22"/>
        </w:rPr>
        <w:t xml:space="preserve"> der Europäischen Arzneimittel-Agentur </w:t>
      </w:r>
      <w:ins w:id="862" w:author="Author">
        <w:r w:rsidR="00E96CC8">
          <w:rPr>
            <w:bCs/>
            <w:sz w:val="22"/>
            <w:szCs w:val="22"/>
          </w:rPr>
          <w:fldChar w:fldCharType="begin"/>
        </w:r>
        <w:r w:rsidR="00E96CC8">
          <w:rPr>
            <w:bCs/>
            <w:sz w:val="22"/>
            <w:szCs w:val="22"/>
          </w:rPr>
          <w:instrText>HYPERLINK "</w:instrText>
        </w:r>
      </w:ins>
      <w:r w:rsidR="00E96CC8" w:rsidRPr="00D1077B">
        <w:rPr>
          <w:rPrChange w:id="863" w:author="Author">
            <w:rPr>
              <w:rStyle w:val="Hyperlink"/>
              <w:bCs/>
              <w:sz w:val="22"/>
              <w:szCs w:val="22"/>
            </w:rPr>
          </w:rPrChange>
        </w:rPr>
        <w:instrText>http</w:instrText>
      </w:r>
      <w:ins w:id="864" w:author="Author">
        <w:r w:rsidR="00E96CC8" w:rsidRPr="00D1077B">
          <w:rPr>
            <w:rPrChange w:id="865" w:author="Author">
              <w:rPr>
                <w:rStyle w:val="Hyperlink"/>
                <w:bCs/>
                <w:sz w:val="22"/>
                <w:szCs w:val="22"/>
              </w:rPr>
            </w:rPrChange>
          </w:rPr>
          <w:instrText>s</w:instrText>
        </w:r>
      </w:ins>
      <w:r w:rsidR="00E96CC8" w:rsidRPr="00D1077B">
        <w:rPr>
          <w:rPrChange w:id="866" w:author="Author">
            <w:rPr>
              <w:rStyle w:val="Hyperlink"/>
              <w:bCs/>
              <w:sz w:val="22"/>
              <w:szCs w:val="22"/>
            </w:rPr>
          </w:rPrChange>
        </w:rPr>
        <w:instrText>://www.ema.europa.eu</w:instrText>
      </w:r>
      <w:ins w:id="867" w:author="Author">
        <w:r w:rsidR="00E96CC8">
          <w:rPr>
            <w:bCs/>
            <w:sz w:val="22"/>
            <w:szCs w:val="22"/>
          </w:rPr>
          <w:instrText>"</w:instrText>
        </w:r>
        <w:r w:rsidR="00E96CC8">
          <w:rPr>
            <w:bCs/>
            <w:sz w:val="22"/>
            <w:szCs w:val="22"/>
          </w:rPr>
        </w:r>
        <w:r w:rsidR="00E96CC8">
          <w:rPr>
            <w:bCs/>
            <w:sz w:val="22"/>
            <w:szCs w:val="22"/>
          </w:rPr>
          <w:fldChar w:fldCharType="separate"/>
        </w:r>
      </w:ins>
      <w:r w:rsidR="00E96CC8" w:rsidRPr="00E96CC8">
        <w:rPr>
          <w:rStyle w:val="Hyperlink"/>
          <w:bCs/>
          <w:sz w:val="22"/>
          <w:szCs w:val="22"/>
        </w:rPr>
        <w:t>http</w:t>
      </w:r>
      <w:ins w:id="868" w:author="Author">
        <w:r w:rsidR="00E96CC8" w:rsidRPr="00E96CC8">
          <w:rPr>
            <w:rStyle w:val="Hyperlink"/>
            <w:bCs/>
            <w:sz w:val="22"/>
            <w:szCs w:val="22"/>
          </w:rPr>
          <w:t>s</w:t>
        </w:r>
      </w:ins>
      <w:r w:rsidR="00E96CC8" w:rsidRPr="00E96CC8">
        <w:rPr>
          <w:rStyle w:val="Hyperlink"/>
          <w:bCs/>
          <w:sz w:val="22"/>
          <w:szCs w:val="22"/>
        </w:rPr>
        <w:t>://www.ema.europa.eu</w:t>
      </w:r>
      <w:ins w:id="869" w:author="Author">
        <w:r w:rsidR="00E96CC8">
          <w:rPr>
            <w:bCs/>
            <w:sz w:val="22"/>
            <w:szCs w:val="22"/>
          </w:rPr>
          <w:fldChar w:fldCharType="end"/>
        </w:r>
      </w:ins>
      <w:r w:rsidRPr="008A4F40">
        <w:rPr>
          <w:bCs/>
          <w:color w:val="000000"/>
          <w:sz w:val="22"/>
          <w:szCs w:val="22"/>
        </w:rPr>
        <w:t xml:space="preserve"> verfügbar.</w:t>
      </w:r>
    </w:p>
    <w:p w14:paraId="4B0CF7FF" w14:textId="77777777" w:rsidR="00F63A63" w:rsidRPr="008A4F40" w:rsidRDefault="00F56A4B" w:rsidP="004E7659">
      <w:pPr>
        <w:ind w:right="1416"/>
        <w:rPr>
          <w:color w:val="000000"/>
          <w:sz w:val="22"/>
          <w:szCs w:val="22"/>
        </w:rPr>
      </w:pPr>
      <w:r w:rsidRPr="008A4F40">
        <w:rPr>
          <w:color w:val="000000"/>
          <w:sz w:val="22"/>
          <w:szCs w:val="22"/>
        </w:rPr>
        <w:br w:type="page"/>
      </w:r>
    </w:p>
    <w:p w14:paraId="4B92D8E3" w14:textId="77777777" w:rsidR="00F63A63" w:rsidRPr="008A4F40" w:rsidRDefault="00F63A63" w:rsidP="004E7659">
      <w:pPr>
        <w:ind w:right="1416"/>
        <w:rPr>
          <w:color w:val="000000"/>
          <w:sz w:val="22"/>
          <w:szCs w:val="22"/>
        </w:rPr>
      </w:pPr>
    </w:p>
    <w:p w14:paraId="5B9761D7" w14:textId="77777777" w:rsidR="00F63A63" w:rsidRPr="008A4F40" w:rsidRDefault="00F63A63" w:rsidP="004E7659">
      <w:pPr>
        <w:ind w:right="1416"/>
        <w:rPr>
          <w:color w:val="000000"/>
          <w:sz w:val="22"/>
          <w:szCs w:val="22"/>
        </w:rPr>
      </w:pPr>
    </w:p>
    <w:p w14:paraId="59916C17" w14:textId="77777777" w:rsidR="00F63A63" w:rsidRPr="008A4F40" w:rsidRDefault="00F63A63" w:rsidP="004E7659">
      <w:pPr>
        <w:ind w:right="1416"/>
        <w:rPr>
          <w:color w:val="000000"/>
          <w:sz w:val="22"/>
          <w:szCs w:val="22"/>
        </w:rPr>
      </w:pPr>
    </w:p>
    <w:p w14:paraId="3AEC9947" w14:textId="77777777" w:rsidR="00F63A63" w:rsidRPr="008A4F40" w:rsidRDefault="00F63A63" w:rsidP="004E7659">
      <w:pPr>
        <w:ind w:right="1416"/>
        <w:rPr>
          <w:color w:val="000000"/>
          <w:sz w:val="22"/>
          <w:szCs w:val="22"/>
        </w:rPr>
      </w:pPr>
    </w:p>
    <w:p w14:paraId="21C11A5A" w14:textId="77777777" w:rsidR="00F63A63" w:rsidRPr="008A4F40" w:rsidRDefault="00F63A63" w:rsidP="004E7659">
      <w:pPr>
        <w:ind w:right="1416"/>
        <w:rPr>
          <w:color w:val="000000"/>
          <w:sz w:val="22"/>
          <w:szCs w:val="22"/>
        </w:rPr>
      </w:pPr>
    </w:p>
    <w:p w14:paraId="081CB535" w14:textId="77777777" w:rsidR="00F63A63" w:rsidRPr="008A4F40" w:rsidRDefault="00F63A63" w:rsidP="004E7659">
      <w:pPr>
        <w:ind w:right="1416"/>
        <w:rPr>
          <w:color w:val="000000"/>
          <w:sz w:val="22"/>
          <w:szCs w:val="22"/>
        </w:rPr>
      </w:pPr>
    </w:p>
    <w:p w14:paraId="506062CF" w14:textId="77777777" w:rsidR="00F63A63" w:rsidRPr="008A4F40" w:rsidRDefault="00F63A63" w:rsidP="004E7659">
      <w:pPr>
        <w:ind w:right="1416"/>
        <w:rPr>
          <w:color w:val="000000"/>
          <w:sz w:val="22"/>
          <w:szCs w:val="22"/>
        </w:rPr>
      </w:pPr>
    </w:p>
    <w:p w14:paraId="1CBB6DA7" w14:textId="77777777" w:rsidR="00F63A63" w:rsidRPr="008A4F40" w:rsidRDefault="00F63A63" w:rsidP="004E7659">
      <w:pPr>
        <w:ind w:right="1416"/>
        <w:rPr>
          <w:color w:val="000000"/>
          <w:sz w:val="22"/>
          <w:szCs w:val="22"/>
        </w:rPr>
      </w:pPr>
    </w:p>
    <w:p w14:paraId="5D6A59F6" w14:textId="77777777" w:rsidR="00F63A63" w:rsidRPr="008A4F40" w:rsidRDefault="00F63A63" w:rsidP="004E7659">
      <w:pPr>
        <w:ind w:right="1416"/>
        <w:rPr>
          <w:color w:val="000000"/>
          <w:sz w:val="22"/>
          <w:szCs w:val="22"/>
        </w:rPr>
      </w:pPr>
    </w:p>
    <w:p w14:paraId="540A1858" w14:textId="77777777" w:rsidR="00F63A63" w:rsidRPr="008A4F40" w:rsidRDefault="00F63A63" w:rsidP="004E7659">
      <w:pPr>
        <w:ind w:right="1416"/>
        <w:rPr>
          <w:color w:val="000000"/>
          <w:sz w:val="22"/>
          <w:szCs w:val="22"/>
        </w:rPr>
      </w:pPr>
    </w:p>
    <w:p w14:paraId="2254C9FA" w14:textId="77777777" w:rsidR="00F63A63" w:rsidRPr="008A4F40" w:rsidRDefault="00F63A63" w:rsidP="004E7659">
      <w:pPr>
        <w:ind w:right="1416"/>
        <w:rPr>
          <w:color w:val="000000"/>
          <w:sz w:val="22"/>
          <w:szCs w:val="22"/>
        </w:rPr>
      </w:pPr>
    </w:p>
    <w:p w14:paraId="29D545C7" w14:textId="77777777" w:rsidR="00F63A63" w:rsidRPr="008A4F40" w:rsidRDefault="00F63A63" w:rsidP="004E7659">
      <w:pPr>
        <w:ind w:right="1416"/>
        <w:rPr>
          <w:color w:val="000000"/>
          <w:sz w:val="22"/>
          <w:szCs w:val="22"/>
        </w:rPr>
      </w:pPr>
    </w:p>
    <w:p w14:paraId="75E2A17B" w14:textId="77777777" w:rsidR="00F63A63" w:rsidRPr="008A4F40" w:rsidRDefault="00F63A63" w:rsidP="004E7659">
      <w:pPr>
        <w:ind w:right="1416"/>
        <w:rPr>
          <w:color w:val="000000"/>
          <w:sz w:val="22"/>
          <w:szCs w:val="22"/>
        </w:rPr>
      </w:pPr>
    </w:p>
    <w:p w14:paraId="1259E2BF" w14:textId="77777777" w:rsidR="00F63A63" w:rsidRPr="008A4F40" w:rsidRDefault="00F63A63" w:rsidP="004E7659">
      <w:pPr>
        <w:ind w:right="1416"/>
        <w:rPr>
          <w:color w:val="000000"/>
          <w:sz w:val="22"/>
          <w:szCs w:val="22"/>
        </w:rPr>
      </w:pPr>
    </w:p>
    <w:p w14:paraId="1D5C84FE" w14:textId="77777777" w:rsidR="00F63A63" w:rsidRPr="008A4F40" w:rsidRDefault="00F63A63" w:rsidP="004E7659">
      <w:pPr>
        <w:ind w:right="1416"/>
        <w:rPr>
          <w:color w:val="000000"/>
          <w:sz w:val="22"/>
          <w:szCs w:val="22"/>
        </w:rPr>
      </w:pPr>
    </w:p>
    <w:p w14:paraId="0166C251" w14:textId="77777777" w:rsidR="00F63A63" w:rsidRPr="008A4F40" w:rsidRDefault="00F63A63" w:rsidP="004E7659">
      <w:pPr>
        <w:ind w:right="1416"/>
        <w:rPr>
          <w:color w:val="000000"/>
          <w:sz w:val="22"/>
          <w:szCs w:val="22"/>
        </w:rPr>
      </w:pPr>
    </w:p>
    <w:p w14:paraId="5E39602F" w14:textId="77777777" w:rsidR="00F63A63" w:rsidRPr="008A4F40" w:rsidRDefault="00F63A63" w:rsidP="004E7659">
      <w:pPr>
        <w:ind w:right="1416"/>
        <w:rPr>
          <w:color w:val="000000"/>
          <w:sz w:val="22"/>
          <w:szCs w:val="22"/>
        </w:rPr>
      </w:pPr>
    </w:p>
    <w:p w14:paraId="5A2BE535" w14:textId="77777777" w:rsidR="00F63A63" w:rsidRPr="008A4F40" w:rsidRDefault="00F63A63" w:rsidP="004E7659">
      <w:pPr>
        <w:ind w:right="1416"/>
        <w:rPr>
          <w:color w:val="000000"/>
          <w:sz w:val="22"/>
          <w:szCs w:val="22"/>
        </w:rPr>
      </w:pPr>
    </w:p>
    <w:p w14:paraId="61050A67" w14:textId="77777777" w:rsidR="00F63A63" w:rsidRPr="008A4F40" w:rsidRDefault="00F63A63" w:rsidP="004E7659">
      <w:pPr>
        <w:ind w:right="1416"/>
        <w:rPr>
          <w:color w:val="000000"/>
          <w:sz w:val="22"/>
          <w:szCs w:val="22"/>
        </w:rPr>
      </w:pPr>
    </w:p>
    <w:p w14:paraId="196CFDB1" w14:textId="77777777" w:rsidR="00F63A63" w:rsidRPr="008A4F40" w:rsidRDefault="00F63A63" w:rsidP="004E7659">
      <w:pPr>
        <w:ind w:right="1416"/>
        <w:rPr>
          <w:color w:val="000000"/>
          <w:sz w:val="22"/>
          <w:szCs w:val="22"/>
        </w:rPr>
      </w:pPr>
    </w:p>
    <w:p w14:paraId="054D34D7" w14:textId="77777777" w:rsidR="00F63A63" w:rsidRPr="008A4F40" w:rsidRDefault="00F63A63" w:rsidP="004E7659">
      <w:pPr>
        <w:ind w:right="1416"/>
        <w:rPr>
          <w:color w:val="000000"/>
          <w:sz w:val="22"/>
          <w:szCs w:val="22"/>
        </w:rPr>
      </w:pPr>
    </w:p>
    <w:p w14:paraId="7DF0BECB" w14:textId="77777777" w:rsidR="001E3D49" w:rsidRPr="008A4F40" w:rsidRDefault="001E3D49" w:rsidP="004E7659">
      <w:pPr>
        <w:ind w:right="1416"/>
        <w:rPr>
          <w:color w:val="000000"/>
          <w:sz w:val="22"/>
          <w:szCs w:val="22"/>
        </w:rPr>
      </w:pPr>
    </w:p>
    <w:p w14:paraId="17D475C6" w14:textId="77777777" w:rsidR="001E3D49" w:rsidRPr="008A4F40" w:rsidRDefault="001E3D49" w:rsidP="004E7659">
      <w:pPr>
        <w:ind w:right="-7"/>
        <w:rPr>
          <w:color w:val="000000"/>
          <w:sz w:val="22"/>
          <w:szCs w:val="22"/>
        </w:rPr>
      </w:pPr>
    </w:p>
    <w:p w14:paraId="4CB6E281" w14:textId="77777777" w:rsidR="00AB6D5E" w:rsidRPr="008A4F40" w:rsidRDefault="00AB6D5E" w:rsidP="004E7659">
      <w:pPr>
        <w:ind w:right="-7"/>
        <w:jc w:val="center"/>
        <w:rPr>
          <w:b/>
          <w:color w:val="000000"/>
          <w:sz w:val="22"/>
          <w:szCs w:val="22"/>
        </w:rPr>
      </w:pPr>
      <w:r w:rsidRPr="008A4F40">
        <w:rPr>
          <w:b/>
          <w:color w:val="000000"/>
          <w:sz w:val="22"/>
          <w:szCs w:val="22"/>
        </w:rPr>
        <w:t>ANHANG II</w:t>
      </w:r>
    </w:p>
    <w:p w14:paraId="1F1C43D6" w14:textId="77777777" w:rsidR="00AB6D5E" w:rsidRPr="008A4F40" w:rsidRDefault="00AB6D5E" w:rsidP="004E7659">
      <w:pPr>
        <w:ind w:right="-7"/>
        <w:rPr>
          <w:color w:val="000000"/>
          <w:sz w:val="22"/>
          <w:szCs w:val="22"/>
        </w:rPr>
      </w:pPr>
    </w:p>
    <w:p w14:paraId="1A631B79" w14:textId="7CB103C4" w:rsidR="00AB6D5E" w:rsidRPr="008A4F40" w:rsidRDefault="00193D70" w:rsidP="004E7659">
      <w:pPr>
        <w:tabs>
          <w:tab w:val="left" w:pos="1701"/>
        </w:tabs>
        <w:ind w:left="1701" w:right="-7" w:hanging="567"/>
        <w:rPr>
          <w:color w:val="000000"/>
          <w:sz w:val="22"/>
          <w:szCs w:val="22"/>
        </w:rPr>
      </w:pPr>
      <w:r w:rsidRPr="008A4F40">
        <w:rPr>
          <w:b/>
          <w:color w:val="000000"/>
          <w:sz w:val="22"/>
          <w:szCs w:val="22"/>
        </w:rPr>
        <w:t>A.</w:t>
      </w:r>
      <w:r w:rsidRPr="008A4F40">
        <w:rPr>
          <w:b/>
          <w:color w:val="000000"/>
          <w:sz w:val="22"/>
          <w:szCs w:val="22"/>
        </w:rPr>
        <w:tab/>
      </w:r>
      <w:r w:rsidR="00AB6D5E" w:rsidRPr="008A4F40">
        <w:rPr>
          <w:b/>
          <w:color w:val="000000"/>
          <w:sz w:val="22"/>
          <w:szCs w:val="22"/>
        </w:rPr>
        <w:t xml:space="preserve">HERSTELLER, </w:t>
      </w:r>
      <w:smartTag w:uri="urn:schemas-microsoft-com:office:smarttags" w:element="stockticker">
        <w:del w:id="870" w:author="Author">
          <w:r w:rsidR="00AB6D5E" w:rsidRPr="008A4F40" w:rsidDel="009542C5">
            <w:rPr>
              <w:b/>
              <w:color w:val="000000"/>
              <w:sz w:val="22"/>
              <w:szCs w:val="22"/>
            </w:rPr>
            <w:delText>DER</w:delText>
          </w:r>
        </w:del>
      </w:smartTag>
      <w:del w:id="871" w:author="Author">
        <w:r w:rsidR="00AB6D5E" w:rsidRPr="008A4F40" w:rsidDel="009542C5">
          <w:rPr>
            <w:b/>
            <w:color w:val="000000"/>
            <w:sz w:val="22"/>
            <w:szCs w:val="22"/>
          </w:rPr>
          <w:delText xml:space="preserve"> </w:delText>
        </w:r>
      </w:del>
      <w:ins w:id="872" w:author="Author">
        <w:r w:rsidR="009542C5">
          <w:rPr>
            <w:b/>
            <w:color w:val="000000"/>
            <w:sz w:val="22"/>
            <w:szCs w:val="22"/>
          </w:rPr>
          <w:t>DIE</w:t>
        </w:r>
        <w:r w:rsidR="009542C5" w:rsidRPr="008A4F40">
          <w:rPr>
            <w:b/>
            <w:color w:val="000000"/>
            <w:sz w:val="22"/>
            <w:szCs w:val="22"/>
          </w:rPr>
          <w:t xml:space="preserve"> </w:t>
        </w:r>
      </w:ins>
      <w:r w:rsidR="00AB6D5E" w:rsidRPr="008A4F40">
        <w:rPr>
          <w:b/>
          <w:color w:val="000000"/>
          <w:sz w:val="22"/>
          <w:szCs w:val="22"/>
        </w:rPr>
        <w:t xml:space="preserve">FÜR DIE CHARGENFREIGABE VERANTWORTLICH </w:t>
      </w:r>
      <w:smartTag w:uri="urn:schemas-microsoft-com:office:smarttags" w:element="stockticker">
        <w:del w:id="873" w:author="Author">
          <w:r w:rsidR="00AB6D5E" w:rsidRPr="008A4F40" w:rsidDel="009542C5">
            <w:rPr>
              <w:b/>
              <w:color w:val="000000"/>
              <w:sz w:val="22"/>
              <w:szCs w:val="22"/>
            </w:rPr>
            <w:delText>IST</w:delText>
          </w:r>
        </w:del>
      </w:smartTag>
      <w:ins w:id="874" w:author="Author">
        <w:r w:rsidR="009542C5">
          <w:rPr>
            <w:b/>
            <w:color w:val="000000"/>
            <w:sz w:val="22"/>
            <w:szCs w:val="22"/>
          </w:rPr>
          <w:t>SIND</w:t>
        </w:r>
      </w:ins>
    </w:p>
    <w:p w14:paraId="6721A34F" w14:textId="77777777" w:rsidR="00AB6D5E" w:rsidRPr="008A4F40" w:rsidRDefault="00AB6D5E" w:rsidP="004E7659">
      <w:pPr>
        <w:ind w:right="-7"/>
        <w:rPr>
          <w:color w:val="000000"/>
          <w:sz w:val="22"/>
          <w:szCs w:val="22"/>
        </w:rPr>
      </w:pPr>
    </w:p>
    <w:p w14:paraId="1082E9F0" w14:textId="77777777" w:rsidR="00AB6D5E" w:rsidRPr="008A4F40" w:rsidRDefault="00611796" w:rsidP="004E7659">
      <w:pPr>
        <w:tabs>
          <w:tab w:val="left" w:pos="1701"/>
        </w:tabs>
        <w:ind w:left="1701" w:right="-7" w:hanging="567"/>
        <w:rPr>
          <w:b/>
          <w:color w:val="000000"/>
          <w:sz w:val="22"/>
          <w:szCs w:val="22"/>
        </w:rPr>
      </w:pPr>
      <w:r w:rsidRPr="008A4F40">
        <w:rPr>
          <w:b/>
          <w:color w:val="000000"/>
          <w:sz w:val="22"/>
          <w:szCs w:val="22"/>
        </w:rPr>
        <w:t>B.</w:t>
      </w:r>
      <w:r w:rsidRPr="008A4F40">
        <w:rPr>
          <w:b/>
          <w:color w:val="000000"/>
          <w:sz w:val="22"/>
          <w:szCs w:val="22"/>
        </w:rPr>
        <w:tab/>
      </w:r>
      <w:r w:rsidR="00AB6D5E" w:rsidRPr="008A4F40">
        <w:rPr>
          <w:b/>
          <w:color w:val="000000"/>
          <w:sz w:val="22"/>
          <w:szCs w:val="22"/>
        </w:rPr>
        <w:t>BEDINGUNGEN ODER EINSCHRÄNKUNGEN FÜR DIE ABGABE UND DEN GEBRAUCH</w:t>
      </w:r>
    </w:p>
    <w:p w14:paraId="095566AB" w14:textId="77777777" w:rsidR="00AB6D5E" w:rsidRPr="008A4F40" w:rsidRDefault="00AB6D5E" w:rsidP="004E7659">
      <w:pPr>
        <w:ind w:right="-7"/>
        <w:rPr>
          <w:color w:val="000000"/>
          <w:sz w:val="22"/>
          <w:szCs w:val="22"/>
        </w:rPr>
      </w:pPr>
    </w:p>
    <w:p w14:paraId="2C5076BA" w14:textId="77777777" w:rsidR="00AB6D5E" w:rsidRPr="008A4F40" w:rsidRDefault="00611796" w:rsidP="004E7659">
      <w:pPr>
        <w:tabs>
          <w:tab w:val="left" w:pos="1701"/>
        </w:tabs>
        <w:ind w:left="1701" w:right="-7" w:hanging="567"/>
        <w:rPr>
          <w:b/>
          <w:color w:val="000000"/>
          <w:sz w:val="22"/>
          <w:szCs w:val="22"/>
        </w:rPr>
      </w:pPr>
      <w:r w:rsidRPr="008A4F40">
        <w:rPr>
          <w:b/>
          <w:color w:val="000000"/>
          <w:sz w:val="22"/>
          <w:szCs w:val="22"/>
        </w:rPr>
        <w:t>C.</w:t>
      </w:r>
      <w:r w:rsidRPr="008A4F40">
        <w:rPr>
          <w:b/>
          <w:color w:val="000000"/>
          <w:sz w:val="22"/>
          <w:szCs w:val="22"/>
        </w:rPr>
        <w:tab/>
      </w:r>
      <w:r w:rsidR="00AB6D5E" w:rsidRPr="008A4F40">
        <w:rPr>
          <w:b/>
          <w:color w:val="000000"/>
          <w:sz w:val="22"/>
          <w:szCs w:val="22"/>
        </w:rPr>
        <w:t>SONSTIGE BEDINGUNGEN UND AUFLAGEN DER GENEHMIGUNG FÜR DAS INVERKEHRBRINGEN</w:t>
      </w:r>
    </w:p>
    <w:p w14:paraId="25E797C9" w14:textId="77777777" w:rsidR="00FC09D2" w:rsidRPr="008A4F40" w:rsidRDefault="00FC09D2" w:rsidP="004E7659">
      <w:pPr>
        <w:ind w:right="-7"/>
        <w:rPr>
          <w:color w:val="000000"/>
          <w:sz w:val="22"/>
          <w:szCs w:val="22"/>
        </w:rPr>
      </w:pPr>
    </w:p>
    <w:p w14:paraId="40B6C82C" w14:textId="77777777" w:rsidR="00FC09D2" w:rsidRPr="008A4F40" w:rsidRDefault="00FC09D2" w:rsidP="004E7659">
      <w:pPr>
        <w:tabs>
          <w:tab w:val="left" w:pos="1701"/>
        </w:tabs>
        <w:ind w:left="1701" w:right="-7" w:hanging="567"/>
        <w:rPr>
          <w:b/>
          <w:color w:val="000000"/>
          <w:sz w:val="22"/>
          <w:szCs w:val="22"/>
        </w:rPr>
      </w:pPr>
      <w:r w:rsidRPr="008A4F40">
        <w:rPr>
          <w:b/>
          <w:color w:val="000000"/>
          <w:sz w:val="22"/>
          <w:szCs w:val="22"/>
        </w:rPr>
        <w:t>D.</w:t>
      </w:r>
      <w:r w:rsidRPr="008A4F40">
        <w:rPr>
          <w:b/>
          <w:color w:val="000000"/>
          <w:sz w:val="22"/>
          <w:szCs w:val="22"/>
        </w:rPr>
        <w:tab/>
        <w:t>BEDINGUNGEN ODER EINSCHRÄNKUNGEN FÜR DIE SICHERE UND WIRKSAME ANWENDUNG DES ARZNEIMITTELS</w:t>
      </w:r>
    </w:p>
    <w:p w14:paraId="3F2A04C5" w14:textId="5D49581A" w:rsidR="00AB6D5E" w:rsidRPr="008A4F40" w:rsidRDefault="00AB6D5E" w:rsidP="004E7659">
      <w:pPr>
        <w:ind w:left="567" w:hanging="567"/>
        <w:outlineLvl w:val="0"/>
        <w:rPr>
          <w:color w:val="000000"/>
          <w:sz w:val="22"/>
          <w:szCs w:val="22"/>
        </w:rPr>
      </w:pPr>
      <w:r w:rsidRPr="008A4F40">
        <w:rPr>
          <w:color w:val="000000"/>
          <w:sz w:val="22"/>
          <w:szCs w:val="22"/>
        </w:rPr>
        <w:br w:type="page"/>
      </w:r>
      <w:r w:rsidRPr="008A4F40">
        <w:rPr>
          <w:b/>
          <w:color w:val="000000"/>
          <w:sz w:val="22"/>
          <w:szCs w:val="22"/>
        </w:rPr>
        <w:t>A.</w:t>
      </w:r>
      <w:r w:rsidRPr="008A4F40">
        <w:rPr>
          <w:b/>
          <w:color w:val="000000"/>
          <w:sz w:val="22"/>
          <w:szCs w:val="22"/>
        </w:rPr>
        <w:tab/>
        <w:t xml:space="preserve">HERSTELLER, </w:t>
      </w:r>
      <w:smartTag w:uri="urn:schemas-microsoft-com:office:smarttags" w:element="stockticker">
        <w:del w:id="875" w:author="Author">
          <w:r w:rsidRPr="008A4F40" w:rsidDel="009542C5">
            <w:rPr>
              <w:b/>
              <w:color w:val="000000"/>
              <w:sz w:val="22"/>
              <w:szCs w:val="22"/>
            </w:rPr>
            <w:delText>DER</w:delText>
          </w:r>
        </w:del>
      </w:smartTag>
      <w:del w:id="876" w:author="Author">
        <w:r w:rsidRPr="008A4F40" w:rsidDel="009542C5">
          <w:rPr>
            <w:b/>
            <w:color w:val="000000"/>
            <w:sz w:val="22"/>
            <w:szCs w:val="22"/>
          </w:rPr>
          <w:delText xml:space="preserve"> </w:delText>
        </w:r>
      </w:del>
      <w:ins w:id="877" w:author="Author">
        <w:r w:rsidR="009542C5">
          <w:rPr>
            <w:b/>
            <w:color w:val="000000"/>
            <w:sz w:val="22"/>
            <w:szCs w:val="22"/>
          </w:rPr>
          <w:t>DIE</w:t>
        </w:r>
        <w:r w:rsidR="009542C5" w:rsidRPr="008A4F40">
          <w:rPr>
            <w:b/>
            <w:color w:val="000000"/>
            <w:sz w:val="22"/>
            <w:szCs w:val="22"/>
          </w:rPr>
          <w:t xml:space="preserve"> </w:t>
        </w:r>
      </w:ins>
      <w:r w:rsidRPr="008A4F40">
        <w:rPr>
          <w:b/>
          <w:color w:val="000000"/>
          <w:sz w:val="22"/>
          <w:szCs w:val="22"/>
        </w:rPr>
        <w:t xml:space="preserve">FÜR DIE CHARGENFREIGABE VERANTWORTLICH </w:t>
      </w:r>
      <w:smartTag w:uri="urn:schemas-microsoft-com:office:smarttags" w:element="stockticker">
        <w:del w:id="878" w:author="Author">
          <w:r w:rsidRPr="008A4F40" w:rsidDel="009542C5">
            <w:rPr>
              <w:b/>
              <w:color w:val="000000"/>
              <w:sz w:val="22"/>
              <w:szCs w:val="22"/>
            </w:rPr>
            <w:delText>IST</w:delText>
          </w:r>
        </w:del>
      </w:smartTag>
      <w:ins w:id="879" w:author="Author">
        <w:r w:rsidR="009542C5">
          <w:rPr>
            <w:b/>
            <w:color w:val="000000"/>
            <w:sz w:val="22"/>
            <w:szCs w:val="22"/>
          </w:rPr>
          <w:t>SIND</w:t>
        </w:r>
      </w:ins>
    </w:p>
    <w:p w14:paraId="4A05C9AA" w14:textId="77777777" w:rsidR="00AB6D5E" w:rsidRPr="008A4F40" w:rsidRDefault="00AB6D5E" w:rsidP="004E7659">
      <w:pPr>
        <w:numPr>
          <w:ilvl w:val="12"/>
          <w:numId w:val="0"/>
        </w:numPr>
        <w:ind w:right="1416"/>
        <w:rPr>
          <w:sz w:val="22"/>
          <w:szCs w:val="22"/>
        </w:rPr>
      </w:pPr>
    </w:p>
    <w:p w14:paraId="5B165F44" w14:textId="3F41D946" w:rsidR="00AB6D5E" w:rsidRPr="008A4F40" w:rsidRDefault="00AB6D5E" w:rsidP="004E7659">
      <w:pPr>
        <w:numPr>
          <w:ilvl w:val="12"/>
          <w:numId w:val="0"/>
        </w:numPr>
        <w:rPr>
          <w:sz w:val="22"/>
          <w:szCs w:val="22"/>
          <w:u w:val="single"/>
        </w:rPr>
      </w:pPr>
      <w:r w:rsidRPr="008A4F40">
        <w:rPr>
          <w:sz w:val="22"/>
          <w:szCs w:val="22"/>
          <w:u w:val="single"/>
        </w:rPr>
        <w:t xml:space="preserve">Name und Anschrift </w:t>
      </w:r>
      <w:del w:id="880" w:author="Author">
        <w:r w:rsidRPr="008A4F40" w:rsidDel="009542C5">
          <w:rPr>
            <w:sz w:val="22"/>
            <w:szCs w:val="22"/>
            <w:u w:val="single"/>
          </w:rPr>
          <w:delText>des</w:delText>
        </w:r>
      </w:del>
      <w:ins w:id="881" w:author="Author">
        <w:r w:rsidR="009542C5">
          <w:rPr>
            <w:sz w:val="22"/>
            <w:szCs w:val="22"/>
            <w:u w:val="single"/>
          </w:rPr>
          <w:t>der</w:t>
        </w:r>
      </w:ins>
      <w:r w:rsidRPr="008A4F40">
        <w:rPr>
          <w:sz w:val="22"/>
          <w:szCs w:val="22"/>
          <w:u w:val="single"/>
        </w:rPr>
        <w:t xml:space="preserve"> Hersteller</w:t>
      </w:r>
      <w:del w:id="882" w:author="Author">
        <w:r w:rsidRPr="008A4F40" w:rsidDel="009542C5">
          <w:rPr>
            <w:sz w:val="22"/>
            <w:szCs w:val="22"/>
            <w:u w:val="single"/>
          </w:rPr>
          <w:delText>s</w:delText>
        </w:r>
      </w:del>
      <w:r w:rsidRPr="008A4F40">
        <w:rPr>
          <w:sz w:val="22"/>
          <w:szCs w:val="22"/>
          <w:u w:val="single"/>
        </w:rPr>
        <w:t xml:space="preserve">, </w:t>
      </w:r>
      <w:del w:id="883" w:author="Author">
        <w:r w:rsidRPr="008A4F40" w:rsidDel="009542C5">
          <w:rPr>
            <w:sz w:val="22"/>
            <w:szCs w:val="22"/>
            <w:u w:val="single"/>
          </w:rPr>
          <w:delText>der</w:delText>
        </w:r>
      </w:del>
      <w:ins w:id="884" w:author="Author">
        <w:r w:rsidR="009542C5">
          <w:rPr>
            <w:sz w:val="22"/>
            <w:szCs w:val="22"/>
            <w:u w:val="single"/>
          </w:rPr>
          <w:t>die</w:t>
        </w:r>
      </w:ins>
      <w:r w:rsidRPr="008A4F40">
        <w:rPr>
          <w:sz w:val="22"/>
          <w:szCs w:val="22"/>
          <w:u w:val="single"/>
        </w:rPr>
        <w:t xml:space="preserve"> für die Chargenfreigabe verantwortlich </w:t>
      </w:r>
      <w:del w:id="885" w:author="Author">
        <w:r w:rsidRPr="008A4F40" w:rsidDel="009542C5">
          <w:rPr>
            <w:sz w:val="22"/>
            <w:szCs w:val="22"/>
            <w:u w:val="single"/>
          </w:rPr>
          <w:delText>ist</w:delText>
        </w:r>
      </w:del>
      <w:ins w:id="886" w:author="Author">
        <w:r w:rsidR="009542C5">
          <w:rPr>
            <w:sz w:val="22"/>
            <w:szCs w:val="22"/>
            <w:u w:val="single"/>
          </w:rPr>
          <w:t>sind</w:t>
        </w:r>
      </w:ins>
    </w:p>
    <w:p w14:paraId="04518BBF" w14:textId="77777777" w:rsidR="00AB6D5E" w:rsidRPr="008A4F40" w:rsidRDefault="00AB6D5E" w:rsidP="004E7659">
      <w:pPr>
        <w:numPr>
          <w:ilvl w:val="12"/>
          <w:numId w:val="0"/>
        </w:numPr>
        <w:rPr>
          <w:sz w:val="22"/>
          <w:szCs w:val="22"/>
        </w:rPr>
      </w:pPr>
    </w:p>
    <w:p w14:paraId="7B6FF107" w14:textId="77777777" w:rsidR="006F599D" w:rsidRPr="006F599D" w:rsidRDefault="006F599D" w:rsidP="004E7659">
      <w:pPr>
        <w:tabs>
          <w:tab w:val="left" w:pos="7513"/>
        </w:tabs>
        <w:rPr>
          <w:sz w:val="22"/>
          <w:szCs w:val="22"/>
          <w:lang w:val="en-US"/>
        </w:rPr>
      </w:pPr>
      <w:r w:rsidRPr="006F599D">
        <w:rPr>
          <w:sz w:val="22"/>
          <w:szCs w:val="22"/>
          <w:lang w:val="en-US"/>
        </w:rPr>
        <w:t>Novartis Pharmaceutical Manufacturing LLC</w:t>
      </w:r>
    </w:p>
    <w:p w14:paraId="107E813F" w14:textId="77777777" w:rsidR="006F599D" w:rsidRPr="006F599D" w:rsidRDefault="006F599D" w:rsidP="004E7659">
      <w:pPr>
        <w:tabs>
          <w:tab w:val="left" w:pos="7513"/>
        </w:tabs>
        <w:rPr>
          <w:sz w:val="22"/>
          <w:szCs w:val="22"/>
          <w:lang w:val="en-US"/>
        </w:rPr>
      </w:pPr>
      <w:proofErr w:type="spellStart"/>
      <w:r w:rsidRPr="006F599D">
        <w:rPr>
          <w:sz w:val="22"/>
          <w:szCs w:val="22"/>
          <w:lang w:val="en-US"/>
        </w:rPr>
        <w:t>Verovskova</w:t>
      </w:r>
      <w:proofErr w:type="spellEnd"/>
      <w:r w:rsidRPr="006F599D">
        <w:rPr>
          <w:sz w:val="22"/>
          <w:szCs w:val="22"/>
          <w:lang w:val="en-US"/>
        </w:rPr>
        <w:t xml:space="preserve"> </w:t>
      </w:r>
      <w:proofErr w:type="spellStart"/>
      <w:r w:rsidRPr="006F599D">
        <w:rPr>
          <w:sz w:val="22"/>
          <w:szCs w:val="22"/>
          <w:lang w:val="en-US"/>
        </w:rPr>
        <w:t>Ulica</w:t>
      </w:r>
      <w:proofErr w:type="spellEnd"/>
      <w:r w:rsidRPr="006F599D">
        <w:rPr>
          <w:sz w:val="22"/>
          <w:szCs w:val="22"/>
          <w:lang w:val="en-US"/>
        </w:rPr>
        <w:t xml:space="preserve"> 57</w:t>
      </w:r>
    </w:p>
    <w:p w14:paraId="60311059" w14:textId="77777777" w:rsidR="006F599D" w:rsidRPr="006F599D" w:rsidRDefault="006F599D" w:rsidP="004E7659">
      <w:pPr>
        <w:tabs>
          <w:tab w:val="left" w:pos="7513"/>
        </w:tabs>
        <w:rPr>
          <w:sz w:val="22"/>
          <w:szCs w:val="22"/>
          <w:lang w:val="en-US"/>
        </w:rPr>
      </w:pPr>
      <w:r w:rsidRPr="006F599D">
        <w:rPr>
          <w:sz w:val="22"/>
          <w:szCs w:val="22"/>
          <w:lang w:val="en-US"/>
        </w:rPr>
        <w:t>Ljubljana, 1000</w:t>
      </w:r>
    </w:p>
    <w:p w14:paraId="554D0497" w14:textId="7D8D7D3B" w:rsidR="006F599D" w:rsidRPr="006F599D" w:rsidRDefault="006F599D" w:rsidP="004E7659">
      <w:pPr>
        <w:tabs>
          <w:tab w:val="left" w:pos="7513"/>
        </w:tabs>
        <w:rPr>
          <w:sz w:val="22"/>
          <w:szCs w:val="22"/>
          <w:lang w:val="en-US"/>
        </w:rPr>
      </w:pPr>
      <w:proofErr w:type="spellStart"/>
      <w:r w:rsidRPr="00D1077B">
        <w:rPr>
          <w:sz w:val="22"/>
          <w:szCs w:val="22"/>
          <w:lang w:val="en-US"/>
          <w:rPrChange w:id="887" w:author="Author">
            <w:rPr>
              <w:sz w:val="22"/>
              <w:szCs w:val="22"/>
            </w:rPr>
          </w:rPrChange>
        </w:rPr>
        <w:t>Slowenien</w:t>
      </w:r>
      <w:proofErr w:type="spellEnd"/>
    </w:p>
    <w:p w14:paraId="06B60208" w14:textId="77777777" w:rsidR="006F599D" w:rsidRPr="00D1077B" w:rsidRDefault="006F599D" w:rsidP="004E7659">
      <w:pPr>
        <w:tabs>
          <w:tab w:val="left" w:pos="7513"/>
        </w:tabs>
        <w:rPr>
          <w:sz w:val="22"/>
          <w:szCs w:val="22"/>
          <w:lang w:val="en-US"/>
          <w:rPrChange w:id="888" w:author="Author">
            <w:rPr>
              <w:sz w:val="22"/>
              <w:szCs w:val="22"/>
            </w:rPr>
          </w:rPrChange>
        </w:rPr>
      </w:pPr>
    </w:p>
    <w:p w14:paraId="476AE246" w14:textId="77777777" w:rsidR="00D7000F" w:rsidRPr="008A4F40" w:rsidRDefault="00D7000F" w:rsidP="004E7659">
      <w:pPr>
        <w:tabs>
          <w:tab w:val="left" w:pos="7513"/>
        </w:tabs>
        <w:rPr>
          <w:sz w:val="22"/>
          <w:szCs w:val="22"/>
          <w:lang w:val="en-US"/>
        </w:rPr>
      </w:pPr>
      <w:r w:rsidRPr="008A4F40">
        <w:rPr>
          <w:sz w:val="22"/>
          <w:szCs w:val="22"/>
          <w:lang w:val="en-US"/>
        </w:rPr>
        <w:t xml:space="preserve">Lek </w:t>
      </w:r>
      <w:proofErr w:type="spellStart"/>
      <w:r w:rsidRPr="008A4F40">
        <w:rPr>
          <w:sz w:val="22"/>
          <w:szCs w:val="22"/>
          <w:lang w:val="en-US"/>
        </w:rPr>
        <w:t>d.d</w:t>
      </w:r>
      <w:proofErr w:type="spellEnd"/>
      <w:r w:rsidRPr="008A4F40">
        <w:rPr>
          <w:sz w:val="22"/>
          <w:szCs w:val="22"/>
          <w:lang w:val="en-US"/>
        </w:rPr>
        <w:t>, PE PROIZVODNJA LENDAVA</w:t>
      </w:r>
    </w:p>
    <w:p w14:paraId="6A7760A2" w14:textId="77777777" w:rsidR="00D7000F" w:rsidRPr="00D1077B" w:rsidRDefault="00D7000F" w:rsidP="004E7659">
      <w:pPr>
        <w:tabs>
          <w:tab w:val="left" w:pos="7513"/>
        </w:tabs>
        <w:rPr>
          <w:sz w:val="22"/>
          <w:szCs w:val="22"/>
          <w:lang w:val="en-US"/>
          <w:rPrChange w:id="889" w:author="Author">
            <w:rPr>
              <w:sz w:val="22"/>
              <w:szCs w:val="22"/>
            </w:rPr>
          </w:rPrChange>
        </w:rPr>
      </w:pPr>
      <w:proofErr w:type="spellStart"/>
      <w:r w:rsidRPr="00D1077B">
        <w:rPr>
          <w:sz w:val="22"/>
          <w:szCs w:val="22"/>
          <w:lang w:val="en-US"/>
          <w:rPrChange w:id="890" w:author="Author">
            <w:rPr>
              <w:sz w:val="22"/>
              <w:szCs w:val="22"/>
            </w:rPr>
          </w:rPrChange>
        </w:rPr>
        <w:t>Trimlini</w:t>
      </w:r>
      <w:proofErr w:type="spellEnd"/>
      <w:r w:rsidRPr="00D1077B">
        <w:rPr>
          <w:sz w:val="22"/>
          <w:szCs w:val="22"/>
          <w:lang w:val="en-US"/>
          <w:rPrChange w:id="891" w:author="Author">
            <w:rPr>
              <w:sz w:val="22"/>
              <w:szCs w:val="22"/>
            </w:rPr>
          </w:rPrChange>
        </w:rPr>
        <w:t xml:space="preserve"> 2D</w:t>
      </w:r>
    </w:p>
    <w:p w14:paraId="00C31274" w14:textId="77777777" w:rsidR="00D7000F" w:rsidRPr="00D1077B" w:rsidRDefault="00D7000F" w:rsidP="004E7659">
      <w:pPr>
        <w:tabs>
          <w:tab w:val="left" w:pos="7513"/>
        </w:tabs>
        <w:rPr>
          <w:sz w:val="22"/>
          <w:szCs w:val="22"/>
          <w:lang w:val="en-US"/>
          <w:rPrChange w:id="892" w:author="Author">
            <w:rPr>
              <w:sz w:val="22"/>
              <w:szCs w:val="22"/>
            </w:rPr>
          </w:rPrChange>
        </w:rPr>
      </w:pPr>
      <w:proofErr w:type="spellStart"/>
      <w:r w:rsidRPr="00D1077B">
        <w:rPr>
          <w:sz w:val="22"/>
          <w:szCs w:val="22"/>
          <w:lang w:val="en-US"/>
          <w:rPrChange w:id="893" w:author="Author">
            <w:rPr>
              <w:sz w:val="22"/>
              <w:szCs w:val="22"/>
            </w:rPr>
          </w:rPrChange>
        </w:rPr>
        <w:t>Lendava</w:t>
      </w:r>
      <w:proofErr w:type="spellEnd"/>
      <w:r w:rsidRPr="00D1077B">
        <w:rPr>
          <w:sz w:val="22"/>
          <w:szCs w:val="22"/>
          <w:lang w:val="en-US"/>
          <w:rPrChange w:id="894" w:author="Author">
            <w:rPr>
              <w:sz w:val="22"/>
              <w:szCs w:val="22"/>
            </w:rPr>
          </w:rPrChange>
        </w:rPr>
        <w:t>, 9220</w:t>
      </w:r>
    </w:p>
    <w:p w14:paraId="56A79952" w14:textId="77777777" w:rsidR="00D7000F" w:rsidRPr="00D1077B" w:rsidRDefault="00D7000F" w:rsidP="004E7659">
      <w:pPr>
        <w:tabs>
          <w:tab w:val="left" w:pos="7513"/>
        </w:tabs>
        <w:rPr>
          <w:sz w:val="22"/>
          <w:szCs w:val="22"/>
          <w:lang w:val="en-US"/>
          <w:rPrChange w:id="895" w:author="Author">
            <w:rPr>
              <w:sz w:val="22"/>
              <w:szCs w:val="22"/>
            </w:rPr>
          </w:rPrChange>
        </w:rPr>
      </w:pPr>
      <w:proofErr w:type="spellStart"/>
      <w:r w:rsidRPr="00D1077B">
        <w:rPr>
          <w:sz w:val="22"/>
          <w:szCs w:val="22"/>
          <w:lang w:val="en-US"/>
          <w:rPrChange w:id="896" w:author="Author">
            <w:rPr>
              <w:sz w:val="22"/>
              <w:szCs w:val="22"/>
            </w:rPr>
          </w:rPrChange>
        </w:rPr>
        <w:t>Slowenien</w:t>
      </w:r>
      <w:proofErr w:type="spellEnd"/>
    </w:p>
    <w:p w14:paraId="76B1CCEF" w14:textId="77777777" w:rsidR="00D7000F" w:rsidRPr="00D1077B" w:rsidRDefault="00D7000F" w:rsidP="004E7659">
      <w:pPr>
        <w:tabs>
          <w:tab w:val="left" w:pos="7513"/>
        </w:tabs>
        <w:rPr>
          <w:sz w:val="22"/>
          <w:szCs w:val="22"/>
          <w:lang w:val="en-US"/>
          <w:rPrChange w:id="897" w:author="Author">
            <w:rPr>
              <w:sz w:val="22"/>
              <w:szCs w:val="22"/>
            </w:rPr>
          </w:rPrChange>
        </w:rPr>
      </w:pPr>
    </w:p>
    <w:p w14:paraId="5B909C29" w14:textId="77777777" w:rsidR="00F909D5" w:rsidRPr="00F46B3D" w:rsidRDefault="00F909D5" w:rsidP="004E7659">
      <w:pPr>
        <w:tabs>
          <w:tab w:val="left" w:pos="7513"/>
        </w:tabs>
        <w:rPr>
          <w:sz w:val="22"/>
          <w:szCs w:val="22"/>
          <w:lang w:val="it-IT"/>
        </w:rPr>
      </w:pPr>
      <w:r w:rsidRPr="00F46B3D">
        <w:rPr>
          <w:sz w:val="22"/>
          <w:szCs w:val="22"/>
          <w:lang w:val="it-IT"/>
        </w:rPr>
        <w:t>Novartis Farmacéutica, S.A.</w:t>
      </w:r>
    </w:p>
    <w:p w14:paraId="55C3B5D2" w14:textId="77777777" w:rsidR="00F909D5" w:rsidRPr="00F46B3D" w:rsidRDefault="00F909D5" w:rsidP="004E7659">
      <w:pPr>
        <w:tabs>
          <w:tab w:val="left" w:pos="7513"/>
        </w:tabs>
        <w:rPr>
          <w:sz w:val="22"/>
          <w:szCs w:val="22"/>
          <w:lang w:val="it-IT"/>
        </w:rPr>
      </w:pPr>
      <w:r w:rsidRPr="00F46B3D">
        <w:rPr>
          <w:sz w:val="22"/>
          <w:szCs w:val="22"/>
          <w:lang w:val="it-IT"/>
        </w:rPr>
        <w:t>Gran Via de les Corts Catalanes, 764</w:t>
      </w:r>
    </w:p>
    <w:p w14:paraId="50232CD4" w14:textId="77777777" w:rsidR="00F909D5" w:rsidRPr="00F46B3D" w:rsidRDefault="00F909D5" w:rsidP="004E7659">
      <w:pPr>
        <w:tabs>
          <w:tab w:val="left" w:pos="7513"/>
        </w:tabs>
        <w:rPr>
          <w:sz w:val="22"/>
          <w:szCs w:val="22"/>
          <w:lang w:val="it-IT"/>
        </w:rPr>
      </w:pPr>
      <w:r w:rsidRPr="00F46B3D">
        <w:rPr>
          <w:sz w:val="22"/>
          <w:szCs w:val="22"/>
          <w:lang w:val="it-IT"/>
        </w:rPr>
        <w:t>08013 Barcelona</w:t>
      </w:r>
    </w:p>
    <w:p w14:paraId="5EC190F1" w14:textId="6E902BFB" w:rsidR="00AB6D5E" w:rsidRPr="008A4F40" w:rsidRDefault="00F909D5" w:rsidP="004E7659">
      <w:pPr>
        <w:numPr>
          <w:ilvl w:val="12"/>
          <w:numId w:val="0"/>
        </w:numPr>
        <w:rPr>
          <w:sz w:val="22"/>
          <w:szCs w:val="22"/>
        </w:rPr>
      </w:pPr>
      <w:r w:rsidRPr="00F46B3D">
        <w:rPr>
          <w:sz w:val="22"/>
          <w:szCs w:val="22"/>
          <w:lang w:val="it-IT"/>
        </w:rPr>
        <w:t>Spanien</w:t>
      </w:r>
    </w:p>
    <w:p w14:paraId="42F9FBE7" w14:textId="77777777" w:rsidR="001F6B08" w:rsidRDefault="001F6B08" w:rsidP="004E7659">
      <w:pPr>
        <w:numPr>
          <w:ilvl w:val="12"/>
          <w:numId w:val="0"/>
        </w:numPr>
        <w:rPr>
          <w:sz w:val="22"/>
          <w:szCs w:val="22"/>
        </w:rPr>
      </w:pPr>
    </w:p>
    <w:p w14:paraId="6304BB37" w14:textId="77777777" w:rsidR="00D861C2" w:rsidRPr="004E7659" w:rsidRDefault="00D861C2" w:rsidP="004E7659">
      <w:pPr>
        <w:keepNext/>
        <w:rPr>
          <w:rFonts w:eastAsia="Aptos"/>
          <w:sz w:val="22"/>
          <w:szCs w:val="22"/>
          <w:lang w:eastAsia="de-CH"/>
        </w:rPr>
      </w:pPr>
      <w:r w:rsidRPr="004E7659">
        <w:rPr>
          <w:rFonts w:eastAsia="Aptos"/>
          <w:sz w:val="22"/>
          <w:szCs w:val="22"/>
          <w:lang w:eastAsia="de-CH"/>
        </w:rPr>
        <w:t>Novartis Pharma GmbH</w:t>
      </w:r>
    </w:p>
    <w:p w14:paraId="478F2577" w14:textId="77777777" w:rsidR="00D861C2" w:rsidRPr="004E7659" w:rsidRDefault="00D861C2" w:rsidP="004E7659">
      <w:pPr>
        <w:keepNext/>
        <w:rPr>
          <w:rFonts w:eastAsia="Aptos"/>
          <w:sz w:val="22"/>
          <w:szCs w:val="22"/>
          <w:lang w:eastAsia="de-CH"/>
        </w:rPr>
      </w:pPr>
      <w:r w:rsidRPr="004E7659">
        <w:rPr>
          <w:rFonts w:eastAsia="Aptos"/>
          <w:sz w:val="22"/>
          <w:szCs w:val="22"/>
          <w:lang w:eastAsia="de-CH"/>
        </w:rPr>
        <w:t>Sophie-Germain-Straße 10</w:t>
      </w:r>
    </w:p>
    <w:p w14:paraId="599D2311" w14:textId="77777777" w:rsidR="00D861C2" w:rsidRPr="004E7659" w:rsidRDefault="00D861C2" w:rsidP="004E7659">
      <w:pPr>
        <w:keepNext/>
        <w:rPr>
          <w:rFonts w:eastAsia="Aptos"/>
          <w:sz w:val="22"/>
          <w:szCs w:val="22"/>
          <w:lang w:eastAsia="de-CH"/>
        </w:rPr>
      </w:pPr>
      <w:r w:rsidRPr="004E7659">
        <w:rPr>
          <w:rFonts w:eastAsia="Aptos"/>
          <w:sz w:val="22"/>
          <w:szCs w:val="22"/>
          <w:lang w:eastAsia="de-CH"/>
        </w:rPr>
        <w:t>90443 Nürnberg</w:t>
      </w:r>
    </w:p>
    <w:p w14:paraId="19356C3D" w14:textId="7C571F09" w:rsidR="00D861C2" w:rsidRDefault="00D861C2" w:rsidP="004E7659">
      <w:pPr>
        <w:numPr>
          <w:ilvl w:val="12"/>
          <w:numId w:val="0"/>
        </w:numPr>
        <w:rPr>
          <w:sz w:val="22"/>
          <w:szCs w:val="22"/>
          <w:lang w:val="de-CH"/>
        </w:rPr>
      </w:pPr>
      <w:r>
        <w:rPr>
          <w:sz w:val="22"/>
          <w:szCs w:val="22"/>
          <w:lang w:val="de-CH"/>
        </w:rPr>
        <w:t>Deutschland</w:t>
      </w:r>
    </w:p>
    <w:p w14:paraId="5FEFCFBE" w14:textId="77777777" w:rsidR="00D861C2" w:rsidRPr="008A4F40" w:rsidRDefault="00D861C2" w:rsidP="004E7659">
      <w:pPr>
        <w:numPr>
          <w:ilvl w:val="12"/>
          <w:numId w:val="0"/>
        </w:numPr>
        <w:rPr>
          <w:sz w:val="22"/>
          <w:szCs w:val="22"/>
        </w:rPr>
      </w:pPr>
    </w:p>
    <w:p w14:paraId="7E2CF53F" w14:textId="77777777" w:rsidR="00D7000F" w:rsidRPr="008A4F40" w:rsidRDefault="00D7000F" w:rsidP="004E7659">
      <w:pPr>
        <w:numPr>
          <w:ilvl w:val="12"/>
          <w:numId w:val="0"/>
        </w:numPr>
        <w:rPr>
          <w:sz w:val="22"/>
          <w:szCs w:val="22"/>
        </w:rPr>
      </w:pPr>
      <w:r w:rsidRPr="008A4F40">
        <w:rPr>
          <w:sz w:val="22"/>
          <w:szCs w:val="22"/>
        </w:rPr>
        <w:t>In der Druckversion der Packungsbeilage des Arzneimittels müssen Name und Anschrift des Herstellers, der für die Freigabe der betreffenden Charge verantwortlich ist, angegeben werden.</w:t>
      </w:r>
    </w:p>
    <w:p w14:paraId="1DC96D39" w14:textId="77777777" w:rsidR="00D7000F" w:rsidRPr="008A4F40" w:rsidRDefault="00D7000F" w:rsidP="004E7659">
      <w:pPr>
        <w:numPr>
          <w:ilvl w:val="12"/>
          <w:numId w:val="0"/>
        </w:numPr>
        <w:rPr>
          <w:sz w:val="22"/>
          <w:szCs w:val="22"/>
        </w:rPr>
      </w:pPr>
    </w:p>
    <w:p w14:paraId="536FD695" w14:textId="77777777" w:rsidR="00D7000F" w:rsidRPr="008A4F40" w:rsidRDefault="00D7000F" w:rsidP="004E7659">
      <w:pPr>
        <w:numPr>
          <w:ilvl w:val="12"/>
          <w:numId w:val="0"/>
        </w:numPr>
        <w:rPr>
          <w:sz w:val="22"/>
          <w:szCs w:val="22"/>
        </w:rPr>
      </w:pPr>
    </w:p>
    <w:p w14:paraId="0487F8C9" w14:textId="77777777" w:rsidR="00AB6D5E" w:rsidRPr="008A4F40" w:rsidRDefault="00AB6D5E" w:rsidP="004E7659">
      <w:pPr>
        <w:keepNext/>
        <w:ind w:left="567" w:hanging="567"/>
        <w:outlineLvl w:val="0"/>
        <w:rPr>
          <w:color w:val="000000"/>
          <w:sz w:val="22"/>
          <w:szCs w:val="22"/>
        </w:rPr>
      </w:pPr>
      <w:r w:rsidRPr="008A4F40">
        <w:rPr>
          <w:b/>
          <w:color w:val="000000"/>
          <w:sz w:val="22"/>
          <w:szCs w:val="22"/>
        </w:rPr>
        <w:t>B.</w:t>
      </w:r>
      <w:r w:rsidRPr="008A4F40">
        <w:rPr>
          <w:b/>
          <w:color w:val="000000"/>
          <w:sz w:val="22"/>
          <w:szCs w:val="22"/>
        </w:rPr>
        <w:tab/>
        <w:t>BEDINGUNGEN ODER EINSCHRÄNKUNGEN FÜR DIE ABGABE UND DEN GEBRAUCH</w:t>
      </w:r>
    </w:p>
    <w:p w14:paraId="6F5FE4A6" w14:textId="77777777" w:rsidR="00AB6D5E" w:rsidRPr="008A4F40" w:rsidRDefault="00AB6D5E" w:rsidP="004E7659">
      <w:pPr>
        <w:pStyle w:val="EndnoteText"/>
        <w:keepNext/>
        <w:numPr>
          <w:ilvl w:val="12"/>
          <w:numId w:val="0"/>
        </w:numPr>
        <w:rPr>
          <w:color w:val="000000"/>
          <w:sz w:val="22"/>
          <w:szCs w:val="22"/>
          <w:lang w:val="de-DE"/>
        </w:rPr>
      </w:pPr>
    </w:p>
    <w:p w14:paraId="4CD3A5E5" w14:textId="77777777" w:rsidR="00AB6D5E" w:rsidRPr="008A4F40" w:rsidRDefault="00AB6D5E" w:rsidP="004E7659">
      <w:pPr>
        <w:numPr>
          <w:ilvl w:val="12"/>
          <w:numId w:val="0"/>
        </w:numPr>
        <w:rPr>
          <w:color w:val="000000"/>
          <w:sz w:val="22"/>
          <w:szCs w:val="22"/>
        </w:rPr>
      </w:pPr>
      <w:r w:rsidRPr="008A4F40">
        <w:rPr>
          <w:color w:val="000000"/>
          <w:sz w:val="22"/>
          <w:szCs w:val="22"/>
        </w:rPr>
        <w:t>Arzneimittel auf eingeschränkte ärztliche Verschreibung (siehe Anhang I: Zusammenfassung der Merkmale des Arzneimittels, Abschnitt</w:t>
      </w:r>
      <w:r w:rsidR="005539D7" w:rsidRPr="008A4F40">
        <w:rPr>
          <w:color w:val="000000"/>
          <w:sz w:val="22"/>
          <w:szCs w:val="22"/>
        </w:rPr>
        <w:t> </w:t>
      </w:r>
      <w:r w:rsidRPr="008A4F40">
        <w:rPr>
          <w:color w:val="000000"/>
          <w:sz w:val="22"/>
          <w:szCs w:val="22"/>
        </w:rPr>
        <w:t>4.2).</w:t>
      </w:r>
    </w:p>
    <w:p w14:paraId="6E902A1D" w14:textId="77777777" w:rsidR="00AB6D5E" w:rsidRPr="008A4F40" w:rsidRDefault="00AB6D5E" w:rsidP="004E7659">
      <w:pPr>
        <w:numPr>
          <w:ilvl w:val="12"/>
          <w:numId w:val="0"/>
        </w:numPr>
        <w:rPr>
          <w:color w:val="000000"/>
          <w:sz w:val="22"/>
          <w:szCs w:val="22"/>
        </w:rPr>
      </w:pPr>
    </w:p>
    <w:p w14:paraId="2BAC9844" w14:textId="77777777" w:rsidR="00AB6D5E" w:rsidRPr="008A4F40" w:rsidRDefault="00AB6D5E" w:rsidP="004E7659">
      <w:pPr>
        <w:ind w:right="567"/>
        <w:rPr>
          <w:color w:val="000000"/>
          <w:sz w:val="22"/>
          <w:szCs w:val="22"/>
        </w:rPr>
      </w:pPr>
    </w:p>
    <w:p w14:paraId="175A3AC1" w14:textId="77777777" w:rsidR="00AB6D5E" w:rsidRPr="008A4F40" w:rsidRDefault="00AB6D5E" w:rsidP="004E7659">
      <w:pPr>
        <w:keepNext/>
        <w:ind w:left="567" w:hanging="567"/>
        <w:outlineLvl w:val="0"/>
        <w:rPr>
          <w:b/>
          <w:color w:val="000000"/>
          <w:sz w:val="22"/>
          <w:szCs w:val="22"/>
        </w:rPr>
      </w:pPr>
      <w:r w:rsidRPr="008A4F40">
        <w:rPr>
          <w:b/>
          <w:color w:val="000000"/>
          <w:sz w:val="22"/>
          <w:szCs w:val="22"/>
        </w:rPr>
        <w:t>C.</w:t>
      </w:r>
      <w:r w:rsidRPr="008A4F40">
        <w:rPr>
          <w:b/>
          <w:color w:val="000000"/>
          <w:sz w:val="22"/>
          <w:szCs w:val="22"/>
        </w:rPr>
        <w:tab/>
        <w:t>SONSTIGE BEDINGUNGEN UND AUFLAGEN DER GENEHMIGUNG FÜR DAS INVERKEHRBRINGEN</w:t>
      </w:r>
    </w:p>
    <w:p w14:paraId="7B8CAD9D" w14:textId="77777777" w:rsidR="008B4F36" w:rsidRPr="008A4F40" w:rsidRDefault="008B4F36" w:rsidP="004E7659">
      <w:pPr>
        <w:keepNext/>
        <w:ind w:right="-1"/>
        <w:rPr>
          <w:color w:val="000000"/>
          <w:sz w:val="22"/>
          <w:szCs w:val="22"/>
        </w:rPr>
      </w:pPr>
    </w:p>
    <w:p w14:paraId="5EED6661" w14:textId="6CF0121F" w:rsidR="008B4F36" w:rsidRPr="008A4F40" w:rsidRDefault="008B4F36" w:rsidP="004E7659">
      <w:pPr>
        <w:keepNext/>
        <w:numPr>
          <w:ilvl w:val="0"/>
          <w:numId w:val="18"/>
        </w:numPr>
        <w:suppressLineNumbers/>
        <w:tabs>
          <w:tab w:val="clear" w:pos="720"/>
          <w:tab w:val="num" w:pos="0"/>
        </w:tabs>
        <w:spacing w:line="260" w:lineRule="exact"/>
        <w:ind w:left="567" w:right="-1" w:hanging="567"/>
        <w:rPr>
          <w:b/>
          <w:sz w:val="22"/>
          <w:szCs w:val="22"/>
        </w:rPr>
      </w:pPr>
      <w:r w:rsidRPr="008A4F40">
        <w:rPr>
          <w:b/>
          <w:sz w:val="22"/>
          <w:szCs w:val="22"/>
        </w:rPr>
        <w:t>Regelmäßige aktualisierte Unbedenklichkeitsberichte</w:t>
      </w:r>
      <w:r w:rsidR="0096383D" w:rsidRPr="008A4F40">
        <w:rPr>
          <w:b/>
          <w:sz w:val="22"/>
          <w:szCs w:val="22"/>
        </w:rPr>
        <w:t xml:space="preserve"> [Periodic Safety Update Reports (PSURs)]</w:t>
      </w:r>
    </w:p>
    <w:p w14:paraId="344EB644" w14:textId="77777777" w:rsidR="00D62D68" w:rsidRPr="008A4F40" w:rsidRDefault="00D62D68" w:rsidP="004E7659">
      <w:pPr>
        <w:keepNext/>
        <w:rPr>
          <w:sz w:val="22"/>
          <w:szCs w:val="22"/>
        </w:rPr>
      </w:pPr>
    </w:p>
    <w:p w14:paraId="547D8B4D" w14:textId="149B1095" w:rsidR="008B4F36" w:rsidRPr="008A4F40" w:rsidRDefault="00B7018B" w:rsidP="004E7659">
      <w:pPr>
        <w:ind w:right="-1"/>
        <w:rPr>
          <w:sz w:val="22"/>
          <w:szCs w:val="22"/>
        </w:rPr>
      </w:pPr>
      <w:r w:rsidRPr="008A4F40">
        <w:rPr>
          <w:sz w:val="22"/>
          <w:szCs w:val="22"/>
        </w:rPr>
        <w:t xml:space="preserve">Die Anforderungen an die Einreichung von </w:t>
      </w:r>
      <w:r w:rsidR="0096383D" w:rsidRPr="008A4F40">
        <w:rPr>
          <w:sz w:val="22"/>
          <w:szCs w:val="22"/>
        </w:rPr>
        <w:t xml:space="preserve">PSURs </w:t>
      </w:r>
      <w:r w:rsidRPr="008A4F40">
        <w:rPr>
          <w:sz w:val="22"/>
          <w:szCs w:val="22"/>
        </w:rPr>
        <w:t>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F55F0AC" w14:textId="77777777" w:rsidR="008B4F36" w:rsidRPr="008A4F40" w:rsidRDefault="008B4F36" w:rsidP="004E7659">
      <w:pPr>
        <w:ind w:right="-1"/>
        <w:rPr>
          <w:color w:val="000000"/>
          <w:sz w:val="22"/>
          <w:szCs w:val="22"/>
          <w:u w:val="single"/>
        </w:rPr>
      </w:pPr>
    </w:p>
    <w:p w14:paraId="4EFEDF4F" w14:textId="77777777" w:rsidR="00AB6D5E" w:rsidRPr="008A4F40" w:rsidRDefault="00AB6D5E" w:rsidP="004E7659">
      <w:pPr>
        <w:ind w:right="-1"/>
        <w:rPr>
          <w:color w:val="000000"/>
          <w:sz w:val="22"/>
          <w:szCs w:val="22"/>
        </w:rPr>
      </w:pPr>
    </w:p>
    <w:p w14:paraId="22C9B809" w14:textId="77777777" w:rsidR="00AB6D5E" w:rsidRPr="008A4F40" w:rsidRDefault="000118D4" w:rsidP="004E7659">
      <w:pPr>
        <w:keepNext/>
        <w:ind w:left="567" w:hanging="567"/>
        <w:outlineLvl w:val="0"/>
        <w:rPr>
          <w:b/>
          <w:color w:val="000000"/>
          <w:sz w:val="22"/>
          <w:szCs w:val="22"/>
        </w:rPr>
      </w:pPr>
      <w:r w:rsidRPr="008A4F40">
        <w:rPr>
          <w:b/>
          <w:color w:val="000000"/>
          <w:sz w:val="22"/>
          <w:szCs w:val="22"/>
        </w:rPr>
        <w:t>D.</w:t>
      </w:r>
      <w:r w:rsidRPr="008A4F40">
        <w:rPr>
          <w:b/>
          <w:color w:val="000000"/>
          <w:sz w:val="22"/>
          <w:szCs w:val="22"/>
        </w:rPr>
        <w:tab/>
      </w:r>
      <w:r w:rsidR="00AB6D5E" w:rsidRPr="008A4F40">
        <w:rPr>
          <w:b/>
          <w:color w:val="000000"/>
          <w:sz w:val="22"/>
          <w:szCs w:val="22"/>
        </w:rPr>
        <w:t>BEDINGUNGEN ODER EINSCHRÄNKUNGEN FÜR DIE SICHERE UND WIRKSAME ANWENDUNG DES ARZNEIMITTELS</w:t>
      </w:r>
    </w:p>
    <w:p w14:paraId="2FA5FF0C" w14:textId="77777777" w:rsidR="00AB6D5E" w:rsidRPr="008A4F40" w:rsidRDefault="00AB6D5E" w:rsidP="004E7659">
      <w:pPr>
        <w:keepNext/>
        <w:ind w:right="-1"/>
        <w:rPr>
          <w:color w:val="000000"/>
          <w:sz w:val="22"/>
          <w:szCs w:val="22"/>
        </w:rPr>
      </w:pPr>
    </w:p>
    <w:p w14:paraId="0E3637AB" w14:textId="489E5BEA" w:rsidR="000118D4" w:rsidRPr="008A4F40" w:rsidRDefault="000118D4" w:rsidP="004E7659">
      <w:pPr>
        <w:keepNext/>
        <w:numPr>
          <w:ilvl w:val="0"/>
          <w:numId w:val="18"/>
        </w:numPr>
        <w:tabs>
          <w:tab w:val="left" w:pos="567"/>
        </w:tabs>
        <w:spacing w:line="260" w:lineRule="exact"/>
        <w:ind w:right="-1" w:hanging="720"/>
        <w:rPr>
          <w:b/>
          <w:sz w:val="22"/>
          <w:szCs w:val="22"/>
        </w:rPr>
      </w:pPr>
      <w:r w:rsidRPr="008A4F40">
        <w:rPr>
          <w:b/>
          <w:sz w:val="22"/>
          <w:szCs w:val="22"/>
        </w:rPr>
        <w:t>Risikomanagement-Plan (RMP)</w:t>
      </w:r>
    </w:p>
    <w:p w14:paraId="645AB9B4" w14:textId="77777777" w:rsidR="00F72319" w:rsidRPr="008A4F40" w:rsidRDefault="00F72319" w:rsidP="004E7659">
      <w:pPr>
        <w:tabs>
          <w:tab w:val="left" w:pos="0"/>
        </w:tabs>
        <w:ind w:right="567"/>
        <w:rPr>
          <w:sz w:val="22"/>
          <w:szCs w:val="22"/>
        </w:rPr>
      </w:pPr>
    </w:p>
    <w:p w14:paraId="51025976" w14:textId="50B5AA7F" w:rsidR="000118D4" w:rsidRPr="008A4F40" w:rsidRDefault="000118D4" w:rsidP="004E7659">
      <w:pPr>
        <w:tabs>
          <w:tab w:val="left" w:pos="0"/>
        </w:tabs>
        <w:ind w:right="567"/>
        <w:rPr>
          <w:noProof/>
          <w:sz w:val="22"/>
          <w:szCs w:val="22"/>
        </w:rPr>
      </w:pPr>
      <w:r w:rsidRPr="008A4F40">
        <w:rPr>
          <w:sz w:val="22"/>
          <w:szCs w:val="22"/>
        </w:rPr>
        <w:t xml:space="preserve">Der Inhaber der Genehmigung für das Inverkehrbringen </w:t>
      </w:r>
      <w:r w:rsidR="0096383D" w:rsidRPr="008A4F40">
        <w:rPr>
          <w:sz w:val="22"/>
          <w:szCs w:val="22"/>
        </w:rPr>
        <w:t xml:space="preserve">(MAH) </w:t>
      </w:r>
      <w:r w:rsidRPr="008A4F40">
        <w:rPr>
          <w:sz w:val="22"/>
          <w:szCs w:val="22"/>
        </w:rPr>
        <w:t>führt die notwendigen, im vereinbarten RMP beschriebenen und in Modul 1.8.2 der Zulassung dargelegten Pharmakovigilanzaktivitäten und Maßnahmen sowie alle künftigen vereinbarten Aktualisierungen des RMP durch.</w:t>
      </w:r>
    </w:p>
    <w:p w14:paraId="622EE280" w14:textId="77777777" w:rsidR="00233B1A" w:rsidRPr="008A4F40" w:rsidRDefault="00233B1A" w:rsidP="004E7659">
      <w:pPr>
        <w:ind w:right="-1"/>
        <w:rPr>
          <w:sz w:val="22"/>
          <w:szCs w:val="22"/>
        </w:rPr>
      </w:pPr>
    </w:p>
    <w:p w14:paraId="3BB43226" w14:textId="77777777" w:rsidR="000118D4" w:rsidRPr="008A4F40" w:rsidRDefault="000118D4" w:rsidP="004E7659">
      <w:pPr>
        <w:keepNext/>
        <w:rPr>
          <w:i/>
          <w:noProof/>
          <w:sz w:val="22"/>
          <w:szCs w:val="22"/>
        </w:rPr>
      </w:pPr>
      <w:r w:rsidRPr="008A4F40">
        <w:rPr>
          <w:sz w:val="22"/>
          <w:szCs w:val="22"/>
        </w:rPr>
        <w:t>Ein aktualisierter RMP ist einzureichen:</w:t>
      </w:r>
    </w:p>
    <w:p w14:paraId="0AF4B9FE" w14:textId="77777777" w:rsidR="000118D4" w:rsidRPr="008A4F40" w:rsidRDefault="000118D4" w:rsidP="004E7659">
      <w:pPr>
        <w:keepNext/>
        <w:numPr>
          <w:ilvl w:val="0"/>
          <w:numId w:val="19"/>
        </w:numPr>
        <w:tabs>
          <w:tab w:val="clear" w:pos="720"/>
          <w:tab w:val="num" w:pos="567"/>
        </w:tabs>
        <w:spacing w:line="260" w:lineRule="exact"/>
        <w:ind w:hanging="720"/>
        <w:rPr>
          <w:iCs/>
          <w:noProof/>
          <w:sz w:val="22"/>
          <w:szCs w:val="22"/>
          <w:lang w:val="de-CH"/>
        </w:rPr>
      </w:pPr>
      <w:r w:rsidRPr="008A4F40">
        <w:rPr>
          <w:sz w:val="22"/>
          <w:szCs w:val="22"/>
        </w:rPr>
        <w:t>nach Aufforderung durch die Europäische Arzneimittel-Agentur;</w:t>
      </w:r>
    </w:p>
    <w:p w14:paraId="6990051C" w14:textId="1801985E" w:rsidR="000118D4" w:rsidRPr="008A4F40" w:rsidRDefault="000118D4" w:rsidP="004E7659">
      <w:pPr>
        <w:numPr>
          <w:ilvl w:val="0"/>
          <w:numId w:val="19"/>
        </w:numPr>
        <w:tabs>
          <w:tab w:val="clear" w:pos="720"/>
          <w:tab w:val="num" w:pos="567"/>
        </w:tabs>
        <w:spacing w:line="260" w:lineRule="exact"/>
        <w:ind w:left="567" w:right="-1" w:hanging="567"/>
        <w:rPr>
          <w:i/>
          <w:noProof/>
          <w:sz w:val="22"/>
          <w:szCs w:val="22"/>
        </w:rPr>
      </w:pPr>
      <w:r w:rsidRPr="008A4F40">
        <w:rPr>
          <w:sz w:val="22"/>
          <w:szCs w:val="22"/>
        </w:rPr>
        <w:t>jedes Mal</w:t>
      </w:r>
      <w:ins w:id="898" w:author="Author">
        <w:r w:rsidR="00D236F0">
          <w:rPr>
            <w:sz w:val="22"/>
            <w:szCs w:val="22"/>
          </w:rPr>
          <w:t>,</w:t>
        </w:r>
      </w:ins>
      <w:r w:rsidRPr="008A4F40">
        <w:rPr>
          <w:sz w:val="22"/>
          <w:szCs w:val="22"/>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520FA15" w14:textId="77777777" w:rsidR="004A4E9F" w:rsidRPr="00BD34DB" w:rsidRDefault="004A4E9F" w:rsidP="004E7659">
      <w:pPr>
        <w:ind w:right="-1"/>
        <w:rPr>
          <w:sz w:val="22"/>
          <w:szCs w:val="22"/>
        </w:rPr>
      </w:pPr>
    </w:p>
    <w:p w14:paraId="76A2F19F" w14:textId="77777777" w:rsidR="00AB6D5E" w:rsidRPr="00BD34DB" w:rsidRDefault="00AB6D5E" w:rsidP="004E7659">
      <w:pPr>
        <w:ind w:right="-1"/>
        <w:rPr>
          <w:bCs/>
          <w:sz w:val="22"/>
          <w:szCs w:val="22"/>
        </w:rPr>
      </w:pPr>
      <w:r w:rsidRPr="00BD34DB">
        <w:rPr>
          <w:sz w:val="22"/>
          <w:szCs w:val="22"/>
        </w:rPr>
        <w:br w:type="page"/>
      </w:r>
    </w:p>
    <w:p w14:paraId="641C4D2F" w14:textId="77777777" w:rsidR="00AB6D5E" w:rsidRPr="008A4F40" w:rsidRDefault="00AB6D5E" w:rsidP="004E7659">
      <w:pPr>
        <w:rPr>
          <w:color w:val="000000"/>
          <w:sz w:val="22"/>
          <w:szCs w:val="22"/>
        </w:rPr>
      </w:pPr>
    </w:p>
    <w:p w14:paraId="2CC9E329" w14:textId="77777777" w:rsidR="00AB6D5E" w:rsidRPr="00A24EE4" w:rsidRDefault="00AB6D5E" w:rsidP="004E7659">
      <w:pPr>
        <w:rPr>
          <w:sz w:val="22"/>
          <w:szCs w:val="22"/>
        </w:rPr>
      </w:pPr>
    </w:p>
    <w:p w14:paraId="581C62A0" w14:textId="77777777" w:rsidR="00AB6D5E" w:rsidRPr="00A24EE4" w:rsidRDefault="00AB6D5E" w:rsidP="004E7659">
      <w:pPr>
        <w:rPr>
          <w:sz w:val="22"/>
          <w:szCs w:val="22"/>
        </w:rPr>
      </w:pPr>
    </w:p>
    <w:p w14:paraId="54007FF2" w14:textId="77777777" w:rsidR="00AB6D5E" w:rsidRPr="00A24EE4" w:rsidRDefault="00AB6D5E" w:rsidP="004E7659">
      <w:pPr>
        <w:rPr>
          <w:sz w:val="22"/>
          <w:szCs w:val="22"/>
        </w:rPr>
      </w:pPr>
    </w:p>
    <w:p w14:paraId="32394F5E" w14:textId="77777777" w:rsidR="00AB6D5E" w:rsidRPr="00A24EE4" w:rsidRDefault="00AB6D5E" w:rsidP="004E7659">
      <w:pPr>
        <w:rPr>
          <w:sz w:val="22"/>
          <w:szCs w:val="22"/>
        </w:rPr>
      </w:pPr>
    </w:p>
    <w:p w14:paraId="5BA68491" w14:textId="77777777" w:rsidR="00AB6D5E" w:rsidRPr="00A24EE4" w:rsidRDefault="00AB6D5E" w:rsidP="004E7659">
      <w:pPr>
        <w:rPr>
          <w:sz w:val="22"/>
          <w:szCs w:val="22"/>
        </w:rPr>
      </w:pPr>
    </w:p>
    <w:p w14:paraId="1E388A17" w14:textId="77777777" w:rsidR="00AB6D5E" w:rsidRPr="00A24EE4" w:rsidRDefault="00AB6D5E" w:rsidP="004E7659">
      <w:pPr>
        <w:rPr>
          <w:sz w:val="22"/>
          <w:szCs w:val="22"/>
        </w:rPr>
      </w:pPr>
    </w:p>
    <w:p w14:paraId="7A165EE8" w14:textId="77777777" w:rsidR="00AB6D5E" w:rsidRPr="00A24EE4" w:rsidRDefault="00AB6D5E" w:rsidP="004E7659">
      <w:pPr>
        <w:rPr>
          <w:sz w:val="22"/>
          <w:szCs w:val="22"/>
        </w:rPr>
      </w:pPr>
    </w:p>
    <w:p w14:paraId="4743E038" w14:textId="77777777" w:rsidR="00AB6D5E" w:rsidRPr="00A24EE4" w:rsidRDefault="00AB6D5E" w:rsidP="004E7659">
      <w:pPr>
        <w:rPr>
          <w:sz w:val="22"/>
          <w:szCs w:val="22"/>
        </w:rPr>
      </w:pPr>
    </w:p>
    <w:p w14:paraId="11FD9A97" w14:textId="77777777" w:rsidR="00AB6D5E" w:rsidRPr="00A24EE4" w:rsidRDefault="00AB6D5E" w:rsidP="004E7659">
      <w:pPr>
        <w:rPr>
          <w:sz w:val="22"/>
          <w:szCs w:val="22"/>
        </w:rPr>
      </w:pPr>
    </w:p>
    <w:p w14:paraId="492048F4" w14:textId="77777777" w:rsidR="00AB6D5E" w:rsidRPr="00A24EE4" w:rsidRDefault="00AB6D5E" w:rsidP="004E7659">
      <w:pPr>
        <w:rPr>
          <w:sz w:val="22"/>
          <w:szCs w:val="22"/>
        </w:rPr>
      </w:pPr>
    </w:p>
    <w:p w14:paraId="769B9805" w14:textId="77777777" w:rsidR="00AB6D5E" w:rsidRPr="00A24EE4" w:rsidRDefault="00AB6D5E" w:rsidP="004E7659">
      <w:pPr>
        <w:rPr>
          <w:sz w:val="22"/>
          <w:szCs w:val="22"/>
        </w:rPr>
      </w:pPr>
    </w:p>
    <w:p w14:paraId="4A2400C9" w14:textId="77777777" w:rsidR="00AB6D5E" w:rsidRPr="00A24EE4" w:rsidRDefault="00AB6D5E" w:rsidP="004E7659">
      <w:pPr>
        <w:rPr>
          <w:sz w:val="22"/>
          <w:szCs w:val="22"/>
        </w:rPr>
      </w:pPr>
    </w:p>
    <w:p w14:paraId="623EFA5B" w14:textId="77777777" w:rsidR="00AB6D5E" w:rsidRPr="00A24EE4" w:rsidRDefault="00AB6D5E" w:rsidP="004E7659">
      <w:pPr>
        <w:rPr>
          <w:sz w:val="22"/>
          <w:szCs w:val="22"/>
        </w:rPr>
      </w:pPr>
    </w:p>
    <w:p w14:paraId="25175F02" w14:textId="77777777" w:rsidR="00AB6D5E" w:rsidRPr="00A24EE4" w:rsidRDefault="00AB6D5E" w:rsidP="004E7659">
      <w:pPr>
        <w:rPr>
          <w:sz w:val="22"/>
          <w:szCs w:val="22"/>
        </w:rPr>
      </w:pPr>
    </w:p>
    <w:p w14:paraId="0CA4A36D" w14:textId="77777777" w:rsidR="00AB6D5E" w:rsidRPr="00A24EE4" w:rsidRDefault="00AB6D5E" w:rsidP="004E7659">
      <w:pPr>
        <w:rPr>
          <w:sz w:val="22"/>
          <w:szCs w:val="22"/>
        </w:rPr>
      </w:pPr>
    </w:p>
    <w:p w14:paraId="231E3BF4" w14:textId="77777777" w:rsidR="00AB6D5E" w:rsidRPr="00A24EE4" w:rsidRDefault="00AB6D5E" w:rsidP="004E7659">
      <w:pPr>
        <w:rPr>
          <w:sz w:val="22"/>
          <w:szCs w:val="22"/>
        </w:rPr>
      </w:pPr>
    </w:p>
    <w:p w14:paraId="59EED1B0" w14:textId="77777777" w:rsidR="00AB6D5E" w:rsidRPr="00A24EE4" w:rsidRDefault="00AB6D5E" w:rsidP="004E7659">
      <w:pPr>
        <w:rPr>
          <w:sz w:val="22"/>
          <w:szCs w:val="22"/>
        </w:rPr>
      </w:pPr>
    </w:p>
    <w:p w14:paraId="39EF22CE" w14:textId="77777777" w:rsidR="00AB6D5E" w:rsidRPr="00A24EE4" w:rsidRDefault="00AB6D5E" w:rsidP="004E7659">
      <w:pPr>
        <w:rPr>
          <w:sz w:val="22"/>
          <w:szCs w:val="22"/>
        </w:rPr>
      </w:pPr>
    </w:p>
    <w:p w14:paraId="261718D2" w14:textId="77777777" w:rsidR="00AB6D5E" w:rsidRPr="00A24EE4" w:rsidRDefault="00AB6D5E" w:rsidP="004E7659">
      <w:pPr>
        <w:rPr>
          <w:sz w:val="22"/>
          <w:szCs w:val="22"/>
        </w:rPr>
      </w:pPr>
    </w:p>
    <w:p w14:paraId="5F1FFDEA" w14:textId="77777777" w:rsidR="00AB6D5E" w:rsidRPr="00A24EE4" w:rsidRDefault="00AB6D5E" w:rsidP="004E7659">
      <w:pPr>
        <w:rPr>
          <w:sz w:val="22"/>
          <w:szCs w:val="22"/>
        </w:rPr>
      </w:pPr>
    </w:p>
    <w:p w14:paraId="695CDABD" w14:textId="77777777" w:rsidR="00AB6D5E" w:rsidRPr="00A24EE4" w:rsidRDefault="00AB6D5E" w:rsidP="004E7659">
      <w:pPr>
        <w:rPr>
          <w:sz w:val="22"/>
          <w:szCs w:val="22"/>
        </w:rPr>
      </w:pPr>
    </w:p>
    <w:p w14:paraId="2A40719C" w14:textId="77777777" w:rsidR="001E3D49" w:rsidRPr="00A24EE4" w:rsidRDefault="001E3D49" w:rsidP="004E7659">
      <w:pPr>
        <w:rPr>
          <w:sz w:val="22"/>
          <w:szCs w:val="22"/>
        </w:rPr>
      </w:pPr>
    </w:p>
    <w:p w14:paraId="05532533" w14:textId="77777777" w:rsidR="00AB6D5E" w:rsidRPr="00A24EE4" w:rsidRDefault="00AB6D5E" w:rsidP="004E7659">
      <w:pPr>
        <w:jc w:val="center"/>
        <w:rPr>
          <w:b/>
          <w:bCs/>
          <w:sz w:val="22"/>
          <w:szCs w:val="22"/>
        </w:rPr>
      </w:pPr>
      <w:r w:rsidRPr="00A24EE4">
        <w:rPr>
          <w:b/>
          <w:bCs/>
          <w:sz w:val="22"/>
          <w:szCs w:val="22"/>
        </w:rPr>
        <w:t xml:space="preserve">ANHANG </w:t>
      </w:r>
      <w:smartTag w:uri="urn:schemas-microsoft-com:office:smarttags" w:element="stockticker">
        <w:r w:rsidRPr="00A24EE4">
          <w:rPr>
            <w:b/>
            <w:bCs/>
            <w:sz w:val="22"/>
            <w:szCs w:val="22"/>
          </w:rPr>
          <w:t>III</w:t>
        </w:r>
      </w:smartTag>
    </w:p>
    <w:p w14:paraId="61C6B97E" w14:textId="77777777" w:rsidR="00AB6D5E" w:rsidRPr="008A4F40" w:rsidRDefault="00AB6D5E" w:rsidP="004E7659">
      <w:pPr>
        <w:jc w:val="center"/>
        <w:rPr>
          <w:color w:val="000000"/>
          <w:sz w:val="22"/>
          <w:szCs w:val="22"/>
        </w:rPr>
      </w:pPr>
    </w:p>
    <w:p w14:paraId="1FC6F7CF" w14:textId="77777777" w:rsidR="00AB6D5E" w:rsidRPr="008A4F40" w:rsidRDefault="00AB6D5E" w:rsidP="004E7659">
      <w:pPr>
        <w:jc w:val="center"/>
        <w:rPr>
          <w:b/>
          <w:color w:val="000000"/>
          <w:sz w:val="22"/>
          <w:szCs w:val="22"/>
        </w:rPr>
      </w:pPr>
      <w:r w:rsidRPr="008A4F40">
        <w:rPr>
          <w:b/>
          <w:color w:val="000000"/>
          <w:sz w:val="22"/>
          <w:szCs w:val="22"/>
        </w:rPr>
        <w:t>ETIKETTIERUNG UND PACKUNGSBEILAGE</w:t>
      </w:r>
    </w:p>
    <w:p w14:paraId="2F1D7C4B" w14:textId="77777777" w:rsidR="00AB6D5E" w:rsidRPr="008A4F40" w:rsidRDefault="00AB6D5E" w:rsidP="004E7659">
      <w:pPr>
        <w:rPr>
          <w:color w:val="000000"/>
          <w:sz w:val="22"/>
          <w:szCs w:val="22"/>
        </w:rPr>
      </w:pPr>
      <w:r w:rsidRPr="008A4F40">
        <w:rPr>
          <w:b/>
          <w:color w:val="000000"/>
          <w:sz w:val="22"/>
          <w:szCs w:val="22"/>
        </w:rPr>
        <w:br w:type="page"/>
      </w:r>
    </w:p>
    <w:p w14:paraId="193616A6" w14:textId="77777777" w:rsidR="00AB6D5E" w:rsidRPr="008A4F40" w:rsidRDefault="00AB6D5E" w:rsidP="004E7659">
      <w:pPr>
        <w:rPr>
          <w:color w:val="000000"/>
          <w:sz w:val="22"/>
          <w:szCs w:val="22"/>
        </w:rPr>
      </w:pPr>
    </w:p>
    <w:p w14:paraId="4B0FAA22" w14:textId="77777777" w:rsidR="00AB6D5E" w:rsidRPr="008A4F40" w:rsidRDefault="00AB6D5E" w:rsidP="004E7659">
      <w:pPr>
        <w:rPr>
          <w:color w:val="000000"/>
          <w:sz w:val="22"/>
          <w:szCs w:val="22"/>
        </w:rPr>
      </w:pPr>
    </w:p>
    <w:p w14:paraId="32FEAD4C" w14:textId="77777777" w:rsidR="00AB6D5E" w:rsidRPr="008A4F40" w:rsidRDefault="00AB6D5E" w:rsidP="004E7659">
      <w:pPr>
        <w:rPr>
          <w:color w:val="000000"/>
          <w:sz w:val="22"/>
          <w:szCs w:val="22"/>
        </w:rPr>
      </w:pPr>
    </w:p>
    <w:p w14:paraId="6F4B195E" w14:textId="77777777" w:rsidR="00AB6D5E" w:rsidRPr="008A4F40" w:rsidRDefault="00AB6D5E" w:rsidP="004E7659">
      <w:pPr>
        <w:rPr>
          <w:color w:val="000000"/>
          <w:sz w:val="22"/>
          <w:szCs w:val="22"/>
        </w:rPr>
      </w:pPr>
    </w:p>
    <w:p w14:paraId="2F192668" w14:textId="77777777" w:rsidR="00AB6D5E" w:rsidRPr="008A4F40" w:rsidRDefault="00AB6D5E" w:rsidP="004E7659">
      <w:pPr>
        <w:rPr>
          <w:color w:val="000000"/>
          <w:sz w:val="22"/>
          <w:szCs w:val="22"/>
        </w:rPr>
      </w:pPr>
    </w:p>
    <w:p w14:paraId="72E335FA" w14:textId="77777777" w:rsidR="00AB6D5E" w:rsidRPr="008A4F40" w:rsidRDefault="00AB6D5E" w:rsidP="004E7659">
      <w:pPr>
        <w:rPr>
          <w:color w:val="000000"/>
          <w:sz w:val="22"/>
          <w:szCs w:val="22"/>
        </w:rPr>
      </w:pPr>
    </w:p>
    <w:p w14:paraId="119A9BA1" w14:textId="77777777" w:rsidR="00AB6D5E" w:rsidRPr="008A4F40" w:rsidRDefault="00AB6D5E" w:rsidP="004E7659">
      <w:pPr>
        <w:rPr>
          <w:color w:val="000000"/>
          <w:sz w:val="22"/>
          <w:szCs w:val="22"/>
        </w:rPr>
      </w:pPr>
    </w:p>
    <w:p w14:paraId="735120DD" w14:textId="77777777" w:rsidR="00AB6D5E" w:rsidRPr="008A4F40" w:rsidRDefault="00AB6D5E" w:rsidP="004E7659">
      <w:pPr>
        <w:rPr>
          <w:color w:val="000000"/>
          <w:sz w:val="22"/>
          <w:szCs w:val="22"/>
        </w:rPr>
      </w:pPr>
    </w:p>
    <w:p w14:paraId="0A66B307" w14:textId="77777777" w:rsidR="00AB6D5E" w:rsidRPr="008A4F40" w:rsidRDefault="00AB6D5E" w:rsidP="004E7659">
      <w:pPr>
        <w:rPr>
          <w:color w:val="000000"/>
          <w:sz w:val="22"/>
          <w:szCs w:val="22"/>
        </w:rPr>
      </w:pPr>
    </w:p>
    <w:p w14:paraId="20EEC705" w14:textId="77777777" w:rsidR="00AB6D5E" w:rsidRPr="008A4F40" w:rsidRDefault="00AB6D5E" w:rsidP="004E7659">
      <w:pPr>
        <w:rPr>
          <w:color w:val="000000"/>
          <w:sz w:val="22"/>
          <w:szCs w:val="22"/>
        </w:rPr>
      </w:pPr>
    </w:p>
    <w:p w14:paraId="0355DC7E" w14:textId="77777777" w:rsidR="00AB6D5E" w:rsidRPr="008A4F40" w:rsidRDefault="00AB6D5E" w:rsidP="004E7659">
      <w:pPr>
        <w:rPr>
          <w:color w:val="000000"/>
          <w:sz w:val="22"/>
          <w:szCs w:val="22"/>
        </w:rPr>
      </w:pPr>
    </w:p>
    <w:p w14:paraId="0FF880CE" w14:textId="77777777" w:rsidR="00AB6D5E" w:rsidRPr="008A4F40" w:rsidRDefault="00AB6D5E" w:rsidP="004E7659">
      <w:pPr>
        <w:rPr>
          <w:color w:val="000000"/>
          <w:sz w:val="22"/>
          <w:szCs w:val="22"/>
        </w:rPr>
      </w:pPr>
    </w:p>
    <w:p w14:paraId="4B7206B3" w14:textId="77777777" w:rsidR="00AB6D5E" w:rsidRPr="008A4F40" w:rsidRDefault="00AB6D5E" w:rsidP="004E7659">
      <w:pPr>
        <w:rPr>
          <w:color w:val="000000"/>
          <w:sz w:val="22"/>
          <w:szCs w:val="22"/>
        </w:rPr>
      </w:pPr>
    </w:p>
    <w:p w14:paraId="7077CCC7" w14:textId="77777777" w:rsidR="00AB6D5E" w:rsidRPr="008A4F40" w:rsidRDefault="00AB6D5E" w:rsidP="004E7659">
      <w:pPr>
        <w:rPr>
          <w:color w:val="000000"/>
          <w:sz w:val="22"/>
          <w:szCs w:val="22"/>
        </w:rPr>
      </w:pPr>
    </w:p>
    <w:p w14:paraId="3EF7E0A2" w14:textId="77777777" w:rsidR="00AB6D5E" w:rsidRPr="008A4F40" w:rsidRDefault="00AB6D5E" w:rsidP="004E7659">
      <w:pPr>
        <w:rPr>
          <w:color w:val="000000"/>
          <w:sz w:val="22"/>
          <w:szCs w:val="22"/>
        </w:rPr>
      </w:pPr>
    </w:p>
    <w:p w14:paraId="467187E2" w14:textId="77777777" w:rsidR="00AB6D5E" w:rsidRPr="008A4F40" w:rsidRDefault="00AB6D5E" w:rsidP="004E7659">
      <w:pPr>
        <w:rPr>
          <w:color w:val="000000"/>
          <w:sz w:val="22"/>
          <w:szCs w:val="22"/>
        </w:rPr>
      </w:pPr>
    </w:p>
    <w:p w14:paraId="0C76CB90" w14:textId="77777777" w:rsidR="00AB6D5E" w:rsidRPr="008A4F40" w:rsidRDefault="00AB6D5E" w:rsidP="004E7659">
      <w:pPr>
        <w:rPr>
          <w:color w:val="000000"/>
          <w:sz w:val="22"/>
          <w:szCs w:val="22"/>
        </w:rPr>
      </w:pPr>
    </w:p>
    <w:p w14:paraId="446BFA5A" w14:textId="77777777" w:rsidR="00AB6D5E" w:rsidRPr="008A4F40" w:rsidRDefault="00AB6D5E" w:rsidP="004E7659">
      <w:pPr>
        <w:rPr>
          <w:color w:val="000000"/>
          <w:sz w:val="22"/>
          <w:szCs w:val="22"/>
        </w:rPr>
      </w:pPr>
    </w:p>
    <w:p w14:paraId="7D701A85" w14:textId="77777777" w:rsidR="00AB6D5E" w:rsidRPr="008A4F40" w:rsidRDefault="00AB6D5E" w:rsidP="004E7659">
      <w:pPr>
        <w:rPr>
          <w:color w:val="000000"/>
          <w:sz w:val="22"/>
          <w:szCs w:val="22"/>
        </w:rPr>
      </w:pPr>
    </w:p>
    <w:p w14:paraId="50B659A0" w14:textId="77777777" w:rsidR="00AB6D5E" w:rsidRPr="008A4F40" w:rsidRDefault="00AB6D5E" w:rsidP="004E7659">
      <w:pPr>
        <w:rPr>
          <w:color w:val="000000"/>
          <w:sz w:val="22"/>
          <w:szCs w:val="22"/>
        </w:rPr>
      </w:pPr>
    </w:p>
    <w:p w14:paraId="7E992BF5" w14:textId="77777777" w:rsidR="00AB6D5E" w:rsidRPr="008A4F40" w:rsidRDefault="00AB6D5E" w:rsidP="004E7659">
      <w:pPr>
        <w:rPr>
          <w:color w:val="000000"/>
          <w:sz w:val="22"/>
          <w:szCs w:val="22"/>
        </w:rPr>
      </w:pPr>
    </w:p>
    <w:p w14:paraId="5538583A" w14:textId="77777777" w:rsidR="00AB6D5E" w:rsidRPr="008A4F40" w:rsidRDefault="00AB6D5E" w:rsidP="004E7659">
      <w:pPr>
        <w:rPr>
          <w:color w:val="000000"/>
          <w:sz w:val="22"/>
          <w:szCs w:val="22"/>
        </w:rPr>
      </w:pPr>
    </w:p>
    <w:p w14:paraId="6D9D9D95" w14:textId="77777777" w:rsidR="001E3D49" w:rsidRPr="008A4F40" w:rsidRDefault="001E3D49" w:rsidP="004E7659">
      <w:pPr>
        <w:rPr>
          <w:color w:val="000000"/>
          <w:sz w:val="22"/>
          <w:szCs w:val="22"/>
        </w:rPr>
      </w:pPr>
    </w:p>
    <w:p w14:paraId="52B34847" w14:textId="77777777" w:rsidR="00AB6D5E" w:rsidRPr="00A24EE4" w:rsidRDefault="00AB6D5E" w:rsidP="004E7659">
      <w:pPr>
        <w:jc w:val="center"/>
        <w:outlineLvl w:val="0"/>
        <w:rPr>
          <w:b/>
          <w:bCs/>
          <w:sz w:val="22"/>
          <w:szCs w:val="22"/>
        </w:rPr>
      </w:pPr>
      <w:r w:rsidRPr="00A24EE4">
        <w:rPr>
          <w:b/>
          <w:bCs/>
          <w:sz w:val="22"/>
          <w:szCs w:val="22"/>
        </w:rPr>
        <w:t>A. ETIKETTIERUNG</w:t>
      </w:r>
    </w:p>
    <w:p w14:paraId="42E89C0B" w14:textId="77777777" w:rsidR="00AB6D5E" w:rsidRPr="008A4F40" w:rsidRDefault="00AB6D5E" w:rsidP="004E7659">
      <w:pPr>
        <w:shd w:val="clear" w:color="auto" w:fill="FFFFFF"/>
        <w:rPr>
          <w:color w:val="000000"/>
          <w:sz w:val="22"/>
          <w:szCs w:val="22"/>
        </w:rPr>
      </w:pPr>
      <w:r w:rsidRPr="008A4F40">
        <w:rPr>
          <w:color w:val="000000"/>
          <w:sz w:val="22"/>
          <w:szCs w:val="22"/>
        </w:rPr>
        <w:br w:type="page"/>
      </w:r>
    </w:p>
    <w:p w14:paraId="72DC30E6" w14:textId="77777777" w:rsidR="001E3D49" w:rsidRPr="008A4F40" w:rsidRDefault="001E3D49" w:rsidP="004E7659">
      <w:pPr>
        <w:rPr>
          <w:color w:val="000000"/>
          <w:sz w:val="22"/>
          <w:szCs w:val="22"/>
        </w:rPr>
      </w:pPr>
    </w:p>
    <w:p w14:paraId="044CD93A"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r w:rsidRPr="008A4F40">
        <w:rPr>
          <w:b/>
          <w:color w:val="000000"/>
          <w:sz w:val="22"/>
          <w:szCs w:val="22"/>
        </w:rPr>
        <w:t xml:space="preserve">ANGABEN AUF </w:t>
      </w:r>
      <w:smartTag w:uri="urn:schemas-microsoft-com:office:smarttags" w:element="stockticker">
        <w:r w:rsidRPr="008A4F40">
          <w:rPr>
            <w:b/>
            <w:color w:val="000000"/>
            <w:sz w:val="22"/>
            <w:szCs w:val="22"/>
          </w:rPr>
          <w:t>DER</w:t>
        </w:r>
      </w:smartTag>
      <w:r w:rsidRPr="008A4F40">
        <w:rPr>
          <w:b/>
          <w:color w:val="000000"/>
          <w:sz w:val="22"/>
          <w:szCs w:val="22"/>
        </w:rPr>
        <w:t xml:space="preserve"> ÄUSSEREN UMHÜLLUNG</w:t>
      </w:r>
    </w:p>
    <w:p w14:paraId="13362851"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p>
    <w:p w14:paraId="1FB55F47" w14:textId="77777777" w:rsidR="00AB6D5E" w:rsidRPr="008A4F40" w:rsidRDefault="00E745E2" w:rsidP="004E7659">
      <w:pPr>
        <w:pBdr>
          <w:top w:val="single" w:sz="4" w:space="1" w:color="auto"/>
          <w:left w:val="single" w:sz="4" w:space="4" w:color="auto"/>
          <w:bottom w:val="single" w:sz="4" w:space="1" w:color="auto"/>
          <w:right w:val="single" w:sz="4" w:space="4" w:color="auto"/>
        </w:pBdr>
        <w:rPr>
          <w:color w:val="000000"/>
          <w:sz w:val="22"/>
          <w:szCs w:val="22"/>
        </w:rPr>
      </w:pPr>
      <w:r w:rsidRPr="008A4F40">
        <w:rPr>
          <w:b/>
          <w:color w:val="000000"/>
          <w:sz w:val="22"/>
          <w:szCs w:val="22"/>
        </w:rPr>
        <w:t>UMKARTON</w:t>
      </w:r>
    </w:p>
    <w:p w14:paraId="0C14F4F2" w14:textId="77777777" w:rsidR="00AB6D5E" w:rsidRPr="008A4F40" w:rsidRDefault="00AB6D5E" w:rsidP="004E7659">
      <w:pPr>
        <w:ind w:left="-142" w:firstLine="142"/>
        <w:rPr>
          <w:color w:val="000000"/>
          <w:sz w:val="22"/>
          <w:szCs w:val="22"/>
        </w:rPr>
      </w:pPr>
    </w:p>
    <w:p w14:paraId="1B05ACB3" w14:textId="77777777" w:rsidR="00AB6D5E" w:rsidRPr="008A4F40" w:rsidRDefault="00AB6D5E" w:rsidP="004E7659">
      <w:pPr>
        <w:ind w:left="-142" w:firstLine="142"/>
        <w:rPr>
          <w:color w:val="000000"/>
          <w:sz w:val="22"/>
          <w:szCs w:val="22"/>
        </w:rPr>
      </w:pPr>
    </w:p>
    <w:p w14:paraId="43BF1F20"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w:t>
      </w:r>
      <w:r w:rsidRPr="008A4F40">
        <w:rPr>
          <w:b/>
          <w:color w:val="000000"/>
          <w:sz w:val="22"/>
          <w:szCs w:val="22"/>
        </w:rPr>
        <w:tab/>
        <w:t xml:space="preserve">BEZEICHNUNG </w:t>
      </w:r>
      <w:smartTag w:uri="urn:schemas-microsoft-com:office:smarttags" w:element="stockticker">
        <w:r w:rsidRPr="008A4F40">
          <w:rPr>
            <w:b/>
            <w:color w:val="000000"/>
            <w:sz w:val="22"/>
            <w:szCs w:val="22"/>
          </w:rPr>
          <w:t>DES</w:t>
        </w:r>
      </w:smartTag>
      <w:r w:rsidRPr="008A4F40">
        <w:rPr>
          <w:b/>
          <w:color w:val="000000"/>
          <w:sz w:val="22"/>
          <w:szCs w:val="22"/>
        </w:rPr>
        <w:t xml:space="preserve"> ARZNEIMITTELS</w:t>
      </w:r>
    </w:p>
    <w:p w14:paraId="1619EF23" w14:textId="77777777" w:rsidR="00AB6D5E" w:rsidRPr="008A4F40" w:rsidRDefault="00AB6D5E" w:rsidP="004E7659">
      <w:pPr>
        <w:rPr>
          <w:color w:val="000000"/>
          <w:sz w:val="22"/>
          <w:szCs w:val="22"/>
        </w:rPr>
      </w:pPr>
    </w:p>
    <w:p w14:paraId="7BF7C364" w14:textId="77777777" w:rsidR="00AB6D5E" w:rsidRPr="008A4F40" w:rsidRDefault="00AB6D5E" w:rsidP="004E7659">
      <w:pPr>
        <w:rPr>
          <w:color w:val="000000"/>
          <w:sz w:val="22"/>
          <w:szCs w:val="22"/>
        </w:rPr>
      </w:pPr>
      <w:r w:rsidRPr="008A4F40">
        <w:rPr>
          <w:color w:val="000000"/>
          <w:sz w:val="22"/>
          <w:szCs w:val="22"/>
        </w:rPr>
        <w:t>Glivec 100 mg Filmtabletten</w:t>
      </w:r>
    </w:p>
    <w:p w14:paraId="6B0FBD93" w14:textId="77777777" w:rsidR="00AB6D5E" w:rsidRPr="008A4F40" w:rsidRDefault="00AB6D5E" w:rsidP="004E7659">
      <w:pPr>
        <w:rPr>
          <w:color w:val="000000"/>
          <w:sz w:val="22"/>
          <w:szCs w:val="22"/>
        </w:rPr>
      </w:pPr>
      <w:r w:rsidRPr="008A4F40">
        <w:rPr>
          <w:color w:val="000000"/>
          <w:sz w:val="22"/>
          <w:szCs w:val="22"/>
        </w:rPr>
        <w:t>Imatinib</w:t>
      </w:r>
    </w:p>
    <w:p w14:paraId="55E8A01F" w14:textId="77777777" w:rsidR="00AB6D5E" w:rsidRPr="008A4F40" w:rsidRDefault="00AB6D5E" w:rsidP="004E7659">
      <w:pPr>
        <w:rPr>
          <w:color w:val="000000"/>
          <w:sz w:val="22"/>
          <w:szCs w:val="22"/>
          <w:u w:val="single"/>
        </w:rPr>
      </w:pPr>
    </w:p>
    <w:p w14:paraId="58539882" w14:textId="77777777" w:rsidR="00AB6D5E" w:rsidRPr="008A4F40" w:rsidRDefault="00AB6D5E" w:rsidP="004E7659">
      <w:pPr>
        <w:rPr>
          <w:color w:val="000000"/>
          <w:sz w:val="22"/>
          <w:szCs w:val="22"/>
          <w:u w:val="single"/>
        </w:rPr>
      </w:pPr>
    </w:p>
    <w:p w14:paraId="1A0E8580"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2.</w:t>
      </w:r>
      <w:r w:rsidRPr="008A4F40">
        <w:rPr>
          <w:b/>
          <w:color w:val="000000"/>
          <w:sz w:val="22"/>
          <w:szCs w:val="22"/>
        </w:rPr>
        <w:tab/>
        <w:t>WIRKSTOFF(E)</w:t>
      </w:r>
    </w:p>
    <w:p w14:paraId="3A2443E9" w14:textId="77777777" w:rsidR="00AB6D5E" w:rsidRPr="008A4F40" w:rsidRDefault="00AB6D5E" w:rsidP="004E7659">
      <w:pPr>
        <w:rPr>
          <w:color w:val="000000"/>
          <w:sz w:val="22"/>
          <w:szCs w:val="22"/>
        </w:rPr>
      </w:pPr>
    </w:p>
    <w:p w14:paraId="1C4E1544" w14:textId="77777777" w:rsidR="00AB6D5E" w:rsidRPr="008A4F40" w:rsidRDefault="00AB6D5E" w:rsidP="004E7659">
      <w:pPr>
        <w:rPr>
          <w:color w:val="000000"/>
          <w:sz w:val="22"/>
          <w:szCs w:val="22"/>
        </w:rPr>
      </w:pPr>
      <w:r w:rsidRPr="008A4F40">
        <w:rPr>
          <w:color w:val="000000"/>
          <w:sz w:val="22"/>
          <w:szCs w:val="22"/>
        </w:rPr>
        <w:t>Jede Filmtablette enthält 100 mg Imatinib (als Mesilat).</w:t>
      </w:r>
    </w:p>
    <w:p w14:paraId="7A92A073" w14:textId="77777777" w:rsidR="00AB6D5E" w:rsidRPr="008A4F40" w:rsidRDefault="00AB6D5E" w:rsidP="004E7659">
      <w:pPr>
        <w:rPr>
          <w:color w:val="000000"/>
          <w:sz w:val="22"/>
          <w:szCs w:val="22"/>
        </w:rPr>
      </w:pPr>
    </w:p>
    <w:p w14:paraId="6622584E" w14:textId="77777777" w:rsidR="00AB6D5E" w:rsidRPr="008A4F40" w:rsidRDefault="00AB6D5E" w:rsidP="004E7659">
      <w:pPr>
        <w:rPr>
          <w:color w:val="000000"/>
          <w:sz w:val="22"/>
          <w:szCs w:val="22"/>
        </w:rPr>
      </w:pPr>
    </w:p>
    <w:p w14:paraId="4EA2A457"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3.</w:t>
      </w:r>
      <w:r w:rsidRPr="008A4F40">
        <w:rPr>
          <w:b/>
          <w:color w:val="000000"/>
          <w:sz w:val="22"/>
          <w:szCs w:val="22"/>
        </w:rPr>
        <w:tab/>
        <w:t>SONSTIGE BESTANDTEILE</w:t>
      </w:r>
    </w:p>
    <w:p w14:paraId="50878F0C" w14:textId="77777777" w:rsidR="00AB6D5E" w:rsidRPr="008A4F40" w:rsidRDefault="00AB6D5E" w:rsidP="004E7659">
      <w:pPr>
        <w:rPr>
          <w:color w:val="000000"/>
          <w:sz w:val="22"/>
          <w:szCs w:val="22"/>
        </w:rPr>
      </w:pPr>
    </w:p>
    <w:p w14:paraId="7B879958" w14:textId="77777777" w:rsidR="00AB6D5E" w:rsidRPr="008A4F40" w:rsidRDefault="00AB6D5E" w:rsidP="004E7659">
      <w:pPr>
        <w:rPr>
          <w:color w:val="000000"/>
          <w:sz w:val="22"/>
          <w:szCs w:val="22"/>
        </w:rPr>
      </w:pPr>
    </w:p>
    <w:p w14:paraId="1C12CAF1"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4.</w:t>
      </w:r>
      <w:r w:rsidRPr="008A4F40">
        <w:rPr>
          <w:b/>
          <w:color w:val="000000"/>
          <w:sz w:val="22"/>
          <w:szCs w:val="22"/>
        </w:rPr>
        <w:tab/>
        <w:t>DARREICHUNGSFORM UND INHALT</w:t>
      </w:r>
    </w:p>
    <w:p w14:paraId="180050B3" w14:textId="77777777" w:rsidR="00AB6D5E" w:rsidRPr="008A4F40" w:rsidRDefault="00AB6D5E" w:rsidP="004E7659">
      <w:pPr>
        <w:rPr>
          <w:color w:val="000000"/>
          <w:sz w:val="22"/>
          <w:szCs w:val="22"/>
        </w:rPr>
      </w:pPr>
    </w:p>
    <w:p w14:paraId="5F24B200" w14:textId="77777777" w:rsidR="00AB6D5E" w:rsidRPr="008A4F40" w:rsidRDefault="00AB6D5E" w:rsidP="004E7659">
      <w:pPr>
        <w:rPr>
          <w:color w:val="000000"/>
          <w:sz w:val="22"/>
          <w:szCs w:val="22"/>
        </w:rPr>
      </w:pPr>
      <w:r w:rsidRPr="008A4F40">
        <w:rPr>
          <w:color w:val="000000"/>
          <w:sz w:val="22"/>
          <w:szCs w:val="22"/>
        </w:rPr>
        <w:t>20 Filmtabletten</w:t>
      </w:r>
    </w:p>
    <w:p w14:paraId="1DCD9513" w14:textId="77777777" w:rsidR="00AB6D5E" w:rsidRPr="008A4F40" w:rsidRDefault="00AB6D5E" w:rsidP="004E7659">
      <w:pPr>
        <w:rPr>
          <w:color w:val="000000"/>
          <w:sz w:val="22"/>
          <w:szCs w:val="22"/>
          <w:shd w:val="clear" w:color="auto" w:fill="D9D9D9"/>
        </w:rPr>
      </w:pPr>
      <w:r w:rsidRPr="008A4F40">
        <w:rPr>
          <w:color w:val="000000"/>
          <w:sz w:val="22"/>
          <w:szCs w:val="22"/>
          <w:shd w:val="clear" w:color="auto" w:fill="D9D9D9"/>
        </w:rPr>
        <w:t>60 Filmtabletten</w:t>
      </w:r>
    </w:p>
    <w:p w14:paraId="72DCC308" w14:textId="77777777" w:rsidR="00AB6D5E" w:rsidRPr="008A4F40" w:rsidRDefault="00AB6D5E" w:rsidP="004E7659">
      <w:pPr>
        <w:rPr>
          <w:color w:val="000000"/>
          <w:sz w:val="22"/>
          <w:szCs w:val="22"/>
          <w:shd w:val="clear" w:color="auto" w:fill="D9D9D9"/>
        </w:rPr>
      </w:pPr>
      <w:r w:rsidRPr="008A4F40">
        <w:rPr>
          <w:color w:val="000000"/>
          <w:sz w:val="22"/>
          <w:szCs w:val="22"/>
          <w:shd w:val="clear" w:color="auto" w:fill="D9D9D9"/>
        </w:rPr>
        <w:t>120 Filmtabletten</w:t>
      </w:r>
    </w:p>
    <w:p w14:paraId="1A32EE8A" w14:textId="77777777" w:rsidR="00AB6D5E" w:rsidRPr="008A4F40" w:rsidRDefault="00AB6D5E" w:rsidP="004E7659">
      <w:pPr>
        <w:rPr>
          <w:color w:val="000000"/>
          <w:sz w:val="22"/>
          <w:szCs w:val="22"/>
          <w:shd w:val="clear" w:color="auto" w:fill="D9D9D9"/>
        </w:rPr>
      </w:pPr>
      <w:r w:rsidRPr="008A4F40">
        <w:rPr>
          <w:color w:val="000000"/>
          <w:sz w:val="22"/>
          <w:szCs w:val="22"/>
          <w:shd w:val="clear" w:color="auto" w:fill="D9D9D9"/>
        </w:rPr>
        <w:t>180 Filmtabletten</w:t>
      </w:r>
    </w:p>
    <w:p w14:paraId="2EF5D583" w14:textId="77777777" w:rsidR="00AB6D5E" w:rsidRPr="008A4F40" w:rsidRDefault="00AB6D5E" w:rsidP="004E7659">
      <w:pPr>
        <w:rPr>
          <w:color w:val="000000"/>
          <w:sz w:val="22"/>
          <w:szCs w:val="22"/>
        </w:rPr>
      </w:pPr>
    </w:p>
    <w:p w14:paraId="280CD0F7" w14:textId="77777777" w:rsidR="00AB6D5E" w:rsidRPr="008A4F40" w:rsidRDefault="00AB6D5E" w:rsidP="004E7659">
      <w:pPr>
        <w:rPr>
          <w:color w:val="000000"/>
          <w:sz w:val="22"/>
          <w:szCs w:val="22"/>
        </w:rPr>
      </w:pPr>
    </w:p>
    <w:p w14:paraId="0EB96D6C"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5.</w:t>
      </w:r>
      <w:r w:rsidRPr="008A4F40">
        <w:rPr>
          <w:b/>
          <w:color w:val="000000"/>
          <w:sz w:val="22"/>
          <w:szCs w:val="22"/>
        </w:rPr>
        <w:tab/>
        <w:t xml:space="preserve">HINWEISE ZUR UND </w:t>
      </w:r>
      <w:smartTag w:uri="urn:schemas-microsoft-com:office:smarttags" w:element="stockticker">
        <w:r w:rsidRPr="008A4F40">
          <w:rPr>
            <w:b/>
            <w:color w:val="000000"/>
            <w:sz w:val="22"/>
            <w:szCs w:val="22"/>
          </w:rPr>
          <w:t>ART</w:t>
        </w:r>
      </w:smartTag>
      <w:r w:rsidRPr="008A4F40">
        <w:rPr>
          <w:b/>
          <w:color w:val="000000"/>
          <w:sz w:val="22"/>
          <w:szCs w:val="22"/>
        </w:rPr>
        <w:t xml:space="preserve">(EN) </w:t>
      </w:r>
      <w:smartTag w:uri="urn:schemas-microsoft-com:office:smarttags" w:element="stockticker">
        <w:r w:rsidRPr="008A4F40">
          <w:rPr>
            <w:b/>
            <w:color w:val="000000"/>
            <w:sz w:val="22"/>
            <w:szCs w:val="22"/>
          </w:rPr>
          <w:t>DER</w:t>
        </w:r>
      </w:smartTag>
      <w:r w:rsidRPr="008A4F40">
        <w:rPr>
          <w:b/>
          <w:color w:val="000000"/>
          <w:sz w:val="22"/>
          <w:szCs w:val="22"/>
        </w:rPr>
        <w:t xml:space="preserve"> ANWENDUNG</w:t>
      </w:r>
    </w:p>
    <w:p w14:paraId="7AA78BF7" w14:textId="77777777" w:rsidR="00AB6D5E" w:rsidRPr="008A4F40" w:rsidRDefault="00AB6D5E" w:rsidP="004E7659">
      <w:pPr>
        <w:rPr>
          <w:color w:val="000000"/>
          <w:sz w:val="22"/>
          <w:szCs w:val="22"/>
        </w:rPr>
      </w:pPr>
    </w:p>
    <w:p w14:paraId="08B18ABB" w14:textId="77777777" w:rsidR="00AB6D5E" w:rsidRPr="008A4F40" w:rsidRDefault="00AB6D5E" w:rsidP="004E7659">
      <w:pPr>
        <w:rPr>
          <w:color w:val="000000"/>
          <w:sz w:val="22"/>
          <w:szCs w:val="22"/>
        </w:rPr>
      </w:pPr>
      <w:r w:rsidRPr="008A4F40">
        <w:rPr>
          <w:color w:val="000000"/>
          <w:sz w:val="22"/>
          <w:szCs w:val="22"/>
        </w:rPr>
        <w:t>Zum Einnehmen. Packungsbeilage beachten.</w:t>
      </w:r>
    </w:p>
    <w:p w14:paraId="1E23CF20" w14:textId="77777777" w:rsidR="00AB6D5E" w:rsidRPr="008A4F40" w:rsidRDefault="00AB6D5E" w:rsidP="004E7659">
      <w:pPr>
        <w:rPr>
          <w:color w:val="000000"/>
          <w:sz w:val="22"/>
          <w:szCs w:val="22"/>
        </w:rPr>
      </w:pPr>
    </w:p>
    <w:p w14:paraId="5ECDB206" w14:textId="77777777" w:rsidR="00AB6D5E" w:rsidRPr="008A4F40" w:rsidRDefault="00AB6D5E" w:rsidP="004E7659">
      <w:pPr>
        <w:rPr>
          <w:color w:val="000000"/>
          <w:sz w:val="22"/>
          <w:szCs w:val="22"/>
        </w:rPr>
      </w:pPr>
    </w:p>
    <w:p w14:paraId="14338140"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6.</w:t>
      </w:r>
      <w:r w:rsidRPr="008A4F40">
        <w:rPr>
          <w:b/>
          <w:color w:val="000000"/>
          <w:sz w:val="22"/>
          <w:szCs w:val="22"/>
        </w:rPr>
        <w:tab/>
        <w:t xml:space="preserve">WARNHINWEIS, DASS DAS ARZNEIMITTEL FÜR KINDER </w:t>
      </w:r>
      <w:r w:rsidR="00FE1A89" w:rsidRPr="008A4F40">
        <w:rPr>
          <w:b/>
          <w:sz w:val="22"/>
          <w:szCs w:val="22"/>
        </w:rPr>
        <w:t xml:space="preserve">UNZUGÄNGLICH </w:t>
      </w:r>
      <w:r w:rsidRPr="008A4F40">
        <w:rPr>
          <w:b/>
          <w:color w:val="000000"/>
          <w:sz w:val="22"/>
          <w:szCs w:val="22"/>
        </w:rPr>
        <w:t>AUFZUBEWAHREN IST</w:t>
      </w:r>
    </w:p>
    <w:p w14:paraId="16F22B66" w14:textId="77777777" w:rsidR="00AB6D5E" w:rsidRPr="008A4F40" w:rsidRDefault="00AB6D5E" w:rsidP="004E7659">
      <w:pPr>
        <w:rPr>
          <w:color w:val="000000"/>
          <w:sz w:val="22"/>
          <w:szCs w:val="22"/>
        </w:rPr>
      </w:pPr>
    </w:p>
    <w:p w14:paraId="6377B5E7" w14:textId="77777777" w:rsidR="00AB6D5E" w:rsidRPr="00A24EE4" w:rsidRDefault="00AB6D5E" w:rsidP="004E7659">
      <w:pPr>
        <w:rPr>
          <w:sz w:val="22"/>
          <w:szCs w:val="22"/>
        </w:rPr>
      </w:pPr>
      <w:r w:rsidRPr="00A24EE4">
        <w:rPr>
          <w:sz w:val="22"/>
          <w:szCs w:val="22"/>
        </w:rPr>
        <w:t>Arzneimittel für Kinder unzugänglich aufbewahren.</w:t>
      </w:r>
    </w:p>
    <w:p w14:paraId="028A548F" w14:textId="77777777" w:rsidR="00AB6D5E" w:rsidRPr="008A4F40" w:rsidRDefault="00AB6D5E" w:rsidP="004E7659">
      <w:pPr>
        <w:rPr>
          <w:color w:val="000000"/>
          <w:sz w:val="22"/>
          <w:szCs w:val="22"/>
        </w:rPr>
      </w:pPr>
    </w:p>
    <w:p w14:paraId="0FDAAC2C" w14:textId="77777777" w:rsidR="00AB6D5E" w:rsidRPr="008A4F40" w:rsidRDefault="00AB6D5E" w:rsidP="004E7659">
      <w:pPr>
        <w:rPr>
          <w:color w:val="000000"/>
          <w:sz w:val="22"/>
          <w:szCs w:val="22"/>
        </w:rPr>
      </w:pPr>
    </w:p>
    <w:p w14:paraId="530BCCA2"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7.</w:t>
      </w:r>
      <w:r w:rsidRPr="008A4F40">
        <w:rPr>
          <w:b/>
          <w:color w:val="000000"/>
          <w:sz w:val="22"/>
          <w:szCs w:val="22"/>
        </w:rPr>
        <w:tab/>
        <w:t>WEITERE WARNHINWEISE, FALLS ERFORDERLICH</w:t>
      </w:r>
    </w:p>
    <w:p w14:paraId="06B6399F" w14:textId="77777777" w:rsidR="00AB6D5E" w:rsidRPr="008A4F40" w:rsidRDefault="00AB6D5E" w:rsidP="004E7659">
      <w:pPr>
        <w:rPr>
          <w:color w:val="000000"/>
          <w:sz w:val="22"/>
          <w:szCs w:val="22"/>
        </w:rPr>
      </w:pPr>
    </w:p>
    <w:p w14:paraId="17CD4947" w14:textId="77777777" w:rsidR="00AB6D5E" w:rsidRPr="008A4F40" w:rsidRDefault="00AB6D5E" w:rsidP="004E7659">
      <w:pPr>
        <w:rPr>
          <w:color w:val="000000"/>
          <w:sz w:val="22"/>
          <w:szCs w:val="22"/>
        </w:rPr>
      </w:pPr>
      <w:r w:rsidRPr="008A4F40">
        <w:rPr>
          <w:color w:val="000000"/>
          <w:sz w:val="22"/>
          <w:szCs w:val="22"/>
        </w:rPr>
        <w:t>Nur nach Anweisung des Arztes anwenden.</w:t>
      </w:r>
    </w:p>
    <w:p w14:paraId="3980EB54" w14:textId="77777777" w:rsidR="00AB6D5E" w:rsidRPr="008A4F40" w:rsidRDefault="00AB6D5E" w:rsidP="004E7659">
      <w:pPr>
        <w:rPr>
          <w:color w:val="000000"/>
          <w:sz w:val="22"/>
          <w:szCs w:val="22"/>
        </w:rPr>
      </w:pPr>
    </w:p>
    <w:p w14:paraId="21D0DABF" w14:textId="77777777" w:rsidR="00AB6D5E" w:rsidRPr="008A4F40" w:rsidRDefault="00AB6D5E" w:rsidP="004E7659">
      <w:pPr>
        <w:rPr>
          <w:color w:val="000000"/>
          <w:sz w:val="22"/>
          <w:szCs w:val="22"/>
        </w:rPr>
      </w:pPr>
    </w:p>
    <w:p w14:paraId="64649412"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8.</w:t>
      </w:r>
      <w:r w:rsidRPr="008A4F40">
        <w:rPr>
          <w:b/>
          <w:color w:val="000000"/>
          <w:sz w:val="22"/>
          <w:szCs w:val="22"/>
        </w:rPr>
        <w:tab/>
        <w:t>VERFALLDATUM</w:t>
      </w:r>
    </w:p>
    <w:p w14:paraId="019169B5" w14:textId="77777777" w:rsidR="00AB6D5E" w:rsidRPr="008A4F40" w:rsidRDefault="00AB6D5E" w:rsidP="004E7659">
      <w:pPr>
        <w:rPr>
          <w:color w:val="000000"/>
          <w:sz w:val="22"/>
          <w:szCs w:val="22"/>
        </w:rPr>
      </w:pPr>
    </w:p>
    <w:p w14:paraId="4290FF33" w14:textId="3315664A" w:rsidR="00AB6D5E" w:rsidRPr="008A4F40" w:rsidRDefault="00AB6D5E" w:rsidP="004E7659">
      <w:pPr>
        <w:rPr>
          <w:color w:val="000000"/>
          <w:sz w:val="22"/>
          <w:szCs w:val="22"/>
        </w:rPr>
      </w:pPr>
      <w:del w:id="899" w:author="Author">
        <w:r w:rsidRPr="008A4F40" w:rsidDel="00B2659D">
          <w:rPr>
            <w:color w:val="000000"/>
            <w:sz w:val="22"/>
            <w:szCs w:val="22"/>
          </w:rPr>
          <w:delText>V</w:delText>
        </w:r>
      </w:del>
      <w:ins w:id="900" w:author="Author">
        <w:r w:rsidR="00B2659D">
          <w:rPr>
            <w:color w:val="000000"/>
            <w:sz w:val="22"/>
            <w:szCs w:val="22"/>
          </w:rPr>
          <w:t>v</w:t>
        </w:r>
      </w:ins>
      <w:r w:rsidRPr="008A4F40">
        <w:rPr>
          <w:color w:val="000000"/>
          <w:sz w:val="22"/>
          <w:szCs w:val="22"/>
        </w:rPr>
        <w:t>erwendbar bis</w:t>
      </w:r>
    </w:p>
    <w:p w14:paraId="4F9B1514" w14:textId="77777777" w:rsidR="00AB6D5E" w:rsidRPr="008A4F40" w:rsidRDefault="00AB6D5E" w:rsidP="004E7659">
      <w:pPr>
        <w:rPr>
          <w:color w:val="000000"/>
          <w:sz w:val="22"/>
          <w:szCs w:val="22"/>
        </w:rPr>
      </w:pPr>
    </w:p>
    <w:p w14:paraId="0B84857F" w14:textId="77777777" w:rsidR="00AB6D5E" w:rsidRPr="008A4F40" w:rsidRDefault="00AB6D5E" w:rsidP="004E7659">
      <w:pPr>
        <w:rPr>
          <w:color w:val="000000"/>
          <w:sz w:val="22"/>
          <w:szCs w:val="22"/>
        </w:rPr>
      </w:pPr>
    </w:p>
    <w:p w14:paraId="76021BD2"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9.</w:t>
      </w:r>
      <w:r w:rsidRPr="008A4F40">
        <w:rPr>
          <w:b/>
          <w:color w:val="000000"/>
          <w:sz w:val="22"/>
          <w:szCs w:val="22"/>
        </w:rPr>
        <w:tab/>
        <w:t xml:space="preserve">BESONDERE </w:t>
      </w:r>
      <w:r w:rsidR="00BF10B5" w:rsidRPr="008A4F40">
        <w:rPr>
          <w:b/>
          <w:color w:val="000000"/>
          <w:sz w:val="22"/>
          <w:szCs w:val="22"/>
        </w:rPr>
        <w:t>VORSICHTSMASSNAHMEN FÜR DIE AUFBEWAHRUNG</w:t>
      </w:r>
    </w:p>
    <w:p w14:paraId="49F23A74" w14:textId="77777777" w:rsidR="00AB6D5E" w:rsidRPr="008A4F40" w:rsidRDefault="00AB6D5E" w:rsidP="004E7659">
      <w:pPr>
        <w:rPr>
          <w:color w:val="000000"/>
          <w:sz w:val="22"/>
          <w:szCs w:val="22"/>
        </w:rPr>
      </w:pPr>
    </w:p>
    <w:p w14:paraId="6CB95505" w14:textId="2D4F01BF" w:rsidR="00AB6D5E" w:rsidRPr="008A4F40" w:rsidRDefault="00AB6D5E" w:rsidP="004E7659">
      <w:pPr>
        <w:rPr>
          <w:color w:val="000000"/>
          <w:sz w:val="22"/>
          <w:szCs w:val="22"/>
        </w:rPr>
      </w:pPr>
      <w:r w:rsidRPr="008A4F40">
        <w:rPr>
          <w:color w:val="000000"/>
          <w:sz w:val="22"/>
          <w:szCs w:val="22"/>
        </w:rPr>
        <w:t>Nicht über 30</w:t>
      </w:r>
      <w:ins w:id="901" w:author="Author">
        <w:r w:rsidR="00B2659D">
          <w:rPr>
            <w:color w:val="000000"/>
            <w:sz w:val="22"/>
            <w:szCs w:val="22"/>
          </w:rPr>
          <w:t> </w:t>
        </w:r>
      </w:ins>
      <w:r w:rsidRPr="008A4F40">
        <w:rPr>
          <w:color w:val="000000"/>
          <w:sz w:val="22"/>
          <w:szCs w:val="22"/>
        </w:rPr>
        <w:t>°C lagern. In der Originalverpackung aufbewahren, um den Inhalt vor Feuchtigkeit zu schützen.</w:t>
      </w:r>
    </w:p>
    <w:p w14:paraId="1CFF9BB4" w14:textId="77777777" w:rsidR="00AB6D5E" w:rsidRPr="008A4F40" w:rsidRDefault="00AB6D5E" w:rsidP="004E7659">
      <w:pPr>
        <w:rPr>
          <w:color w:val="000000"/>
          <w:sz w:val="22"/>
          <w:szCs w:val="22"/>
        </w:rPr>
      </w:pPr>
    </w:p>
    <w:p w14:paraId="1504F7AC" w14:textId="77777777" w:rsidR="00AB6D5E" w:rsidRPr="008A4F40" w:rsidRDefault="00AB6D5E" w:rsidP="004E7659">
      <w:pPr>
        <w:rPr>
          <w:color w:val="000000"/>
          <w:sz w:val="22"/>
          <w:szCs w:val="22"/>
        </w:rPr>
      </w:pPr>
    </w:p>
    <w:p w14:paraId="7A9E4C8F"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10.</w:t>
      </w:r>
      <w:r w:rsidRPr="008A4F40">
        <w:rPr>
          <w:b/>
          <w:color w:val="000000"/>
          <w:sz w:val="22"/>
          <w:szCs w:val="22"/>
        </w:rPr>
        <w:tab/>
        <w:t>GEGEBENENFALLS BESONDERE VORSICHTSMASSNAHMEN FÜR DIE BESEITIGUNG VON NICHT VERWENDETEM ARZNEIMITTEL ODER DAVON STAMMENDEN ABFALLMATERIALIEN</w:t>
      </w:r>
    </w:p>
    <w:p w14:paraId="25EC0A4E" w14:textId="77777777" w:rsidR="00AB6D5E" w:rsidRPr="008A4F40" w:rsidRDefault="00AB6D5E" w:rsidP="004E7659">
      <w:pPr>
        <w:rPr>
          <w:color w:val="000000"/>
          <w:sz w:val="22"/>
          <w:szCs w:val="22"/>
        </w:rPr>
      </w:pPr>
    </w:p>
    <w:p w14:paraId="6B540BA7" w14:textId="77777777" w:rsidR="00AB6D5E" w:rsidRPr="008A4F40" w:rsidRDefault="00AB6D5E" w:rsidP="004E7659">
      <w:pPr>
        <w:rPr>
          <w:color w:val="000000"/>
          <w:sz w:val="22"/>
          <w:szCs w:val="22"/>
        </w:rPr>
      </w:pPr>
    </w:p>
    <w:p w14:paraId="12500426"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11.</w:t>
      </w:r>
      <w:r w:rsidRPr="008A4F40">
        <w:rPr>
          <w:b/>
          <w:color w:val="000000"/>
          <w:sz w:val="22"/>
          <w:szCs w:val="22"/>
        </w:rPr>
        <w:tab/>
        <w:t xml:space="preserve">NAME UND ANSCHRIFT </w:t>
      </w:r>
      <w:smartTag w:uri="urn:schemas-microsoft-com:office:smarttags" w:element="stockticker">
        <w:r w:rsidRPr="008A4F40">
          <w:rPr>
            <w:b/>
            <w:color w:val="000000"/>
            <w:sz w:val="22"/>
            <w:szCs w:val="22"/>
          </w:rPr>
          <w:t>DES</w:t>
        </w:r>
      </w:smartTag>
      <w:r w:rsidRPr="008A4F40">
        <w:rPr>
          <w:b/>
          <w:color w:val="000000"/>
          <w:sz w:val="22"/>
          <w:szCs w:val="22"/>
        </w:rPr>
        <w:t xml:space="preserve"> PHARMAZEUTISCHEN UNTERNEHMERS</w:t>
      </w:r>
    </w:p>
    <w:p w14:paraId="22BBF0A9" w14:textId="77777777" w:rsidR="00AB6D5E" w:rsidRPr="008A4F40" w:rsidRDefault="00AB6D5E" w:rsidP="004E7659">
      <w:pPr>
        <w:ind w:left="567" w:hanging="567"/>
        <w:rPr>
          <w:color w:val="000000"/>
          <w:sz w:val="22"/>
          <w:szCs w:val="22"/>
        </w:rPr>
      </w:pPr>
    </w:p>
    <w:p w14:paraId="1F0C487B" w14:textId="77777777" w:rsidR="00AB6D5E" w:rsidRPr="008A4F40" w:rsidRDefault="00AB6D5E" w:rsidP="004E7659">
      <w:pPr>
        <w:keepNext/>
        <w:ind w:left="567" w:hanging="567"/>
        <w:rPr>
          <w:color w:val="000000"/>
          <w:sz w:val="22"/>
          <w:szCs w:val="22"/>
          <w:lang w:val="en-US"/>
        </w:rPr>
      </w:pPr>
      <w:r w:rsidRPr="008A4F40">
        <w:rPr>
          <w:color w:val="000000"/>
          <w:sz w:val="22"/>
          <w:szCs w:val="22"/>
          <w:lang w:val="en-US"/>
        </w:rPr>
        <w:t xml:space="preserve">Novartis </w:t>
      </w:r>
      <w:proofErr w:type="spellStart"/>
      <w:r w:rsidRPr="008A4F40">
        <w:rPr>
          <w:color w:val="000000"/>
          <w:sz w:val="22"/>
          <w:szCs w:val="22"/>
          <w:lang w:val="en-US"/>
        </w:rPr>
        <w:t>Europharm</w:t>
      </w:r>
      <w:proofErr w:type="spellEnd"/>
      <w:r w:rsidRPr="008A4F40">
        <w:rPr>
          <w:color w:val="000000"/>
          <w:sz w:val="22"/>
          <w:szCs w:val="22"/>
          <w:lang w:val="en-US"/>
        </w:rPr>
        <w:t xml:space="preserve"> Limited</w:t>
      </w:r>
    </w:p>
    <w:p w14:paraId="35455C4B" w14:textId="77777777" w:rsidR="002C158B" w:rsidRPr="008A4F40" w:rsidRDefault="002C158B" w:rsidP="004E7659">
      <w:pPr>
        <w:keepNext/>
        <w:rPr>
          <w:color w:val="000000"/>
          <w:sz w:val="22"/>
          <w:szCs w:val="22"/>
          <w:lang w:val="en-US"/>
        </w:rPr>
      </w:pPr>
      <w:r w:rsidRPr="008A4F40">
        <w:rPr>
          <w:color w:val="000000"/>
          <w:sz w:val="22"/>
          <w:szCs w:val="22"/>
          <w:lang w:val="en-US"/>
        </w:rPr>
        <w:t>Vista Building</w:t>
      </w:r>
    </w:p>
    <w:p w14:paraId="40F27945" w14:textId="77777777" w:rsidR="002C158B" w:rsidRPr="008A4F40" w:rsidRDefault="002C158B" w:rsidP="004E7659">
      <w:pPr>
        <w:keepNext/>
        <w:rPr>
          <w:color w:val="000000"/>
          <w:sz w:val="22"/>
          <w:szCs w:val="22"/>
          <w:lang w:val="en-US"/>
        </w:rPr>
      </w:pPr>
      <w:r w:rsidRPr="008A4F40">
        <w:rPr>
          <w:color w:val="000000"/>
          <w:sz w:val="22"/>
          <w:szCs w:val="22"/>
          <w:lang w:val="en-US"/>
        </w:rPr>
        <w:t>Elm Park, Merrion Road</w:t>
      </w:r>
    </w:p>
    <w:p w14:paraId="3123259B" w14:textId="77777777" w:rsidR="002C158B" w:rsidRPr="008A4F40" w:rsidRDefault="002C158B" w:rsidP="004E7659">
      <w:pPr>
        <w:keepNext/>
        <w:rPr>
          <w:color w:val="000000"/>
          <w:sz w:val="22"/>
          <w:szCs w:val="22"/>
        </w:rPr>
      </w:pPr>
      <w:r w:rsidRPr="008A4F40">
        <w:rPr>
          <w:color w:val="000000"/>
          <w:sz w:val="22"/>
          <w:szCs w:val="22"/>
        </w:rPr>
        <w:t>Dublin 4</w:t>
      </w:r>
    </w:p>
    <w:p w14:paraId="2C668779" w14:textId="77777777" w:rsidR="00AB6D5E" w:rsidRPr="008A4F40" w:rsidRDefault="002C158B" w:rsidP="004E7659">
      <w:pPr>
        <w:ind w:left="567" w:hanging="567"/>
        <w:rPr>
          <w:color w:val="000000"/>
          <w:sz w:val="22"/>
          <w:szCs w:val="22"/>
        </w:rPr>
      </w:pPr>
      <w:r w:rsidRPr="008A4F40">
        <w:rPr>
          <w:color w:val="000000"/>
          <w:sz w:val="22"/>
          <w:szCs w:val="22"/>
        </w:rPr>
        <w:t>Irland</w:t>
      </w:r>
    </w:p>
    <w:p w14:paraId="7467F077" w14:textId="77777777" w:rsidR="00AB6D5E" w:rsidRPr="008A4F40" w:rsidRDefault="00AB6D5E" w:rsidP="004E7659">
      <w:pPr>
        <w:ind w:left="567" w:hanging="567"/>
        <w:rPr>
          <w:color w:val="000000"/>
          <w:sz w:val="22"/>
          <w:szCs w:val="22"/>
        </w:rPr>
      </w:pPr>
    </w:p>
    <w:p w14:paraId="5280F852" w14:textId="77777777" w:rsidR="00AB6D5E" w:rsidRPr="008A4F40" w:rsidRDefault="00AB6D5E" w:rsidP="004E7659">
      <w:pPr>
        <w:ind w:left="567" w:hanging="567"/>
        <w:rPr>
          <w:color w:val="000000"/>
          <w:sz w:val="22"/>
          <w:szCs w:val="22"/>
        </w:rPr>
      </w:pPr>
    </w:p>
    <w:p w14:paraId="38C33BA1"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12.</w:t>
      </w:r>
      <w:r w:rsidRPr="008A4F40">
        <w:rPr>
          <w:b/>
          <w:color w:val="000000"/>
          <w:sz w:val="22"/>
          <w:szCs w:val="22"/>
        </w:rPr>
        <w:tab/>
        <w:t>ZULASSUNGSNUMMER(N)</w:t>
      </w:r>
    </w:p>
    <w:p w14:paraId="34D36129" w14:textId="77777777" w:rsidR="00AB6D5E" w:rsidRPr="008A4F40" w:rsidRDefault="00AB6D5E" w:rsidP="004E7659">
      <w:pPr>
        <w:ind w:left="567" w:hanging="567"/>
        <w:rPr>
          <w:color w:val="000000"/>
          <w:sz w:val="22"/>
          <w:szCs w:val="22"/>
        </w:rPr>
      </w:pPr>
    </w:p>
    <w:p w14:paraId="2C433B49" w14:textId="77777777" w:rsidR="00AB6D5E" w:rsidRPr="008A4F40" w:rsidRDefault="00AB6D5E" w:rsidP="004E7659">
      <w:pPr>
        <w:tabs>
          <w:tab w:val="left" w:pos="2268"/>
        </w:tabs>
        <w:rPr>
          <w:color w:val="000000"/>
          <w:sz w:val="22"/>
          <w:szCs w:val="22"/>
          <w:shd w:val="clear" w:color="auto" w:fill="D9D9D9"/>
          <w:lang w:val="de-CH"/>
        </w:rPr>
      </w:pPr>
      <w:r w:rsidRPr="008A4F40">
        <w:rPr>
          <w:color w:val="000000"/>
          <w:sz w:val="22"/>
          <w:szCs w:val="22"/>
          <w:lang w:val="de-CH"/>
        </w:rPr>
        <w:t>EU/1/01/198/007</w:t>
      </w:r>
      <w:r w:rsidRPr="008A4F40">
        <w:rPr>
          <w:color w:val="000000"/>
          <w:sz w:val="22"/>
          <w:szCs w:val="22"/>
          <w:lang w:val="de-CH"/>
        </w:rPr>
        <w:tab/>
      </w:r>
      <w:r w:rsidRPr="008A4F40">
        <w:rPr>
          <w:color w:val="000000"/>
          <w:sz w:val="22"/>
          <w:szCs w:val="22"/>
          <w:shd w:val="clear" w:color="auto" w:fill="D9D9D9"/>
          <w:lang w:val="de-CH"/>
        </w:rPr>
        <w:t>20 Tabletten</w:t>
      </w:r>
      <w:r w:rsidR="00510E36" w:rsidRPr="008A4F40">
        <w:rPr>
          <w:color w:val="000000"/>
          <w:sz w:val="22"/>
          <w:szCs w:val="22"/>
          <w:shd w:val="pct15" w:color="auto" w:fill="auto"/>
          <w:lang w:val="de-CH"/>
        </w:rPr>
        <w:t xml:space="preserve"> (</w:t>
      </w:r>
      <w:r w:rsidR="00510E36" w:rsidRPr="008A4F40">
        <w:rPr>
          <w:color w:val="000000"/>
          <w:sz w:val="22"/>
          <w:szCs w:val="22"/>
          <w:shd w:val="pct15" w:color="auto" w:fill="auto"/>
        </w:rPr>
        <w:t>PVC/Aluminium-Blisterpackungen)</w:t>
      </w:r>
    </w:p>
    <w:p w14:paraId="2A462DBF" w14:textId="77777777" w:rsidR="00AB6D5E" w:rsidRPr="008A4F40" w:rsidRDefault="00AB6D5E" w:rsidP="004E7659">
      <w:pPr>
        <w:tabs>
          <w:tab w:val="left" w:pos="2268"/>
        </w:tabs>
        <w:rPr>
          <w:color w:val="000000"/>
          <w:sz w:val="22"/>
          <w:szCs w:val="22"/>
          <w:shd w:val="clear" w:color="auto" w:fill="D9D9D9"/>
          <w:lang w:val="de-CH"/>
        </w:rPr>
      </w:pPr>
      <w:r w:rsidRPr="008A4F40">
        <w:rPr>
          <w:color w:val="000000"/>
          <w:sz w:val="22"/>
          <w:szCs w:val="22"/>
          <w:shd w:val="clear" w:color="auto" w:fill="D9D9D9"/>
          <w:lang w:val="de-CH"/>
        </w:rPr>
        <w:t>EU/1/01/198/008</w:t>
      </w:r>
      <w:r w:rsidRPr="008A4F40">
        <w:rPr>
          <w:color w:val="000000"/>
          <w:sz w:val="22"/>
          <w:szCs w:val="22"/>
          <w:shd w:val="clear" w:color="auto" w:fill="D9D9D9"/>
          <w:lang w:val="de-CH"/>
        </w:rPr>
        <w:tab/>
        <w:t>60 Tabletten</w:t>
      </w:r>
      <w:r w:rsidR="00510E36" w:rsidRPr="008A4F40">
        <w:rPr>
          <w:color w:val="000000"/>
          <w:sz w:val="22"/>
          <w:szCs w:val="22"/>
          <w:shd w:val="pct15" w:color="auto" w:fill="auto"/>
          <w:lang w:val="de-CH"/>
        </w:rPr>
        <w:t xml:space="preserve"> (</w:t>
      </w:r>
      <w:r w:rsidR="00510E36" w:rsidRPr="008A4F40">
        <w:rPr>
          <w:color w:val="000000"/>
          <w:sz w:val="22"/>
          <w:szCs w:val="22"/>
          <w:shd w:val="pct15" w:color="auto" w:fill="auto"/>
        </w:rPr>
        <w:t>PVC/Aluminium-Blisterpackungen)</w:t>
      </w:r>
    </w:p>
    <w:p w14:paraId="6155C423" w14:textId="77777777" w:rsidR="00AB6D5E" w:rsidRPr="008A4F40" w:rsidRDefault="00AB6D5E" w:rsidP="004E7659">
      <w:pPr>
        <w:tabs>
          <w:tab w:val="left" w:pos="2268"/>
        </w:tabs>
        <w:rPr>
          <w:color w:val="000000"/>
          <w:sz w:val="22"/>
          <w:szCs w:val="22"/>
          <w:shd w:val="clear" w:color="auto" w:fill="D9D9D9"/>
          <w:lang w:val="de-CH"/>
        </w:rPr>
      </w:pPr>
      <w:r w:rsidRPr="008A4F40">
        <w:rPr>
          <w:color w:val="000000"/>
          <w:sz w:val="22"/>
          <w:szCs w:val="22"/>
          <w:shd w:val="clear" w:color="auto" w:fill="D9D9D9"/>
          <w:lang w:val="de-CH"/>
        </w:rPr>
        <w:t>EU/1/01/198/011</w:t>
      </w:r>
      <w:r w:rsidRPr="008A4F40">
        <w:rPr>
          <w:color w:val="000000"/>
          <w:sz w:val="22"/>
          <w:szCs w:val="22"/>
          <w:shd w:val="clear" w:color="auto" w:fill="D9D9D9"/>
          <w:lang w:val="de-CH"/>
        </w:rPr>
        <w:tab/>
        <w:t>120 Tabletten</w:t>
      </w:r>
      <w:r w:rsidR="00510E36" w:rsidRPr="008A4F40">
        <w:rPr>
          <w:color w:val="000000"/>
          <w:sz w:val="22"/>
          <w:szCs w:val="22"/>
          <w:shd w:val="pct15" w:color="auto" w:fill="auto"/>
          <w:lang w:val="de-CH"/>
        </w:rPr>
        <w:t xml:space="preserve"> (</w:t>
      </w:r>
      <w:r w:rsidR="00510E36" w:rsidRPr="008A4F40">
        <w:rPr>
          <w:color w:val="000000"/>
          <w:sz w:val="22"/>
          <w:szCs w:val="22"/>
          <w:shd w:val="pct15" w:color="auto" w:fill="auto"/>
        </w:rPr>
        <w:t>PVC/Aluminium-Blisterpackungen)</w:t>
      </w:r>
    </w:p>
    <w:p w14:paraId="3252650E" w14:textId="77777777" w:rsidR="00AB6D5E" w:rsidRPr="008A4F40" w:rsidRDefault="00AB6D5E" w:rsidP="004E7659">
      <w:pPr>
        <w:tabs>
          <w:tab w:val="left" w:pos="2268"/>
        </w:tabs>
        <w:rPr>
          <w:color w:val="000000"/>
          <w:sz w:val="22"/>
          <w:szCs w:val="22"/>
          <w:shd w:val="clear" w:color="auto" w:fill="D9D9D9"/>
        </w:rPr>
      </w:pPr>
      <w:r w:rsidRPr="008A4F40">
        <w:rPr>
          <w:color w:val="000000"/>
          <w:sz w:val="22"/>
          <w:szCs w:val="22"/>
          <w:shd w:val="clear" w:color="auto" w:fill="D9D9D9"/>
          <w:lang w:val="de-CH"/>
        </w:rPr>
        <w:t>EU/1/01/198/012</w:t>
      </w:r>
      <w:r w:rsidRPr="008A4F40">
        <w:rPr>
          <w:color w:val="000000"/>
          <w:sz w:val="22"/>
          <w:szCs w:val="22"/>
          <w:shd w:val="clear" w:color="auto" w:fill="D9D9D9"/>
          <w:lang w:val="de-CH"/>
        </w:rPr>
        <w:tab/>
      </w:r>
      <w:r w:rsidRPr="008A4F40">
        <w:rPr>
          <w:color w:val="000000"/>
          <w:sz w:val="22"/>
          <w:szCs w:val="22"/>
          <w:shd w:val="clear" w:color="auto" w:fill="D9D9D9"/>
        </w:rPr>
        <w:t>180 Tabletten</w:t>
      </w:r>
      <w:r w:rsidR="00510E36" w:rsidRPr="008A4F40">
        <w:rPr>
          <w:color w:val="000000"/>
          <w:sz w:val="22"/>
          <w:szCs w:val="22"/>
          <w:shd w:val="pct15" w:color="auto" w:fill="auto"/>
          <w:lang w:val="de-CH"/>
        </w:rPr>
        <w:t xml:space="preserve"> (</w:t>
      </w:r>
      <w:r w:rsidR="00510E36" w:rsidRPr="008A4F40">
        <w:rPr>
          <w:color w:val="000000"/>
          <w:sz w:val="22"/>
          <w:szCs w:val="22"/>
          <w:shd w:val="pct15" w:color="auto" w:fill="auto"/>
        </w:rPr>
        <w:t>PVC/Aluminium-Blisterpackungen)</w:t>
      </w:r>
    </w:p>
    <w:p w14:paraId="1DFBAAF8" w14:textId="77777777" w:rsidR="00510E36" w:rsidRPr="008A4F40" w:rsidRDefault="00510E36" w:rsidP="004E7659">
      <w:pPr>
        <w:pStyle w:val="Header"/>
        <w:tabs>
          <w:tab w:val="clear" w:pos="4320"/>
          <w:tab w:val="clear" w:pos="8640"/>
        </w:tabs>
        <w:ind w:left="2268" w:hanging="2268"/>
        <w:rPr>
          <w:color w:val="000000"/>
          <w:szCs w:val="22"/>
          <w:shd w:val="pct15" w:color="auto" w:fill="auto"/>
        </w:rPr>
      </w:pPr>
      <w:r w:rsidRPr="008A4F40">
        <w:rPr>
          <w:color w:val="000000"/>
          <w:szCs w:val="22"/>
          <w:shd w:val="pct15" w:color="auto" w:fill="auto"/>
        </w:rPr>
        <w:t>EU/1/01/198/01</w:t>
      </w:r>
      <w:r w:rsidR="00EC09FB" w:rsidRPr="008A4F40">
        <w:rPr>
          <w:color w:val="000000"/>
          <w:szCs w:val="22"/>
          <w:shd w:val="pct15" w:color="auto" w:fill="auto"/>
        </w:rPr>
        <w:t>4</w:t>
      </w:r>
      <w:r w:rsidRPr="008A4F40">
        <w:rPr>
          <w:color w:val="000000"/>
          <w:szCs w:val="22"/>
          <w:shd w:val="pct15" w:color="auto" w:fill="auto"/>
        </w:rPr>
        <w:tab/>
      </w:r>
      <w:r w:rsidR="00EC09FB" w:rsidRPr="008A4F40">
        <w:rPr>
          <w:color w:val="000000"/>
          <w:szCs w:val="22"/>
          <w:shd w:val="pct15" w:color="auto" w:fill="auto"/>
        </w:rPr>
        <w:t>6</w:t>
      </w:r>
      <w:r w:rsidRPr="008A4F40">
        <w:rPr>
          <w:color w:val="000000"/>
          <w:szCs w:val="22"/>
          <w:shd w:val="pct15" w:color="auto" w:fill="auto"/>
          <w:lang w:val="de-CH"/>
        </w:rPr>
        <w:t>0 Tabletten (</w:t>
      </w:r>
      <w:r w:rsidRPr="008A4F40">
        <w:rPr>
          <w:color w:val="000000"/>
          <w:szCs w:val="22"/>
          <w:shd w:val="pct15" w:color="auto" w:fill="auto"/>
        </w:rPr>
        <w:t>PVDC/Aluminium-Blisterpackungen)</w:t>
      </w:r>
    </w:p>
    <w:p w14:paraId="5ADAC09D" w14:textId="77777777" w:rsidR="00510E36" w:rsidRPr="008A4F40" w:rsidRDefault="00510E36" w:rsidP="004E7659">
      <w:pPr>
        <w:pStyle w:val="Header"/>
        <w:tabs>
          <w:tab w:val="clear" w:pos="4320"/>
          <w:tab w:val="clear" w:pos="8640"/>
        </w:tabs>
        <w:ind w:left="2268" w:hanging="2268"/>
        <w:rPr>
          <w:color w:val="000000"/>
          <w:szCs w:val="22"/>
          <w:shd w:val="pct15" w:color="auto" w:fill="auto"/>
        </w:rPr>
      </w:pPr>
      <w:r w:rsidRPr="008A4F40">
        <w:rPr>
          <w:color w:val="000000"/>
          <w:szCs w:val="22"/>
          <w:shd w:val="pct15" w:color="auto" w:fill="auto"/>
        </w:rPr>
        <w:t>EU/1/01/198/01</w:t>
      </w:r>
      <w:r w:rsidR="00EC09FB" w:rsidRPr="008A4F40">
        <w:rPr>
          <w:color w:val="000000"/>
          <w:szCs w:val="22"/>
          <w:shd w:val="pct15" w:color="auto" w:fill="auto"/>
        </w:rPr>
        <w:t>5</w:t>
      </w:r>
      <w:r w:rsidRPr="008A4F40">
        <w:rPr>
          <w:color w:val="000000"/>
          <w:szCs w:val="22"/>
          <w:shd w:val="pct15" w:color="auto" w:fill="auto"/>
        </w:rPr>
        <w:tab/>
        <w:t>1</w:t>
      </w:r>
      <w:r w:rsidR="00EC09FB" w:rsidRPr="008A4F40">
        <w:rPr>
          <w:color w:val="000000"/>
          <w:szCs w:val="22"/>
          <w:shd w:val="pct15" w:color="auto" w:fill="auto"/>
        </w:rPr>
        <w:t>2</w:t>
      </w:r>
      <w:r w:rsidRPr="008A4F40">
        <w:rPr>
          <w:color w:val="000000"/>
          <w:szCs w:val="22"/>
          <w:shd w:val="pct15" w:color="auto" w:fill="auto"/>
        </w:rPr>
        <w:t>0 Tabletten</w:t>
      </w:r>
      <w:r w:rsidRPr="008A4F40">
        <w:rPr>
          <w:color w:val="000000"/>
          <w:szCs w:val="22"/>
          <w:shd w:val="pct15" w:color="auto" w:fill="auto"/>
          <w:lang w:val="de-CH"/>
        </w:rPr>
        <w:t xml:space="preserve"> (</w:t>
      </w:r>
      <w:r w:rsidRPr="008A4F40">
        <w:rPr>
          <w:color w:val="000000"/>
          <w:szCs w:val="22"/>
          <w:shd w:val="pct15" w:color="auto" w:fill="auto"/>
        </w:rPr>
        <w:t>PVDC/Aluminium-Blisterpackungen)</w:t>
      </w:r>
    </w:p>
    <w:p w14:paraId="151C1CAE" w14:textId="77777777" w:rsidR="00F64E85" w:rsidRPr="008A4F40" w:rsidRDefault="00F64E85" w:rsidP="004E7659">
      <w:pPr>
        <w:tabs>
          <w:tab w:val="left" w:pos="2268"/>
        </w:tabs>
        <w:rPr>
          <w:color w:val="000000"/>
          <w:sz w:val="22"/>
          <w:szCs w:val="22"/>
          <w:shd w:val="clear" w:color="auto" w:fill="D9D9D9"/>
          <w:lang w:val="de-CH"/>
        </w:rPr>
      </w:pPr>
      <w:r w:rsidRPr="008A4F40">
        <w:rPr>
          <w:color w:val="000000"/>
          <w:sz w:val="22"/>
          <w:szCs w:val="22"/>
          <w:shd w:val="clear" w:color="auto" w:fill="D9D9D9"/>
        </w:rPr>
        <w:t>EU/1/01/198/01</w:t>
      </w:r>
      <w:r w:rsidR="00EC09FB" w:rsidRPr="008A4F40">
        <w:rPr>
          <w:color w:val="000000"/>
          <w:sz w:val="22"/>
          <w:szCs w:val="22"/>
          <w:shd w:val="clear" w:color="auto" w:fill="D9D9D9"/>
        </w:rPr>
        <w:t>6</w:t>
      </w:r>
      <w:r w:rsidRPr="008A4F40">
        <w:rPr>
          <w:color w:val="000000"/>
          <w:sz w:val="22"/>
          <w:szCs w:val="22"/>
          <w:shd w:val="clear" w:color="auto" w:fill="D9D9D9"/>
        </w:rPr>
        <w:tab/>
      </w:r>
      <w:r w:rsidR="00EC09FB" w:rsidRPr="008A4F40">
        <w:rPr>
          <w:color w:val="000000"/>
          <w:sz w:val="22"/>
          <w:szCs w:val="22"/>
          <w:shd w:val="clear" w:color="auto" w:fill="D9D9D9"/>
        </w:rPr>
        <w:t>18</w:t>
      </w:r>
      <w:r w:rsidRPr="008A4F40">
        <w:rPr>
          <w:color w:val="000000"/>
          <w:sz w:val="22"/>
          <w:szCs w:val="22"/>
          <w:shd w:val="clear" w:color="auto" w:fill="D9D9D9"/>
          <w:lang w:val="de-CH"/>
        </w:rPr>
        <w:t>0 Tabletten</w:t>
      </w:r>
      <w:r w:rsidRPr="008A4F40">
        <w:rPr>
          <w:color w:val="000000"/>
          <w:sz w:val="22"/>
          <w:szCs w:val="22"/>
          <w:shd w:val="pct15" w:color="auto" w:fill="auto"/>
          <w:lang w:val="de-CH"/>
        </w:rPr>
        <w:t xml:space="preserve"> (</w:t>
      </w:r>
      <w:r w:rsidRPr="008A4F40">
        <w:rPr>
          <w:color w:val="000000"/>
          <w:sz w:val="22"/>
          <w:szCs w:val="22"/>
          <w:shd w:val="pct15" w:color="auto" w:fill="auto"/>
        </w:rPr>
        <w:t>PVDC/Aluminium-Blisterpackungen)</w:t>
      </w:r>
    </w:p>
    <w:p w14:paraId="72850A49" w14:textId="77777777" w:rsidR="00AB6D5E" w:rsidRPr="008A4F40" w:rsidRDefault="00AB6D5E" w:rsidP="004E7659">
      <w:pPr>
        <w:pStyle w:val="Header"/>
        <w:tabs>
          <w:tab w:val="clear" w:pos="4320"/>
          <w:tab w:val="clear" w:pos="8640"/>
        </w:tabs>
        <w:rPr>
          <w:color w:val="000000"/>
          <w:szCs w:val="22"/>
        </w:rPr>
      </w:pPr>
    </w:p>
    <w:p w14:paraId="74E892DE" w14:textId="77777777" w:rsidR="00AB6D5E" w:rsidRPr="008A4F40" w:rsidRDefault="00AB6D5E" w:rsidP="004E7659">
      <w:pPr>
        <w:rPr>
          <w:color w:val="000000"/>
          <w:sz w:val="22"/>
          <w:szCs w:val="22"/>
        </w:rPr>
      </w:pPr>
    </w:p>
    <w:p w14:paraId="195754B3"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13.</w:t>
      </w:r>
      <w:r w:rsidRPr="008A4F40">
        <w:rPr>
          <w:b/>
          <w:color w:val="000000"/>
          <w:sz w:val="22"/>
          <w:szCs w:val="22"/>
        </w:rPr>
        <w:tab/>
        <w:t>CHARGENBEZEICHNUNG</w:t>
      </w:r>
    </w:p>
    <w:p w14:paraId="465908DB" w14:textId="77777777" w:rsidR="00AB6D5E" w:rsidRPr="008A4F40" w:rsidRDefault="00AB6D5E" w:rsidP="004E7659">
      <w:pPr>
        <w:rPr>
          <w:color w:val="000000"/>
          <w:sz w:val="22"/>
          <w:szCs w:val="22"/>
        </w:rPr>
      </w:pPr>
    </w:p>
    <w:p w14:paraId="60B58B61" w14:textId="77777777" w:rsidR="00AB6D5E" w:rsidRPr="008A4F40" w:rsidRDefault="00AB6D5E" w:rsidP="004E7659">
      <w:pPr>
        <w:rPr>
          <w:color w:val="000000"/>
          <w:sz w:val="22"/>
          <w:szCs w:val="22"/>
        </w:rPr>
      </w:pPr>
      <w:r w:rsidRPr="008A4F40">
        <w:rPr>
          <w:color w:val="000000"/>
          <w:sz w:val="22"/>
          <w:szCs w:val="22"/>
        </w:rPr>
        <w:t>Ch.-B.</w:t>
      </w:r>
      <w:del w:id="902" w:author="Author">
        <w:r w:rsidRPr="008A4F40" w:rsidDel="00B2659D">
          <w:rPr>
            <w:color w:val="000000"/>
            <w:sz w:val="22"/>
            <w:szCs w:val="22"/>
          </w:rPr>
          <w:delText>:</w:delText>
        </w:r>
      </w:del>
    </w:p>
    <w:p w14:paraId="2FB0EF91" w14:textId="77777777" w:rsidR="00AB6D5E" w:rsidRPr="008A4F40" w:rsidRDefault="00AB6D5E" w:rsidP="004E7659">
      <w:pPr>
        <w:rPr>
          <w:color w:val="000000"/>
          <w:sz w:val="22"/>
          <w:szCs w:val="22"/>
        </w:rPr>
      </w:pPr>
    </w:p>
    <w:p w14:paraId="31E353A9" w14:textId="77777777" w:rsidR="00AB6D5E" w:rsidRPr="008A4F40" w:rsidRDefault="00AB6D5E" w:rsidP="004E7659">
      <w:pPr>
        <w:rPr>
          <w:color w:val="000000"/>
          <w:sz w:val="22"/>
          <w:szCs w:val="22"/>
        </w:rPr>
      </w:pPr>
    </w:p>
    <w:p w14:paraId="790D46E5"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14.</w:t>
      </w:r>
      <w:r w:rsidRPr="008A4F40">
        <w:rPr>
          <w:b/>
          <w:color w:val="000000"/>
          <w:sz w:val="22"/>
          <w:szCs w:val="22"/>
        </w:rPr>
        <w:tab/>
        <w:t>VERKAUFSABGRENZUNG</w:t>
      </w:r>
    </w:p>
    <w:p w14:paraId="0D65AA7E" w14:textId="77777777" w:rsidR="00AB6D5E" w:rsidRPr="008A4F40" w:rsidRDefault="00AB6D5E" w:rsidP="004E7659">
      <w:pPr>
        <w:rPr>
          <w:color w:val="000000"/>
          <w:sz w:val="22"/>
          <w:szCs w:val="22"/>
        </w:rPr>
      </w:pPr>
    </w:p>
    <w:p w14:paraId="104A5B73" w14:textId="77777777" w:rsidR="00AB6D5E" w:rsidRPr="008A4F40" w:rsidRDefault="00AB6D5E" w:rsidP="004E7659">
      <w:pPr>
        <w:rPr>
          <w:color w:val="000000"/>
          <w:sz w:val="22"/>
          <w:szCs w:val="22"/>
        </w:rPr>
      </w:pPr>
    </w:p>
    <w:p w14:paraId="0FA2FCAF"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8A4F40">
        <w:rPr>
          <w:b/>
          <w:caps/>
          <w:color w:val="000000"/>
          <w:sz w:val="22"/>
          <w:szCs w:val="22"/>
        </w:rPr>
        <w:t>15.</w:t>
      </w:r>
      <w:r w:rsidRPr="008A4F40">
        <w:rPr>
          <w:b/>
          <w:caps/>
          <w:color w:val="000000"/>
          <w:sz w:val="22"/>
          <w:szCs w:val="22"/>
        </w:rPr>
        <w:tab/>
        <w:t>HINWEISE FÜR DEN GEBRAUCH</w:t>
      </w:r>
    </w:p>
    <w:p w14:paraId="7AC477FF" w14:textId="77777777" w:rsidR="00AB6D5E" w:rsidRPr="008A4F40" w:rsidRDefault="00AB6D5E" w:rsidP="004E7659">
      <w:pPr>
        <w:rPr>
          <w:noProof/>
          <w:color w:val="000000"/>
          <w:sz w:val="22"/>
          <w:szCs w:val="22"/>
        </w:rPr>
      </w:pPr>
    </w:p>
    <w:p w14:paraId="5E3C7B34" w14:textId="77777777" w:rsidR="00AB6D5E" w:rsidRPr="008A4F40" w:rsidRDefault="00AB6D5E" w:rsidP="004E7659">
      <w:pPr>
        <w:rPr>
          <w:noProof/>
          <w:color w:val="000000"/>
          <w:sz w:val="22"/>
          <w:szCs w:val="22"/>
        </w:rPr>
      </w:pPr>
    </w:p>
    <w:p w14:paraId="514F669C"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aps/>
          <w:noProof/>
          <w:color w:val="000000"/>
          <w:sz w:val="22"/>
          <w:szCs w:val="22"/>
        </w:rPr>
      </w:pPr>
      <w:r w:rsidRPr="008A4F40">
        <w:rPr>
          <w:b/>
          <w:caps/>
          <w:noProof/>
          <w:color w:val="000000"/>
          <w:sz w:val="22"/>
          <w:szCs w:val="22"/>
        </w:rPr>
        <w:t>16.</w:t>
      </w:r>
      <w:r w:rsidRPr="008A4F40">
        <w:rPr>
          <w:b/>
          <w:caps/>
          <w:noProof/>
          <w:color w:val="000000"/>
          <w:sz w:val="22"/>
          <w:szCs w:val="22"/>
        </w:rPr>
        <w:tab/>
      </w:r>
      <w:r w:rsidR="00BF10B5" w:rsidRPr="008A4F40">
        <w:rPr>
          <w:b/>
          <w:caps/>
          <w:noProof/>
          <w:color w:val="000000"/>
          <w:sz w:val="22"/>
          <w:szCs w:val="22"/>
        </w:rPr>
        <w:t>ANGABEN IN BLINDEN</w:t>
      </w:r>
      <w:r w:rsidRPr="008A4F40">
        <w:rPr>
          <w:b/>
          <w:caps/>
          <w:noProof/>
          <w:color w:val="000000"/>
          <w:sz w:val="22"/>
          <w:szCs w:val="22"/>
        </w:rPr>
        <w:t>schrift</w:t>
      </w:r>
    </w:p>
    <w:p w14:paraId="6E205E03" w14:textId="77777777" w:rsidR="00AB6D5E" w:rsidRPr="008A4F40" w:rsidRDefault="00AB6D5E" w:rsidP="004E7659">
      <w:pPr>
        <w:rPr>
          <w:noProof/>
          <w:color w:val="000000"/>
          <w:sz w:val="22"/>
          <w:szCs w:val="22"/>
        </w:rPr>
      </w:pPr>
    </w:p>
    <w:p w14:paraId="6AC39625" w14:textId="77777777" w:rsidR="00AB6D5E" w:rsidRPr="008A4F40" w:rsidRDefault="00AB6D5E" w:rsidP="004E7659">
      <w:pPr>
        <w:rPr>
          <w:color w:val="000000"/>
          <w:sz w:val="22"/>
          <w:szCs w:val="22"/>
        </w:rPr>
      </w:pPr>
      <w:r w:rsidRPr="008A4F40">
        <w:rPr>
          <w:color w:val="000000"/>
          <w:sz w:val="22"/>
          <w:szCs w:val="22"/>
        </w:rPr>
        <w:t>Glivec 100 mg</w:t>
      </w:r>
    </w:p>
    <w:p w14:paraId="6C63E96C" w14:textId="77777777" w:rsidR="00B7018B" w:rsidRPr="008A4F40" w:rsidRDefault="00B7018B" w:rsidP="004E7659">
      <w:pPr>
        <w:rPr>
          <w:color w:val="000000"/>
          <w:sz w:val="22"/>
          <w:szCs w:val="22"/>
        </w:rPr>
      </w:pPr>
    </w:p>
    <w:p w14:paraId="4FFEC839" w14:textId="77777777" w:rsidR="00B7018B" w:rsidRPr="008A4F40" w:rsidRDefault="00B7018B" w:rsidP="004E7659">
      <w:pPr>
        <w:rPr>
          <w:noProof/>
          <w:sz w:val="22"/>
          <w:szCs w:val="22"/>
          <w:shd w:val="clear" w:color="auto" w:fill="CCCCCC"/>
        </w:rPr>
      </w:pPr>
    </w:p>
    <w:p w14:paraId="7C541370" w14:textId="77777777" w:rsidR="00B7018B" w:rsidRPr="008A4F40" w:rsidRDefault="00B7018B" w:rsidP="004E7659">
      <w:pPr>
        <w:pBdr>
          <w:top w:val="single" w:sz="4" w:space="1" w:color="auto"/>
          <w:left w:val="single" w:sz="4" w:space="4" w:color="auto"/>
          <w:bottom w:val="single" w:sz="4" w:space="1" w:color="auto"/>
          <w:right w:val="single" w:sz="4" w:space="4" w:color="auto"/>
        </w:pBdr>
        <w:ind w:left="-3"/>
        <w:rPr>
          <w:i/>
          <w:noProof/>
          <w:sz w:val="22"/>
          <w:szCs w:val="22"/>
        </w:rPr>
      </w:pPr>
      <w:r w:rsidRPr="008A4F40">
        <w:rPr>
          <w:b/>
          <w:noProof/>
          <w:sz w:val="22"/>
          <w:szCs w:val="22"/>
        </w:rPr>
        <w:t>17.</w:t>
      </w:r>
      <w:r w:rsidRPr="008A4F40">
        <w:rPr>
          <w:b/>
          <w:noProof/>
          <w:sz w:val="22"/>
          <w:szCs w:val="22"/>
        </w:rPr>
        <w:tab/>
        <w:t>INDIVIDUELLES ERKENNUNGSMERKMAL – 2D-BARCODE</w:t>
      </w:r>
    </w:p>
    <w:p w14:paraId="407A9CA2" w14:textId="77777777" w:rsidR="00B7018B" w:rsidRPr="008A4F40" w:rsidRDefault="00B7018B" w:rsidP="004E7659">
      <w:pPr>
        <w:rPr>
          <w:noProof/>
          <w:sz w:val="22"/>
          <w:szCs w:val="22"/>
        </w:rPr>
      </w:pPr>
    </w:p>
    <w:p w14:paraId="3AD7D0E3" w14:textId="77777777" w:rsidR="00B7018B" w:rsidRPr="008A4F40" w:rsidRDefault="00B7018B" w:rsidP="004E7659">
      <w:pPr>
        <w:rPr>
          <w:noProof/>
          <w:sz w:val="22"/>
          <w:szCs w:val="22"/>
          <w:shd w:val="clear" w:color="auto" w:fill="CCCCCC"/>
        </w:rPr>
      </w:pPr>
      <w:r w:rsidRPr="008A4F40">
        <w:rPr>
          <w:noProof/>
          <w:sz w:val="22"/>
          <w:szCs w:val="22"/>
          <w:shd w:val="pct15" w:color="auto" w:fill="auto"/>
        </w:rPr>
        <w:t>2D-Barcode mit individuellem Erkennungsmerkmal.</w:t>
      </w:r>
    </w:p>
    <w:p w14:paraId="04756CBC" w14:textId="77777777" w:rsidR="00B7018B" w:rsidRPr="008A4F40" w:rsidRDefault="00B7018B" w:rsidP="004E7659">
      <w:pPr>
        <w:rPr>
          <w:noProof/>
          <w:sz w:val="22"/>
          <w:szCs w:val="22"/>
        </w:rPr>
      </w:pPr>
    </w:p>
    <w:p w14:paraId="27D91ABA" w14:textId="77777777" w:rsidR="00B7018B" w:rsidRPr="008A4F40" w:rsidRDefault="00B7018B" w:rsidP="004E7659">
      <w:pPr>
        <w:rPr>
          <w:noProof/>
          <w:sz w:val="22"/>
          <w:szCs w:val="22"/>
        </w:rPr>
      </w:pPr>
    </w:p>
    <w:p w14:paraId="4EE30E69" w14:textId="77777777" w:rsidR="00B7018B" w:rsidRPr="008A4F40" w:rsidRDefault="00B7018B" w:rsidP="004E7659">
      <w:pPr>
        <w:pBdr>
          <w:top w:val="single" w:sz="4" w:space="1" w:color="auto"/>
          <w:left w:val="single" w:sz="4" w:space="4" w:color="auto"/>
          <w:bottom w:val="single" w:sz="4" w:space="1" w:color="auto"/>
          <w:right w:val="single" w:sz="4" w:space="4" w:color="auto"/>
        </w:pBdr>
        <w:ind w:left="567" w:hanging="567"/>
        <w:rPr>
          <w:i/>
          <w:noProof/>
          <w:sz w:val="22"/>
          <w:szCs w:val="22"/>
        </w:rPr>
      </w:pPr>
      <w:r w:rsidRPr="008A4F40">
        <w:rPr>
          <w:b/>
          <w:noProof/>
          <w:sz w:val="22"/>
          <w:szCs w:val="22"/>
        </w:rPr>
        <w:t>18.</w:t>
      </w:r>
      <w:r w:rsidRPr="008A4F40">
        <w:rPr>
          <w:b/>
          <w:noProof/>
          <w:sz w:val="22"/>
          <w:szCs w:val="22"/>
        </w:rPr>
        <w:tab/>
        <w:t>INDIVIDUELLES ERKENNUNGSMERKMAL – VOM MENSCHEN LESBARES FORMAT</w:t>
      </w:r>
    </w:p>
    <w:p w14:paraId="77ACBEDD" w14:textId="77777777" w:rsidR="00B7018B" w:rsidRPr="008A4F40" w:rsidRDefault="00B7018B" w:rsidP="004E7659">
      <w:pPr>
        <w:rPr>
          <w:noProof/>
          <w:sz w:val="22"/>
          <w:szCs w:val="22"/>
        </w:rPr>
      </w:pPr>
    </w:p>
    <w:p w14:paraId="392313A1" w14:textId="236ABBE1" w:rsidR="00B7018B" w:rsidRPr="008A4F40" w:rsidRDefault="00B7018B" w:rsidP="004E7659">
      <w:pPr>
        <w:rPr>
          <w:sz w:val="22"/>
          <w:szCs w:val="22"/>
        </w:rPr>
      </w:pPr>
      <w:r w:rsidRPr="008A4F40">
        <w:rPr>
          <w:sz w:val="22"/>
          <w:szCs w:val="22"/>
        </w:rPr>
        <w:t>PC</w:t>
      </w:r>
    </w:p>
    <w:p w14:paraId="11B4DE55" w14:textId="50B66873" w:rsidR="00B7018B" w:rsidRPr="008A4F40" w:rsidRDefault="00B7018B" w:rsidP="004E7659">
      <w:pPr>
        <w:rPr>
          <w:sz w:val="22"/>
          <w:szCs w:val="22"/>
        </w:rPr>
      </w:pPr>
      <w:r w:rsidRPr="008A4F40">
        <w:rPr>
          <w:sz w:val="22"/>
          <w:szCs w:val="22"/>
        </w:rPr>
        <w:t>SN</w:t>
      </w:r>
    </w:p>
    <w:p w14:paraId="62C22A5C" w14:textId="00D1E916" w:rsidR="00B7018B" w:rsidRPr="008A4F40" w:rsidRDefault="00B7018B" w:rsidP="004E7659">
      <w:pPr>
        <w:rPr>
          <w:sz w:val="22"/>
          <w:szCs w:val="22"/>
        </w:rPr>
      </w:pPr>
      <w:r w:rsidRPr="008A4F40">
        <w:rPr>
          <w:sz w:val="22"/>
          <w:szCs w:val="22"/>
        </w:rPr>
        <w:t>NN</w:t>
      </w:r>
    </w:p>
    <w:p w14:paraId="4DDFF033" w14:textId="77777777" w:rsidR="00AB6D5E" w:rsidRPr="008A4F40" w:rsidRDefault="00AB6D5E" w:rsidP="004E7659">
      <w:pPr>
        <w:shd w:val="clear" w:color="auto" w:fill="FFFFFF"/>
        <w:rPr>
          <w:color w:val="000000"/>
          <w:sz w:val="22"/>
          <w:szCs w:val="22"/>
        </w:rPr>
      </w:pPr>
      <w:r w:rsidRPr="008A4F40">
        <w:rPr>
          <w:color w:val="000000"/>
          <w:sz w:val="22"/>
          <w:szCs w:val="22"/>
        </w:rPr>
        <w:br w:type="page"/>
      </w:r>
    </w:p>
    <w:p w14:paraId="230EBA22" w14:textId="77777777" w:rsidR="001E3D49" w:rsidRPr="008A4F40" w:rsidRDefault="001E3D49" w:rsidP="004E7659">
      <w:pPr>
        <w:rPr>
          <w:color w:val="000000"/>
          <w:sz w:val="22"/>
          <w:szCs w:val="22"/>
        </w:rPr>
      </w:pPr>
    </w:p>
    <w:p w14:paraId="07076985" w14:textId="77777777" w:rsidR="00AB6D5E" w:rsidRPr="008A4F40" w:rsidRDefault="00AB6D5E" w:rsidP="004E7659">
      <w:pPr>
        <w:pBdr>
          <w:top w:val="single" w:sz="4" w:space="1" w:color="auto"/>
          <w:left w:val="single" w:sz="4" w:space="4" w:color="auto"/>
          <w:bottom w:val="single" w:sz="4" w:space="1" w:color="auto"/>
          <w:right w:val="single" w:sz="4" w:space="4" w:color="auto"/>
        </w:pBdr>
        <w:rPr>
          <w:b/>
          <w:color w:val="000000"/>
          <w:sz w:val="22"/>
          <w:szCs w:val="22"/>
        </w:rPr>
      </w:pPr>
      <w:r w:rsidRPr="008A4F40">
        <w:rPr>
          <w:b/>
          <w:color w:val="000000"/>
          <w:sz w:val="22"/>
          <w:szCs w:val="22"/>
        </w:rPr>
        <w:t>MINDESTANGABEN AUF BLISTERPACKUNGEN ODER FOLIENSTREIFEN</w:t>
      </w:r>
    </w:p>
    <w:p w14:paraId="4267CB83"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p>
    <w:p w14:paraId="22F74346" w14:textId="77777777" w:rsidR="00AB6D5E" w:rsidRPr="008A4F40" w:rsidRDefault="00AB6D5E" w:rsidP="004E7659">
      <w:pPr>
        <w:pBdr>
          <w:top w:val="single" w:sz="4" w:space="1" w:color="auto"/>
          <w:left w:val="single" w:sz="4" w:space="4" w:color="auto"/>
          <w:bottom w:val="single" w:sz="4" w:space="1" w:color="auto"/>
          <w:right w:val="single" w:sz="4" w:space="4" w:color="auto"/>
        </w:pBdr>
        <w:rPr>
          <w:b/>
          <w:color w:val="000000"/>
          <w:sz w:val="22"/>
          <w:szCs w:val="22"/>
        </w:rPr>
      </w:pPr>
      <w:r w:rsidRPr="008A4F40">
        <w:rPr>
          <w:b/>
          <w:color w:val="000000"/>
          <w:sz w:val="22"/>
          <w:szCs w:val="22"/>
        </w:rPr>
        <w:t>BLISTERPACKUNGEN</w:t>
      </w:r>
    </w:p>
    <w:p w14:paraId="02DC9060" w14:textId="77777777" w:rsidR="00AB6D5E" w:rsidRPr="008A4F40" w:rsidRDefault="00AB6D5E" w:rsidP="004E7659">
      <w:pPr>
        <w:rPr>
          <w:color w:val="000000"/>
          <w:sz w:val="22"/>
          <w:szCs w:val="22"/>
        </w:rPr>
      </w:pPr>
    </w:p>
    <w:p w14:paraId="629B7256" w14:textId="77777777" w:rsidR="00AB6D5E" w:rsidRPr="008A4F40" w:rsidRDefault="00AB6D5E" w:rsidP="004E7659">
      <w:pPr>
        <w:rPr>
          <w:color w:val="000000"/>
          <w:sz w:val="22"/>
          <w:szCs w:val="22"/>
        </w:rPr>
      </w:pPr>
    </w:p>
    <w:p w14:paraId="007E47AE"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w:t>
      </w:r>
      <w:r w:rsidRPr="008A4F40">
        <w:rPr>
          <w:b/>
          <w:color w:val="000000"/>
          <w:sz w:val="22"/>
          <w:szCs w:val="22"/>
        </w:rPr>
        <w:tab/>
        <w:t xml:space="preserve">BEZEICHNUNG </w:t>
      </w:r>
      <w:smartTag w:uri="urn:schemas-microsoft-com:office:smarttags" w:element="stockticker">
        <w:r w:rsidRPr="008A4F40">
          <w:rPr>
            <w:b/>
            <w:color w:val="000000"/>
            <w:sz w:val="22"/>
            <w:szCs w:val="22"/>
          </w:rPr>
          <w:t>DES</w:t>
        </w:r>
      </w:smartTag>
      <w:r w:rsidRPr="008A4F40">
        <w:rPr>
          <w:b/>
          <w:color w:val="000000"/>
          <w:sz w:val="22"/>
          <w:szCs w:val="22"/>
        </w:rPr>
        <w:t xml:space="preserve"> ARZNEIMITTELS</w:t>
      </w:r>
    </w:p>
    <w:p w14:paraId="0790A10D" w14:textId="77777777" w:rsidR="00AB6D5E" w:rsidRPr="008A4F40" w:rsidRDefault="00AB6D5E" w:rsidP="004E7659">
      <w:pPr>
        <w:rPr>
          <w:color w:val="000000"/>
          <w:sz w:val="22"/>
          <w:szCs w:val="22"/>
        </w:rPr>
      </w:pPr>
    </w:p>
    <w:p w14:paraId="527F2419" w14:textId="77777777" w:rsidR="00AB6D5E" w:rsidRPr="008A4F40" w:rsidRDefault="00AB6D5E" w:rsidP="004E7659">
      <w:pPr>
        <w:rPr>
          <w:color w:val="000000"/>
          <w:sz w:val="22"/>
          <w:szCs w:val="22"/>
        </w:rPr>
      </w:pPr>
      <w:r w:rsidRPr="008A4F40">
        <w:rPr>
          <w:color w:val="000000"/>
          <w:sz w:val="22"/>
          <w:szCs w:val="22"/>
        </w:rPr>
        <w:t>Glivec 100 mg Tabletten</w:t>
      </w:r>
    </w:p>
    <w:p w14:paraId="7298B725" w14:textId="77777777" w:rsidR="00AB6D5E" w:rsidRPr="008A4F40" w:rsidRDefault="00AB6D5E" w:rsidP="004E7659">
      <w:pPr>
        <w:rPr>
          <w:color w:val="000000"/>
          <w:sz w:val="22"/>
          <w:szCs w:val="22"/>
        </w:rPr>
      </w:pPr>
      <w:r w:rsidRPr="008A4F40">
        <w:rPr>
          <w:color w:val="000000"/>
          <w:sz w:val="22"/>
          <w:szCs w:val="22"/>
        </w:rPr>
        <w:t>Imatinib</w:t>
      </w:r>
    </w:p>
    <w:p w14:paraId="67B709B7" w14:textId="77777777" w:rsidR="00AB6D5E" w:rsidRPr="008A4F40" w:rsidRDefault="00AB6D5E" w:rsidP="004E7659">
      <w:pPr>
        <w:rPr>
          <w:color w:val="000000"/>
          <w:sz w:val="22"/>
          <w:szCs w:val="22"/>
        </w:rPr>
      </w:pPr>
    </w:p>
    <w:p w14:paraId="73FC944F" w14:textId="77777777" w:rsidR="00AB6D5E" w:rsidRPr="008A4F40" w:rsidRDefault="00AB6D5E" w:rsidP="004E7659">
      <w:pPr>
        <w:rPr>
          <w:color w:val="000000"/>
          <w:sz w:val="22"/>
          <w:szCs w:val="22"/>
        </w:rPr>
      </w:pPr>
    </w:p>
    <w:p w14:paraId="3BD28AF1"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2.</w:t>
      </w:r>
      <w:r w:rsidRPr="008A4F40">
        <w:rPr>
          <w:b/>
          <w:color w:val="000000"/>
          <w:sz w:val="22"/>
          <w:szCs w:val="22"/>
        </w:rPr>
        <w:tab/>
        <w:t xml:space="preserve">NAME </w:t>
      </w:r>
      <w:smartTag w:uri="urn:schemas-microsoft-com:office:smarttags" w:element="stockticker">
        <w:r w:rsidRPr="008A4F40">
          <w:rPr>
            <w:b/>
            <w:color w:val="000000"/>
            <w:sz w:val="22"/>
            <w:szCs w:val="22"/>
          </w:rPr>
          <w:t>DES</w:t>
        </w:r>
      </w:smartTag>
      <w:r w:rsidRPr="008A4F40">
        <w:rPr>
          <w:b/>
          <w:color w:val="000000"/>
          <w:sz w:val="22"/>
          <w:szCs w:val="22"/>
        </w:rPr>
        <w:t xml:space="preserve"> PHARMAZEUTISCHEN UNTERNEHMERS</w:t>
      </w:r>
    </w:p>
    <w:p w14:paraId="17291D4A" w14:textId="77777777" w:rsidR="00AB6D5E" w:rsidRPr="008A4F40" w:rsidRDefault="00AB6D5E" w:rsidP="004E7659">
      <w:pPr>
        <w:rPr>
          <w:color w:val="000000"/>
          <w:sz w:val="22"/>
          <w:szCs w:val="22"/>
        </w:rPr>
      </w:pPr>
    </w:p>
    <w:p w14:paraId="1F555C47" w14:textId="77777777" w:rsidR="00AB6D5E" w:rsidRPr="008A4F40" w:rsidRDefault="00AB6D5E" w:rsidP="004E7659">
      <w:pPr>
        <w:rPr>
          <w:color w:val="000000"/>
          <w:sz w:val="22"/>
          <w:szCs w:val="22"/>
        </w:rPr>
      </w:pPr>
      <w:r w:rsidRPr="008A4F40">
        <w:rPr>
          <w:color w:val="000000"/>
          <w:sz w:val="22"/>
          <w:szCs w:val="22"/>
        </w:rPr>
        <w:t>Novartis Europharm Limited</w:t>
      </w:r>
    </w:p>
    <w:p w14:paraId="28C1D2B5" w14:textId="77777777" w:rsidR="00AB6D5E" w:rsidRPr="008A4F40" w:rsidRDefault="00AB6D5E" w:rsidP="004E7659">
      <w:pPr>
        <w:rPr>
          <w:color w:val="000000"/>
          <w:sz w:val="22"/>
          <w:szCs w:val="22"/>
        </w:rPr>
      </w:pPr>
    </w:p>
    <w:p w14:paraId="2EBD2519" w14:textId="77777777" w:rsidR="00AB6D5E" w:rsidRPr="008A4F40" w:rsidRDefault="00AB6D5E" w:rsidP="004E7659">
      <w:pPr>
        <w:rPr>
          <w:color w:val="000000"/>
          <w:sz w:val="22"/>
          <w:szCs w:val="22"/>
        </w:rPr>
      </w:pPr>
    </w:p>
    <w:p w14:paraId="29450487"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3.</w:t>
      </w:r>
      <w:r w:rsidRPr="008A4F40">
        <w:rPr>
          <w:b/>
          <w:color w:val="000000"/>
          <w:sz w:val="22"/>
          <w:szCs w:val="22"/>
        </w:rPr>
        <w:tab/>
        <w:t>VERFALLDATUM</w:t>
      </w:r>
    </w:p>
    <w:p w14:paraId="57CB7DB7" w14:textId="77777777" w:rsidR="00AB6D5E" w:rsidRPr="008A4F40" w:rsidRDefault="00AB6D5E" w:rsidP="004E7659">
      <w:pPr>
        <w:rPr>
          <w:color w:val="000000"/>
          <w:sz w:val="22"/>
          <w:szCs w:val="22"/>
        </w:rPr>
      </w:pPr>
    </w:p>
    <w:p w14:paraId="34A2CB0B" w14:textId="77777777" w:rsidR="00AB6D5E" w:rsidRPr="008A4F40" w:rsidRDefault="00AB6D5E" w:rsidP="004E7659">
      <w:pPr>
        <w:rPr>
          <w:color w:val="000000"/>
          <w:sz w:val="22"/>
          <w:szCs w:val="22"/>
        </w:rPr>
      </w:pPr>
      <w:r w:rsidRPr="008A4F40">
        <w:rPr>
          <w:color w:val="000000"/>
          <w:sz w:val="22"/>
          <w:szCs w:val="22"/>
        </w:rPr>
        <w:t>EXP</w:t>
      </w:r>
    </w:p>
    <w:p w14:paraId="64543E9C" w14:textId="77777777" w:rsidR="00AB6D5E" w:rsidRPr="008A4F40" w:rsidRDefault="00AB6D5E" w:rsidP="004E7659">
      <w:pPr>
        <w:rPr>
          <w:color w:val="000000"/>
          <w:sz w:val="22"/>
          <w:szCs w:val="22"/>
        </w:rPr>
      </w:pPr>
    </w:p>
    <w:p w14:paraId="0EF2C9CE" w14:textId="77777777" w:rsidR="00AB6D5E" w:rsidRPr="008A4F40" w:rsidRDefault="00AB6D5E" w:rsidP="004E7659">
      <w:pPr>
        <w:rPr>
          <w:color w:val="000000"/>
          <w:sz w:val="22"/>
          <w:szCs w:val="22"/>
        </w:rPr>
      </w:pPr>
    </w:p>
    <w:p w14:paraId="1334A33A"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4.</w:t>
      </w:r>
      <w:r w:rsidRPr="008A4F40">
        <w:rPr>
          <w:b/>
          <w:color w:val="000000"/>
          <w:sz w:val="22"/>
          <w:szCs w:val="22"/>
        </w:rPr>
        <w:tab/>
        <w:t>CHARGENBEZEICHNUNG</w:t>
      </w:r>
    </w:p>
    <w:p w14:paraId="6566B52B" w14:textId="77777777" w:rsidR="00AB6D5E" w:rsidRPr="008A4F40" w:rsidRDefault="00AB6D5E" w:rsidP="004E7659">
      <w:pPr>
        <w:rPr>
          <w:color w:val="000000"/>
          <w:sz w:val="22"/>
          <w:szCs w:val="22"/>
        </w:rPr>
      </w:pPr>
    </w:p>
    <w:p w14:paraId="30412F4E" w14:textId="77777777" w:rsidR="00AB6D5E" w:rsidRPr="008A4F40" w:rsidRDefault="00AB6D5E" w:rsidP="004E7659">
      <w:pPr>
        <w:pStyle w:val="Header"/>
        <w:suppressLineNumbers/>
        <w:tabs>
          <w:tab w:val="clear" w:pos="4320"/>
          <w:tab w:val="clear" w:pos="8640"/>
        </w:tabs>
        <w:suppressAutoHyphens/>
        <w:rPr>
          <w:color w:val="000000"/>
          <w:szCs w:val="22"/>
        </w:rPr>
      </w:pPr>
      <w:r w:rsidRPr="008A4F40">
        <w:rPr>
          <w:color w:val="000000"/>
          <w:szCs w:val="22"/>
        </w:rPr>
        <w:t>Lot</w:t>
      </w:r>
    </w:p>
    <w:p w14:paraId="4FC08067" w14:textId="77777777" w:rsidR="00AB6D5E" w:rsidRPr="008A4F40" w:rsidRDefault="00AB6D5E" w:rsidP="004E7659">
      <w:pPr>
        <w:rPr>
          <w:color w:val="000000"/>
          <w:sz w:val="22"/>
          <w:szCs w:val="22"/>
        </w:rPr>
      </w:pPr>
    </w:p>
    <w:p w14:paraId="270ACAAF" w14:textId="77777777" w:rsidR="00AB6D5E" w:rsidRPr="008A4F40" w:rsidRDefault="00AB6D5E" w:rsidP="004E7659">
      <w:pPr>
        <w:rPr>
          <w:color w:val="000000"/>
          <w:sz w:val="22"/>
          <w:szCs w:val="22"/>
        </w:rPr>
      </w:pPr>
    </w:p>
    <w:p w14:paraId="640E5830"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r w:rsidRPr="008A4F40">
        <w:rPr>
          <w:b/>
          <w:color w:val="000000"/>
          <w:sz w:val="22"/>
          <w:szCs w:val="22"/>
        </w:rPr>
        <w:t>5.</w:t>
      </w:r>
      <w:r w:rsidRPr="008A4F40">
        <w:rPr>
          <w:b/>
          <w:color w:val="000000"/>
          <w:sz w:val="22"/>
          <w:szCs w:val="22"/>
        </w:rPr>
        <w:tab/>
        <w:t>WEITERE ANGABEN</w:t>
      </w:r>
    </w:p>
    <w:p w14:paraId="155A279F" w14:textId="77777777" w:rsidR="00AB6D5E" w:rsidRPr="008A4F40" w:rsidRDefault="00AB6D5E" w:rsidP="004E7659">
      <w:pPr>
        <w:rPr>
          <w:color w:val="000000"/>
          <w:sz w:val="22"/>
          <w:szCs w:val="22"/>
        </w:rPr>
      </w:pPr>
    </w:p>
    <w:p w14:paraId="3EAEADBE" w14:textId="77777777" w:rsidR="00AB6D5E" w:rsidRPr="008A4F40" w:rsidRDefault="00AB6D5E" w:rsidP="004E7659">
      <w:pPr>
        <w:shd w:val="clear" w:color="auto" w:fill="FFFFFF"/>
        <w:rPr>
          <w:color w:val="000000"/>
          <w:sz w:val="22"/>
          <w:szCs w:val="22"/>
        </w:rPr>
      </w:pPr>
      <w:r w:rsidRPr="008A4F40">
        <w:rPr>
          <w:color w:val="000000"/>
          <w:sz w:val="22"/>
          <w:szCs w:val="22"/>
        </w:rPr>
        <w:br w:type="page"/>
      </w:r>
    </w:p>
    <w:p w14:paraId="4E4C2797" w14:textId="77777777" w:rsidR="001E3D49" w:rsidRPr="008A4F40" w:rsidRDefault="001E3D49" w:rsidP="004E7659">
      <w:pPr>
        <w:rPr>
          <w:color w:val="000000"/>
          <w:sz w:val="22"/>
          <w:szCs w:val="22"/>
        </w:rPr>
      </w:pPr>
    </w:p>
    <w:p w14:paraId="5A97B654"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r w:rsidRPr="008A4F40">
        <w:rPr>
          <w:b/>
          <w:color w:val="000000"/>
          <w:sz w:val="22"/>
          <w:szCs w:val="22"/>
        </w:rPr>
        <w:t xml:space="preserve">ANGABEN AUF </w:t>
      </w:r>
      <w:smartTag w:uri="urn:schemas-microsoft-com:office:smarttags" w:element="stockticker">
        <w:r w:rsidRPr="008A4F40">
          <w:rPr>
            <w:b/>
            <w:color w:val="000000"/>
            <w:sz w:val="22"/>
            <w:szCs w:val="22"/>
          </w:rPr>
          <w:t>DER</w:t>
        </w:r>
      </w:smartTag>
      <w:r w:rsidRPr="008A4F40">
        <w:rPr>
          <w:b/>
          <w:color w:val="000000"/>
          <w:sz w:val="22"/>
          <w:szCs w:val="22"/>
        </w:rPr>
        <w:t xml:space="preserve"> ÄUSSEREN UMHÜLLUNG</w:t>
      </w:r>
    </w:p>
    <w:p w14:paraId="093A92A1"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p>
    <w:p w14:paraId="2717E35C" w14:textId="77777777" w:rsidR="00AB6D5E" w:rsidRPr="008A4F40" w:rsidRDefault="00E745E2" w:rsidP="004E7659">
      <w:pPr>
        <w:pBdr>
          <w:top w:val="single" w:sz="4" w:space="1" w:color="auto"/>
          <w:left w:val="single" w:sz="4" w:space="4" w:color="auto"/>
          <w:bottom w:val="single" w:sz="4" w:space="1" w:color="auto"/>
          <w:right w:val="single" w:sz="4" w:space="4" w:color="auto"/>
        </w:pBdr>
        <w:rPr>
          <w:color w:val="000000"/>
          <w:sz w:val="22"/>
          <w:szCs w:val="22"/>
        </w:rPr>
      </w:pPr>
      <w:r w:rsidRPr="008A4F40">
        <w:rPr>
          <w:b/>
          <w:color w:val="000000"/>
          <w:sz w:val="22"/>
          <w:szCs w:val="22"/>
        </w:rPr>
        <w:t>UMKARTON</w:t>
      </w:r>
    </w:p>
    <w:p w14:paraId="5A7A1517" w14:textId="77777777" w:rsidR="00AB6D5E" w:rsidRPr="008A4F40" w:rsidRDefault="00AB6D5E" w:rsidP="004E7659">
      <w:pPr>
        <w:ind w:left="-142" w:firstLine="142"/>
        <w:rPr>
          <w:color w:val="000000"/>
          <w:sz w:val="22"/>
          <w:szCs w:val="22"/>
        </w:rPr>
      </w:pPr>
    </w:p>
    <w:p w14:paraId="1887F6F0" w14:textId="77777777" w:rsidR="00AB6D5E" w:rsidRPr="008A4F40" w:rsidRDefault="00AB6D5E" w:rsidP="004E7659">
      <w:pPr>
        <w:ind w:left="-142" w:firstLine="142"/>
        <w:rPr>
          <w:color w:val="000000"/>
          <w:sz w:val="22"/>
          <w:szCs w:val="22"/>
        </w:rPr>
      </w:pPr>
    </w:p>
    <w:p w14:paraId="33191806"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w:t>
      </w:r>
      <w:r w:rsidRPr="008A4F40">
        <w:rPr>
          <w:b/>
          <w:color w:val="000000"/>
          <w:sz w:val="22"/>
          <w:szCs w:val="22"/>
        </w:rPr>
        <w:tab/>
        <w:t xml:space="preserve">BEZEICHNUNG </w:t>
      </w:r>
      <w:smartTag w:uri="urn:schemas-microsoft-com:office:smarttags" w:element="stockticker">
        <w:r w:rsidRPr="008A4F40">
          <w:rPr>
            <w:b/>
            <w:color w:val="000000"/>
            <w:sz w:val="22"/>
            <w:szCs w:val="22"/>
          </w:rPr>
          <w:t>DES</w:t>
        </w:r>
      </w:smartTag>
      <w:r w:rsidRPr="008A4F40">
        <w:rPr>
          <w:b/>
          <w:color w:val="000000"/>
          <w:sz w:val="22"/>
          <w:szCs w:val="22"/>
        </w:rPr>
        <w:t xml:space="preserve"> ARZNEIMITTELS</w:t>
      </w:r>
    </w:p>
    <w:p w14:paraId="64BB78EA" w14:textId="77777777" w:rsidR="00AB6D5E" w:rsidRPr="008A4F40" w:rsidRDefault="00AB6D5E" w:rsidP="004E7659">
      <w:pPr>
        <w:rPr>
          <w:color w:val="000000"/>
          <w:sz w:val="22"/>
          <w:szCs w:val="22"/>
        </w:rPr>
      </w:pPr>
    </w:p>
    <w:p w14:paraId="071AA7F1" w14:textId="77777777" w:rsidR="00AB6D5E" w:rsidRPr="008A4F40" w:rsidRDefault="00AB6D5E" w:rsidP="004E7659">
      <w:pPr>
        <w:rPr>
          <w:color w:val="000000"/>
          <w:sz w:val="22"/>
          <w:szCs w:val="22"/>
        </w:rPr>
      </w:pPr>
      <w:r w:rsidRPr="008A4F40">
        <w:rPr>
          <w:color w:val="000000"/>
          <w:sz w:val="22"/>
          <w:szCs w:val="22"/>
        </w:rPr>
        <w:t>Glivec 400 mg Filmtabletten</w:t>
      </w:r>
    </w:p>
    <w:p w14:paraId="24A9707D" w14:textId="77777777" w:rsidR="00AB6D5E" w:rsidRPr="008A4F40" w:rsidRDefault="00AB6D5E" w:rsidP="004E7659">
      <w:pPr>
        <w:rPr>
          <w:color w:val="000000"/>
          <w:sz w:val="22"/>
          <w:szCs w:val="22"/>
        </w:rPr>
      </w:pPr>
      <w:r w:rsidRPr="008A4F40">
        <w:rPr>
          <w:color w:val="000000"/>
          <w:sz w:val="22"/>
          <w:szCs w:val="22"/>
        </w:rPr>
        <w:t>Imatinib</w:t>
      </w:r>
    </w:p>
    <w:p w14:paraId="134D3E22" w14:textId="77777777" w:rsidR="00AB6D5E" w:rsidRPr="008A4F40" w:rsidRDefault="00AB6D5E" w:rsidP="004E7659">
      <w:pPr>
        <w:rPr>
          <w:color w:val="000000"/>
          <w:sz w:val="22"/>
          <w:szCs w:val="22"/>
          <w:u w:val="single"/>
        </w:rPr>
      </w:pPr>
    </w:p>
    <w:p w14:paraId="15556636" w14:textId="77777777" w:rsidR="00AB6D5E" w:rsidRPr="008A4F40" w:rsidRDefault="00AB6D5E" w:rsidP="004E7659">
      <w:pPr>
        <w:rPr>
          <w:color w:val="000000"/>
          <w:sz w:val="22"/>
          <w:szCs w:val="22"/>
          <w:u w:val="single"/>
        </w:rPr>
      </w:pPr>
    </w:p>
    <w:p w14:paraId="083EE084"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2.</w:t>
      </w:r>
      <w:r w:rsidRPr="008A4F40">
        <w:rPr>
          <w:b/>
          <w:color w:val="000000"/>
          <w:sz w:val="22"/>
          <w:szCs w:val="22"/>
        </w:rPr>
        <w:tab/>
        <w:t>WIRKSTOFF(E)</w:t>
      </w:r>
    </w:p>
    <w:p w14:paraId="6F37D296" w14:textId="77777777" w:rsidR="00AB6D5E" w:rsidRPr="008A4F40" w:rsidRDefault="00AB6D5E" w:rsidP="004E7659">
      <w:pPr>
        <w:rPr>
          <w:color w:val="000000"/>
          <w:sz w:val="22"/>
          <w:szCs w:val="22"/>
        </w:rPr>
      </w:pPr>
    </w:p>
    <w:p w14:paraId="4B96ABE5" w14:textId="77777777" w:rsidR="00AB6D5E" w:rsidRPr="008A4F40" w:rsidRDefault="00AB6D5E" w:rsidP="004E7659">
      <w:pPr>
        <w:rPr>
          <w:color w:val="000000"/>
          <w:sz w:val="22"/>
          <w:szCs w:val="22"/>
        </w:rPr>
      </w:pPr>
      <w:r w:rsidRPr="008A4F40">
        <w:rPr>
          <w:color w:val="000000"/>
          <w:sz w:val="22"/>
          <w:szCs w:val="22"/>
        </w:rPr>
        <w:t>Jede Filmtablette enthält 400 mg Imatinib (als Mesilat).</w:t>
      </w:r>
    </w:p>
    <w:p w14:paraId="6E4D3D24" w14:textId="77777777" w:rsidR="00AB6D5E" w:rsidRPr="008A4F40" w:rsidRDefault="00AB6D5E" w:rsidP="004E7659">
      <w:pPr>
        <w:rPr>
          <w:color w:val="000000"/>
          <w:sz w:val="22"/>
          <w:szCs w:val="22"/>
        </w:rPr>
      </w:pPr>
    </w:p>
    <w:p w14:paraId="242F7CD3" w14:textId="77777777" w:rsidR="00AB6D5E" w:rsidRPr="008A4F40" w:rsidRDefault="00AB6D5E" w:rsidP="004E7659">
      <w:pPr>
        <w:rPr>
          <w:color w:val="000000"/>
          <w:sz w:val="22"/>
          <w:szCs w:val="22"/>
        </w:rPr>
      </w:pPr>
    </w:p>
    <w:p w14:paraId="4CD4701C"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3.</w:t>
      </w:r>
      <w:r w:rsidRPr="008A4F40">
        <w:rPr>
          <w:b/>
          <w:color w:val="000000"/>
          <w:sz w:val="22"/>
          <w:szCs w:val="22"/>
        </w:rPr>
        <w:tab/>
        <w:t>SONSTIGE BESTANDTEILE</w:t>
      </w:r>
    </w:p>
    <w:p w14:paraId="0CDDCAA0" w14:textId="77777777" w:rsidR="00AB6D5E" w:rsidRPr="008A4F40" w:rsidRDefault="00AB6D5E" w:rsidP="004E7659">
      <w:pPr>
        <w:rPr>
          <w:color w:val="000000"/>
          <w:sz w:val="22"/>
          <w:szCs w:val="22"/>
        </w:rPr>
      </w:pPr>
    </w:p>
    <w:p w14:paraId="33B3178B" w14:textId="77777777" w:rsidR="00AB6D5E" w:rsidRPr="008A4F40" w:rsidRDefault="00AB6D5E" w:rsidP="004E7659">
      <w:pPr>
        <w:rPr>
          <w:color w:val="000000"/>
          <w:sz w:val="22"/>
          <w:szCs w:val="22"/>
        </w:rPr>
      </w:pPr>
    </w:p>
    <w:p w14:paraId="789B0AE8"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4.</w:t>
      </w:r>
      <w:r w:rsidRPr="008A4F40">
        <w:rPr>
          <w:b/>
          <w:color w:val="000000"/>
          <w:sz w:val="22"/>
          <w:szCs w:val="22"/>
        </w:rPr>
        <w:tab/>
        <w:t>DARREICHUNGSFORM UND INHALT</w:t>
      </w:r>
    </w:p>
    <w:p w14:paraId="6EFE5732" w14:textId="77777777" w:rsidR="00AB6D5E" w:rsidRPr="008A4F40" w:rsidRDefault="00AB6D5E" w:rsidP="004E7659">
      <w:pPr>
        <w:rPr>
          <w:color w:val="000000"/>
          <w:sz w:val="22"/>
          <w:szCs w:val="22"/>
        </w:rPr>
      </w:pPr>
    </w:p>
    <w:p w14:paraId="2E640F2D" w14:textId="77777777" w:rsidR="00AB6D5E" w:rsidRPr="008A4F40" w:rsidRDefault="00AB6D5E" w:rsidP="004E7659">
      <w:pPr>
        <w:rPr>
          <w:color w:val="000000"/>
          <w:sz w:val="22"/>
          <w:szCs w:val="22"/>
        </w:rPr>
      </w:pPr>
      <w:r w:rsidRPr="008A4F40">
        <w:rPr>
          <w:color w:val="000000"/>
          <w:sz w:val="22"/>
          <w:szCs w:val="22"/>
        </w:rPr>
        <w:t>10 Filmtabletten</w:t>
      </w:r>
    </w:p>
    <w:p w14:paraId="4FA70E7C" w14:textId="77777777" w:rsidR="00AB6D5E" w:rsidRPr="008A4F40" w:rsidRDefault="00AB6D5E" w:rsidP="004E7659">
      <w:pPr>
        <w:rPr>
          <w:color w:val="000000"/>
          <w:sz w:val="22"/>
          <w:szCs w:val="22"/>
          <w:shd w:val="clear" w:color="auto" w:fill="D9D9D9"/>
        </w:rPr>
      </w:pPr>
      <w:r w:rsidRPr="008A4F40">
        <w:rPr>
          <w:color w:val="000000"/>
          <w:sz w:val="22"/>
          <w:szCs w:val="22"/>
          <w:shd w:val="clear" w:color="auto" w:fill="D9D9D9"/>
        </w:rPr>
        <w:t>30 Filmtabletten</w:t>
      </w:r>
    </w:p>
    <w:p w14:paraId="56E37C6B" w14:textId="77777777" w:rsidR="00AB6D5E" w:rsidRPr="008A4F40" w:rsidRDefault="00AB6D5E" w:rsidP="004E7659">
      <w:pPr>
        <w:rPr>
          <w:color w:val="000000"/>
          <w:sz w:val="22"/>
          <w:szCs w:val="22"/>
          <w:shd w:val="clear" w:color="auto" w:fill="D9D9D9"/>
        </w:rPr>
      </w:pPr>
      <w:r w:rsidRPr="008A4F40">
        <w:rPr>
          <w:color w:val="000000"/>
          <w:sz w:val="22"/>
          <w:szCs w:val="22"/>
          <w:shd w:val="clear" w:color="auto" w:fill="D9D9D9"/>
        </w:rPr>
        <w:t>90 Filmtabletten</w:t>
      </w:r>
    </w:p>
    <w:p w14:paraId="7028F8BF" w14:textId="77777777" w:rsidR="00AB6D5E" w:rsidRPr="008A4F40" w:rsidRDefault="00AB6D5E" w:rsidP="004E7659">
      <w:pPr>
        <w:rPr>
          <w:color w:val="000000"/>
          <w:sz w:val="22"/>
          <w:szCs w:val="22"/>
        </w:rPr>
      </w:pPr>
    </w:p>
    <w:p w14:paraId="6EDBBC75" w14:textId="77777777" w:rsidR="00AB6D5E" w:rsidRPr="008A4F40" w:rsidRDefault="00AB6D5E" w:rsidP="004E7659">
      <w:pPr>
        <w:rPr>
          <w:color w:val="000000"/>
          <w:sz w:val="22"/>
          <w:szCs w:val="22"/>
        </w:rPr>
      </w:pPr>
    </w:p>
    <w:p w14:paraId="7ED9C51E"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5.</w:t>
      </w:r>
      <w:r w:rsidRPr="008A4F40">
        <w:rPr>
          <w:b/>
          <w:color w:val="000000"/>
          <w:sz w:val="22"/>
          <w:szCs w:val="22"/>
        </w:rPr>
        <w:tab/>
        <w:t xml:space="preserve">HINWEISE ZUR UND </w:t>
      </w:r>
      <w:smartTag w:uri="urn:schemas-microsoft-com:office:smarttags" w:element="stockticker">
        <w:r w:rsidRPr="008A4F40">
          <w:rPr>
            <w:b/>
            <w:color w:val="000000"/>
            <w:sz w:val="22"/>
            <w:szCs w:val="22"/>
          </w:rPr>
          <w:t>ART</w:t>
        </w:r>
      </w:smartTag>
      <w:r w:rsidRPr="008A4F40">
        <w:rPr>
          <w:b/>
          <w:color w:val="000000"/>
          <w:sz w:val="22"/>
          <w:szCs w:val="22"/>
        </w:rPr>
        <w:t xml:space="preserve">(EN) </w:t>
      </w:r>
      <w:smartTag w:uri="urn:schemas-microsoft-com:office:smarttags" w:element="stockticker">
        <w:r w:rsidRPr="008A4F40">
          <w:rPr>
            <w:b/>
            <w:color w:val="000000"/>
            <w:sz w:val="22"/>
            <w:szCs w:val="22"/>
          </w:rPr>
          <w:t>DER</w:t>
        </w:r>
      </w:smartTag>
      <w:r w:rsidRPr="008A4F40">
        <w:rPr>
          <w:b/>
          <w:color w:val="000000"/>
          <w:sz w:val="22"/>
          <w:szCs w:val="22"/>
        </w:rPr>
        <w:t xml:space="preserve"> ANWENDUNG</w:t>
      </w:r>
    </w:p>
    <w:p w14:paraId="036C1068" w14:textId="77777777" w:rsidR="00AB6D5E" w:rsidRPr="008A4F40" w:rsidRDefault="00AB6D5E" w:rsidP="004E7659">
      <w:pPr>
        <w:rPr>
          <w:color w:val="000000"/>
          <w:sz w:val="22"/>
          <w:szCs w:val="22"/>
        </w:rPr>
      </w:pPr>
    </w:p>
    <w:p w14:paraId="63BE06AC" w14:textId="77777777" w:rsidR="00AB6D5E" w:rsidRPr="008A4F40" w:rsidRDefault="00AB6D5E" w:rsidP="004E7659">
      <w:pPr>
        <w:rPr>
          <w:color w:val="000000"/>
          <w:sz w:val="22"/>
          <w:szCs w:val="22"/>
        </w:rPr>
      </w:pPr>
      <w:r w:rsidRPr="008A4F40">
        <w:rPr>
          <w:color w:val="000000"/>
          <w:sz w:val="22"/>
          <w:szCs w:val="22"/>
        </w:rPr>
        <w:t>Zum Einnehmen. Packungsbeilage beachten.</w:t>
      </w:r>
    </w:p>
    <w:p w14:paraId="0C12EABA" w14:textId="77777777" w:rsidR="00AB6D5E" w:rsidRPr="008A4F40" w:rsidRDefault="00AB6D5E" w:rsidP="004E7659">
      <w:pPr>
        <w:rPr>
          <w:color w:val="000000"/>
          <w:sz w:val="22"/>
          <w:szCs w:val="22"/>
        </w:rPr>
      </w:pPr>
    </w:p>
    <w:p w14:paraId="4CC386CF" w14:textId="77777777" w:rsidR="00AB6D5E" w:rsidRPr="008A4F40" w:rsidRDefault="00AB6D5E" w:rsidP="004E7659">
      <w:pPr>
        <w:rPr>
          <w:color w:val="000000"/>
          <w:sz w:val="22"/>
          <w:szCs w:val="22"/>
        </w:rPr>
      </w:pPr>
    </w:p>
    <w:p w14:paraId="0417979B"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6.</w:t>
      </w:r>
      <w:r w:rsidRPr="008A4F40">
        <w:rPr>
          <w:b/>
          <w:color w:val="000000"/>
          <w:sz w:val="22"/>
          <w:szCs w:val="22"/>
        </w:rPr>
        <w:tab/>
        <w:t xml:space="preserve">WARNHINWEIS, DASS DAS ARZNEIMITTEL FÜR KINDER </w:t>
      </w:r>
      <w:r w:rsidR="00FE1A89" w:rsidRPr="008A4F40">
        <w:rPr>
          <w:b/>
          <w:sz w:val="22"/>
          <w:szCs w:val="22"/>
        </w:rPr>
        <w:t xml:space="preserve">UNZUGÄNGLICH </w:t>
      </w:r>
      <w:r w:rsidRPr="008A4F40">
        <w:rPr>
          <w:b/>
          <w:color w:val="000000"/>
          <w:sz w:val="22"/>
          <w:szCs w:val="22"/>
        </w:rPr>
        <w:t>AUFZUBEWAHREN IST</w:t>
      </w:r>
    </w:p>
    <w:p w14:paraId="181FD813" w14:textId="77777777" w:rsidR="00AB6D5E" w:rsidRPr="008A4F40" w:rsidRDefault="00AB6D5E" w:rsidP="004E7659">
      <w:pPr>
        <w:rPr>
          <w:color w:val="000000"/>
          <w:sz w:val="22"/>
          <w:szCs w:val="22"/>
        </w:rPr>
      </w:pPr>
    </w:p>
    <w:p w14:paraId="18B0FE50" w14:textId="77777777" w:rsidR="00AB6D5E" w:rsidRPr="00A24EE4" w:rsidRDefault="00AB6D5E" w:rsidP="004E7659">
      <w:pPr>
        <w:rPr>
          <w:sz w:val="22"/>
          <w:szCs w:val="22"/>
        </w:rPr>
      </w:pPr>
      <w:r w:rsidRPr="00A24EE4">
        <w:rPr>
          <w:sz w:val="22"/>
          <w:szCs w:val="22"/>
        </w:rPr>
        <w:t>Arzneimittel für Kinder unzugänglich aufbewahren.</w:t>
      </w:r>
    </w:p>
    <w:p w14:paraId="5918F962" w14:textId="77777777" w:rsidR="00AB6D5E" w:rsidRPr="008A4F40" w:rsidRDefault="00AB6D5E" w:rsidP="004E7659">
      <w:pPr>
        <w:rPr>
          <w:color w:val="000000"/>
          <w:sz w:val="22"/>
          <w:szCs w:val="22"/>
        </w:rPr>
      </w:pPr>
    </w:p>
    <w:p w14:paraId="2E2418E4" w14:textId="77777777" w:rsidR="00AB6D5E" w:rsidRPr="008A4F40" w:rsidRDefault="00AB6D5E" w:rsidP="004E7659">
      <w:pPr>
        <w:rPr>
          <w:color w:val="000000"/>
          <w:sz w:val="22"/>
          <w:szCs w:val="22"/>
        </w:rPr>
      </w:pPr>
    </w:p>
    <w:p w14:paraId="39DBB912"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7.</w:t>
      </w:r>
      <w:r w:rsidRPr="008A4F40">
        <w:rPr>
          <w:b/>
          <w:color w:val="000000"/>
          <w:sz w:val="22"/>
          <w:szCs w:val="22"/>
        </w:rPr>
        <w:tab/>
        <w:t>WEITERE WARNHINWEISE, FALLS ERFORDERLICH</w:t>
      </w:r>
    </w:p>
    <w:p w14:paraId="3D57C400" w14:textId="77777777" w:rsidR="00AB6D5E" w:rsidRPr="008A4F40" w:rsidRDefault="00AB6D5E" w:rsidP="004E7659">
      <w:pPr>
        <w:rPr>
          <w:color w:val="000000"/>
          <w:sz w:val="22"/>
          <w:szCs w:val="22"/>
        </w:rPr>
      </w:pPr>
    </w:p>
    <w:p w14:paraId="6B071362" w14:textId="77777777" w:rsidR="00AB6D5E" w:rsidRPr="008A4F40" w:rsidRDefault="00AB6D5E" w:rsidP="004E7659">
      <w:pPr>
        <w:rPr>
          <w:color w:val="000000"/>
          <w:sz w:val="22"/>
          <w:szCs w:val="22"/>
        </w:rPr>
      </w:pPr>
      <w:r w:rsidRPr="008A4F40">
        <w:rPr>
          <w:color w:val="000000"/>
          <w:sz w:val="22"/>
          <w:szCs w:val="22"/>
        </w:rPr>
        <w:t>Nur nach Anweisung des Arztes anwenden.</w:t>
      </w:r>
    </w:p>
    <w:p w14:paraId="097F7936" w14:textId="77777777" w:rsidR="00AB6D5E" w:rsidRPr="008A4F40" w:rsidRDefault="00AB6D5E" w:rsidP="004E7659">
      <w:pPr>
        <w:rPr>
          <w:color w:val="000000"/>
          <w:sz w:val="22"/>
          <w:szCs w:val="22"/>
        </w:rPr>
      </w:pPr>
    </w:p>
    <w:p w14:paraId="7A59C197" w14:textId="77777777" w:rsidR="00AB6D5E" w:rsidRPr="008A4F40" w:rsidRDefault="00AB6D5E" w:rsidP="004E7659">
      <w:pPr>
        <w:rPr>
          <w:color w:val="000000"/>
          <w:sz w:val="22"/>
          <w:szCs w:val="22"/>
        </w:rPr>
      </w:pPr>
    </w:p>
    <w:p w14:paraId="6064A7CD"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8.</w:t>
      </w:r>
      <w:r w:rsidRPr="008A4F40">
        <w:rPr>
          <w:b/>
          <w:color w:val="000000"/>
          <w:sz w:val="22"/>
          <w:szCs w:val="22"/>
        </w:rPr>
        <w:tab/>
        <w:t>VERFALLDATUM</w:t>
      </w:r>
    </w:p>
    <w:p w14:paraId="10865DAF" w14:textId="77777777" w:rsidR="00AB6D5E" w:rsidRPr="008A4F40" w:rsidRDefault="00AB6D5E" w:rsidP="004E7659">
      <w:pPr>
        <w:rPr>
          <w:color w:val="000000"/>
          <w:sz w:val="22"/>
          <w:szCs w:val="22"/>
        </w:rPr>
      </w:pPr>
    </w:p>
    <w:p w14:paraId="0DC4BFDE" w14:textId="475FA394" w:rsidR="00AB6D5E" w:rsidRPr="008A4F40" w:rsidRDefault="00AB6D5E" w:rsidP="004E7659">
      <w:pPr>
        <w:rPr>
          <w:color w:val="000000"/>
          <w:sz w:val="22"/>
          <w:szCs w:val="22"/>
        </w:rPr>
      </w:pPr>
      <w:del w:id="903" w:author="Author">
        <w:r w:rsidRPr="008A4F40" w:rsidDel="00B2659D">
          <w:rPr>
            <w:color w:val="000000"/>
            <w:sz w:val="22"/>
            <w:szCs w:val="22"/>
          </w:rPr>
          <w:delText>V</w:delText>
        </w:r>
      </w:del>
      <w:ins w:id="904" w:author="Author">
        <w:r w:rsidR="00B2659D">
          <w:rPr>
            <w:color w:val="000000"/>
            <w:sz w:val="22"/>
            <w:szCs w:val="22"/>
          </w:rPr>
          <w:t>v</w:t>
        </w:r>
      </w:ins>
      <w:r w:rsidRPr="008A4F40">
        <w:rPr>
          <w:color w:val="000000"/>
          <w:sz w:val="22"/>
          <w:szCs w:val="22"/>
        </w:rPr>
        <w:t>erwendbar bis</w:t>
      </w:r>
    </w:p>
    <w:p w14:paraId="50017174" w14:textId="77777777" w:rsidR="00AB6D5E" w:rsidRPr="008A4F40" w:rsidRDefault="00AB6D5E" w:rsidP="004E7659">
      <w:pPr>
        <w:rPr>
          <w:color w:val="000000"/>
          <w:sz w:val="22"/>
          <w:szCs w:val="22"/>
        </w:rPr>
      </w:pPr>
    </w:p>
    <w:p w14:paraId="626A45C2" w14:textId="77777777" w:rsidR="00AB6D5E" w:rsidRPr="008A4F40" w:rsidRDefault="00AB6D5E" w:rsidP="004E7659">
      <w:pPr>
        <w:rPr>
          <w:color w:val="000000"/>
          <w:sz w:val="22"/>
          <w:szCs w:val="22"/>
        </w:rPr>
      </w:pPr>
    </w:p>
    <w:p w14:paraId="2202FC6B"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9.</w:t>
      </w:r>
      <w:r w:rsidRPr="008A4F40">
        <w:rPr>
          <w:b/>
          <w:color w:val="000000"/>
          <w:sz w:val="22"/>
          <w:szCs w:val="22"/>
        </w:rPr>
        <w:tab/>
        <w:t xml:space="preserve">BESONDERE </w:t>
      </w:r>
      <w:r w:rsidR="00BF10B5" w:rsidRPr="008A4F40">
        <w:rPr>
          <w:b/>
          <w:color w:val="000000"/>
          <w:sz w:val="22"/>
          <w:szCs w:val="22"/>
        </w:rPr>
        <w:t>VORSICHTSMASSNAHMEN FÜR DIE AUFBEWAHRUNG</w:t>
      </w:r>
    </w:p>
    <w:p w14:paraId="679A5FA6" w14:textId="77777777" w:rsidR="00AB6D5E" w:rsidRPr="008A4F40" w:rsidRDefault="00AB6D5E" w:rsidP="004E7659">
      <w:pPr>
        <w:rPr>
          <w:color w:val="000000"/>
          <w:sz w:val="22"/>
          <w:szCs w:val="22"/>
        </w:rPr>
      </w:pPr>
    </w:p>
    <w:p w14:paraId="285447C9" w14:textId="4CC73C60" w:rsidR="00AB6D5E" w:rsidRPr="008A4F40" w:rsidRDefault="00F81214" w:rsidP="004E7659">
      <w:pPr>
        <w:rPr>
          <w:color w:val="000000"/>
          <w:sz w:val="22"/>
          <w:szCs w:val="22"/>
        </w:rPr>
      </w:pPr>
      <w:r w:rsidRPr="008A4F40">
        <w:rPr>
          <w:color w:val="000000"/>
          <w:sz w:val="22"/>
          <w:szCs w:val="22"/>
        </w:rPr>
        <w:t>Nicht über 25</w:t>
      </w:r>
      <w:ins w:id="905" w:author="Author">
        <w:r w:rsidR="00B2659D">
          <w:rPr>
            <w:color w:val="000000"/>
            <w:sz w:val="22"/>
            <w:szCs w:val="22"/>
          </w:rPr>
          <w:t> </w:t>
        </w:r>
      </w:ins>
      <w:r w:rsidRPr="008A4F40">
        <w:rPr>
          <w:color w:val="000000"/>
          <w:sz w:val="22"/>
          <w:szCs w:val="22"/>
        </w:rPr>
        <w:t>°C lagern.</w:t>
      </w:r>
      <w:r w:rsidR="00AB6D5E" w:rsidRPr="008A4F40">
        <w:rPr>
          <w:color w:val="000000"/>
          <w:sz w:val="22"/>
          <w:szCs w:val="22"/>
        </w:rPr>
        <w:t xml:space="preserve"> In der Originalverpackung aufbewahren, um den Inhalt vor Feuchtigkeit zu schützen.</w:t>
      </w:r>
    </w:p>
    <w:p w14:paraId="4452B3C0" w14:textId="77777777" w:rsidR="00AB6D5E" w:rsidRPr="008A4F40" w:rsidRDefault="00AB6D5E" w:rsidP="004E7659">
      <w:pPr>
        <w:rPr>
          <w:color w:val="000000"/>
          <w:sz w:val="22"/>
          <w:szCs w:val="22"/>
        </w:rPr>
      </w:pPr>
    </w:p>
    <w:p w14:paraId="33C69C66" w14:textId="77777777" w:rsidR="00AB6D5E" w:rsidRPr="008A4F40" w:rsidRDefault="00AB6D5E" w:rsidP="004E7659">
      <w:pPr>
        <w:rPr>
          <w:color w:val="000000"/>
          <w:sz w:val="22"/>
          <w:szCs w:val="22"/>
        </w:rPr>
      </w:pPr>
    </w:p>
    <w:p w14:paraId="656AD21D"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10.</w:t>
      </w:r>
      <w:r w:rsidRPr="008A4F40">
        <w:rPr>
          <w:b/>
          <w:color w:val="000000"/>
          <w:sz w:val="22"/>
          <w:szCs w:val="22"/>
        </w:rPr>
        <w:tab/>
        <w:t>GEGEBENENFALLS BESONDERE VORSICHTSMASSNAHMEN FÜR DIE BESEITIGUNG VON NICHT VERWENDETEM ARZNEIMITTEL ODER DAVON STAMMENDEN ABFALLMATERIALIEN</w:t>
      </w:r>
    </w:p>
    <w:p w14:paraId="4E0B934D" w14:textId="77777777" w:rsidR="00AB6D5E" w:rsidRPr="008A4F40" w:rsidRDefault="00AB6D5E" w:rsidP="004E7659">
      <w:pPr>
        <w:rPr>
          <w:color w:val="000000"/>
          <w:sz w:val="22"/>
          <w:szCs w:val="22"/>
        </w:rPr>
      </w:pPr>
    </w:p>
    <w:p w14:paraId="2D1ED8F9" w14:textId="77777777" w:rsidR="00AB6D5E" w:rsidRPr="008A4F40" w:rsidRDefault="00AB6D5E" w:rsidP="004E7659">
      <w:pPr>
        <w:rPr>
          <w:color w:val="000000"/>
          <w:sz w:val="22"/>
          <w:szCs w:val="22"/>
        </w:rPr>
      </w:pPr>
    </w:p>
    <w:p w14:paraId="1376A6CB"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11.</w:t>
      </w:r>
      <w:r w:rsidRPr="008A4F40">
        <w:rPr>
          <w:b/>
          <w:color w:val="000000"/>
          <w:sz w:val="22"/>
          <w:szCs w:val="22"/>
        </w:rPr>
        <w:tab/>
        <w:t xml:space="preserve">NAME UND ANSCHRIFT </w:t>
      </w:r>
      <w:smartTag w:uri="urn:schemas-microsoft-com:office:smarttags" w:element="stockticker">
        <w:r w:rsidRPr="008A4F40">
          <w:rPr>
            <w:b/>
            <w:color w:val="000000"/>
            <w:sz w:val="22"/>
            <w:szCs w:val="22"/>
          </w:rPr>
          <w:t>DES</w:t>
        </w:r>
      </w:smartTag>
      <w:r w:rsidRPr="008A4F40">
        <w:rPr>
          <w:b/>
          <w:color w:val="000000"/>
          <w:sz w:val="22"/>
          <w:szCs w:val="22"/>
        </w:rPr>
        <w:t xml:space="preserve"> PHARMAZEUTISCHEN UNTERNEHMERS</w:t>
      </w:r>
    </w:p>
    <w:p w14:paraId="49E98785" w14:textId="77777777" w:rsidR="00AB6D5E" w:rsidRPr="008A4F40" w:rsidRDefault="00AB6D5E" w:rsidP="004E7659">
      <w:pPr>
        <w:ind w:left="567" w:hanging="567"/>
        <w:rPr>
          <w:color w:val="000000"/>
          <w:sz w:val="22"/>
          <w:szCs w:val="22"/>
        </w:rPr>
      </w:pPr>
    </w:p>
    <w:p w14:paraId="1F00E7FD" w14:textId="77777777" w:rsidR="00AB6D5E" w:rsidRPr="008A4F40" w:rsidRDefault="00AB6D5E" w:rsidP="004E7659">
      <w:pPr>
        <w:keepNext/>
        <w:ind w:left="567" w:hanging="567"/>
        <w:rPr>
          <w:color w:val="000000"/>
          <w:sz w:val="22"/>
          <w:szCs w:val="22"/>
          <w:lang w:val="en-US"/>
        </w:rPr>
      </w:pPr>
      <w:r w:rsidRPr="008A4F40">
        <w:rPr>
          <w:color w:val="000000"/>
          <w:sz w:val="22"/>
          <w:szCs w:val="22"/>
          <w:lang w:val="en-US"/>
        </w:rPr>
        <w:t xml:space="preserve">Novartis </w:t>
      </w:r>
      <w:proofErr w:type="spellStart"/>
      <w:r w:rsidRPr="008A4F40">
        <w:rPr>
          <w:color w:val="000000"/>
          <w:sz w:val="22"/>
          <w:szCs w:val="22"/>
          <w:lang w:val="en-US"/>
        </w:rPr>
        <w:t>Europharm</w:t>
      </w:r>
      <w:proofErr w:type="spellEnd"/>
      <w:r w:rsidRPr="008A4F40">
        <w:rPr>
          <w:color w:val="000000"/>
          <w:sz w:val="22"/>
          <w:szCs w:val="22"/>
          <w:lang w:val="en-US"/>
        </w:rPr>
        <w:t xml:space="preserve"> Limited</w:t>
      </w:r>
    </w:p>
    <w:p w14:paraId="00D09341" w14:textId="77777777" w:rsidR="002C158B" w:rsidRPr="008A4F40" w:rsidRDefault="002C158B" w:rsidP="004E7659">
      <w:pPr>
        <w:keepNext/>
        <w:rPr>
          <w:color w:val="000000"/>
          <w:sz w:val="22"/>
          <w:szCs w:val="22"/>
          <w:lang w:val="en-US"/>
        </w:rPr>
      </w:pPr>
      <w:r w:rsidRPr="008A4F40">
        <w:rPr>
          <w:color w:val="000000"/>
          <w:sz w:val="22"/>
          <w:szCs w:val="22"/>
          <w:lang w:val="en-US"/>
        </w:rPr>
        <w:t>Vista Building</w:t>
      </w:r>
    </w:p>
    <w:p w14:paraId="5CADDCE2" w14:textId="77777777" w:rsidR="002C158B" w:rsidRPr="008A4F40" w:rsidRDefault="002C158B" w:rsidP="004E7659">
      <w:pPr>
        <w:keepNext/>
        <w:rPr>
          <w:color w:val="000000"/>
          <w:sz w:val="22"/>
          <w:szCs w:val="22"/>
          <w:lang w:val="en-US"/>
        </w:rPr>
      </w:pPr>
      <w:r w:rsidRPr="008A4F40">
        <w:rPr>
          <w:color w:val="000000"/>
          <w:sz w:val="22"/>
          <w:szCs w:val="22"/>
          <w:lang w:val="en-US"/>
        </w:rPr>
        <w:t>Elm Park, Merrion Road</w:t>
      </w:r>
    </w:p>
    <w:p w14:paraId="14FFB3C1" w14:textId="77777777" w:rsidR="002C158B" w:rsidRPr="008A4F40" w:rsidRDefault="002C158B" w:rsidP="004E7659">
      <w:pPr>
        <w:keepNext/>
        <w:rPr>
          <w:color w:val="000000"/>
          <w:sz w:val="22"/>
          <w:szCs w:val="22"/>
        </w:rPr>
      </w:pPr>
      <w:r w:rsidRPr="008A4F40">
        <w:rPr>
          <w:color w:val="000000"/>
          <w:sz w:val="22"/>
          <w:szCs w:val="22"/>
        </w:rPr>
        <w:t>Dublin 4</w:t>
      </w:r>
    </w:p>
    <w:p w14:paraId="309FB666" w14:textId="77777777" w:rsidR="00AB6D5E" w:rsidRPr="008A4F40" w:rsidRDefault="002C158B" w:rsidP="004E7659">
      <w:pPr>
        <w:ind w:left="567" w:hanging="567"/>
        <w:rPr>
          <w:color w:val="000000"/>
          <w:sz w:val="22"/>
          <w:szCs w:val="22"/>
        </w:rPr>
      </w:pPr>
      <w:r w:rsidRPr="008A4F40">
        <w:rPr>
          <w:color w:val="000000"/>
          <w:sz w:val="22"/>
          <w:szCs w:val="22"/>
        </w:rPr>
        <w:t>Irland</w:t>
      </w:r>
    </w:p>
    <w:p w14:paraId="7A25453C" w14:textId="77777777" w:rsidR="00AB6D5E" w:rsidRPr="008A4F40" w:rsidRDefault="00AB6D5E" w:rsidP="004E7659">
      <w:pPr>
        <w:ind w:left="567" w:hanging="567"/>
        <w:rPr>
          <w:color w:val="000000"/>
          <w:sz w:val="22"/>
          <w:szCs w:val="22"/>
        </w:rPr>
      </w:pPr>
    </w:p>
    <w:p w14:paraId="02DE1B5E" w14:textId="77777777" w:rsidR="00AB6D5E" w:rsidRPr="008A4F40" w:rsidRDefault="00AB6D5E" w:rsidP="004E7659">
      <w:pPr>
        <w:ind w:left="567" w:hanging="567"/>
        <w:rPr>
          <w:color w:val="000000"/>
          <w:sz w:val="22"/>
          <w:szCs w:val="22"/>
        </w:rPr>
      </w:pPr>
    </w:p>
    <w:p w14:paraId="1DCC8F56"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12.</w:t>
      </w:r>
      <w:r w:rsidRPr="008A4F40">
        <w:rPr>
          <w:b/>
          <w:color w:val="000000"/>
          <w:sz w:val="22"/>
          <w:szCs w:val="22"/>
        </w:rPr>
        <w:tab/>
        <w:t>ZULASSUNGSNUMMER(N)</w:t>
      </w:r>
    </w:p>
    <w:p w14:paraId="4BA393D6" w14:textId="77777777" w:rsidR="00AB6D5E" w:rsidRPr="008A4F40" w:rsidRDefault="00AB6D5E" w:rsidP="004E7659">
      <w:pPr>
        <w:ind w:left="567" w:hanging="567"/>
        <w:rPr>
          <w:color w:val="000000"/>
          <w:sz w:val="22"/>
          <w:szCs w:val="22"/>
        </w:rPr>
      </w:pPr>
    </w:p>
    <w:p w14:paraId="5D6B4F0F" w14:textId="77777777" w:rsidR="00AB6D5E" w:rsidRPr="008A4F40" w:rsidRDefault="00AB6D5E" w:rsidP="004E7659">
      <w:pPr>
        <w:pStyle w:val="Header"/>
        <w:tabs>
          <w:tab w:val="clear" w:pos="4320"/>
          <w:tab w:val="clear" w:pos="8640"/>
          <w:tab w:val="left" w:pos="2268"/>
        </w:tabs>
        <w:rPr>
          <w:color w:val="000000"/>
          <w:szCs w:val="22"/>
          <w:shd w:val="clear" w:color="auto" w:fill="D9D9D9"/>
          <w:lang w:val="de-CH"/>
        </w:rPr>
      </w:pPr>
      <w:r w:rsidRPr="008A4F40">
        <w:rPr>
          <w:color w:val="000000"/>
          <w:szCs w:val="22"/>
          <w:lang w:val="de-CH"/>
        </w:rPr>
        <w:t>EU/1/01/198/009</w:t>
      </w:r>
      <w:r w:rsidRPr="008A4F40">
        <w:rPr>
          <w:color w:val="000000"/>
          <w:szCs w:val="22"/>
          <w:lang w:val="de-CH"/>
        </w:rPr>
        <w:tab/>
      </w:r>
      <w:r w:rsidRPr="008A4F40">
        <w:rPr>
          <w:color w:val="000000"/>
          <w:szCs w:val="22"/>
          <w:shd w:val="clear" w:color="auto" w:fill="D9D9D9"/>
          <w:lang w:val="de-CH"/>
        </w:rPr>
        <w:t>10 Tabletten</w:t>
      </w:r>
    </w:p>
    <w:p w14:paraId="78C4D5E0" w14:textId="77777777" w:rsidR="00AB6D5E" w:rsidRPr="008A4F40" w:rsidRDefault="00AB6D5E" w:rsidP="004E7659">
      <w:pPr>
        <w:tabs>
          <w:tab w:val="left" w:pos="2268"/>
        </w:tabs>
        <w:rPr>
          <w:color w:val="000000"/>
          <w:sz w:val="22"/>
          <w:szCs w:val="22"/>
          <w:shd w:val="clear" w:color="auto" w:fill="D9D9D9"/>
          <w:lang w:val="de-CH"/>
        </w:rPr>
      </w:pPr>
      <w:r w:rsidRPr="008A4F40">
        <w:rPr>
          <w:color w:val="000000"/>
          <w:sz w:val="22"/>
          <w:szCs w:val="22"/>
          <w:shd w:val="clear" w:color="auto" w:fill="D9D9D9"/>
          <w:lang w:val="de-CH"/>
        </w:rPr>
        <w:t>EU/1/01/198/010</w:t>
      </w:r>
      <w:r w:rsidRPr="008A4F40">
        <w:rPr>
          <w:color w:val="000000"/>
          <w:sz w:val="22"/>
          <w:szCs w:val="22"/>
          <w:shd w:val="clear" w:color="auto" w:fill="D9D9D9"/>
          <w:lang w:val="de-CH"/>
        </w:rPr>
        <w:tab/>
        <w:t>30 Tabletten</w:t>
      </w:r>
    </w:p>
    <w:p w14:paraId="324DF401" w14:textId="77777777" w:rsidR="00AB6D5E" w:rsidRPr="008A4F40" w:rsidRDefault="00AB6D5E" w:rsidP="004E7659">
      <w:pPr>
        <w:tabs>
          <w:tab w:val="left" w:pos="2268"/>
        </w:tabs>
        <w:rPr>
          <w:color w:val="000000"/>
          <w:sz w:val="22"/>
          <w:szCs w:val="22"/>
          <w:shd w:val="clear" w:color="auto" w:fill="D9D9D9"/>
          <w:lang w:val="de-CH"/>
        </w:rPr>
      </w:pPr>
      <w:r w:rsidRPr="008A4F40">
        <w:rPr>
          <w:color w:val="000000"/>
          <w:sz w:val="22"/>
          <w:szCs w:val="22"/>
          <w:shd w:val="clear" w:color="auto" w:fill="D9D9D9"/>
          <w:lang w:val="de-CH"/>
        </w:rPr>
        <w:t>EU/1/01/198/013</w:t>
      </w:r>
      <w:r w:rsidRPr="008A4F40">
        <w:rPr>
          <w:color w:val="000000"/>
          <w:sz w:val="22"/>
          <w:szCs w:val="22"/>
          <w:shd w:val="clear" w:color="auto" w:fill="D9D9D9"/>
          <w:lang w:val="de-CH"/>
        </w:rPr>
        <w:tab/>
        <w:t>90 Tabletten</w:t>
      </w:r>
    </w:p>
    <w:p w14:paraId="73968721" w14:textId="77777777" w:rsidR="00AB6D5E" w:rsidRPr="008A4F40" w:rsidRDefault="00AB6D5E" w:rsidP="004E7659">
      <w:pPr>
        <w:rPr>
          <w:color w:val="000000"/>
          <w:sz w:val="22"/>
          <w:szCs w:val="22"/>
          <w:lang w:val="de-CH"/>
        </w:rPr>
      </w:pPr>
    </w:p>
    <w:p w14:paraId="70CAE2BD" w14:textId="77777777" w:rsidR="00AB6D5E" w:rsidRPr="008A4F40" w:rsidRDefault="00AB6D5E" w:rsidP="004E7659">
      <w:pPr>
        <w:rPr>
          <w:color w:val="000000"/>
          <w:sz w:val="22"/>
          <w:szCs w:val="22"/>
          <w:lang w:val="de-CH"/>
        </w:rPr>
      </w:pPr>
    </w:p>
    <w:p w14:paraId="32696047"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13.</w:t>
      </w:r>
      <w:r w:rsidRPr="008A4F40">
        <w:rPr>
          <w:b/>
          <w:color w:val="000000"/>
          <w:sz w:val="22"/>
          <w:szCs w:val="22"/>
        </w:rPr>
        <w:tab/>
        <w:t>CHARGENBEZEICHNUNG</w:t>
      </w:r>
    </w:p>
    <w:p w14:paraId="0F9F41C3" w14:textId="77777777" w:rsidR="00AB6D5E" w:rsidRPr="008A4F40" w:rsidRDefault="00AB6D5E" w:rsidP="004E7659">
      <w:pPr>
        <w:rPr>
          <w:color w:val="000000"/>
          <w:sz w:val="22"/>
          <w:szCs w:val="22"/>
        </w:rPr>
      </w:pPr>
    </w:p>
    <w:p w14:paraId="6BAA91A1" w14:textId="77777777" w:rsidR="00AB6D5E" w:rsidRPr="008A4F40" w:rsidRDefault="00AB6D5E" w:rsidP="004E7659">
      <w:pPr>
        <w:rPr>
          <w:color w:val="000000"/>
          <w:sz w:val="22"/>
          <w:szCs w:val="22"/>
        </w:rPr>
      </w:pPr>
      <w:r w:rsidRPr="008A4F40">
        <w:rPr>
          <w:color w:val="000000"/>
          <w:sz w:val="22"/>
          <w:szCs w:val="22"/>
        </w:rPr>
        <w:t>Ch.-B.</w:t>
      </w:r>
      <w:del w:id="906" w:author="Author">
        <w:r w:rsidRPr="008A4F40" w:rsidDel="00B2659D">
          <w:rPr>
            <w:color w:val="000000"/>
            <w:sz w:val="22"/>
            <w:szCs w:val="22"/>
          </w:rPr>
          <w:delText>:</w:delText>
        </w:r>
      </w:del>
    </w:p>
    <w:p w14:paraId="09A1CBBF" w14:textId="77777777" w:rsidR="00AB6D5E" w:rsidRPr="008A4F40" w:rsidRDefault="00AB6D5E" w:rsidP="004E7659">
      <w:pPr>
        <w:rPr>
          <w:color w:val="000000"/>
          <w:sz w:val="22"/>
          <w:szCs w:val="22"/>
        </w:rPr>
      </w:pPr>
    </w:p>
    <w:p w14:paraId="1F12146A" w14:textId="77777777" w:rsidR="00AB6D5E" w:rsidRPr="008A4F40" w:rsidRDefault="00AB6D5E" w:rsidP="004E7659">
      <w:pPr>
        <w:rPr>
          <w:color w:val="000000"/>
          <w:sz w:val="22"/>
          <w:szCs w:val="22"/>
        </w:rPr>
      </w:pPr>
    </w:p>
    <w:p w14:paraId="13A5D890"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14.</w:t>
      </w:r>
      <w:r w:rsidRPr="008A4F40">
        <w:rPr>
          <w:b/>
          <w:color w:val="000000"/>
          <w:sz w:val="22"/>
          <w:szCs w:val="22"/>
        </w:rPr>
        <w:tab/>
        <w:t>VERKAUFSABGRENZUNG</w:t>
      </w:r>
    </w:p>
    <w:p w14:paraId="5C71CCAD" w14:textId="77777777" w:rsidR="00AB6D5E" w:rsidRPr="008A4F40" w:rsidRDefault="00AB6D5E" w:rsidP="004E7659">
      <w:pPr>
        <w:rPr>
          <w:color w:val="000000"/>
          <w:sz w:val="22"/>
          <w:szCs w:val="22"/>
        </w:rPr>
      </w:pPr>
    </w:p>
    <w:p w14:paraId="14C5E3D0" w14:textId="77777777" w:rsidR="00AB6D5E" w:rsidRPr="008A4F40" w:rsidRDefault="00AB6D5E" w:rsidP="004E7659">
      <w:pPr>
        <w:rPr>
          <w:color w:val="000000"/>
          <w:sz w:val="22"/>
          <w:szCs w:val="22"/>
        </w:rPr>
      </w:pPr>
    </w:p>
    <w:p w14:paraId="06C169AC"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8A4F40">
        <w:rPr>
          <w:b/>
          <w:caps/>
          <w:color w:val="000000"/>
          <w:sz w:val="22"/>
          <w:szCs w:val="22"/>
        </w:rPr>
        <w:t>15.</w:t>
      </w:r>
      <w:r w:rsidRPr="008A4F40">
        <w:rPr>
          <w:b/>
          <w:caps/>
          <w:color w:val="000000"/>
          <w:sz w:val="22"/>
          <w:szCs w:val="22"/>
        </w:rPr>
        <w:tab/>
        <w:t>HINWEISE FÜR DEN GEBRAUCH</w:t>
      </w:r>
    </w:p>
    <w:p w14:paraId="44FFAD6C" w14:textId="77777777" w:rsidR="00AB6D5E" w:rsidRPr="008A4F40" w:rsidRDefault="00AB6D5E" w:rsidP="004E7659">
      <w:pPr>
        <w:rPr>
          <w:noProof/>
          <w:color w:val="000000"/>
          <w:sz w:val="22"/>
          <w:szCs w:val="22"/>
        </w:rPr>
      </w:pPr>
    </w:p>
    <w:p w14:paraId="1FACDC15" w14:textId="77777777" w:rsidR="00AB6D5E" w:rsidRPr="008A4F40" w:rsidRDefault="00AB6D5E" w:rsidP="004E7659">
      <w:pPr>
        <w:rPr>
          <w:noProof/>
          <w:color w:val="000000"/>
          <w:sz w:val="22"/>
          <w:szCs w:val="22"/>
        </w:rPr>
      </w:pPr>
    </w:p>
    <w:p w14:paraId="4583CEEC"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aps/>
          <w:noProof/>
          <w:color w:val="000000"/>
          <w:sz w:val="22"/>
          <w:szCs w:val="22"/>
        </w:rPr>
      </w:pPr>
      <w:r w:rsidRPr="008A4F40">
        <w:rPr>
          <w:b/>
          <w:caps/>
          <w:noProof/>
          <w:color w:val="000000"/>
          <w:sz w:val="22"/>
          <w:szCs w:val="22"/>
        </w:rPr>
        <w:t>16.</w:t>
      </w:r>
      <w:r w:rsidRPr="008A4F40">
        <w:rPr>
          <w:b/>
          <w:caps/>
          <w:noProof/>
          <w:color w:val="000000"/>
          <w:sz w:val="22"/>
          <w:szCs w:val="22"/>
        </w:rPr>
        <w:tab/>
      </w:r>
      <w:r w:rsidR="00BF10B5" w:rsidRPr="008A4F40">
        <w:rPr>
          <w:b/>
          <w:caps/>
          <w:noProof/>
          <w:color w:val="000000"/>
          <w:sz w:val="22"/>
          <w:szCs w:val="22"/>
        </w:rPr>
        <w:t>ANGABEN IN BLINDEN</w:t>
      </w:r>
      <w:r w:rsidRPr="008A4F40">
        <w:rPr>
          <w:b/>
          <w:caps/>
          <w:noProof/>
          <w:color w:val="000000"/>
          <w:sz w:val="22"/>
          <w:szCs w:val="22"/>
        </w:rPr>
        <w:t>schrift</w:t>
      </w:r>
    </w:p>
    <w:p w14:paraId="6CA5FD89" w14:textId="77777777" w:rsidR="00AB6D5E" w:rsidRPr="008A4F40" w:rsidRDefault="00AB6D5E" w:rsidP="004E7659">
      <w:pPr>
        <w:rPr>
          <w:noProof/>
          <w:color w:val="000000"/>
          <w:sz w:val="22"/>
          <w:szCs w:val="22"/>
        </w:rPr>
      </w:pPr>
    </w:p>
    <w:p w14:paraId="36FC6DC0" w14:textId="77777777" w:rsidR="00AB6D5E" w:rsidRPr="008A4F40" w:rsidRDefault="00AB6D5E" w:rsidP="004E7659">
      <w:pPr>
        <w:rPr>
          <w:color w:val="000000"/>
          <w:sz w:val="22"/>
          <w:szCs w:val="22"/>
        </w:rPr>
      </w:pPr>
      <w:r w:rsidRPr="008A4F40">
        <w:rPr>
          <w:color w:val="000000"/>
          <w:sz w:val="22"/>
          <w:szCs w:val="22"/>
        </w:rPr>
        <w:t>Glivec 400 mg</w:t>
      </w:r>
    </w:p>
    <w:p w14:paraId="0D0B37B1" w14:textId="77777777" w:rsidR="00B7018B" w:rsidRPr="008A4F40" w:rsidRDefault="00B7018B" w:rsidP="004E7659">
      <w:pPr>
        <w:rPr>
          <w:color w:val="000000"/>
          <w:sz w:val="22"/>
          <w:szCs w:val="22"/>
        </w:rPr>
      </w:pPr>
    </w:p>
    <w:p w14:paraId="02644C15" w14:textId="77777777" w:rsidR="00B7018B" w:rsidRPr="008A4F40" w:rsidRDefault="00B7018B" w:rsidP="004E7659">
      <w:pPr>
        <w:rPr>
          <w:noProof/>
          <w:sz w:val="22"/>
          <w:szCs w:val="22"/>
          <w:shd w:val="clear" w:color="auto" w:fill="CCCCCC"/>
        </w:rPr>
      </w:pPr>
    </w:p>
    <w:p w14:paraId="5CC77FBE" w14:textId="77777777" w:rsidR="00B7018B" w:rsidRPr="008A4F40" w:rsidRDefault="00B7018B" w:rsidP="004E7659">
      <w:pPr>
        <w:pBdr>
          <w:top w:val="single" w:sz="4" w:space="1" w:color="auto"/>
          <w:left w:val="single" w:sz="4" w:space="4" w:color="auto"/>
          <w:bottom w:val="single" w:sz="4" w:space="1" w:color="auto"/>
          <w:right w:val="single" w:sz="4" w:space="4" w:color="auto"/>
        </w:pBdr>
        <w:ind w:left="-3"/>
        <w:rPr>
          <w:i/>
          <w:noProof/>
          <w:sz w:val="22"/>
          <w:szCs w:val="22"/>
        </w:rPr>
      </w:pPr>
      <w:r w:rsidRPr="008A4F40">
        <w:rPr>
          <w:b/>
          <w:noProof/>
          <w:sz w:val="22"/>
          <w:szCs w:val="22"/>
        </w:rPr>
        <w:t>17.</w:t>
      </w:r>
      <w:r w:rsidRPr="008A4F40">
        <w:rPr>
          <w:b/>
          <w:noProof/>
          <w:sz w:val="22"/>
          <w:szCs w:val="22"/>
        </w:rPr>
        <w:tab/>
        <w:t>INDIVIDUELLES ERKENNUNGSMERKMAL – 2D-BARCODE</w:t>
      </w:r>
    </w:p>
    <w:p w14:paraId="6C7C8C1E" w14:textId="77777777" w:rsidR="00B7018B" w:rsidRPr="008A4F40" w:rsidRDefault="00B7018B" w:rsidP="004E7659">
      <w:pPr>
        <w:rPr>
          <w:noProof/>
          <w:sz w:val="22"/>
          <w:szCs w:val="22"/>
        </w:rPr>
      </w:pPr>
    </w:p>
    <w:p w14:paraId="0118418E" w14:textId="77777777" w:rsidR="00B7018B" w:rsidRPr="008A4F40" w:rsidRDefault="00B7018B" w:rsidP="004E7659">
      <w:pPr>
        <w:rPr>
          <w:noProof/>
          <w:sz w:val="22"/>
          <w:szCs w:val="22"/>
          <w:shd w:val="clear" w:color="auto" w:fill="CCCCCC"/>
        </w:rPr>
      </w:pPr>
      <w:r w:rsidRPr="008A4F40">
        <w:rPr>
          <w:noProof/>
          <w:sz w:val="22"/>
          <w:szCs w:val="22"/>
          <w:shd w:val="pct15" w:color="auto" w:fill="auto"/>
        </w:rPr>
        <w:t>2D-Barcode mit individuellem Erkennungsmerkmal.</w:t>
      </w:r>
    </w:p>
    <w:p w14:paraId="1A97925F" w14:textId="77777777" w:rsidR="00B7018B" w:rsidRPr="008A4F40" w:rsidRDefault="00B7018B" w:rsidP="004E7659">
      <w:pPr>
        <w:rPr>
          <w:noProof/>
          <w:sz w:val="22"/>
          <w:szCs w:val="22"/>
        </w:rPr>
      </w:pPr>
    </w:p>
    <w:p w14:paraId="43D6F950" w14:textId="77777777" w:rsidR="00B7018B" w:rsidRPr="008A4F40" w:rsidRDefault="00B7018B" w:rsidP="004E7659">
      <w:pPr>
        <w:rPr>
          <w:noProof/>
          <w:sz w:val="22"/>
          <w:szCs w:val="22"/>
        </w:rPr>
      </w:pPr>
    </w:p>
    <w:p w14:paraId="29275D40" w14:textId="77777777" w:rsidR="00B7018B" w:rsidRPr="008A4F40" w:rsidRDefault="00B7018B" w:rsidP="004E7659">
      <w:pPr>
        <w:pBdr>
          <w:top w:val="single" w:sz="4" w:space="1" w:color="auto"/>
          <w:left w:val="single" w:sz="4" w:space="4" w:color="auto"/>
          <w:bottom w:val="single" w:sz="4" w:space="1" w:color="auto"/>
          <w:right w:val="single" w:sz="4" w:space="4" w:color="auto"/>
        </w:pBdr>
        <w:ind w:left="567" w:hanging="567"/>
        <w:rPr>
          <w:i/>
          <w:noProof/>
          <w:sz w:val="22"/>
          <w:szCs w:val="22"/>
        </w:rPr>
      </w:pPr>
      <w:r w:rsidRPr="008A4F40">
        <w:rPr>
          <w:b/>
          <w:noProof/>
          <w:sz w:val="22"/>
          <w:szCs w:val="22"/>
        </w:rPr>
        <w:t>18.</w:t>
      </w:r>
      <w:r w:rsidRPr="008A4F40">
        <w:rPr>
          <w:b/>
          <w:noProof/>
          <w:sz w:val="22"/>
          <w:szCs w:val="22"/>
        </w:rPr>
        <w:tab/>
        <w:t>INDIVIDUELLES ERKENNUNGSMERKMAL – VOM MENSCHEN LESBARES FORMAT</w:t>
      </w:r>
    </w:p>
    <w:p w14:paraId="663120B0" w14:textId="77777777" w:rsidR="00B7018B" w:rsidRPr="008A4F40" w:rsidRDefault="00B7018B" w:rsidP="004E7659">
      <w:pPr>
        <w:rPr>
          <w:noProof/>
          <w:sz w:val="22"/>
          <w:szCs w:val="22"/>
        </w:rPr>
      </w:pPr>
    </w:p>
    <w:p w14:paraId="05BFE1DF" w14:textId="0FE79449" w:rsidR="00B7018B" w:rsidRPr="008A4F40" w:rsidRDefault="00B7018B" w:rsidP="004E7659">
      <w:pPr>
        <w:rPr>
          <w:sz w:val="22"/>
          <w:szCs w:val="22"/>
        </w:rPr>
      </w:pPr>
      <w:r w:rsidRPr="008A4F40">
        <w:rPr>
          <w:sz w:val="22"/>
          <w:szCs w:val="22"/>
        </w:rPr>
        <w:t>PC</w:t>
      </w:r>
    </w:p>
    <w:p w14:paraId="2D48EB00" w14:textId="42307D34" w:rsidR="00B7018B" w:rsidRPr="008A4F40" w:rsidRDefault="00B7018B" w:rsidP="004E7659">
      <w:pPr>
        <w:rPr>
          <w:sz w:val="22"/>
          <w:szCs w:val="22"/>
        </w:rPr>
      </w:pPr>
      <w:r w:rsidRPr="008A4F40">
        <w:rPr>
          <w:sz w:val="22"/>
          <w:szCs w:val="22"/>
        </w:rPr>
        <w:t>SN</w:t>
      </w:r>
    </w:p>
    <w:p w14:paraId="616C214F" w14:textId="593FFA36" w:rsidR="00B7018B" w:rsidRPr="008A4F40" w:rsidRDefault="00B7018B" w:rsidP="004E7659">
      <w:pPr>
        <w:rPr>
          <w:sz w:val="22"/>
          <w:szCs w:val="22"/>
        </w:rPr>
      </w:pPr>
      <w:r w:rsidRPr="008A4F40">
        <w:rPr>
          <w:sz w:val="22"/>
          <w:szCs w:val="22"/>
        </w:rPr>
        <w:t>NN</w:t>
      </w:r>
    </w:p>
    <w:p w14:paraId="0C46CA64" w14:textId="77777777" w:rsidR="00AB6D5E" w:rsidRPr="008A4F40" w:rsidRDefault="00AB6D5E" w:rsidP="004E7659">
      <w:pPr>
        <w:shd w:val="clear" w:color="auto" w:fill="FFFFFF"/>
        <w:rPr>
          <w:color w:val="000000"/>
          <w:sz w:val="22"/>
          <w:szCs w:val="22"/>
        </w:rPr>
      </w:pPr>
      <w:r w:rsidRPr="008A4F40">
        <w:rPr>
          <w:color w:val="000000"/>
          <w:sz w:val="22"/>
          <w:szCs w:val="22"/>
        </w:rPr>
        <w:br w:type="page"/>
      </w:r>
    </w:p>
    <w:p w14:paraId="12CF0704" w14:textId="77777777" w:rsidR="001E3D49" w:rsidRPr="008A4F40" w:rsidRDefault="001E3D49" w:rsidP="004E7659">
      <w:pPr>
        <w:rPr>
          <w:color w:val="000000"/>
          <w:sz w:val="22"/>
          <w:szCs w:val="22"/>
        </w:rPr>
      </w:pPr>
    </w:p>
    <w:p w14:paraId="2B4CF022" w14:textId="77777777" w:rsidR="00AB6D5E" w:rsidRPr="008A4F40" w:rsidRDefault="00AB6D5E" w:rsidP="004E7659">
      <w:pPr>
        <w:pBdr>
          <w:top w:val="single" w:sz="4" w:space="1" w:color="auto"/>
          <w:left w:val="single" w:sz="4" w:space="4" w:color="auto"/>
          <w:bottom w:val="single" w:sz="4" w:space="1" w:color="auto"/>
          <w:right w:val="single" w:sz="4" w:space="4" w:color="auto"/>
        </w:pBdr>
        <w:rPr>
          <w:b/>
          <w:color w:val="000000"/>
          <w:sz w:val="22"/>
          <w:szCs w:val="22"/>
        </w:rPr>
      </w:pPr>
      <w:r w:rsidRPr="008A4F40">
        <w:rPr>
          <w:b/>
          <w:color w:val="000000"/>
          <w:sz w:val="22"/>
          <w:szCs w:val="22"/>
        </w:rPr>
        <w:t>MINDESTANGABEN AUF BLISTERPACKUNGEN ODER FOLIENSTREIFEN</w:t>
      </w:r>
    </w:p>
    <w:p w14:paraId="41A50D5C"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p>
    <w:p w14:paraId="73FE676C" w14:textId="77777777" w:rsidR="00AB6D5E" w:rsidRPr="008A4F40" w:rsidRDefault="00AB6D5E" w:rsidP="004E7659">
      <w:pPr>
        <w:pBdr>
          <w:top w:val="single" w:sz="4" w:space="1" w:color="auto"/>
          <w:left w:val="single" w:sz="4" w:space="4" w:color="auto"/>
          <w:bottom w:val="single" w:sz="4" w:space="1" w:color="auto"/>
          <w:right w:val="single" w:sz="4" w:space="4" w:color="auto"/>
        </w:pBdr>
        <w:rPr>
          <w:b/>
          <w:color w:val="000000"/>
          <w:sz w:val="22"/>
          <w:szCs w:val="22"/>
        </w:rPr>
      </w:pPr>
      <w:r w:rsidRPr="008A4F40">
        <w:rPr>
          <w:b/>
          <w:color w:val="000000"/>
          <w:sz w:val="22"/>
          <w:szCs w:val="22"/>
        </w:rPr>
        <w:t>BLISTERPACKUNGEN</w:t>
      </w:r>
    </w:p>
    <w:p w14:paraId="01D294BF" w14:textId="77777777" w:rsidR="00AB6D5E" w:rsidRPr="008A4F40" w:rsidRDefault="00AB6D5E" w:rsidP="004E7659">
      <w:pPr>
        <w:rPr>
          <w:color w:val="000000"/>
          <w:sz w:val="22"/>
          <w:szCs w:val="22"/>
        </w:rPr>
      </w:pPr>
    </w:p>
    <w:p w14:paraId="06A11644" w14:textId="77777777" w:rsidR="00AB6D5E" w:rsidRPr="008A4F40" w:rsidRDefault="00AB6D5E" w:rsidP="004E7659">
      <w:pPr>
        <w:rPr>
          <w:color w:val="000000"/>
          <w:sz w:val="22"/>
          <w:szCs w:val="22"/>
        </w:rPr>
      </w:pPr>
    </w:p>
    <w:p w14:paraId="6CDFEEFE"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1.</w:t>
      </w:r>
      <w:r w:rsidRPr="008A4F40">
        <w:rPr>
          <w:b/>
          <w:color w:val="000000"/>
          <w:sz w:val="22"/>
          <w:szCs w:val="22"/>
        </w:rPr>
        <w:tab/>
        <w:t xml:space="preserve">BEZEICHNUNG </w:t>
      </w:r>
      <w:smartTag w:uri="urn:schemas-microsoft-com:office:smarttags" w:element="stockticker">
        <w:r w:rsidRPr="008A4F40">
          <w:rPr>
            <w:b/>
            <w:color w:val="000000"/>
            <w:sz w:val="22"/>
            <w:szCs w:val="22"/>
          </w:rPr>
          <w:t>DES</w:t>
        </w:r>
      </w:smartTag>
      <w:r w:rsidRPr="008A4F40">
        <w:rPr>
          <w:b/>
          <w:color w:val="000000"/>
          <w:sz w:val="22"/>
          <w:szCs w:val="22"/>
        </w:rPr>
        <w:t xml:space="preserve"> ARZNEIMITTELS</w:t>
      </w:r>
    </w:p>
    <w:p w14:paraId="65E07142" w14:textId="77777777" w:rsidR="00AB6D5E" w:rsidRPr="008A4F40" w:rsidRDefault="00AB6D5E" w:rsidP="004E7659">
      <w:pPr>
        <w:rPr>
          <w:color w:val="000000"/>
          <w:sz w:val="22"/>
          <w:szCs w:val="22"/>
        </w:rPr>
      </w:pPr>
    </w:p>
    <w:p w14:paraId="6E65F0BA" w14:textId="77777777" w:rsidR="00AB6D5E" w:rsidRPr="008A4F40" w:rsidRDefault="00AB6D5E" w:rsidP="004E7659">
      <w:pPr>
        <w:rPr>
          <w:color w:val="000000"/>
          <w:sz w:val="22"/>
          <w:szCs w:val="22"/>
        </w:rPr>
      </w:pPr>
      <w:r w:rsidRPr="008A4F40">
        <w:rPr>
          <w:color w:val="000000"/>
          <w:sz w:val="22"/>
          <w:szCs w:val="22"/>
        </w:rPr>
        <w:t>Glivec 400 mg Tabletten</w:t>
      </w:r>
    </w:p>
    <w:p w14:paraId="57D10428" w14:textId="77777777" w:rsidR="00AB6D5E" w:rsidRPr="008A4F40" w:rsidRDefault="00AB6D5E" w:rsidP="004E7659">
      <w:pPr>
        <w:rPr>
          <w:color w:val="000000"/>
          <w:sz w:val="22"/>
          <w:szCs w:val="22"/>
        </w:rPr>
      </w:pPr>
      <w:r w:rsidRPr="008A4F40">
        <w:rPr>
          <w:color w:val="000000"/>
          <w:sz w:val="22"/>
          <w:szCs w:val="22"/>
        </w:rPr>
        <w:t>Imatinib</w:t>
      </w:r>
    </w:p>
    <w:p w14:paraId="089964A7" w14:textId="77777777" w:rsidR="00AB6D5E" w:rsidRPr="008A4F40" w:rsidRDefault="00AB6D5E" w:rsidP="004E7659">
      <w:pPr>
        <w:rPr>
          <w:color w:val="000000"/>
          <w:sz w:val="22"/>
          <w:szCs w:val="22"/>
        </w:rPr>
      </w:pPr>
    </w:p>
    <w:p w14:paraId="7FB70047" w14:textId="77777777" w:rsidR="00AB6D5E" w:rsidRPr="008A4F40" w:rsidRDefault="00AB6D5E" w:rsidP="004E7659">
      <w:pPr>
        <w:rPr>
          <w:color w:val="000000"/>
          <w:sz w:val="22"/>
          <w:szCs w:val="22"/>
        </w:rPr>
      </w:pPr>
    </w:p>
    <w:p w14:paraId="2A92AB0A"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2.</w:t>
      </w:r>
      <w:r w:rsidRPr="008A4F40">
        <w:rPr>
          <w:b/>
          <w:color w:val="000000"/>
          <w:sz w:val="22"/>
          <w:szCs w:val="22"/>
        </w:rPr>
        <w:tab/>
        <w:t xml:space="preserve">NAME </w:t>
      </w:r>
      <w:smartTag w:uri="urn:schemas-microsoft-com:office:smarttags" w:element="stockticker">
        <w:r w:rsidRPr="008A4F40">
          <w:rPr>
            <w:b/>
            <w:color w:val="000000"/>
            <w:sz w:val="22"/>
            <w:szCs w:val="22"/>
          </w:rPr>
          <w:t>DES</w:t>
        </w:r>
      </w:smartTag>
      <w:r w:rsidRPr="008A4F40">
        <w:rPr>
          <w:b/>
          <w:color w:val="000000"/>
          <w:sz w:val="22"/>
          <w:szCs w:val="22"/>
        </w:rPr>
        <w:t xml:space="preserve"> PHARMAZEUTISCHEN UNTERNEHMERS</w:t>
      </w:r>
    </w:p>
    <w:p w14:paraId="57B8733A" w14:textId="77777777" w:rsidR="00AB6D5E" w:rsidRPr="008A4F40" w:rsidRDefault="00AB6D5E" w:rsidP="004E7659">
      <w:pPr>
        <w:rPr>
          <w:color w:val="000000"/>
          <w:sz w:val="22"/>
          <w:szCs w:val="22"/>
        </w:rPr>
      </w:pPr>
    </w:p>
    <w:p w14:paraId="5A2954AE" w14:textId="77777777" w:rsidR="00AB6D5E" w:rsidRPr="008A4F40" w:rsidRDefault="00AB6D5E" w:rsidP="004E7659">
      <w:pPr>
        <w:rPr>
          <w:color w:val="000000"/>
          <w:sz w:val="22"/>
          <w:szCs w:val="22"/>
        </w:rPr>
      </w:pPr>
      <w:r w:rsidRPr="008A4F40">
        <w:rPr>
          <w:color w:val="000000"/>
          <w:sz w:val="22"/>
          <w:szCs w:val="22"/>
        </w:rPr>
        <w:t>Novartis Europharm Limited</w:t>
      </w:r>
    </w:p>
    <w:p w14:paraId="7EA28487" w14:textId="77777777" w:rsidR="00AB6D5E" w:rsidRPr="008A4F40" w:rsidRDefault="00AB6D5E" w:rsidP="004E7659">
      <w:pPr>
        <w:rPr>
          <w:color w:val="000000"/>
          <w:sz w:val="22"/>
          <w:szCs w:val="22"/>
        </w:rPr>
      </w:pPr>
    </w:p>
    <w:p w14:paraId="3BC32FC5" w14:textId="77777777" w:rsidR="00AB6D5E" w:rsidRPr="008A4F40" w:rsidRDefault="00AB6D5E" w:rsidP="004E7659">
      <w:pPr>
        <w:rPr>
          <w:color w:val="000000"/>
          <w:sz w:val="22"/>
          <w:szCs w:val="22"/>
        </w:rPr>
      </w:pPr>
    </w:p>
    <w:p w14:paraId="4A0C74CE"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3.</w:t>
      </w:r>
      <w:r w:rsidRPr="008A4F40">
        <w:rPr>
          <w:b/>
          <w:color w:val="000000"/>
          <w:sz w:val="22"/>
          <w:szCs w:val="22"/>
        </w:rPr>
        <w:tab/>
        <w:t>VERFALLDATUM</w:t>
      </w:r>
    </w:p>
    <w:p w14:paraId="5AE9CD50" w14:textId="77777777" w:rsidR="00AB6D5E" w:rsidRPr="008A4F40" w:rsidRDefault="00AB6D5E" w:rsidP="004E7659">
      <w:pPr>
        <w:rPr>
          <w:color w:val="000000"/>
          <w:sz w:val="22"/>
          <w:szCs w:val="22"/>
        </w:rPr>
      </w:pPr>
    </w:p>
    <w:p w14:paraId="56766508" w14:textId="77777777" w:rsidR="00AB6D5E" w:rsidRPr="008A4F40" w:rsidRDefault="00AB6D5E" w:rsidP="004E7659">
      <w:pPr>
        <w:rPr>
          <w:color w:val="000000"/>
          <w:sz w:val="22"/>
          <w:szCs w:val="22"/>
        </w:rPr>
      </w:pPr>
      <w:r w:rsidRPr="008A4F40">
        <w:rPr>
          <w:color w:val="000000"/>
          <w:sz w:val="22"/>
          <w:szCs w:val="22"/>
        </w:rPr>
        <w:t>EXP</w:t>
      </w:r>
    </w:p>
    <w:p w14:paraId="170EBE1F" w14:textId="77777777" w:rsidR="00AB6D5E" w:rsidRPr="008A4F40" w:rsidRDefault="00AB6D5E" w:rsidP="004E7659">
      <w:pPr>
        <w:rPr>
          <w:color w:val="000000"/>
          <w:sz w:val="22"/>
          <w:szCs w:val="22"/>
        </w:rPr>
      </w:pPr>
    </w:p>
    <w:p w14:paraId="2BA0796A" w14:textId="77777777" w:rsidR="00AB6D5E" w:rsidRPr="008A4F40" w:rsidRDefault="00AB6D5E" w:rsidP="004E7659">
      <w:pPr>
        <w:rPr>
          <w:color w:val="000000"/>
          <w:sz w:val="22"/>
          <w:szCs w:val="22"/>
        </w:rPr>
      </w:pPr>
    </w:p>
    <w:p w14:paraId="465E9C4B" w14:textId="77777777" w:rsidR="00AB6D5E" w:rsidRPr="008A4F40" w:rsidRDefault="00AB6D5E" w:rsidP="004E7659">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8A4F40">
        <w:rPr>
          <w:b/>
          <w:color w:val="000000"/>
          <w:sz w:val="22"/>
          <w:szCs w:val="22"/>
        </w:rPr>
        <w:t>4.</w:t>
      </w:r>
      <w:r w:rsidRPr="008A4F40">
        <w:rPr>
          <w:b/>
          <w:color w:val="000000"/>
          <w:sz w:val="22"/>
          <w:szCs w:val="22"/>
        </w:rPr>
        <w:tab/>
        <w:t>CHARGENBEZEICHNUNG</w:t>
      </w:r>
    </w:p>
    <w:p w14:paraId="369EB958" w14:textId="77777777" w:rsidR="00AB6D5E" w:rsidRPr="008A4F40" w:rsidRDefault="00AB6D5E" w:rsidP="004E7659">
      <w:pPr>
        <w:rPr>
          <w:color w:val="000000"/>
          <w:sz w:val="22"/>
          <w:szCs w:val="22"/>
        </w:rPr>
      </w:pPr>
    </w:p>
    <w:p w14:paraId="0239457B" w14:textId="77777777" w:rsidR="00AB6D5E" w:rsidRPr="008A4F40" w:rsidRDefault="00AB6D5E" w:rsidP="004E7659">
      <w:pPr>
        <w:pStyle w:val="Header"/>
        <w:suppressLineNumbers/>
        <w:tabs>
          <w:tab w:val="clear" w:pos="4320"/>
          <w:tab w:val="clear" w:pos="8640"/>
        </w:tabs>
        <w:suppressAutoHyphens/>
        <w:rPr>
          <w:color w:val="000000"/>
          <w:szCs w:val="22"/>
        </w:rPr>
      </w:pPr>
      <w:r w:rsidRPr="008A4F40">
        <w:rPr>
          <w:color w:val="000000"/>
          <w:szCs w:val="22"/>
        </w:rPr>
        <w:t>Lot</w:t>
      </w:r>
    </w:p>
    <w:p w14:paraId="6A2B315C" w14:textId="77777777" w:rsidR="00AB6D5E" w:rsidRPr="008A4F40" w:rsidRDefault="00AB6D5E" w:rsidP="004E7659">
      <w:pPr>
        <w:rPr>
          <w:color w:val="000000"/>
          <w:sz w:val="22"/>
          <w:szCs w:val="22"/>
        </w:rPr>
      </w:pPr>
    </w:p>
    <w:p w14:paraId="161180AD" w14:textId="77777777" w:rsidR="00AB6D5E" w:rsidRPr="008A4F40" w:rsidRDefault="00AB6D5E" w:rsidP="004E7659">
      <w:pPr>
        <w:rPr>
          <w:color w:val="000000"/>
          <w:sz w:val="22"/>
          <w:szCs w:val="22"/>
        </w:rPr>
      </w:pPr>
    </w:p>
    <w:p w14:paraId="388226B1" w14:textId="77777777" w:rsidR="00AB6D5E" w:rsidRPr="008A4F40" w:rsidRDefault="00AB6D5E" w:rsidP="004E7659">
      <w:pPr>
        <w:pBdr>
          <w:top w:val="single" w:sz="4" w:space="1" w:color="auto"/>
          <w:left w:val="single" w:sz="4" w:space="4" w:color="auto"/>
          <w:bottom w:val="single" w:sz="4" w:space="1" w:color="auto"/>
          <w:right w:val="single" w:sz="4" w:space="4" w:color="auto"/>
        </w:pBdr>
        <w:rPr>
          <w:color w:val="000000"/>
          <w:sz w:val="22"/>
          <w:szCs w:val="22"/>
        </w:rPr>
      </w:pPr>
      <w:r w:rsidRPr="008A4F40">
        <w:rPr>
          <w:b/>
          <w:color w:val="000000"/>
          <w:sz w:val="22"/>
          <w:szCs w:val="22"/>
        </w:rPr>
        <w:t>5.</w:t>
      </w:r>
      <w:r w:rsidRPr="008A4F40">
        <w:rPr>
          <w:b/>
          <w:color w:val="000000"/>
          <w:sz w:val="22"/>
          <w:szCs w:val="22"/>
        </w:rPr>
        <w:tab/>
        <w:t>WEITERE ANGABEN</w:t>
      </w:r>
    </w:p>
    <w:p w14:paraId="741336D4" w14:textId="77777777" w:rsidR="00AB6D5E" w:rsidRPr="008A4F40" w:rsidRDefault="00AB6D5E" w:rsidP="004E7659">
      <w:pPr>
        <w:rPr>
          <w:color w:val="000000"/>
          <w:sz w:val="22"/>
          <w:szCs w:val="22"/>
        </w:rPr>
      </w:pPr>
    </w:p>
    <w:p w14:paraId="202B5DC0" w14:textId="77777777" w:rsidR="00AB6D5E" w:rsidRPr="008A4F40" w:rsidRDefault="00AB6D5E" w:rsidP="004E7659">
      <w:pPr>
        <w:pStyle w:val="Header"/>
        <w:suppressLineNumbers/>
        <w:tabs>
          <w:tab w:val="clear" w:pos="4320"/>
          <w:tab w:val="clear" w:pos="8640"/>
        </w:tabs>
        <w:suppressAutoHyphens/>
        <w:rPr>
          <w:color w:val="000000"/>
          <w:szCs w:val="22"/>
        </w:rPr>
      </w:pPr>
      <w:r w:rsidRPr="008A4F40">
        <w:rPr>
          <w:color w:val="000000"/>
          <w:szCs w:val="22"/>
        </w:rPr>
        <w:br w:type="page"/>
      </w:r>
    </w:p>
    <w:p w14:paraId="3AB8569B" w14:textId="77777777" w:rsidR="00AB6D5E" w:rsidRPr="008A4F40" w:rsidRDefault="00AB6D5E" w:rsidP="004E7659">
      <w:pPr>
        <w:rPr>
          <w:color w:val="000000"/>
          <w:sz w:val="22"/>
          <w:szCs w:val="22"/>
        </w:rPr>
      </w:pPr>
    </w:p>
    <w:p w14:paraId="4CDF5991" w14:textId="77777777" w:rsidR="00AB6D5E" w:rsidRPr="008A4F40" w:rsidRDefault="00AB6D5E" w:rsidP="004E7659">
      <w:pPr>
        <w:rPr>
          <w:color w:val="000000"/>
          <w:sz w:val="22"/>
          <w:szCs w:val="22"/>
        </w:rPr>
      </w:pPr>
    </w:p>
    <w:p w14:paraId="2F7BE0AD" w14:textId="77777777" w:rsidR="00AB6D5E" w:rsidRPr="008A4F40" w:rsidRDefault="00AB6D5E" w:rsidP="004E7659">
      <w:pPr>
        <w:rPr>
          <w:color w:val="000000"/>
          <w:sz w:val="22"/>
          <w:szCs w:val="22"/>
        </w:rPr>
      </w:pPr>
    </w:p>
    <w:p w14:paraId="3E670DE3" w14:textId="77777777" w:rsidR="00AB6D5E" w:rsidRPr="008A4F40" w:rsidRDefault="00AB6D5E" w:rsidP="004E7659">
      <w:pPr>
        <w:rPr>
          <w:color w:val="000000"/>
          <w:sz w:val="22"/>
          <w:szCs w:val="22"/>
        </w:rPr>
      </w:pPr>
    </w:p>
    <w:p w14:paraId="128C8A6B" w14:textId="77777777" w:rsidR="00AB6D5E" w:rsidRPr="008A4F40" w:rsidRDefault="00AB6D5E" w:rsidP="004E7659">
      <w:pPr>
        <w:rPr>
          <w:color w:val="000000"/>
          <w:sz w:val="22"/>
          <w:szCs w:val="22"/>
        </w:rPr>
      </w:pPr>
    </w:p>
    <w:p w14:paraId="34A6F341" w14:textId="77777777" w:rsidR="00AB6D5E" w:rsidRPr="008A4F40" w:rsidRDefault="00AB6D5E" w:rsidP="004E7659">
      <w:pPr>
        <w:rPr>
          <w:color w:val="000000"/>
          <w:sz w:val="22"/>
          <w:szCs w:val="22"/>
        </w:rPr>
      </w:pPr>
    </w:p>
    <w:p w14:paraId="03CEC9ED" w14:textId="77777777" w:rsidR="00AB6D5E" w:rsidRPr="008A4F40" w:rsidRDefault="00AB6D5E" w:rsidP="004E7659">
      <w:pPr>
        <w:rPr>
          <w:color w:val="000000"/>
          <w:sz w:val="22"/>
          <w:szCs w:val="22"/>
        </w:rPr>
      </w:pPr>
    </w:p>
    <w:p w14:paraId="2F253D40" w14:textId="77777777" w:rsidR="00AB6D5E" w:rsidRPr="008A4F40" w:rsidRDefault="00AB6D5E" w:rsidP="004E7659">
      <w:pPr>
        <w:rPr>
          <w:color w:val="000000"/>
          <w:sz w:val="22"/>
          <w:szCs w:val="22"/>
        </w:rPr>
      </w:pPr>
    </w:p>
    <w:p w14:paraId="42AB83E9" w14:textId="77777777" w:rsidR="00AB6D5E" w:rsidRPr="008A4F40" w:rsidRDefault="00AB6D5E" w:rsidP="004E7659">
      <w:pPr>
        <w:rPr>
          <w:color w:val="000000"/>
          <w:sz w:val="22"/>
          <w:szCs w:val="22"/>
        </w:rPr>
      </w:pPr>
    </w:p>
    <w:p w14:paraId="48F05C4F" w14:textId="77777777" w:rsidR="00AB6D5E" w:rsidRPr="008A4F40" w:rsidRDefault="00AB6D5E" w:rsidP="004E7659">
      <w:pPr>
        <w:rPr>
          <w:color w:val="000000"/>
          <w:sz w:val="22"/>
          <w:szCs w:val="22"/>
        </w:rPr>
      </w:pPr>
    </w:p>
    <w:p w14:paraId="4812144C" w14:textId="77777777" w:rsidR="00AB6D5E" w:rsidRPr="008A4F40" w:rsidRDefault="00AB6D5E" w:rsidP="004E7659">
      <w:pPr>
        <w:rPr>
          <w:color w:val="000000"/>
          <w:sz w:val="22"/>
          <w:szCs w:val="22"/>
        </w:rPr>
      </w:pPr>
    </w:p>
    <w:p w14:paraId="78A17A07" w14:textId="77777777" w:rsidR="00AB6D5E" w:rsidRPr="008A4F40" w:rsidRDefault="00AB6D5E" w:rsidP="004E7659">
      <w:pPr>
        <w:rPr>
          <w:color w:val="000000"/>
          <w:sz w:val="22"/>
          <w:szCs w:val="22"/>
        </w:rPr>
      </w:pPr>
    </w:p>
    <w:p w14:paraId="65D35740" w14:textId="77777777" w:rsidR="00AB6D5E" w:rsidRPr="008A4F40" w:rsidRDefault="00AB6D5E" w:rsidP="004E7659">
      <w:pPr>
        <w:rPr>
          <w:color w:val="000000"/>
          <w:sz w:val="22"/>
          <w:szCs w:val="22"/>
        </w:rPr>
      </w:pPr>
    </w:p>
    <w:p w14:paraId="77C72410" w14:textId="77777777" w:rsidR="00AB6D5E" w:rsidRPr="008A4F40" w:rsidRDefault="00AB6D5E" w:rsidP="004E7659">
      <w:pPr>
        <w:rPr>
          <w:color w:val="000000"/>
          <w:sz w:val="22"/>
          <w:szCs w:val="22"/>
        </w:rPr>
      </w:pPr>
    </w:p>
    <w:p w14:paraId="2DBF76A5" w14:textId="77777777" w:rsidR="00AB6D5E" w:rsidRPr="008A4F40" w:rsidRDefault="00AB6D5E" w:rsidP="004E7659">
      <w:pPr>
        <w:rPr>
          <w:color w:val="000000"/>
          <w:sz w:val="22"/>
          <w:szCs w:val="22"/>
        </w:rPr>
      </w:pPr>
    </w:p>
    <w:p w14:paraId="25376319" w14:textId="77777777" w:rsidR="00AB6D5E" w:rsidRPr="008A4F40" w:rsidRDefault="00AB6D5E" w:rsidP="004E7659">
      <w:pPr>
        <w:rPr>
          <w:color w:val="000000"/>
          <w:sz w:val="22"/>
          <w:szCs w:val="22"/>
        </w:rPr>
      </w:pPr>
    </w:p>
    <w:p w14:paraId="58E170AD" w14:textId="77777777" w:rsidR="00AB6D5E" w:rsidRPr="008A4F40" w:rsidRDefault="00AB6D5E" w:rsidP="004E7659">
      <w:pPr>
        <w:rPr>
          <w:color w:val="000000"/>
          <w:sz w:val="22"/>
          <w:szCs w:val="22"/>
        </w:rPr>
      </w:pPr>
    </w:p>
    <w:p w14:paraId="5BAC7855" w14:textId="77777777" w:rsidR="00AB6D5E" w:rsidRPr="008A4F40" w:rsidRDefault="00AB6D5E" w:rsidP="004E7659">
      <w:pPr>
        <w:rPr>
          <w:color w:val="000000"/>
          <w:sz w:val="22"/>
          <w:szCs w:val="22"/>
        </w:rPr>
      </w:pPr>
    </w:p>
    <w:p w14:paraId="02914CC5" w14:textId="77777777" w:rsidR="00AB6D5E" w:rsidRPr="008A4F40" w:rsidRDefault="00AB6D5E" w:rsidP="004E7659">
      <w:pPr>
        <w:rPr>
          <w:color w:val="000000"/>
          <w:sz w:val="22"/>
          <w:szCs w:val="22"/>
        </w:rPr>
      </w:pPr>
    </w:p>
    <w:p w14:paraId="1B3AC6A9" w14:textId="77777777" w:rsidR="00AB6D5E" w:rsidRPr="008A4F40" w:rsidRDefault="00AB6D5E" w:rsidP="004E7659">
      <w:pPr>
        <w:rPr>
          <w:color w:val="000000"/>
          <w:sz w:val="22"/>
          <w:szCs w:val="22"/>
        </w:rPr>
      </w:pPr>
    </w:p>
    <w:p w14:paraId="38E3F180" w14:textId="77777777" w:rsidR="00AB6D5E" w:rsidRPr="008A4F40" w:rsidRDefault="00AB6D5E" w:rsidP="004E7659">
      <w:pPr>
        <w:rPr>
          <w:color w:val="000000"/>
          <w:sz w:val="22"/>
          <w:szCs w:val="22"/>
        </w:rPr>
      </w:pPr>
    </w:p>
    <w:p w14:paraId="1BB49D82" w14:textId="77777777" w:rsidR="00AB6D5E" w:rsidRPr="008A4F40" w:rsidRDefault="00AB6D5E" w:rsidP="004E7659">
      <w:pPr>
        <w:rPr>
          <w:color w:val="000000"/>
          <w:sz w:val="22"/>
          <w:szCs w:val="22"/>
        </w:rPr>
      </w:pPr>
    </w:p>
    <w:p w14:paraId="7B0B4E2D" w14:textId="77777777" w:rsidR="001E3D49" w:rsidRPr="008A4F40" w:rsidRDefault="001E3D49" w:rsidP="004E7659">
      <w:pPr>
        <w:rPr>
          <w:color w:val="000000"/>
          <w:sz w:val="22"/>
          <w:szCs w:val="22"/>
        </w:rPr>
      </w:pPr>
    </w:p>
    <w:p w14:paraId="7BC31F43" w14:textId="77777777" w:rsidR="00AB6D5E" w:rsidRPr="008A4F40" w:rsidRDefault="00AB6D5E" w:rsidP="004E7659">
      <w:pPr>
        <w:jc w:val="center"/>
        <w:outlineLvl w:val="0"/>
        <w:rPr>
          <w:color w:val="000000"/>
          <w:sz w:val="22"/>
          <w:szCs w:val="22"/>
        </w:rPr>
      </w:pPr>
      <w:r w:rsidRPr="008A4F40">
        <w:rPr>
          <w:b/>
          <w:color w:val="000000"/>
          <w:sz w:val="22"/>
          <w:szCs w:val="22"/>
        </w:rPr>
        <w:t>B. PACKUNGSBEILAGE</w:t>
      </w:r>
    </w:p>
    <w:p w14:paraId="02634477" w14:textId="77777777" w:rsidR="00AB6D5E" w:rsidRPr="008A4F40" w:rsidRDefault="00AB6D5E" w:rsidP="004E7659">
      <w:pPr>
        <w:jc w:val="center"/>
        <w:rPr>
          <w:b/>
          <w:color w:val="000000"/>
          <w:sz w:val="22"/>
          <w:szCs w:val="22"/>
        </w:rPr>
      </w:pPr>
      <w:r w:rsidRPr="008A4F40">
        <w:rPr>
          <w:b/>
          <w:color w:val="000000"/>
          <w:sz w:val="22"/>
          <w:szCs w:val="22"/>
        </w:rPr>
        <w:br w:type="page"/>
        <w:t>G</w:t>
      </w:r>
      <w:r w:rsidR="002906C1" w:rsidRPr="008A4F40">
        <w:rPr>
          <w:b/>
          <w:color w:val="000000"/>
          <w:sz w:val="22"/>
          <w:szCs w:val="22"/>
        </w:rPr>
        <w:t>ebrauchsinformation</w:t>
      </w:r>
      <w:r w:rsidRPr="008A4F40">
        <w:rPr>
          <w:b/>
          <w:color w:val="000000"/>
          <w:sz w:val="22"/>
          <w:szCs w:val="22"/>
        </w:rPr>
        <w:t>: I</w:t>
      </w:r>
      <w:r w:rsidR="002906C1" w:rsidRPr="008A4F40">
        <w:rPr>
          <w:b/>
          <w:color w:val="000000"/>
          <w:sz w:val="22"/>
          <w:szCs w:val="22"/>
        </w:rPr>
        <w:t>nformation</w:t>
      </w:r>
      <w:r w:rsidRPr="008A4F40">
        <w:rPr>
          <w:b/>
          <w:color w:val="000000"/>
          <w:sz w:val="22"/>
          <w:szCs w:val="22"/>
        </w:rPr>
        <w:t xml:space="preserve"> </w:t>
      </w:r>
      <w:r w:rsidR="002906C1" w:rsidRPr="008A4F40">
        <w:rPr>
          <w:b/>
          <w:color w:val="000000"/>
          <w:sz w:val="22"/>
          <w:szCs w:val="22"/>
        </w:rPr>
        <w:t>für</w:t>
      </w:r>
      <w:r w:rsidRPr="008A4F40">
        <w:rPr>
          <w:b/>
          <w:color w:val="000000"/>
          <w:sz w:val="22"/>
          <w:szCs w:val="22"/>
        </w:rPr>
        <w:t xml:space="preserve"> A</w:t>
      </w:r>
      <w:r w:rsidR="002906C1" w:rsidRPr="008A4F40">
        <w:rPr>
          <w:b/>
          <w:color w:val="000000"/>
          <w:sz w:val="22"/>
          <w:szCs w:val="22"/>
        </w:rPr>
        <w:t>nwender</w:t>
      </w:r>
    </w:p>
    <w:p w14:paraId="354644A6" w14:textId="77777777" w:rsidR="00AB6D5E" w:rsidRPr="008A4F40" w:rsidRDefault="00AB6D5E" w:rsidP="004E7659">
      <w:pPr>
        <w:jc w:val="center"/>
        <w:rPr>
          <w:color w:val="000000"/>
          <w:sz w:val="22"/>
          <w:szCs w:val="22"/>
        </w:rPr>
      </w:pPr>
    </w:p>
    <w:p w14:paraId="63C46FB8" w14:textId="3B11BA56" w:rsidR="00AB6D5E" w:rsidRPr="008A4F40" w:rsidRDefault="00AB6D5E" w:rsidP="004E7659">
      <w:pPr>
        <w:jc w:val="center"/>
        <w:rPr>
          <w:b/>
          <w:color w:val="000000"/>
          <w:sz w:val="22"/>
          <w:szCs w:val="22"/>
        </w:rPr>
      </w:pPr>
      <w:r w:rsidRPr="008A4F40">
        <w:rPr>
          <w:b/>
          <w:color w:val="000000"/>
          <w:sz w:val="22"/>
          <w:szCs w:val="22"/>
        </w:rPr>
        <w:t>Glivec 100 mg Filmtabletten</w:t>
      </w:r>
    </w:p>
    <w:p w14:paraId="322651DB" w14:textId="29D42B5C" w:rsidR="00055A65" w:rsidRPr="008A4F40" w:rsidRDefault="00055A65" w:rsidP="004E7659">
      <w:pPr>
        <w:jc w:val="center"/>
        <w:rPr>
          <w:b/>
          <w:color w:val="000000"/>
          <w:sz w:val="22"/>
          <w:szCs w:val="22"/>
        </w:rPr>
      </w:pPr>
      <w:r w:rsidRPr="008A4F40">
        <w:rPr>
          <w:b/>
          <w:color w:val="000000"/>
          <w:sz w:val="22"/>
          <w:szCs w:val="22"/>
        </w:rPr>
        <w:t>Glivec 400 mg Filmtabletten</w:t>
      </w:r>
    </w:p>
    <w:p w14:paraId="01FEC768" w14:textId="77777777" w:rsidR="00AB6D5E" w:rsidRPr="008A4F40" w:rsidRDefault="00AB6D5E" w:rsidP="004E7659">
      <w:pPr>
        <w:jc w:val="center"/>
        <w:rPr>
          <w:color w:val="000000"/>
          <w:sz w:val="22"/>
          <w:szCs w:val="22"/>
        </w:rPr>
      </w:pPr>
      <w:r w:rsidRPr="008A4F40">
        <w:rPr>
          <w:color w:val="000000"/>
          <w:sz w:val="22"/>
          <w:szCs w:val="22"/>
        </w:rPr>
        <w:t>Imatinib</w:t>
      </w:r>
    </w:p>
    <w:p w14:paraId="6AD90DE7" w14:textId="77777777" w:rsidR="00AB6D5E" w:rsidRPr="008A4F40" w:rsidRDefault="00AB6D5E" w:rsidP="004E7659">
      <w:pPr>
        <w:rPr>
          <w:color w:val="000000"/>
          <w:sz w:val="22"/>
          <w:szCs w:val="22"/>
        </w:rPr>
      </w:pPr>
    </w:p>
    <w:p w14:paraId="23F754E0" w14:textId="77777777" w:rsidR="007217B7" w:rsidRPr="008A4F40" w:rsidRDefault="007217B7" w:rsidP="004E7659">
      <w:pPr>
        <w:rPr>
          <w:color w:val="000000"/>
          <w:sz w:val="22"/>
          <w:szCs w:val="22"/>
        </w:rPr>
      </w:pPr>
      <w:r w:rsidRPr="008A4F40">
        <w:rPr>
          <w:b/>
          <w:color w:val="000000"/>
          <w:sz w:val="22"/>
          <w:szCs w:val="22"/>
        </w:rPr>
        <w:t>Lesen Sie die gesamte Packungsbeilage sorgfältig durch, bevor Sie mit der Einnahme dieses Arzneimittels beginnen, denn sie enthält wichtige Informationen.</w:t>
      </w:r>
    </w:p>
    <w:p w14:paraId="627FD5E3" w14:textId="77777777" w:rsidR="007217B7" w:rsidRPr="008A4F40" w:rsidRDefault="007217B7" w:rsidP="004E7659">
      <w:pPr>
        <w:numPr>
          <w:ilvl w:val="0"/>
          <w:numId w:val="2"/>
        </w:numPr>
        <w:tabs>
          <w:tab w:val="clear" w:pos="644"/>
        </w:tabs>
        <w:ind w:hanging="567"/>
        <w:rPr>
          <w:color w:val="000000"/>
          <w:sz w:val="22"/>
          <w:szCs w:val="22"/>
        </w:rPr>
      </w:pPr>
      <w:r w:rsidRPr="008A4F40">
        <w:rPr>
          <w:color w:val="000000"/>
          <w:sz w:val="22"/>
          <w:szCs w:val="22"/>
        </w:rPr>
        <w:t>Heben Sie die Packungsbeilage auf. Vielleicht möchten Sie diese später nochmals lesen.</w:t>
      </w:r>
    </w:p>
    <w:p w14:paraId="5D3D4E5D" w14:textId="77777777" w:rsidR="007217B7" w:rsidRPr="008A4F40" w:rsidRDefault="007217B7" w:rsidP="004E7659">
      <w:pPr>
        <w:numPr>
          <w:ilvl w:val="0"/>
          <w:numId w:val="2"/>
        </w:numPr>
        <w:tabs>
          <w:tab w:val="clear" w:pos="644"/>
        </w:tabs>
        <w:ind w:hanging="567"/>
        <w:rPr>
          <w:color w:val="000000"/>
          <w:sz w:val="22"/>
          <w:szCs w:val="22"/>
        </w:rPr>
      </w:pPr>
      <w:r w:rsidRPr="008A4F40">
        <w:rPr>
          <w:color w:val="000000"/>
          <w:sz w:val="22"/>
          <w:szCs w:val="22"/>
        </w:rPr>
        <w:t xml:space="preserve">Wenn Sie weitere Fragen haben, wenden Sie sich an Ihren Arzt, Apotheker oder </w:t>
      </w:r>
      <w:r w:rsidR="0095506C" w:rsidRPr="008A4F40">
        <w:rPr>
          <w:color w:val="000000"/>
          <w:sz w:val="22"/>
          <w:szCs w:val="22"/>
        </w:rPr>
        <w:t>das medizinische Fachpersonal</w:t>
      </w:r>
      <w:r w:rsidRPr="008A4F40">
        <w:rPr>
          <w:color w:val="000000"/>
          <w:sz w:val="22"/>
          <w:szCs w:val="22"/>
        </w:rPr>
        <w:t>.</w:t>
      </w:r>
    </w:p>
    <w:p w14:paraId="13F42B04" w14:textId="77777777" w:rsidR="007217B7" w:rsidRPr="008A4F40" w:rsidRDefault="007217B7" w:rsidP="004E7659">
      <w:pPr>
        <w:numPr>
          <w:ilvl w:val="0"/>
          <w:numId w:val="2"/>
        </w:numPr>
        <w:tabs>
          <w:tab w:val="clear" w:pos="644"/>
        </w:tabs>
        <w:ind w:hanging="567"/>
        <w:rPr>
          <w:color w:val="000000"/>
          <w:sz w:val="22"/>
          <w:szCs w:val="22"/>
        </w:rPr>
      </w:pPr>
      <w:r w:rsidRPr="008A4F40">
        <w:rPr>
          <w:color w:val="000000"/>
          <w:sz w:val="22"/>
          <w:szCs w:val="22"/>
        </w:rPr>
        <w:t>Dieses Arzneimittel wurde Ihnen persönlich verschrieben. Geben Sie es nicht an Dritte weiter. Es kann anderen Menschen schaden, auch wenn diese die gleichen Beschwerden haben wie Sie.</w:t>
      </w:r>
    </w:p>
    <w:p w14:paraId="1922FB24" w14:textId="77777777" w:rsidR="007217B7" w:rsidRPr="008A4F40" w:rsidRDefault="007217B7" w:rsidP="004E7659">
      <w:pPr>
        <w:numPr>
          <w:ilvl w:val="0"/>
          <w:numId w:val="2"/>
        </w:numPr>
        <w:tabs>
          <w:tab w:val="clear" w:pos="644"/>
        </w:tabs>
        <w:ind w:hanging="567"/>
        <w:rPr>
          <w:color w:val="000000"/>
          <w:sz w:val="22"/>
          <w:szCs w:val="22"/>
        </w:rPr>
      </w:pPr>
      <w:r w:rsidRPr="008A4F40">
        <w:rPr>
          <w:color w:val="000000"/>
          <w:sz w:val="22"/>
          <w:szCs w:val="22"/>
        </w:rPr>
        <w:t xml:space="preserve">Wenn Sie Nebenwirkungen bemerken, wenden Sie sich an Ihren Arzt, Apotheker oder </w:t>
      </w:r>
      <w:r w:rsidR="0095506C" w:rsidRPr="008A4F40">
        <w:rPr>
          <w:color w:val="000000"/>
          <w:sz w:val="22"/>
          <w:szCs w:val="22"/>
        </w:rPr>
        <w:t>das medizinische Fachpersonal</w:t>
      </w:r>
      <w:r w:rsidRPr="008A4F40">
        <w:rPr>
          <w:color w:val="000000"/>
          <w:sz w:val="22"/>
          <w:szCs w:val="22"/>
        </w:rPr>
        <w:t>. Dies gilt auch für Nebenwirkungen, die nicht in dieser Packungsbeilage angegeben sind.</w:t>
      </w:r>
      <w:r w:rsidR="0095506C" w:rsidRPr="008A4F40">
        <w:rPr>
          <w:color w:val="000000"/>
          <w:sz w:val="22"/>
          <w:szCs w:val="22"/>
        </w:rPr>
        <w:t xml:space="preserve"> Siehe Abschnitt 4.</w:t>
      </w:r>
    </w:p>
    <w:p w14:paraId="6E0960E1" w14:textId="77777777" w:rsidR="007217B7" w:rsidRPr="008A4F40" w:rsidRDefault="007217B7" w:rsidP="004E7659">
      <w:pPr>
        <w:pStyle w:val="Header"/>
        <w:tabs>
          <w:tab w:val="clear" w:pos="4320"/>
          <w:tab w:val="clear" w:pos="8640"/>
        </w:tabs>
        <w:rPr>
          <w:color w:val="000000"/>
          <w:szCs w:val="22"/>
        </w:rPr>
      </w:pPr>
    </w:p>
    <w:p w14:paraId="78D6788B" w14:textId="77777777" w:rsidR="007217B7" w:rsidRPr="008A4F40" w:rsidRDefault="007217B7" w:rsidP="004E7659">
      <w:pPr>
        <w:pStyle w:val="Header"/>
        <w:tabs>
          <w:tab w:val="clear" w:pos="4320"/>
          <w:tab w:val="clear" w:pos="8640"/>
        </w:tabs>
        <w:rPr>
          <w:color w:val="000000"/>
          <w:szCs w:val="22"/>
        </w:rPr>
      </w:pPr>
    </w:p>
    <w:p w14:paraId="56DB6069" w14:textId="0753C438" w:rsidR="007217B7" w:rsidRPr="008A4F40" w:rsidRDefault="007217B7" w:rsidP="004E7659">
      <w:pPr>
        <w:keepNext/>
        <w:numPr>
          <w:ilvl w:val="12"/>
          <w:numId w:val="0"/>
        </w:numPr>
        <w:rPr>
          <w:b/>
          <w:color w:val="000000"/>
          <w:sz w:val="22"/>
          <w:szCs w:val="22"/>
        </w:rPr>
      </w:pPr>
      <w:r w:rsidRPr="008A4F40">
        <w:rPr>
          <w:b/>
          <w:color w:val="000000"/>
          <w:sz w:val="22"/>
          <w:szCs w:val="22"/>
        </w:rPr>
        <w:t>Was in dieser Packungsbeilage steht</w:t>
      </w:r>
    </w:p>
    <w:p w14:paraId="339B4F0B" w14:textId="77777777" w:rsidR="00AC50E5" w:rsidRPr="008A4F40" w:rsidRDefault="00AC50E5" w:rsidP="004E7659">
      <w:pPr>
        <w:keepNext/>
        <w:numPr>
          <w:ilvl w:val="12"/>
          <w:numId w:val="0"/>
        </w:numPr>
        <w:rPr>
          <w:color w:val="000000"/>
          <w:sz w:val="22"/>
          <w:szCs w:val="22"/>
        </w:rPr>
      </w:pPr>
    </w:p>
    <w:p w14:paraId="390E75FC" w14:textId="77777777" w:rsidR="007217B7" w:rsidRPr="008A4F40" w:rsidRDefault="007217B7" w:rsidP="004E7659">
      <w:pPr>
        <w:numPr>
          <w:ilvl w:val="12"/>
          <w:numId w:val="0"/>
        </w:numPr>
        <w:ind w:left="567" w:hanging="567"/>
        <w:rPr>
          <w:color w:val="000000"/>
          <w:sz w:val="22"/>
          <w:szCs w:val="22"/>
        </w:rPr>
      </w:pPr>
      <w:r w:rsidRPr="008A4F40">
        <w:rPr>
          <w:color w:val="000000"/>
          <w:sz w:val="22"/>
          <w:szCs w:val="22"/>
        </w:rPr>
        <w:t>1.</w:t>
      </w:r>
      <w:r w:rsidRPr="008A4F40">
        <w:rPr>
          <w:color w:val="000000"/>
          <w:sz w:val="22"/>
          <w:szCs w:val="22"/>
        </w:rPr>
        <w:tab/>
        <w:t>Was ist Glivec und wofür wird es angewendet?</w:t>
      </w:r>
    </w:p>
    <w:p w14:paraId="7AD11637" w14:textId="77777777" w:rsidR="007217B7" w:rsidRPr="008A4F40" w:rsidRDefault="007217B7" w:rsidP="004E7659">
      <w:pPr>
        <w:numPr>
          <w:ilvl w:val="12"/>
          <w:numId w:val="0"/>
        </w:numPr>
        <w:ind w:left="567" w:hanging="567"/>
        <w:rPr>
          <w:color w:val="000000"/>
          <w:sz w:val="22"/>
          <w:szCs w:val="22"/>
        </w:rPr>
      </w:pPr>
      <w:r w:rsidRPr="008A4F40">
        <w:rPr>
          <w:color w:val="000000"/>
          <w:sz w:val="22"/>
          <w:szCs w:val="22"/>
        </w:rPr>
        <w:t>2.</w:t>
      </w:r>
      <w:r w:rsidRPr="008A4F40">
        <w:rPr>
          <w:color w:val="000000"/>
          <w:sz w:val="22"/>
          <w:szCs w:val="22"/>
        </w:rPr>
        <w:tab/>
        <w:t>Was sollten Sie vor der Einnahme von Glivec beachten?</w:t>
      </w:r>
    </w:p>
    <w:p w14:paraId="424E3BBC" w14:textId="77777777" w:rsidR="007217B7" w:rsidRPr="008A4F40" w:rsidRDefault="007217B7" w:rsidP="004E7659">
      <w:pPr>
        <w:numPr>
          <w:ilvl w:val="12"/>
          <w:numId w:val="0"/>
        </w:numPr>
        <w:ind w:left="567" w:hanging="567"/>
        <w:rPr>
          <w:color w:val="000000"/>
          <w:sz w:val="22"/>
          <w:szCs w:val="22"/>
        </w:rPr>
      </w:pPr>
      <w:r w:rsidRPr="008A4F40">
        <w:rPr>
          <w:color w:val="000000"/>
          <w:sz w:val="22"/>
          <w:szCs w:val="22"/>
        </w:rPr>
        <w:t>3.</w:t>
      </w:r>
      <w:r w:rsidRPr="008A4F40">
        <w:rPr>
          <w:color w:val="000000"/>
          <w:sz w:val="22"/>
          <w:szCs w:val="22"/>
        </w:rPr>
        <w:tab/>
        <w:t>Wie ist Glivec einzunehmen?</w:t>
      </w:r>
    </w:p>
    <w:p w14:paraId="4E566999" w14:textId="77777777" w:rsidR="007217B7" w:rsidRPr="008A4F40" w:rsidRDefault="007217B7" w:rsidP="004E7659">
      <w:pPr>
        <w:numPr>
          <w:ilvl w:val="12"/>
          <w:numId w:val="0"/>
        </w:numPr>
        <w:ind w:left="567" w:hanging="567"/>
        <w:rPr>
          <w:color w:val="000000"/>
          <w:sz w:val="22"/>
          <w:szCs w:val="22"/>
        </w:rPr>
      </w:pPr>
      <w:r w:rsidRPr="008A4F40">
        <w:rPr>
          <w:color w:val="000000"/>
          <w:sz w:val="22"/>
          <w:szCs w:val="22"/>
        </w:rPr>
        <w:t>4.</w:t>
      </w:r>
      <w:r w:rsidRPr="008A4F40">
        <w:rPr>
          <w:color w:val="000000"/>
          <w:sz w:val="22"/>
          <w:szCs w:val="22"/>
        </w:rPr>
        <w:tab/>
        <w:t>Welche Nebenwirkungen sind möglich?</w:t>
      </w:r>
    </w:p>
    <w:p w14:paraId="641DE54D" w14:textId="77777777" w:rsidR="007217B7" w:rsidRPr="008A4F40" w:rsidRDefault="007217B7" w:rsidP="004E7659">
      <w:pPr>
        <w:numPr>
          <w:ilvl w:val="12"/>
          <w:numId w:val="0"/>
        </w:numPr>
        <w:ind w:left="567" w:hanging="567"/>
        <w:rPr>
          <w:color w:val="000000"/>
          <w:sz w:val="22"/>
          <w:szCs w:val="22"/>
        </w:rPr>
      </w:pPr>
      <w:r w:rsidRPr="008A4F40">
        <w:rPr>
          <w:color w:val="000000"/>
          <w:sz w:val="22"/>
          <w:szCs w:val="22"/>
        </w:rPr>
        <w:t>5.</w:t>
      </w:r>
      <w:r w:rsidRPr="008A4F40">
        <w:rPr>
          <w:color w:val="000000"/>
          <w:sz w:val="22"/>
          <w:szCs w:val="22"/>
        </w:rPr>
        <w:tab/>
        <w:t>Wie ist Glivec aufzubewahren?</w:t>
      </w:r>
    </w:p>
    <w:p w14:paraId="69F2A931" w14:textId="77777777" w:rsidR="007217B7" w:rsidRPr="008A4F40" w:rsidRDefault="007217B7" w:rsidP="004E7659">
      <w:pPr>
        <w:numPr>
          <w:ilvl w:val="12"/>
          <w:numId w:val="0"/>
        </w:numPr>
        <w:ind w:left="567" w:hanging="567"/>
        <w:rPr>
          <w:color w:val="000000"/>
          <w:sz w:val="22"/>
          <w:szCs w:val="22"/>
        </w:rPr>
      </w:pPr>
      <w:r w:rsidRPr="008A4F40">
        <w:rPr>
          <w:color w:val="000000"/>
          <w:sz w:val="22"/>
          <w:szCs w:val="22"/>
        </w:rPr>
        <w:t>6.</w:t>
      </w:r>
      <w:r w:rsidRPr="008A4F40">
        <w:rPr>
          <w:color w:val="000000"/>
          <w:sz w:val="22"/>
          <w:szCs w:val="22"/>
        </w:rPr>
        <w:tab/>
        <w:t>Inhalt der Packung und weitere Informationen</w:t>
      </w:r>
    </w:p>
    <w:p w14:paraId="1D519E0F" w14:textId="77777777" w:rsidR="007217B7" w:rsidRPr="008A4F40" w:rsidRDefault="007217B7" w:rsidP="004E7659">
      <w:pPr>
        <w:numPr>
          <w:ilvl w:val="12"/>
          <w:numId w:val="0"/>
        </w:numPr>
        <w:rPr>
          <w:color w:val="000000"/>
          <w:sz w:val="22"/>
          <w:szCs w:val="22"/>
        </w:rPr>
      </w:pPr>
    </w:p>
    <w:p w14:paraId="5F297672" w14:textId="77777777" w:rsidR="007217B7" w:rsidRPr="008A4F40" w:rsidRDefault="007217B7" w:rsidP="004E7659">
      <w:pPr>
        <w:numPr>
          <w:ilvl w:val="12"/>
          <w:numId w:val="0"/>
        </w:numPr>
        <w:rPr>
          <w:color w:val="000000"/>
          <w:sz w:val="22"/>
          <w:szCs w:val="22"/>
        </w:rPr>
      </w:pPr>
    </w:p>
    <w:p w14:paraId="54B1DAD0" w14:textId="77777777" w:rsidR="007217B7" w:rsidRPr="008A4F40" w:rsidRDefault="007217B7" w:rsidP="004E7659">
      <w:pPr>
        <w:keepNext/>
        <w:numPr>
          <w:ilvl w:val="12"/>
          <w:numId w:val="0"/>
        </w:numPr>
        <w:ind w:left="567" w:hanging="567"/>
        <w:rPr>
          <w:b/>
          <w:color w:val="000000"/>
          <w:sz w:val="22"/>
          <w:szCs w:val="22"/>
        </w:rPr>
      </w:pPr>
      <w:r w:rsidRPr="008A4F40">
        <w:rPr>
          <w:b/>
          <w:color w:val="000000"/>
          <w:sz w:val="22"/>
          <w:szCs w:val="22"/>
        </w:rPr>
        <w:t>1.</w:t>
      </w:r>
      <w:r w:rsidRPr="008A4F40">
        <w:rPr>
          <w:b/>
          <w:color w:val="000000"/>
          <w:sz w:val="22"/>
          <w:szCs w:val="22"/>
        </w:rPr>
        <w:tab/>
        <w:t>Was ist Glivec und wofür wird es angewendet?</w:t>
      </w:r>
    </w:p>
    <w:p w14:paraId="462450E1" w14:textId="77777777" w:rsidR="007217B7" w:rsidRPr="008A4F40" w:rsidRDefault="007217B7" w:rsidP="004E7659">
      <w:pPr>
        <w:keepNext/>
        <w:numPr>
          <w:ilvl w:val="12"/>
          <w:numId w:val="0"/>
        </w:numPr>
        <w:rPr>
          <w:color w:val="000000"/>
          <w:sz w:val="22"/>
          <w:szCs w:val="22"/>
        </w:rPr>
      </w:pPr>
    </w:p>
    <w:p w14:paraId="7A3F901E" w14:textId="77777777" w:rsidR="007217B7" w:rsidRPr="008A4F40" w:rsidRDefault="007217B7" w:rsidP="004E7659">
      <w:pPr>
        <w:numPr>
          <w:ilvl w:val="12"/>
          <w:numId w:val="0"/>
        </w:numPr>
        <w:rPr>
          <w:color w:val="000000"/>
          <w:sz w:val="22"/>
          <w:szCs w:val="22"/>
        </w:rPr>
      </w:pPr>
      <w:r w:rsidRPr="008A4F40">
        <w:rPr>
          <w:color w:val="000000"/>
          <w:sz w:val="22"/>
          <w:szCs w:val="22"/>
        </w:rPr>
        <w:t>Glivec ist ein Arzneimittel, das den Wirkstoff Imatinib enthält. Dieses Arzneimittel wirkt bei den unten genannten Erkrankungen, indem es das Wachstum von anormalen Zellen hemmt. Einige dieser Erkrankungen sind Krebserkrankungen.</w:t>
      </w:r>
    </w:p>
    <w:p w14:paraId="7388BA91" w14:textId="77777777" w:rsidR="007217B7" w:rsidRPr="008A4F40" w:rsidRDefault="007217B7" w:rsidP="004E7659">
      <w:pPr>
        <w:numPr>
          <w:ilvl w:val="12"/>
          <w:numId w:val="0"/>
        </w:numPr>
        <w:rPr>
          <w:color w:val="000000"/>
          <w:sz w:val="22"/>
          <w:szCs w:val="22"/>
        </w:rPr>
      </w:pPr>
    </w:p>
    <w:p w14:paraId="5F6A4DA0" w14:textId="77777777" w:rsidR="007217B7" w:rsidRPr="008A4F40" w:rsidRDefault="007217B7" w:rsidP="004E7659">
      <w:pPr>
        <w:keepNext/>
        <w:numPr>
          <w:ilvl w:val="12"/>
          <w:numId w:val="0"/>
        </w:numPr>
        <w:rPr>
          <w:b/>
          <w:color w:val="000000"/>
          <w:sz w:val="22"/>
          <w:szCs w:val="22"/>
        </w:rPr>
      </w:pPr>
      <w:r w:rsidRPr="008A4F40">
        <w:rPr>
          <w:b/>
          <w:color w:val="000000"/>
          <w:sz w:val="22"/>
          <w:szCs w:val="22"/>
        </w:rPr>
        <w:t>Glivec wird bei Erwachsenen und Kindern angewendet:</w:t>
      </w:r>
    </w:p>
    <w:p w14:paraId="0C30E432" w14:textId="77777777" w:rsidR="007217B7" w:rsidRPr="008A4F40" w:rsidRDefault="007217B7" w:rsidP="004E7659">
      <w:pPr>
        <w:keepNext/>
        <w:numPr>
          <w:ilvl w:val="12"/>
          <w:numId w:val="0"/>
        </w:numPr>
        <w:rPr>
          <w:color w:val="000000"/>
          <w:sz w:val="22"/>
          <w:szCs w:val="22"/>
        </w:rPr>
      </w:pPr>
    </w:p>
    <w:p w14:paraId="4AAF0950" w14:textId="77777777" w:rsidR="00CC0FF7" w:rsidRPr="008A4F40" w:rsidRDefault="007217B7" w:rsidP="004E7659">
      <w:pPr>
        <w:numPr>
          <w:ilvl w:val="0"/>
          <w:numId w:val="1"/>
        </w:numPr>
        <w:tabs>
          <w:tab w:val="clear" w:pos="417"/>
        </w:tabs>
        <w:ind w:left="567" w:hanging="567"/>
        <w:rPr>
          <w:color w:val="000000"/>
          <w:sz w:val="22"/>
          <w:szCs w:val="22"/>
        </w:rPr>
      </w:pPr>
      <w:r w:rsidRPr="008A4F40">
        <w:rPr>
          <w:b/>
          <w:color w:val="000000"/>
          <w:sz w:val="22"/>
          <w:szCs w:val="22"/>
        </w:rPr>
        <w:t>Zur Behandlung der chronisch-myeloischen Leukämie (CML).</w:t>
      </w:r>
      <w:r w:rsidRPr="008A4F40">
        <w:rPr>
          <w:color w:val="000000"/>
          <w:sz w:val="22"/>
          <w:szCs w:val="22"/>
        </w:rPr>
        <w:t xml:space="preserve"> Leukämie ist eine Krebserkrankung weißer Blutzellen. Diese weißen Zellen unterstützen normalerweise den Körper bei der Abwehr von Infektionen. Die chronisch-myeloische Leukämie ist eine Form der Leukämie, bei der bestimmte anormale weiße Zellen (so genannte myeloische Zellen) unkontrolliert zu wachsen be</w:t>
      </w:r>
      <w:r w:rsidRPr="008A4F40">
        <w:rPr>
          <w:color w:val="000000"/>
          <w:sz w:val="22"/>
          <w:szCs w:val="22"/>
        </w:rPr>
        <w:softHyphen/>
        <w:t>ginnen.</w:t>
      </w:r>
    </w:p>
    <w:p w14:paraId="38050FEA" w14:textId="77777777" w:rsidR="007217B7" w:rsidRPr="008A4F40" w:rsidRDefault="00CC0FF7" w:rsidP="004E7659">
      <w:pPr>
        <w:numPr>
          <w:ilvl w:val="0"/>
          <w:numId w:val="1"/>
        </w:numPr>
        <w:tabs>
          <w:tab w:val="clear" w:pos="417"/>
        </w:tabs>
        <w:ind w:left="567" w:hanging="567"/>
        <w:rPr>
          <w:color w:val="000000"/>
          <w:sz w:val="22"/>
          <w:szCs w:val="22"/>
        </w:rPr>
      </w:pPr>
      <w:r w:rsidRPr="008A4F40">
        <w:rPr>
          <w:b/>
          <w:color w:val="000000"/>
          <w:sz w:val="22"/>
          <w:szCs w:val="22"/>
        </w:rPr>
        <w:t xml:space="preserve">Zur Behandlung von Philadelphia-Chromosom-positiver akuter lymphoblastischer Leukämie (Ph-positive </w:t>
      </w:r>
      <w:smartTag w:uri="urn:schemas-microsoft-com:office:smarttags" w:element="stockticker">
        <w:r w:rsidRPr="008A4F40">
          <w:rPr>
            <w:b/>
            <w:color w:val="000000"/>
            <w:sz w:val="22"/>
            <w:szCs w:val="22"/>
          </w:rPr>
          <w:t>ALL</w:t>
        </w:r>
      </w:smartTag>
      <w:r w:rsidRPr="008A4F40">
        <w:rPr>
          <w:b/>
          <w:color w:val="000000"/>
          <w:sz w:val="22"/>
          <w:szCs w:val="22"/>
        </w:rPr>
        <w:t>).</w:t>
      </w:r>
      <w:r w:rsidRPr="008A4F40">
        <w:rPr>
          <w:color w:val="000000"/>
          <w:sz w:val="22"/>
          <w:szCs w:val="22"/>
        </w:rPr>
        <w:t xml:space="preserve"> Leukämie ist eine Krebserkrankung weißer Blutzellen. Diese weißen Zellen unterstützen normalerweise den Körper bei der Abwehr von Infektionen. Die akute lymphoblastische Leukämie ist eine Form der Leukämie, bei der bestimmte krankhafte weiße Zellen (so genannte Lymphoblasten) unkontrolliert zu wachsen beginnen. Glivec hemmt das Wachstum dieser Zellen.</w:t>
      </w:r>
    </w:p>
    <w:p w14:paraId="35405348" w14:textId="77777777" w:rsidR="007217B7" w:rsidRPr="008A4F40" w:rsidRDefault="007217B7" w:rsidP="004E7659">
      <w:pPr>
        <w:numPr>
          <w:ilvl w:val="12"/>
          <w:numId w:val="0"/>
        </w:numPr>
        <w:rPr>
          <w:color w:val="000000"/>
          <w:sz w:val="22"/>
          <w:szCs w:val="22"/>
        </w:rPr>
      </w:pPr>
    </w:p>
    <w:p w14:paraId="7FC7D1BC" w14:textId="77777777" w:rsidR="007217B7" w:rsidRPr="008A4F40" w:rsidRDefault="007217B7" w:rsidP="004E7659">
      <w:pPr>
        <w:keepNext/>
        <w:numPr>
          <w:ilvl w:val="12"/>
          <w:numId w:val="0"/>
        </w:numPr>
        <w:rPr>
          <w:b/>
          <w:color w:val="000000"/>
          <w:sz w:val="22"/>
          <w:szCs w:val="22"/>
        </w:rPr>
      </w:pPr>
      <w:r w:rsidRPr="008A4F40">
        <w:rPr>
          <w:b/>
          <w:color w:val="000000"/>
          <w:sz w:val="22"/>
          <w:szCs w:val="22"/>
        </w:rPr>
        <w:t>Glivec wird auch bei Erwachsenen angewendet:</w:t>
      </w:r>
    </w:p>
    <w:p w14:paraId="2FC61EAC" w14:textId="77777777" w:rsidR="007217B7" w:rsidRPr="008A4F40" w:rsidRDefault="007217B7" w:rsidP="004E7659">
      <w:pPr>
        <w:keepNext/>
        <w:numPr>
          <w:ilvl w:val="12"/>
          <w:numId w:val="0"/>
        </w:numPr>
        <w:rPr>
          <w:color w:val="000000"/>
          <w:sz w:val="22"/>
          <w:szCs w:val="22"/>
        </w:rPr>
      </w:pPr>
    </w:p>
    <w:p w14:paraId="5E936C3F" w14:textId="77777777" w:rsidR="007217B7" w:rsidRPr="008A4F40" w:rsidRDefault="007217B7" w:rsidP="004E7659">
      <w:pPr>
        <w:keepNext/>
        <w:keepLines/>
        <w:numPr>
          <w:ilvl w:val="0"/>
          <w:numId w:val="15"/>
        </w:numPr>
        <w:tabs>
          <w:tab w:val="clear" w:pos="360"/>
        </w:tabs>
        <w:ind w:left="567" w:hanging="567"/>
        <w:rPr>
          <w:color w:val="000000"/>
          <w:sz w:val="22"/>
          <w:szCs w:val="22"/>
        </w:rPr>
      </w:pPr>
      <w:r w:rsidRPr="008A4F40">
        <w:rPr>
          <w:b/>
          <w:color w:val="000000"/>
          <w:sz w:val="22"/>
          <w:szCs w:val="22"/>
        </w:rPr>
        <w:t>Zur Behandlung von Myelodysplastischen/myeloproliferativen Erkrankungen (</w:t>
      </w:r>
      <w:smartTag w:uri="urn:schemas-microsoft-com:office:smarttags" w:element="stockticker">
        <w:r w:rsidRPr="008A4F40">
          <w:rPr>
            <w:b/>
            <w:color w:val="000000"/>
            <w:sz w:val="22"/>
            <w:szCs w:val="22"/>
          </w:rPr>
          <w:t>MDS</w:t>
        </w:r>
      </w:smartTag>
      <w:r w:rsidRPr="008A4F40">
        <w:rPr>
          <w:b/>
          <w:color w:val="000000"/>
          <w:sz w:val="22"/>
          <w:szCs w:val="22"/>
        </w:rPr>
        <w:t>/MPD).</w:t>
      </w:r>
      <w:r w:rsidRPr="008A4F40">
        <w:rPr>
          <w:color w:val="000000"/>
          <w:sz w:val="22"/>
          <w:szCs w:val="22"/>
        </w:rPr>
        <w:t xml:space="preserve"> Diese gehören zu einer Gruppe von Bluterkrankungen, bei denen bestimmte Blutzellen unkontrolliert zu wachsen be</w:t>
      </w:r>
      <w:r w:rsidRPr="008A4F40">
        <w:rPr>
          <w:color w:val="000000"/>
          <w:sz w:val="22"/>
          <w:szCs w:val="22"/>
        </w:rPr>
        <w:softHyphen/>
        <w:t>ginnen. Glivec hemmt das Wachstum dieser Zellen bei einem bestimmten Typ dieser Erkrankungen.</w:t>
      </w:r>
    </w:p>
    <w:p w14:paraId="58AC9CD4" w14:textId="77777777" w:rsidR="007217B7" w:rsidRPr="008A4F40" w:rsidRDefault="007217B7" w:rsidP="004E7659">
      <w:pPr>
        <w:numPr>
          <w:ilvl w:val="0"/>
          <w:numId w:val="15"/>
        </w:numPr>
        <w:tabs>
          <w:tab w:val="clear" w:pos="360"/>
        </w:tabs>
        <w:ind w:left="567" w:hanging="567"/>
        <w:rPr>
          <w:color w:val="000000"/>
          <w:sz w:val="22"/>
          <w:szCs w:val="22"/>
        </w:rPr>
      </w:pPr>
      <w:r w:rsidRPr="008A4F40">
        <w:rPr>
          <w:b/>
          <w:color w:val="000000"/>
          <w:sz w:val="22"/>
          <w:szCs w:val="22"/>
        </w:rPr>
        <w:t>Zur Behandlung des hypereosinophilen Syndroms (HES) und/oder der chronischen eosinophilen Leukämie (</w:t>
      </w:r>
      <w:smartTag w:uri="urn:schemas-microsoft-com:office:smarttags" w:element="stockticker">
        <w:r w:rsidRPr="008A4F40">
          <w:rPr>
            <w:b/>
            <w:color w:val="000000"/>
            <w:sz w:val="22"/>
            <w:szCs w:val="22"/>
          </w:rPr>
          <w:t>CEL</w:t>
        </w:r>
      </w:smartTag>
      <w:r w:rsidRPr="008A4F40">
        <w:rPr>
          <w:b/>
          <w:color w:val="000000"/>
          <w:sz w:val="22"/>
          <w:szCs w:val="22"/>
        </w:rPr>
        <w:t>).</w:t>
      </w:r>
      <w:r w:rsidRPr="008A4F40">
        <w:rPr>
          <w:color w:val="000000"/>
          <w:sz w:val="22"/>
          <w:szCs w:val="22"/>
        </w:rPr>
        <w:t xml:space="preserve"> Dies sind Bluterkrankungen, bei denen bestimmte Blutzellen (so genannte Eosinophile) unkontrolliert zu wachsen beginnen. Glivec hemmt das Wachstum dieser Zellen bei einem bestimmten Typ dieser Erkrankungen.</w:t>
      </w:r>
    </w:p>
    <w:p w14:paraId="71095917" w14:textId="77777777" w:rsidR="007217B7" w:rsidRPr="008A4F40" w:rsidRDefault="007217B7" w:rsidP="004E7659">
      <w:pPr>
        <w:numPr>
          <w:ilvl w:val="0"/>
          <w:numId w:val="15"/>
        </w:numPr>
        <w:tabs>
          <w:tab w:val="clear" w:pos="360"/>
        </w:tabs>
        <w:ind w:left="567" w:hanging="567"/>
        <w:rPr>
          <w:color w:val="000000"/>
          <w:sz w:val="22"/>
          <w:szCs w:val="22"/>
        </w:rPr>
      </w:pPr>
      <w:r w:rsidRPr="008A4F40">
        <w:rPr>
          <w:b/>
          <w:color w:val="000000"/>
          <w:sz w:val="22"/>
          <w:szCs w:val="22"/>
        </w:rPr>
        <w:t>Zur Behandlung von bösartigen Weichteiltumoren des Verdauungstrakts (GIST).</w:t>
      </w:r>
      <w:r w:rsidRPr="008A4F40">
        <w:rPr>
          <w:color w:val="000000"/>
          <w:sz w:val="22"/>
          <w:szCs w:val="22"/>
        </w:rPr>
        <w:t xml:space="preserve"> GIST ist eine Krebserkrankung des Magens und des Darms. Sie entsteht auf Grund des unkontrollierten Wachstums von Bindegewebszellen dieser Organe.</w:t>
      </w:r>
    </w:p>
    <w:p w14:paraId="0EABACA9" w14:textId="77777777" w:rsidR="007217B7" w:rsidRPr="008A4F40" w:rsidRDefault="007217B7" w:rsidP="004E7659">
      <w:pPr>
        <w:keepNext/>
        <w:numPr>
          <w:ilvl w:val="0"/>
          <w:numId w:val="15"/>
        </w:numPr>
        <w:tabs>
          <w:tab w:val="clear" w:pos="360"/>
        </w:tabs>
        <w:ind w:left="567" w:hanging="567"/>
        <w:rPr>
          <w:color w:val="000000"/>
          <w:sz w:val="22"/>
          <w:szCs w:val="22"/>
        </w:rPr>
      </w:pPr>
      <w:r w:rsidRPr="008A4F40">
        <w:rPr>
          <w:b/>
          <w:color w:val="000000"/>
          <w:sz w:val="22"/>
          <w:szCs w:val="22"/>
        </w:rPr>
        <w:t>Zur Behandlung von Dermatofibrosarcoma protuberans (DFSP).</w:t>
      </w:r>
      <w:r w:rsidRPr="008A4F40">
        <w:rPr>
          <w:color w:val="000000"/>
          <w:sz w:val="22"/>
          <w:szCs w:val="22"/>
        </w:rPr>
        <w:t xml:space="preserve"> DFSP ist eine Krebserkrankung des Gewebes unter der Haut, in dem bestimmte Zellen unkontrolliert zu wachsen be</w:t>
      </w:r>
      <w:r w:rsidRPr="008A4F40">
        <w:rPr>
          <w:color w:val="000000"/>
          <w:sz w:val="22"/>
          <w:szCs w:val="22"/>
        </w:rPr>
        <w:softHyphen/>
        <w:t>ginnen. Glivec hemmt das Wachstum dieser Zellen.</w:t>
      </w:r>
    </w:p>
    <w:p w14:paraId="6B0B990C" w14:textId="77777777" w:rsidR="007217B7" w:rsidRPr="008A4F40" w:rsidRDefault="007217B7" w:rsidP="004E7659">
      <w:pPr>
        <w:numPr>
          <w:ilvl w:val="12"/>
          <w:numId w:val="0"/>
        </w:numPr>
        <w:rPr>
          <w:color w:val="000000"/>
          <w:sz w:val="22"/>
          <w:szCs w:val="22"/>
        </w:rPr>
      </w:pPr>
      <w:r w:rsidRPr="008A4F40">
        <w:rPr>
          <w:color w:val="000000"/>
          <w:sz w:val="22"/>
          <w:szCs w:val="22"/>
        </w:rPr>
        <w:t>Im folgenden Teil der Gebrauchsinformation werden die oben genannten Abkürzungen verwendet, wenn über diese Erkrankungen gesprochen wird.</w:t>
      </w:r>
    </w:p>
    <w:p w14:paraId="36FB5067" w14:textId="77777777" w:rsidR="007217B7" w:rsidRPr="008A4F40" w:rsidRDefault="007217B7" w:rsidP="004E7659">
      <w:pPr>
        <w:numPr>
          <w:ilvl w:val="12"/>
          <w:numId w:val="0"/>
        </w:numPr>
        <w:rPr>
          <w:color w:val="000000"/>
          <w:sz w:val="22"/>
          <w:szCs w:val="22"/>
        </w:rPr>
      </w:pPr>
    </w:p>
    <w:p w14:paraId="624860C0" w14:textId="77777777" w:rsidR="007217B7" w:rsidRPr="008A4F40" w:rsidRDefault="007217B7" w:rsidP="004E7659">
      <w:pPr>
        <w:numPr>
          <w:ilvl w:val="12"/>
          <w:numId w:val="0"/>
        </w:numPr>
        <w:rPr>
          <w:color w:val="000000"/>
          <w:sz w:val="22"/>
          <w:szCs w:val="22"/>
        </w:rPr>
      </w:pPr>
      <w:r w:rsidRPr="008A4F40">
        <w:rPr>
          <w:color w:val="000000"/>
          <w:sz w:val="22"/>
          <w:szCs w:val="22"/>
        </w:rPr>
        <w:t>Fragen Sie Ihren Arzt, wenn Sie wissen wollen, wie Glivec wirkt oder warum Ihnen dieses Arzneimittel verschrieben worden ist.</w:t>
      </w:r>
    </w:p>
    <w:p w14:paraId="0DB47DB8" w14:textId="77777777" w:rsidR="007217B7" w:rsidRPr="008A4F40" w:rsidRDefault="007217B7" w:rsidP="004E7659">
      <w:pPr>
        <w:numPr>
          <w:ilvl w:val="12"/>
          <w:numId w:val="0"/>
        </w:numPr>
        <w:rPr>
          <w:color w:val="000000"/>
          <w:sz w:val="22"/>
          <w:szCs w:val="22"/>
        </w:rPr>
      </w:pPr>
    </w:p>
    <w:p w14:paraId="6047B8C2" w14:textId="77777777" w:rsidR="007217B7" w:rsidRPr="008A4F40" w:rsidRDefault="007217B7" w:rsidP="004E7659">
      <w:pPr>
        <w:numPr>
          <w:ilvl w:val="12"/>
          <w:numId w:val="0"/>
        </w:numPr>
        <w:rPr>
          <w:color w:val="000000"/>
          <w:sz w:val="22"/>
          <w:szCs w:val="22"/>
        </w:rPr>
      </w:pPr>
    </w:p>
    <w:p w14:paraId="3A87DE2B" w14:textId="77777777" w:rsidR="007217B7" w:rsidRPr="008A4F40" w:rsidRDefault="007217B7" w:rsidP="004E7659">
      <w:pPr>
        <w:keepNext/>
        <w:numPr>
          <w:ilvl w:val="12"/>
          <w:numId w:val="0"/>
        </w:numPr>
        <w:ind w:left="567" w:hanging="567"/>
        <w:rPr>
          <w:color w:val="000000"/>
          <w:sz w:val="22"/>
          <w:szCs w:val="22"/>
        </w:rPr>
      </w:pPr>
      <w:r w:rsidRPr="008A4F40">
        <w:rPr>
          <w:b/>
          <w:color w:val="000000"/>
          <w:sz w:val="22"/>
          <w:szCs w:val="22"/>
        </w:rPr>
        <w:t>2.</w:t>
      </w:r>
      <w:r w:rsidRPr="008A4F40">
        <w:rPr>
          <w:b/>
          <w:color w:val="000000"/>
          <w:sz w:val="22"/>
          <w:szCs w:val="22"/>
        </w:rPr>
        <w:tab/>
        <w:t>Was sollten Sie vor der Einnahme von Glivec beachten?</w:t>
      </w:r>
    </w:p>
    <w:p w14:paraId="0962DC7C" w14:textId="77777777" w:rsidR="007217B7" w:rsidRPr="008A4F40" w:rsidRDefault="007217B7" w:rsidP="004E7659">
      <w:pPr>
        <w:pStyle w:val="Header"/>
        <w:keepNext/>
        <w:numPr>
          <w:ilvl w:val="12"/>
          <w:numId w:val="0"/>
        </w:numPr>
        <w:tabs>
          <w:tab w:val="clear" w:pos="4320"/>
          <w:tab w:val="clear" w:pos="8640"/>
        </w:tabs>
        <w:rPr>
          <w:color w:val="000000"/>
          <w:szCs w:val="22"/>
        </w:rPr>
      </w:pPr>
    </w:p>
    <w:p w14:paraId="30B131C0" w14:textId="77777777" w:rsidR="007217B7" w:rsidRPr="008A4F40" w:rsidRDefault="007217B7" w:rsidP="004E7659">
      <w:pPr>
        <w:pStyle w:val="Header"/>
        <w:numPr>
          <w:ilvl w:val="12"/>
          <w:numId w:val="0"/>
        </w:numPr>
        <w:tabs>
          <w:tab w:val="clear" w:pos="4320"/>
          <w:tab w:val="clear" w:pos="8640"/>
        </w:tabs>
        <w:rPr>
          <w:color w:val="000000"/>
          <w:szCs w:val="22"/>
        </w:rPr>
      </w:pPr>
      <w:r w:rsidRPr="008A4F40">
        <w:rPr>
          <w:color w:val="000000"/>
          <w:szCs w:val="22"/>
        </w:rPr>
        <w:t>Glivec wird Ihnen nur von einem Arzt verschrieben werden, der Erfahrung mit Arzneimitteln zur Behandlung von Blutkrebs oder soliden Tumoren hat.</w:t>
      </w:r>
    </w:p>
    <w:p w14:paraId="18CE6F24" w14:textId="77777777" w:rsidR="007217B7" w:rsidRPr="008A4F40" w:rsidRDefault="007217B7" w:rsidP="004E7659">
      <w:pPr>
        <w:pStyle w:val="Header"/>
        <w:numPr>
          <w:ilvl w:val="12"/>
          <w:numId w:val="0"/>
        </w:numPr>
        <w:tabs>
          <w:tab w:val="clear" w:pos="4320"/>
          <w:tab w:val="clear" w:pos="8640"/>
        </w:tabs>
        <w:rPr>
          <w:color w:val="000000"/>
          <w:szCs w:val="22"/>
        </w:rPr>
      </w:pPr>
    </w:p>
    <w:p w14:paraId="428A6A21" w14:textId="77777777" w:rsidR="007217B7" w:rsidRPr="008A4F40" w:rsidRDefault="007217B7" w:rsidP="004E7659">
      <w:pPr>
        <w:pStyle w:val="Header"/>
        <w:numPr>
          <w:ilvl w:val="12"/>
          <w:numId w:val="0"/>
        </w:numPr>
        <w:tabs>
          <w:tab w:val="clear" w:pos="4320"/>
          <w:tab w:val="clear" w:pos="8640"/>
        </w:tabs>
        <w:rPr>
          <w:color w:val="000000"/>
          <w:szCs w:val="22"/>
        </w:rPr>
      </w:pPr>
      <w:r w:rsidRPr="008A4F40">
        <w:rPr>
          <w:color w:val="000000"/>
          <w:szCs w:val="22"/>
        </w:rPr>
        <w:t>Folgen Sie bitte sorgfältig allen Anweisungen Ihres Arztes, auch wenn sie von den allgemeinen Informationen in dieser Packungsbeilage abweichen.</w:t>
      </w:r>
    </w:p>
    <w:p w14:paraId="53165AB7" w14:textId="77777777" w:rsidR="007217B7" w:rsidRPr="008A4F40" w:rsidRDefault="007217B7" w:rsidP="004E7659">
      <w:pPr>
        <w:pStyle w:val="Header"/>
        <w:numPr>
          <w:ilvl w:val="12"/>
          <w:numId w:val="0"/>
        </w:numPr>
        <w:tabs>
          <w:tab w:val="clear" w:pos="4320"/>
          <w:tab w:val="clear" w:pos="8640"/>
        </w:tabs>
        <w:rPr>
          <w:color w:val="000000"/>
          <w:szCs w:val="22"/>
        </w:rPr>
      </w:pPr>
    </w:p>
    <w:p w14:paraId="1BA2F972" w14:textId="77777777" w:rsidR="007217B7" w:rsidRPr="008A4F40" w:rsidRDefault="007217B7" w:rsidP="004E7659">
      <w:pPr>
        <w:keepNext/>
        <w:numPr>
          <w:ilvl w:val="12"/>
          <w:numId w:val="0"/>
        </w:numPr>
        <w:rPr>
          <w:color w:val="000000"/>
          <w:sz w:val="22"/>
          <w:szCs w:val="22"/>
        </w:rPr>
      </w:pPr>
      <w:r w:rsidRPr="008A4F40">
        <w:rPr>
          <w:b/>
          <w:color w:val="000000"/>
          <w:sz w:val="22"/>
          <w:szCs w:val="22"/>
        </w:rPr>
        <w:t>Glivec darf nicht eingenommen werden,</w:t>
      </w:r>
    </w:p>
    <w:p w14:paraId="56485185" w14:textId="77777777" w:rsidR="007217B7" w:rsidRPr="008A4F40" w:rsidRDefault="007217B7" w:rsidP="004E7659">
      <w:pPr>
        <w:keepNext/>
        <w:numPr>
          <w:ilvl w:val="0"/>
          <w:numId w:val="1"/>
        </w:numPr>
        <w:tabs>
          <w:tab w:val="clear" w:pos="417"/>
        </w:tabs>
        <w:ind w:left="567" w:hanging="567"/>
        <w:rPr>
          <w:color w:val="000000"/>
          <w:sz w:val="22"/>
          <w:szCs w:val="22"/>
        </w:rPr>
      </w:pPr>
      <w:r w:rsidRPr="008A4F40">
        <w:rPr>
          <w:color w:val="000000"/>
          <w:sz w:val="22"/>
          <w:szCs w:val="22"/>
        </w:rPr>
        <w:t>wenn Sie allergisch gegen Imatinib oder einen der in Abschnitt 6. genannten sonstigen Bestandteile dieses Arzneimittels sind.</w:t>
      </w:r>
    </w:p>
    <w:p w14:paraId="2F6C439E" w14:textId="77777777" w:rsidR="007217B7" w:rsidRPr="008A4F40" w:rsidRDefault="007217B7" w:rsidP="004E7659">
      <w:pPr>
        <w:rPr>
          <w:color w:val="000000"/>
          <w:sz w:val="22"/>
          <w:szCs w:val="22"/>
        </w:rPr>
      </w:pPr>
      <w:r w:rsidRPr="008A4F40">
        <w:rPr>
          <w:color w:val="000000"/>
          <w:sz w:val="22"/>
          <w:szCs w:val="22"/>
        </w:rPr>
        <w:t xml:space="preserve">Wenn dies auf Sie zutrifft, </w:t>
      </w:r>
      <w:r w:rsidRPr="008A4F40">
        <w:rPr>
          <w:b/>
          <w:color w:val="000000"/>
          <w:sz w:val="22"/>
          <w:szCs w:val="22"/>
        </w:rPr>
        <w:t>teilen Sie es Ihrem Arzt mit und nehmen Sie Glivec nicht ein.</w:t>
      </w:r>
    </w:p>
    <w:p w14:paraId="676AD83E" w14:textId="77777777" w:rsidR="007217B7" w:rsidRPr="008A4F40" w:rsidRDefault="007217B7" w:rsidP="004E7659">
      <w:pPr>
        <w:rPr>
          <w:color w:val="000000"/>
          <w:sz w:val="22"/>
          <w:szCs w:val="22"/>
        </w:rPr>
      </w:pPr>
    </w:p>
    <w:p w14:paraId="08F6A62F" w14:textId="77777777" w:rsidR="007217B7" w:rsidRPr="008A4F40" w:rsidRDefault="007217B7" w:rsidP="004E7659">
      <w:pPr>
        <w:rPr>
          <w:color w:val="000000"/>
          <w:sz w:val="22"/>
          <w:szCs w:val="22"/>
        </w:rPr>
      </w:pPr>
      <w:r w:rsidRPr="008A4F40">
        <w:rPr>
          <w:color w:val="000000"/>
          <w:sz w:val="22"/>
          <w:szCs w:val="22"/>
        </w:rPr>
        <w:t>Wenn Sie glauben, allergisch zu sein, sich aber nicht sicher sind, fragen Sie Ihren Arzt um Rat.</w:t>
      </w:r>
    </w:p>
    <w:p w14:paraId="7951FC83" w14:textId="77777777" w:rsidR="007217B7" w:rsidRPr="008A4F40" w:rsidRDefault="007217B7" w:rsidP="004E7659">
      <w:pPr>
        <w:numPr>
          <w:ilvl w:val="12"/>
          <w:numId w:val="0"/>
        </w:numPr>
        <w:rPr>
          <w:color w:val="000000"/>
          <w:sz w:val="22"/>
          <w:szCs w:val="22"/>
        </w:rPr>
      </w:pPr>
    </w:p>
    <w:p w14:paraId="59512A92" w14:textId="77777777" w:rsidR="007217B7" w:rsidRPr="008A4F40" w:rsidRDefault="007217B7" w:rsidP="004E7659">
      <w:pPr>
        <w:keepNext/>
        <w:numPr>
          <w:ilvl w:val="12"/>
          <w:numId w:val="0"/>
        </w:numPr>
        <w:rPr>
          <w:b/>
          <w:color w:val="000000"/>
          <w:sz w:val="22"/>
          <w:szCs w:val="22"/>
        </w:rPr>
      </w:pPr>
      <w:r w:rsidRPr="008A4F40">
        <w:rPr>
          <w:b/>
          <w:color w:val="000000"/>
          <w:sz w:val="22"/>
          <w:szCs w:val="22"/>
        </w:rPr>
        <w:t>Warnhinweise und Vorsichtsmaßnahmen</w:t>
      </w:r>
    </w:p>
    <w:p w14:paraId="19DAFBFB" w14:textId="77777777" w:rsidR="007217B7" w:rsidRPr="008A4F40" w:rsidRDefault="007217B7" w:rsidP="004E7659">
      <w:pPr>
        <w:keepNext/>
        <w:numPr>
          <w:ilvl w:val="12"/>
          <w:numId w:val="0"/>
        </w:numPr>
        <w:rPr>
          <w:color w:val="000000"/>
          <w:sz w:val="22"/>
          <w:szCs w:val="22"/>
        </w:rPr>
      </w:pPr>
      <w:r w:rsidRPr="008A4F40">
        <w:rPr>
          <w:color w:val="000000"/>
          <w:sz w:val="22"/>
          <w:szCs w:val="22"/>
        </w:rPr>
        <w:t>Bitte sprechen Sie mit Ihrem Arzt, bevor Sie Glivec einnehmen:</w:t>
      </w:r>
    </w:p>
    <w:p w14:paraId="010196F7" w14:textId="77777777" w:rsidR="007217B7" w:rsidRPr="008A4F40" w:rsidRDefault="007217B7" w:rsidP="004E7659">
      <w:pPr>
        <w:keepNext/>
        <w:numPr>
          <w:ilvl w:val="0"/>
          <w:numId w:val="1"/>
        </w:numPr>
        <w:tabs>
          <w:tab w:val="clear" w:pos="417"/>
        </w:tabs>
        <w:ind w:left="567" w:hanging="567"/>
        <w:rPr>
          <w:color w:val="000000"/>
          <w:sz w:val="22"/>
          <w:szCs w:val="22"/>
        </w:rPr>
      </w:pPr>
      <w:r w:rsidRPr="008A4F40">
        <w:rPr>
          <w:color w:val="000000"/>
          <w:sz w:val="22"/>
          <w:szCs w:val="22"/>
        </w:rPr>
        <w:t>wenn Sie eine Leber-, Nieren- oder Herzerkrankung haben oder jemals hatten.</w:t>
      </w:r>
    </w:p>
    <w:p w14:paraId="35093FD9" w14:textId="77777777" w:rsidR="007217B7" w:rsidRPr="008A4F40" w:rsidRDefault="007217B7" w:rsidP="004E7659">
      <w:pPr>
        <w:keepNext/>
        <w:numPr>
          <w:ilvl w:val="0"/>
          <w:numId w:val="1"/>
        </w:numPr>
        <w:tabs>
          <w:tab w:val="clear" w:pos="417"/>
        </w:tabs>
        <w:ind w:left="567" w:hanging="567"/>
        <w:rPr>
          <w:color w:val="000000"/>
          <w:sz w:val="22"/>
          <w:szCs w:val="22"/>
        </w:rPr>
      </w:pPr>
      <w:r w:rsidRPr="008A4F40">
        <w:rPr>
          <w:color w:val="000000"/>
          <w:sz w:val="22"/>
          <w:szCs w:val="22"/>
        </w:rPr>
        <w:t>wenn Sie das Arzneimittel Levothyroxin einnehmen, weil Ihre Schilddrüse entfernt wurde.</w:t>
      </w:r>
    </w:p>
    <w:p w14:paraId="3EE33190" w14:textId="77777777" w:rsidR="007F4F8D" w:rsidRPr="008A4F40" w:rsidRDefault="00B37BFB" w:rsidP="004E7659">
      <w:pPr>
        <w:keepNext/>
        <w:numPr>
          <w:ilvl w:val="0"/>
          <w:numId w:val="1"/>
        </w:numPr>
        <w:tabs>
          <w:tab w:val="clear" w:pos="417"/>
        </w:tabs>
        <w:ind w:left="567" w:hanging="567"/>
        <w:rPr>
          <w:color w:val="000000"/>
          <w:sz w:val="22"/>
          <w:szCs w:val="22"/>
        </w:rPr>
      </w:pPr>
      <w:r w:rsidRPr="008A4F40">
        <w:rPr>
          <w:color w:val="000000"/>
          <w:sz w:val="22"/>
          <w:szCs w:val="22"/>
        </w:rPr>
        <w:t>wenn Sie in der Vergangenheit eine Hepatitis-B-Infektion hatten oder möglicherweise derzeit haben. Dies ist notwendig, weil Glivec zu einer Reaktivierung der Hepatitis-B-Erkrankung führen könnte, welche in manchen Fällen tödlich verlaufen kann. Patienten werden von ihren Ärzten sorgfältig auf Anzeichen dieser Infektion hin untersucht, bevor die Behandlung begonnen wird.</w:t>
      </w:r>
    </w:p>
    <w:p w14:paraId="2CF13C77" w14:textId="77777777" w:rsidR="00B37BFB" w:rsidRPr="008A4F40" w:rsidRDefault="007F4F8D" w:rsidP="004E7659">
      <w:pPr>
        <w:keepNext/>
        <w:numPr>
          <w:ilvl w:val="0"/>
          <w:numId w:val="1"/>
        </w:numPr>
        <w:tabs>
          <w:tab w:val="clear" w:pos="417"/>
        </w:tabs>
        <w:ind w:left="567" w:hanging="567"/>
        <w:rPr>
          <w:color w:val="000000"/>
          <w:sz w:val="22"/>
          <w:szCs w:val="22"/>
        </w:rPr>
      </w:pPr>
      <w:r w:rsidRPr="008A4F40">
        <w:rPr>
          <w:color w:val="000000"/>
          <w:sz w:val="22"/>
          <w:szCs w:val="22"/>
        </w:rPr>
        <w:t>wenn Sie während der Einnahme von Glivec blaue Flecken, Blutungen, Fieber, Müdigkeit und Verwirrtheit bemerken, wenden Sie sich an Ihren Arzt. Dies kann ein</w:t>
      </w:r>
      <w:r w:rsidR="00A14A5C" w:rsidRPr="008A4F40">
        <w:rPr>
          <w:color w:val="000000"/>
          <w:sz w:val="22"/>
          <w:szCs w:val="22"/>
        </w:rPr>
        <w:t xml:space="preserve"> Anz</w:t>
      </w:r>
      <w:r w:rsidRPr="008A4F40">
        <w:rPr>
          <w:color w:val="000000"/>
          <w:sz w:val="22"/>
          <w:szCs w:val="22"/>
        </w:rPr>
        <w:t>eichen für eine Schädigung der Blutgefäße sein, die als thrombotische Mikroangiopathie (TMA) bezeichnet wird.</w:t>
      </w:r>
    </w:p>
    <w:p w14:paraId="3DA9669D" w14:textId="77777777" w:rsidR="007217B7" w:rsidRPr="008A4F40" w:rsidRDefault="007217B7" w:rsidP="004E7659">
      <w:pPr>
        <w:rPr>
          <w:b/>
          <w:color w:val="000000"/>
          <w:sz w:val="22"/>
          <w:szCs w:val="22"/>
        </w:rPr>
      </w:pPr>
      <w:r w:rsidRPr="008A4F40">
        <w:rPr>
          <w:color w:val="000000"/>
          <w:sz w:val="22"/>
          <w:szCs w:val="22"/>
        </w:rPr>
        <w:t xml:space="preserve">Wenn einer dieser Punkte auf Sie zutrifft, </w:t>
      </w:r>
      <w:r w:rsidRPr="008A4F40">
        <w:rPr>
          <w:b/>
          <w:color w:val="000000"/>
          <w:sz w:val="22"/>
          <w:szCs w:val="22"/>
        </w:rPr>
        <w:t>informieren Sie Ihren Arzt, bevor Sie Glivec einnehmen.</w:t>
      </w:r>
    </w:p>
    <w:p w14:paraId="26D27685" w14:textId="77777777" w:rsidR="00547136" w:rsidRPr="008A4F40" w:rsidRDefault="00547136" w:rsidP="004E7659">
      <w:pPr>
        <w:rPr>
          <w:color w:val="000000"/>
          <w:sz w:val="22"/>
          <w:szCs w:val="22"/>
        </w:rPr>
      </w:pPr>
    </w:p>
    <w:p w14:paraId="73198BDA" w14:textId="77777777" w:rsidR="00547136" w:rsidRPr="008A4F40" w:rsidRDefault="00547136" w:rsidP="004E7659">
      <w:pPr>
        <w:rPr>
          <w:color w:val="000000"/>
          <w:sz w:val="22"/>
          <w:szCs w:val="22"/>
        </w:rPr>
      </w:pPr>
      <w:r w:rsidRPr="008A4F40">
        <w:rPr>
          <w:color w:val="000000"/>
          <w:sz w:val="22"/>
          <w:szCs w:val="22"/>
        </w:rPr>
        <w:t>Sie können empfindlicher auf Sonnenlicht reagieren, während Sie Glivec einnehmen. Es ist wichtig, dass Sie Hautpartien bedecken, die der Sonne ausgesetzt sind, und ein Sonnenschutzmittel mit hohem Lichtschutzfaktor (LSF) verwenden. Diese Vorsichtsmaßnahmen gelten auch für Kinder.</w:t>
      </w:r>
    </w:p>
    <w:p w14:paraId="36172B99" w14:textId="77777777" w:rsidR="007217B7" w:rsidRPr="008A4F40" w:rsidRDefault="007217B7" w:rsidP="004E7659">
      <w:pPr>
        <w:rPr>
          <w:color w:val="000000"/>
          <w:sz w:val="22"/>
          <w:szCs w:val="22"/>
        </w:rPr>
      </w:pPr>
    </w:p>
    <w:p w14:paraId="31F05ABC" w14:textId="77777777" w:rsidR="007217B7" w:rsidRPr="008A4F40" w:rsidRDefault="007217B7" w:rsidP="004E7659">
      <w:pPr>
        <w:keepNext/>
        <w:rPr>
          <w:b/>
          <w:color w:val="000000"/>
          <w:sz w:val="22"/>
          <w:szCs w:val="22"/>
        </w:rPr>
      </w:pPr>
      <w:r w:rsidRPr="008A4F40">
        <w:rPr>
          <w:b/>
          <w:color w:val="000000"/>
          <w:sz w:val="22"/>
          <w:szCs w:val="22"/>
        </w:rPr>
        <w:t>Sprechen Sie bitte unverzüglich mit Ihrem Arzt,</w:t>
      </w:r>
      <w:r w:rsidRPr="008A4F40">
        <w:rPr>
          <w:color w:val="000000"/>
          <w:sz w:val="22"/>
          <w:szCs w:val="22"/>
        </w:rPr>
        <w:t xml:space="preserve"> wenn Sie bei sich </w:t>
      </w:r>
      <w:r w:rsidRPr="008A4F40">
        <w:rPr>
          <w:b/>
          <w:color w:val="000000"/>
          <w:sz w:val="22"/>
          <w:szCs w:val="22"/>
        </w:rPr>
        <w:t>während der Einnahme von Glivec</w:t>
      </w:r>
      <w:r w:rsidRPr="008A4F40">
        <w:rPr>
          <w:color w:val="000000"/>
          <w:sz w:val="22"/>
          <w:szCs w:val="22"/>
        </w:rPr>
        <w:t xml:space="preserve"> eine schnelle Gewichtszunahme feststellen. Glivec kann zu Wasseransammlungen im Körper führen (schwere Flüssigkeitsretention).</w:t>
      </w:r>
    </w:p>
    <w:p w14:paraId="6CD5A314" w14:textId="77777777" w:rsidR="007217B7" w:rsidRPr="008A4F40" w:rsidRDefault="007217B7" w:rsidP="004E7659">
      <w:pPr>
        <w:rPr>
          <w:color w:val="000000"/>
          <w:sz w:val="22"/>
          <w:szCs w:val="22"/>
        </w:rPr>
      </w:pPr>
    </w:p>
    <w:p w14:paraId="5ADE2CBA" w14:textId="77777777" w:rsidR="007217B7" w:rsidRPr="008A4F40" w:rsidRDefault="007217B7" w:rsidP="004E7659">
      <w:pPr>
        <w:pStyle w:val="BodyText3"/>
        <w:rPr>
          <w:color w:val="000000"/>
          <w:szCs w:val="22"/>
        </w:rPr>
      </w:pPr>
      <w:r w:rsidRPr="008A4F40">
        <w:rPr>
          <w:color w:val="000000"/>
          <w:szCs w:val="22"/>
        </w:rPr>
        <w:t>Während der Einnahme von Glivec wird Ihr Arzt regelmäßig überwachen, ob das Arzneimittel wirkt. Ihr Blut und Ihr Körpergewicht werden ebenfalls regelmäßig überprüft.</w:t>
      </w:r>
    </w:p>
    <w:p w14:paraId="1866BC28" w14:textId="77777777" w:rsidR="007217B7" w:rsidRPr="008A4F40" w:rsidRDefault="007217B7" w:rsidP="004E7659">
      <w:pPr>
        <w:rPr>
          <w:color w:val="000000"/>
          <w:sz w:val="22"/>
          <w:szCs w:val="22"/>
        </w:rPr>
      </w:pPr>
    </w:p>
    <w:p w14:paraId="384D032E" w14:textId="77777777" w:rsidR="007217B7" w:rsidRPr="008A4F40" w:rsidRDefault="007217B7" w:rsidP="004E7659">
      <w:pPr>
        <w:pStyle w:val="BodyTextIndent2"/>
        <w:keepNext/>
        <w:widowControl/>
        <w:ind w:firstLine="6"/>
        <w:rPr>
          <w:b/>
          <w:noProof/>
          <w:color w:val="000000"/>
          <w:szCs w:val="22"/>
        </w:rPr>
      </w:pPr>
      <w:r w:rsidRPr="008A4F40">
        <w:rPr>
          <w:b/>
          <w:noProof/>
          <w:color w:val="000000"/>
          <w:szCs w:val="22"/>
        </w:rPr>
        <w:t>Kinder und Jugendliche</w:t>
      </w:r>
    </w:p>
    <w:p w14:paraId="7D7FBB79" w14:textId="77777777" w:rsidR="007217B7" w:rsidRPr="008A4F40" w:rsidRDefault="007217B7" w:rsidP="004E7659">
      <w:pPr>
        <w:pStyle w:val="BodyTextIndent2"/>
        <w:widowControl/>
        <w:rPr>
          <w:noProof/>
          <w:color w:val="000000"/>
          <w:szCs w:val="22"/>
        </w:rPr>
      </w:pPr>
      <w:r w:rsidRPr="008A4F40">
        <w:rPr>
          <w:noProof/>
          <w:color w:val="000000"/>
          <w:szCs w:val="22"/>
        </w:rPr>
        <w:t>Glivec dient auch der Behandlung von Kindern mit CML. Es gibt keine Erfahrungen bei Kindern unter 2 Jahren mit CML. Die Erfahrung bei Kindern mit Ph-positiver </w:t>
      </w:r>
      <w:smartTag w:uri="urn:schemas-microsoft-com:office:smarttags" w:element="stockticker">
        <w:r w:rsidRPr="008A4F40">
          <w:rPr>
            <w:noProof/>
            <w:color w:val="000000"/>
            <w:szCs w:val="22"/>
          </w:rPr>
          <w:t>ALL</w:t>
        </w:r>
      </w:smartTag>
      <w:r w:rsidRPr="008A4F40">
        <w:rPr>
          <w:noProof/>
          <w:color w:val="000000"/>
          <w:szCs w:val="22"/>
        </w:rPr>
        <w:t xml:space="preserve"> ist begrenzt</w:t>
      </w:r>
      <w:r w:rsidR="00F2223D" w:rsidRPr="008A4F40">
        <w:rPr>
          <w:noProof/>
          <w:color w:val="000000"/>
          <w:szCs w:val="22"/>
        </w:rPr>
        <w:t xml:space="preserve"> und bei Kindern mit MDS/MPD, DFSP, GIST und HES/CEL sehr begrenzt</w:t>
      </w:r>
      <w:r w:rsidR="00A12DC6" w:rsidRPr="008A4F40">
        <w:rPr>
          <w:noProof/>
          <w:color w:val="000000"/>
          <w:szCs w:val="22"/>
        </w:rPr>
        <w:t>.</w:t>
      </w:r>
    </w:p>
    <w:p w14:paraId="284800E7" w14:textId="77777777" w:rsidR="007217B7" w:rsidRPr="008A4F40" w:rsidRDefault="007217B7" w:rsidP="004E7659">
      <w:pPr>
        <w:pStyle w:val="BodyTextIndent2"/>
        <w:widowControl/>
        <w:rPr>
          <w:noProof/>
          <w:color w:val="000000"/>
          <w:szCs w:val="22"/>
        </w:rPr>
      </w:pPr>
    </w:p>
    <w:p w14:paraId="6D575FC7" w14:textId="77777777" w:rsidR="007217B7" w:rsidRPr="008A4F40" w:rsidRDefault="007217B7" w:rsidP="004E7659">
      <w:pPr>
        <w:pStyle w:val="BodyTextIndent2"/>
        <w:widowControl/>
        <w:rPr>
          <w:color w:val="000000"/>
          <w:szCs w:val="22"/>
        </w:rPr>
      </w:pPr>
      <w:r w:rsidRPr="008A4F40">
        <w:rPr>
          <w:noProof/>
          <w:color w:val="000000"/>
          <w:szCs w:val="22"/>
        </w:rPr>
        <w:t>Einige Kinder und Jugendliche wachsen unter Glivec langsamer als normal. Der Arzt wird das Wachstum regelmäßig überwachen.</w:t>
      </w:r>
    </w:p>
    <w:p w14:paraId="4C024888" w14:textId="77777777" w:rsidR="007217B7" w:rsidRPr="008A4F40" w:rsidRDefault="007217B7" w:rsidP="004E7659">
      <w:pPr>
        <w:rPr>
          <w:color w:val="000000"/>
          <w:sz w:val="22"/>
          <w:szCs w:val="22"/>
        </w:rPr>
      </w:pPr>
    </w:p>
    <w:p w14:paraId="0EA57156" w14:textId="77777777" w:rsidR="007217B7" w:rsidRPr="00A24EE4" w:rsidRDefault="007217B7" w:rsidP="004E7659">
      <w:pPr>
        <w:keepNext/>
        <w:rPr>
          <w:b/>
          <w:bCs/>
          <w:sz w:val="22"/>
          <w:szCs w:val="22"/>
        </w:rPr>
      </w:pPr>
      <w:r w:rsidRPr="00A24EE4">
        <w:rPr>
          <w:b/>
          <w:bCs/>
          <w:sz w:val="22"/>
          <w:szCs w:val="22"/>
        </w:rPr>
        <w:t>Einnahme von Glivec zusammen mit anderen Arzneimitteln</w:t>
      </w:r>
    </w:p>
    <w:p w14:paraId="7BF9A13E" w14:textId="77777777" w:rsidR="00061AEA" w:rsidRPr="008A4F40" w:rsidRDefault="007217B7" w:rsidP="004E7659">
      <w:pPr>
        <w:pStyle w:val="BodyText3"/>
        <w:rPr>
          <w:color w:val="000000"/>
          <w:szCs w:val="22"/>
        </w:rPr>
      </w:pPr>
      <w:r w:rsidRPr="008A4F40">
        <w:rPr>
          <w:color w:val="000000"/>
          <w:szCs w:val="22"/>
        </w:rPr>
        <w:t>Informieren Sie Ihren Arzt oder Apotheker, wenn Sie andere Arzneimittel einnehmen, kürzlich andere Arzneimittel eingenommen haben oder beabsichtigen andere A</w:t>
      </w:r>
      <w:r w:rsidR="00126253" w:rsidRPr="008A4F40">
        <w:rPr>
          <w:color w:val="000000"/>
          <w:szCs w:val="22"/>
        </w:rPr>
        <w:t>r</w:t>
      </w:r>
      <w:r w:rsidRPr="008A4F40">
        <w:rPr>
          <w:color w:val="000000"/>
          <w:szCs w:val="22"/>
        </w:rPr>
        <w:t>zneimittel einzunehmen, auch wenn es sich um nicht verschreibungspflichtige Arzneimittel handelt (wie z. B. Paracetamol), einschließlich pflanzlicher Arzneimittel (wie z. B. Johanniskraut). Einige Arzneimittel können die Wirkung von Glivec beeinflussen, wenn sie zusammen eingenommen werden. Sie können die Wirkung von Glivec verstärken oder vermindern, was entweder zu verstärkten Nebenwirkungen führen kann oder dazu, dass Glivec weniger wirkt. Glivec kann auf einige andere Arzneimittel den gleichen Einfluss haben.</w:t>
      </w:r>
    </w:p>
    <w:p w14:paraId="32ABBFC9" w14:textId="77777777" w:rsidR="00061AEA" w:rsidRPr="008A4F40" w:rsidRDefault="00061AEA" w:rsidP="004E7659">
      <w:pPr>
        <w:pStyle w:val="BodyText3"/>
        <w:rPr>
          <w:color w:val="000000"/>
          <w:szCs w:val="22"/>
        </w:rPr>
      </w:pPr>
    </w:p>
    <w:p w14:paraId="01E94A08" w14:textId="77777777" w:rsidR="007217B7" w:rsidRPr="008A4F40" w:rsidRDefault="00061AEA" w:rsidP="004E7659">
      <w:pPr>
        <w:pStyle w:val="BodyText3"/>
        <w:rPr>
          <w:color w:val="000000"/>
          <w:szCs w:val="22"/>
        </w:rPr>
      </w:pPr>
      <w:r w:rsidRPr="008A4F40">
        <w:rPr>
          <w:color w:val="000000"/>
          <w:szCs w:val="22"/>
        </w:rPr>
        <w:t>Informieren Sie Ihren Arzt, wenn Sie Arzneimittel einnehmen/anwenden, die die Entstehung von Blutgerinnseln verhindern.</w:t>
      </w:r>
    </w:p>
    <w:p w14:paraId="6DC9B75F" w14:textId="77777777" w:rsidR="007217B7" w:rsidRPr="00A24EE4" w:rsidRDefault="007217B7" w:rsidP="004E7659">
      <w:pPr>
        <w:rPr>
          <w:sz w:val="22"/>
          <w:szCs w:val="22"/>
        </w:rPr>
      </w:pPr>
    </w:p>
    <w:p w14:paraId="6E8CA6A1" w14:textId="77777777" w:rsidR="007217B7" w:rsidRPr="008A4F40" w:rsidRDefault="007217B7" w:rsidP="004E7659">
      <w:pPr>
        <w:pStyle w:val="EndnoteText"/>
        <w:keepNext/>
        <w:rPr>
          <w:color w:val="000000"/>
          <w:sz w:val="22"/>
          <w:szCs w:val="22"/>
          <w:lang w:val="de-DE"/>
        </w:rPr>
      </w:pPr>
      <w:r w:rsidRPr="008A4F40">
        <w:rPr>
          <w:b/>
          <w:color w:val="000000"/>
          <w:sz w:val="22"/>
          <w:szCs w:val="22"/>
          <w:lang w:val="de-DE"/>
        </w:rPr>
        <w:t xml:space="preserve">Schwangerschaft, Stillzeit und </w:t>
      </w:r>
      <w:r w:rsidR="00BB2626" w:rsidRPr="008A4F40">
        <w:rPr>
          <w:b/>
          <w:color w:val="000000"/>
          <w:sz w:val="22"/>
          <w:szCs w:val="22"/>
          <w:lang w:val="de-DE"/>
        </w:rPr>
        <w:t>Fortpflanzungsfähigkeit</w:t>
      </w:r>
    </w:p>
    <w:p w14:paraId="24E16DA5" w14:textId="77777777" w:rsidR="007217B7" w:rsidRPr="008A4F40" w:rsidRDefault="007217B7" w:rsidP="004E7659">
      <w:pPr>
        <w:numPr>
          <w:ilvl w:val="0"/>
          <w:numId w:val="15"/>
        </w:numPr>
        <w:tabs>
          <w:tab w:val="clear" w:pos="360"/>
        </w:tabs>
        <w:ind w:left="567" w:hanging="567"/>
        <w:rPr>
          <w:color w:val="000000"/>
          <w:sz w:val="22"/>
          <w:szCs w:val="22"/>
        </w:rPr>
      </w:pPr>
      <w:r w:rsidRPr="008A4F40">
        <w:rPr>
          <w:color w:val="000000"/>
          <w:sz w:val="22"/>
          <w:szCs w:val="22"/>
        </w:rPr>
        <w:t>Wenn Sie schwanger sind oder stillen, oder wenn Sie vermuten, schwanger zu sein oder beabsichtigen, schwanger zu werden, fragen Sie vor der Einnahme dieses Arzneimittels Ihren Arzt um Rat.</w:t>
      </w:r>
    </w:p>
    <w:p w14:paraId="77380FDB" w14:textId="77777777" w:rsidR="007217B7" w:rsidRPr="008A4F40" w:rsidRDefault="007217B7" w:rsidP="004E7659">
      <w:pPr>
        <w:numPr>
          <w:ilvl w:val="0"/>
          <w:numId w:val="15"/>
        </w:numPr>
        <w:tabs>
          <w:tab w:val="clear" w:pos="360"/>
        </w:tabs>
        <w:ind w:left="567" w:hanging="567"/>
        <w:rPr>
          <w:color w:val="000000"/>
          <w:sz w:val="22"/>
          <w:szCs w:val="22"/>
        </w:rPr>
      </w:pPr>
      <w:r w:rsidRPr="008A4F40">
        <w:rPr>
          <w:color w:val="000000"/>
          <w:sz w:val="22"/>
          <w:szCs w:val="22"/>
        </w:rPr>
        <w:t>Glivec sollte nicht während der Schwangerschaft verwendet werden, es sei denn, dies ist eindeutig erforderlich, weil es Ihrem Baby schaden kann. Ihr Arzt wird mit Ihnen die möglichen Risiken einer Einnahme von Glivec während der Schwangerschaft besprechen.</w:t>
      </w:r>
    </w:p>
    <w:p w14:paraId="3CC53840" w14:textId="4CD243A0" w:rsidR="007217B7" w:rsidRPr="008A4F40" w:rsidRDefault="007217B7" w:rsidP="004E7659">
      <w:pPr>
        <w:numPr>
          <w:ilvl w:val="0"/>
          <w:numId w:val="15"/>
        </w:numPr>
        <w:tabs>
          <w:tab w:val="clear" w:pos="360"/>
        </w:tabs>
        <w:ind w:left="567" w:hanging="567"/>
        <w:rPr>
          <w:color w:val="000000"/>
          <w:sz w:val="22"/>
          <w:szCs w:val="22"/>
        </w:rPr>
      </w:pPr>
      <w:r w:rsidRPr="008A4F40">
        <w:rPr>
          <w:color w:val="000000"/>
          <w:sz w:val="22"/>
          <w:szCs w:val="22"/>
        </w:rPr>
        <w:t xml:space="preserve">Frauen, die schwanger werden können, wird </w:t>
      </w:r>
      <w:r w:rsidR="003B3786" w:rsidRPr="008A4F40">
        <w:rPr>
          <w:color w:val="000000"/>
          <w:sz w:val="22"/>
          <w:szCs w:val="22"/>
        </w:rPr>
        <w:t>dringend empfohlen,</w:t>
      </w:r>
      <w:r w:rsidRPr="008A4F40">
        <w:rPr>
          <w:color w:val="000000"/>
          <w:sz w:val="22"/>
          <w:szCs w:val="22"/>
        </w:rPr>
        <w:t xml:space="preserve"> während der Behandlung</w:t>
      </w:r>
      <w:r w:rsidR="003B3786" w:rsidRPr="008A4F40">
        <w:rPr>
          <w:sz w:val="22"/>
          <w:szCs w:val="22"/>
        </w:rPr>
        <w:t xml:space="preserve"> und für 15 Tage nach Beendigung der Behandlung </w:t>
      </w:r>
      <w:r w:rsidR="003B3786" w:rsidRPr="008A4F40">
        <w:rPr>
          <w:color w:val="000000"/>
          <w:sz w:val="22"/>
          <w:szCs w:val="22"/>
        </w:rPr>
        <w:t>wirksame Verhütungsmethoden anzuwenden</w:t>
      </w:r>
      <w:r w:rsidRPr="008A4F40">
        <w:rPr>
          <w:color w:val="000000"/>
          <w:sz w:val="22"/>
          <w:szCs w:val="22"/>
        </w:rPr>
        <w:t>.</w:t>
      </w:r>
    </w:p>
    <w:p w14:paraId="750BB41B" w14:textId="77777777" w:rsidR="007217B7" w:rsidRPr="008A4F40" w:rsidRDefault="007217B7" w:rsidP="004E7659">
      <w:pPr>
        <w:numPr>
          <w:ilvl w:val="0"/>
          <w:numId w:val="15"/>
        </w:numPr>
        <w:tabs>
          <w:tab w:val="clear" w:pos="360"/>
        </w:tabs>
        <w:ind w:left="567" w:hanging="567"/>
        <w:rPr>
          <w:color w:val="000000"/>
          <w:sz w:val="22"/>
          <w:szCs w:val="22"/>
          <w:lang w:val="de-CH"/>
        </w:rPr>
      </w:pPr>
      <w:r w:rsidRPr="008A4F40">
        <w:rPr>
          <w:color w:val="000000"/>
          <w:sz w:val="22"/>
          <w:szCs w:val="22"/>
        </w:rPr>
        <w:t xml:space="preserve">Während der Behandlung mit Glivec </w:t>
      </w:r>
      <w:r w:rsidR="001214A9" w:rsidRPr="008A4F40">
        <w:rPr>
          <w:sz w:val="22"/>
          <w:szCs w:val="22"/>
        </w:rPr>
        <w:t xml:space="preserve">und für 15 Tage nach Beendigung der Behandlung </w:t>
      </w:r>
      <w:r w:rsidRPr="008A4F40">
        <w:rPr>
          <w:color w:val="000000"/>
          <w:sz w:val="22"/>
          <w:szCs w:val="22"/>
          <w:lang w:val="de-CH"/>
        </w:rPr>
        <w:t>dürfen Sie nicht stillen</w:t>
      </w:r>
      <w:r w:rsidR="001214A9" w:rsidRPr="008A4F40">
        <w:rPr>
          <w:color w:val="000000"/>
          <w:sz w:val="22"/>
          <w:szCs w:val="22"/>
          <w:lang w:val="de-CH"/>
        </w:rPr>
        <w:t>, da es Ihrem Baby schaden könnte</w:t>
      </w:r>
      <w:r w:rsidRPr="008A4F40">
        <w:rPr>
          <w:color w:val="000000"/>
          <w:sz w:val="22"/>
          <w:szCs w:val="22"/>
          <w:lang w:val="de-CH"/>
        </w:rPr>
        <w:t>.</w:t>
      </w:r>
    </w:p>
    <w:p w14:paraId="5D096D3D" w14:textId="77777777" w:rsidR="007217B7" w:rsidRPr="008A4F40" w:rsidRDefault="007217B7" w:rsidP="004E7659">
      <w:pPr>
        <w:numPr>
          <w:ilvl w:val="0"/>
          <w:numId w:val="15"/>
        </w:numPr>
        <w:tabs>
          <w:tab w:val="clear" w:pos="360"/>
        </w:tabs>
        <w:ind w:left="567" w:hanging="567"/>
        <w:rPr>
          <w:color w:val="000000"/>
          <w:sz w:val="22"/>
          <w:szCs w:val="22"/>
          <w:lang w:val="de-CH"/>
        </w:rPr>
      </w:pPr>
      <w:r w:rsidRPr="008A4F40">
        <w:rPr>
          <w:color w:val="000000"/>
          <w:sz w:val="22"/>
          <w:szCs w:val="22"/>
          <w:lang w:val="de-CH"/>
        </w:rPr>
        <w:t>Patienten, die sich während der Behandlung mit Glivec Sorgen um Ihre Fruchtbarkeit machen, wird empfohlen mit Ihrem Arzt darüber zu sprechen.</w:t>
      </w:r>
    </w:p>
    <w:p w14:paraId="4DB099B2" w14:textId="77777777" w:rsidR="007217B7" w:rsidRPr="008A4F40" w:rsidRDefault="007217B7" w:rsidP="004E7659">
      <w:pPr>
        <w:rPr>
          <w:color w:val="000000"/>
          <w:sz w:val="22"/>
          <w:szCs w:val="22"/>
        </w:rPr>
      </w:pPr>
    </w:p>
    <w:p w14:paraId="0B052805" w14:textId="77777777" w:rsidR="007217B7" w:rsidRPr="008A4F40" w:rsidRDefault="007217B7" w:rsidP="004E7659">
      <w:pPr>
        <w:keepNext/>
        <w:rPr>
          <w:color w:val="000000"/>
          <w:sz w:val="22"/>
          <w:szCs w:val="22"/>
        </w:rPr>
      </w:pPr>
      <w:r w:rsidRPr="008A4F40">
        <w:rPr>
          <w:b/>
          <w:color w:val="000000"/>
          <w:sz w:val="22"/>
          <w:szCs w:val="22"/>
        </w:rPr>
        <w:t>Verkehrstüchtigkeit und Fähigkeit zum Bedienen von Maschinen</w:t>
      </w:r>
    </w:p>
    <w:p w14:paraId="5FDCFFF0" w14:textId="77777777" w:rsidR="007217B7" w:rsidRPr="008A4F40" w:rsidRDefault="007217B7" w:rsidP="004E7659">
      <w:pPr>
        <w:pStyle w:val="BodyText3"/>
        <w:rPr>
          <w:color w:val="000000"/>
          <w:szCs w:val="22"/>
        </w:rPr>
      </w:pPr>
      <w:r w:rsidRPr="008A4F40">
        <w:rPr>
          <w:color w:val="000000"/>
          <w:szCs w:val="22"/>
        </w:rPr>
        <w:t>Ihnen könnte bei der Einnahme dieses Arzneimittels schwindlig werden. Sie könnten sich schläfrig fühlen oder verschwommen sehen. Falls dies eintritt, dürfen Sie sich nicht an das Steuer eines Fahrzeugs setzen oder Werkzeuge oder Maschinen bedienen, bis Sie sich wieder wohl fühlen.</w:t>
      </w:r>
    </w:p>
    <w:p w14:paraId="3C5375E6" w14:textId="77777777" w:rsidR="00AB6D5E" w:rsidRPr="008A4F40" w:rsidRDefault="00AB6D5E" w:rsidP="004E7659">
      <w:pPr>
        <w:rPr>
          <w:color w:val="000000"/>
          <w:sz w:val="22"/>
          <w:szCs w:val="22"/>
        </w:rPr>
      </w:pPr>
    </w:p>
    <w:p w14:paraId="68DEDEFB" w14:textId="77777777" w:rsidR="00AB6D5E" w:rsidRPr="008A4F40" w:rsidRDefault="00AB6D5E" w:rsidP="004E7659">
      <w:pPr>
        <w:rPr>
          <w:color w:val="000000"/>
          <w:sz w:val="22"/>
          <w:szCs w:val="22"/>
        </w:rPr>
      </w:pPr>
    </w:p>
    <w:p w14:paraId="491D28A3" w14:textId="77777777" w:rsidR="00AB6D5E" w:rsidRPr="008A4F40" w:rsidRDefault="00AB6D5E" w:rsidP="004E7659">
      <w:pPr>
        <w:keepNext/>
        <w:ind w:left="567" w:hanging="567"/>
        <w:rPr>
          <w:b/>
          <w:color w:val="000000"/>
          <w:sz w:val="22"/>
          <w:szCs w:val="22"/>
        </w:rPr>
      </w:pPr>
      <w:r w:rsidRPr="008A4F40">
        <w:rPr>
          <w:b/>
          <w:color w:val="000000"/>
          <w:sz w:val="22"/>
          <w:szCs w:val="22"/>
        </w:rPr>
        <w:t>3.</w:t>
      </w:r>
      <w:r w:rsidRPr="008A4F40">
        <w:rPr>
          <w:b/>
          <w:color w:val="000000"/>
          <w:sz w:val="22"/>
          <w:szCs w:val="22"/>
        </w:rPr>
        <w:tab/>
        <w:t>W</w:t>
      </w:r>
      <w:r w:rsidR="002906C1" w:rsidRPr="008A4F40">
        <w:rPr>
          <w:b/>
          <w:color w:val="000000"/>
          <w:sz w:val="22"/>
          <w:szCs w:val="22"/>
        </w:rPr>
        <w:t>ie ist Glivec einzunehmen</w:t>
      </w:r>
      <w:r w:rsidRPr="008A4F40">
        <w:rPr>
          <w:b/>
          <w:color w:val="000000"/>
          <w:sz w:val="22"/>
          <w:szCs w:val="22"/>
        </w:rPr>
        <w:t>?</w:t>
      </w:r>
    </w:p>
    <w:p w14:paraId="7EACCCCD" w14:textId="77777777" w:rsidR="00AB6D5E" w:rsidRPr="008A4F40" w:rsidRDefault="00AB6D5E" w:rsidP="004E7659">
      <w:pPr>
        <w:pStyle w:val="EndnoteText"/>
        <w:keepNext/>
        <w:rPr>
          <w:color w:val="000000"/>
          <w:sz w:val="22"/>
          <w:szCs w:val="22"/>
          <w:lang w:val="de-DE"/>
        </w:rPr>
      </w:pPr>
    </w:p>
    <w:p w14:paraId="4639E1A3" w14:textId="77777777" w:rsidR="00AB6D5E" w:rsidRPr="008A4F40" w:rsidRDefault="00AB6D5E" w:rsidP="004E7659">
      <w:pPr>
        <w:rPr>
          <w:color w:val="000000"/>
          <w:sz w:val="22"/>
          <w:szCs w:val="22"/>
        </w:rPr>
      </w:pPr>
      <w:r w:rsidRPr="008A4F40">
        <w:rPr>
          <w:color w:val="000000"/>
          <w:sz w:val="22"/>
          <w:szCs w:val="22"/>
        </w:rPr>
        <w:t>Ihr Arzt hat Ihnen Glivec verschrieben, weil Sie an einer ernsten Erkrankung leiden. Glivec kann Ihnen helfen, diese Erkrankung zu bekämpfen.</w:t>
      </w:r>
    </w:p>
    <w:p w14:paraId="35920C26" w14:textId="77777777" w:rsidR="00AB6D5E" w:rsidRPr="008A4F40" w:rsidRDefault="00AB6D5E" w:rsidP="004E7659">
      <w:pPr>
        <w:rPr>
          <w:color w:val="000000"/>
          <w:sz w:val="22"/>
          <w:szCs w:val="22"/>
        </w:rPr>
      </w:pPr>
    </w:p>
    <w:p w14:paraId="3EE8D0CA" w14:textId="77777777" w:rsidR="00AB6D5E" w:rsidRPr="008A4F40" w:rsidRDefault="00AB6D5E" w:rsidP="004E7659">
      <w:pPr>
        <w:rPr>
          <w:color w:val="000000"/>
          <w:sz w:val="22"/>
          <w:szCs w:val="22"/>
        </w:rPr>
      </w:pPr>
      <w:r w:rsidRPr="008A4F40">
        <w:rPr>
          <w:color w:val="000000"/>
          <w:sz w:val="22"/>
          <w:szCs w:val="22"/>
        </w:rPr>
        <w:t xml:space="preserve">Nehmen Sie </w:t>
      </w:r>
      <w:r w:rsidR="002906C1" w:rsidRPr="008A4F40">
        <w:rPr>
          <w:color w:val="000000"/>
          <w:sz w:val="22"/>
          <w:szCs w:val="22"/>
        </w:rPr>
        <w:t>dieses Arzneimittel</w:t>
      </w:r>
      <w:r w:rsidRPr="008A4F40">
        <w:rPr>
          <w:color w:val="000000"/>
          <w:sz w:val="22"/>
          <w:szCs w:val="22"/>
        </w:rPr>
        <w:t xml:space="preserve"> immer genau nach A</w:t>
      </w:r>
      <w:r w:rsidR="002906C1" w:rsidRPr="008A4F40">
        <w:rPr>
          <w:color w:val="000000"/>
          <w:sz w:val="22"/>
          <w:szCs w:val="22"/>
        </w:rPr>
        <w:t>bsprache mit Ihrem</w:t>
      </w:r>
      <w:r w:rsidRPr="008A4F40">
        <w:rPr>
          <w:color w:val="000000"/>
          <w:sz w:val="22"/>
          <w:szCs w:val="22"/>
        </w:rPr>
        <w:t xml:space="preserve"> Arzt </w:t>
      </w:r>
      <w:r w:rsidR="002906C1" w:rsidRPr="008A4F40">
        <w:rPr>
          <w:color w:val="000000"/>
          <w:sz w:val="22"/>
          <w:szCs w:val="22"/>
        </w:rPr>
        <w:t xml:space="preserve">oder Apotheker </w:t>
      </w:r>
      <w:r w:rsidRPr="008A4F40">
        <w:rPr>
          <w:color w:val="000000"/>
          <w:sz w:val="22"/>
          <w:szCs w:val="22"/>
        </w:rPr>
        <w:t xml:space="preserve">ein. Es ist wichtig, dass Sie dies solange tun, wie es Ihnen Ihr Arzt </w:t>
      </w:r>
      <w:r w:rsidR="002906C1" w:rsidRPr="008A4F40">
        <w:rPr>
          <w:color w:val="000000"/>
          <w:sz w:val="22"/>
          <w:szCs w:val="22"/>
        </w:rPr>
        <w:t xml:space="preserve">oder Apotheker </w:t>
      </w:r>
      <w:r w:rsidRPr="008A4F40">
        <w:rPr>
          <w:color w:val="000000"/>
          <w:sz w:val="22"/>
          <w:szCs w:val="22"/>
        </w:rPr>
        <w:t xml:space="preserve">sagt. </w:t>
      </w:r>
      <w:r w:rsidR="002906C1" w:rsidRPr="008A4F40">
        <w:rPr>
          <w:color w:val="000000"/>
          <w:sz w:val="22"/>
          <w:szCs w:val="22"/>
        </w:rPr>
        <w:t>F</w:t>
      </w:r>
      <w:r w:rsidRPr="008A4F40">
        <w:rPr>
          <w:color w:val="000000"/>
          <w:sz w:val="22"/>
          <w:szCs w:val="22"/>
        </w:rPr>
        <w:t>ragen Sie bei Ihrem Arzt oder Apotheker nach, wenn Sie sich nicht sicher sind.</w:t>
      </w:r>
    </w:p>
    <w:p w14:paraId="049EBE10" w14:textId="77777777" w:rsidR="00AB6D5E" w:rsidRPr="008A4F40" w:rsidRDefault="00AB6D5E" w:rsidP="004E7659">
      <w:pPr>
        <w:rPr>
          <w:color w:val="000000"/>
          <w:sz w:val="22"/>
          <w:szCs w:val="22"/>
        </w:rPr>
      </w:pPr>
    </w:p>
    <w:p w14:paraId="58EE15C5" w14:textId="77777777" w:rsidR="00AB6D5E" w:rsidRPr="008A4F40" w:rsidRDefault="00AB6D5E" w:rsidP="004E7659">
      <w:pPr>
        <w:keepLines/>
        <w:rPr>
          <w:color w:val="000000"/>
          <w:sz w:val="22"/>
          <w:szCs w:val="22"/>
        </w:rPr>
      </w:pPr>
      <w:r w:rsidRPr="008A4F40">
        <w:rPr>
          <w:color w:val="000000"/>
          <w:sz w:val="22"/>
          <w:szCs w:val="22"/>
        </w:rPr>
        <w:t>Hören Sie nicht auf Glivec einzunehmen, außer Ihr Arzt empfiehlt Ihnen die Beendigung der Behandlung. Falls Sie nicht in der Lage sind, das Arzneimittel so einzunehmen, wie es Ihr Arzt verordnet hat oder wenn Sie denken, dass Sie es nicht mehr benötigen, informieren Sie Ihren Arzt umgehend.</w:t>
      </w:r>
    </w:p>
    <w:p w14:paraId="40C61BFB" w14:textId="77777777" w:rsidR="00AB6D5E" w:rsidRPr="008A4F40" w:rsidRDefault="00AB6D5E" w:rsidP="004E7659">
      <w:pPr>
        <w:pStyle w:val="EndnoteText"/>
        <w:rPr>
          <w:color w:val="000000"/>
          <w:sz w:val="22"/>
          <w:szCs w:val="22"/>
          <w:lang w:val="de-DE"/>
        </w:rPr>
      </w:pPr>
    </w:p>
    <w:p w14:paraId="0B2C37DD" w14:textId="77777777" w:rsidR="00AB6D5E" w:rsidRPr="008A4F40" w:rsidRDefault="00AB6D5E" w:rsidP="004E7659">
      <w:pPr>
        <w:keepNext/>
        <w:rPr>
          <w:b/>
          <w:color w:val="000000"/>
          <w:sz w:val="22"/>
          <w:szCs w:val="22"/>
        </w:rPr>
      </w:pPr>
      <w:r w:rsidRPr="008A4F40">
        <w:rPr>
          <w:b/>
          <w:color w:val="000000"/>
          <w:sz w:val="22"/>
          <w:szCs w:val="22"/>
        </w:rPr>
        <w:t xml:space="preserve">Wie viel </w:t>
      </w:r>
      <w:r w:rsidR="002906C1" w:rsidRPr="008A4F40">
        <w:rPr>
          <w:b/>
          <w:color w:val="000000"/>
          <w:sz w:val="22"/>
          <w:szCs w:val="22"/>
        </w:rPr>
        <w:t xml:space="preserve">Glivec </w:t>
      </w:r>
      <w:r w:rsidRPr="008A4F40">
        <w:rPr>
          <w:b/>
          <w:color w:val="000000"/>
          <w:sz w:val="22"/>
          <w:szCs w:val="22"/>
        </w:rPr>
        <w:t>sollten Sie einnehmen?</w:t>
      </w:r>
    </w:p>
    <w:p w14:paraId="3A67DE4B" w14:textId="77777777" w:rsidR="00AB6D5E" w:rsidRPr="008A4F40" w:rsidRDefault="00AB6D5E" w:rsidP="004E7659">
      <w:pPr>
        <w:keepNext/>
        <w:rPr>
          <w:color w:val="000000"/>
          <w:sz w:val="22"/>
          <w:szCs w:val="22"/>
        </w:rPr>
      </w:pPr>
    </w:p>
    <w:p w14:paraId="3DC7C840" w14:textId="77777777" w:rsidR="00AB6D5E" w:rsidRPr="008A4F40" w:rsidRDefault="00AB6D5E" w:rsidP="004E7659">
      <w:pPr>
        <w:keepNext/>
        <w:rPr>
          <w:b/>
          <w:color w:val="000000"/>
          <w:sz w:val="22"/>
          <w:szCs w:val="22"/>
        </w:rPr>
      </w:pPr>
      <w:r w:rsidRPr="008A4F40">
        <w:rPr>
          <w:b/>
          <w:color w:val="000000"/>
          <w:sz w:val="22"/>
          <w:szCs w:val="22"/>
        </w:rPr>
        <w:t>Anwendung bei Erwachsenen:</w:t>
      </w:r>
    </w:p>
    <w:p w14:paraId="345A1365" w14:textId="77777777" w:rsidR="00AB6D5E" w:rsidRPr="008A4F40" w:rsidRDefault="00AB6D5E" w:rsidP="004E7659">
      <w:pPr>
        <w:rPr>
          <w:color w:val="000000"/>
          <w:sz w:val="22"/>
          <w:szCs w:val="22"/>
        </w:rPr>
      </w:pPr>
      <w:r w:rsidRPr="008A4F40">
        <w:rPr>
          <w:color w:val="000000"/>
          <w:sz w:val="22"/>
          <w:szCs w:val="22"/>
        </w:rPr>
        <w:t>Ihr Arzt wird Sie genau informieren, wie viele Glivec Filmtabletten Sie einnehmen sollen.</w:t>
      </w:r>
    </w:p>
    <w:p w14:paraId="7EA6E2DA" w14:textId="77777777" w:rsidR="00AB6D5E" w:rsidRPr="008A4F40" w:rsidRDefault="00AB6D5E" w:rsidP="004E7659">
      <w:pPr>
        <w:rPr>
          <w:color w:val="000000"/>
          <w:sz w:val="22"/>
          <w:szCs w:val="22"/>
        </w:rPr>
      </w:pPr>
    </w:p>
    <w:p w14:paraId="6359CB3D" w14:textId="77777777" w:rsidR="00AB6D5E" w:rsidRPr="008A4F40" w:rsidRDefault="00AB6D5E" w:rsidP="004E7659">
      <w:pPr>
        <w:keepNext/>
        <w:numPr>
          <w:ilvl w:val="0"/>
          <w:numId w:val="15"/>
        </w:numPr>
        <w:tabs>
          <w:tab w:val="clear" w:pos="360"/>
        </w:tabs>
        <w:ind w:left="567" w:hanging="567"/>
        <w:rPr>
          <w:color w:val="000000"/>
          <w:sz w:val="22"/>
          <w:szCs w:val="22"/>
        </w:rPr>
      </w:pPr>
      <w:r w:rsidRPr="008A4F40">
        <w:rPr>
          <w:b/>
          <w:color w:val="000000"/>
          <w:sz w:val="22"/>
          <w:szCs w:val="22"/>
        </w:rPr>
        <w:t>Wenn Sie wegen CML behandelt werden:</w:t>
      </w:r>
    </w:p>
    <w:p w14:paraId="06D6E1B8" w14:textId="5B84EC83" w:rsidR="00AB6D5E" w:rsidRPr="008A4F40" w:rsidRDefault="00AB6D5E" w:rsidP="004E7659">
      <w:pPr>
        <w:pStyle w:val="Text"/>
        <w:spacing w:before="0"/>
        <w:ind w:left="567"/>
        <w:jc w:val="left"/>
        <w:rPr>
          <w:color w:val="000000"/>
          <w:sz w:val="22"/>
          <w:szCs w:val="22"/>
          <w:lang w:val="de-CH"/>
        </w:rPr>
      </w:pPr>
      <w:r w:rsidRPr="008A4F40">
        <w:rPr>
          <w:color w:val="000000"/>
          <w:sz w:val="22"/>
          <w:szCs w:val="22"/>
          <w:lang w:val="de-DE"/>
        </w:rPr>
        <w:t xml:space="preserve">In Abhängigkeit von Ihrem Zustand beträgt die übliche Anfangsdosis entweder </w:t>
      </w:r>
      <w:r w:rsidRPr="008A4F40">
        <w:rPr>
          <w:b/>
          <w:color w:val="000000"/>
          <w:sz w:val="22"/>
          <w:szCs w:val="22"/>
          <w:lang w:val="de-DE"/>
        </w:rPr>
        <w:t>400 mg</w:t>
      </w:r>
      <w:r w:rsidRPr="008A4F40">
        <w:rPr>
          <w:color w:val="000000"/>
          <w:sz w:val="22"/>
          <w:szCs w:val="22"/>
          <w:lang w:val="de-DE"/>
        </w:rPr>
        <w:t xml:space="preserve"> oder </w:t>
      </w:r>
      <w:r w:rsidRPr="008A4F40">
        <w:rPr>
          <w:b/>
          <w:color w:val="000000"/>
          <w:sz w:val="22"/>
          <w:szCs w:val="22"/>
          <w:lang w:val="de-DE"/>
        </w:rPr>
        <w:t>600 mg</w:t>
      </w:r>
      <w:r w:rsidR="00055A65" w:rsidRPr="008A4F40">
        <w:rPr>
          <w:color w:val="000000"/>
          <w:sz w:val="22"/>
          <w:szCs w:val="22"/>
          <w:lang w:val="de-DE"/>
        </w:rPr>
        <w:t xml:space="preserve">, die </w:t>
      </w:r>
      <w:r w:rsidR="00055A65" w:rsidRPr="008A4F40">
        <w:rPr>
          <w:b/>
          <w:color w:val="000000"/>
          <w:sz w:val="22"/>
          <w:szCs w:val="22"/>
          <w:lang w:val="de-DE"/>
        </w:rPr>
        <w:t>einmal</w:t>
      </w:r>
      <w:r w:rsidR="00055A65" w:rsidRPr="008A4F40">
        <w:rPr>
          <w:color w:val="000000"/>
          <w:sz w:val="22"/>
          <w:szCs w:val="22"/>
          <w:lang w:val="de-DE"/>
        </w:rPr>
        <w:t xml:space="preserve"> täglich eingenommen wird.</w:t>
      </w:r>
    </w:p>
    <w:p w14:paraId="53187008" w14:textId="77777777" w:rsidR="00AB6D5E" w:rsidRPr="008A4F40" w:rsidRDefault="00AB6D5E" w:rsidP="004E7659">
      <w:pPr>
        <w:rPr>
          <w:color w:val="000000"/>
          <w:sz w:val="22"/>
          <w:szCs w:val="22"/>
        </w:rPr>
      </w:pPr>
    </w:p>
    <w:p w14:paraId="6B8EB660" w14:textId="77777777" w:rsidR="00AB6D5E" w:rsidRPr="008A4F40" w:rsidRDefault="00AB6D5E" w:rsidP="004E7659">
      <w:pPr>
        <w:keepNext/>
        <w:numPr>
          <w:ilvl w:val="0"/>
          <w:numId w:val="15"/>
        </w:numPr>
        <w:tabs>
          <w:tab w:val="clear" w:pos="360"/>
        </w:tabs>
        <w:ind w:left="567" w:hanging="567"/>
        <w:rPr>
          <w:b/>
          <w:color w:val="000000"/>
          <w:sz w:val="22"/>
          <w:szCs w:val="22"/>
        </w:rPr>
      </w:pPr>
      <w:r w:rsidRPr="008A4F40">
        <w:rPr>
          <w:b/>
          <w:color w:val="000000"/>
          <w:sz w:val="22"/>
          <w:szCs w:val="22"/>
        </w:rPr>
        <w:t>Wenn Sie wegen GIST behandelt werden:</w:t>
      </w:r>
    </w:p>
    <w:p w14:paraId="5CF7680D" w14:textId="51D63E82" w:rsidR="00AB6D5E" w:rsidRPr="008A4F40" w:rsidRDefault="00AB6D5E" w:rsidP="004E7659">
      <w:pPr>
        <w:pStyle w:val="Text"/>
        <w:spacing w:before="0"/>
        <w:ind w:left="567"/>
        <w:jc w:val="left"/>
        <w:rPr>
          <w:color w:val="000000"/>
          <w:sz w:val="22"/>
          <w:szCs w:val="22"/>
          <w:lang w:val="de-CH"/>
        </w:rPr>
      </w:pPr>
      <w:r w:rsidRPr="008A4F40">
        <w:rPr>
          <w:color w:val="000000"/>
          <w:sz w:val="22"/>
          <w:szCs w:val="22"/>
          <w:lang w:val="de-CH"/>
        </w:rPr>
        <w:t>Die Anfangsdosis beträgt 400 mg</w:t>
      </w:r>
      <w:r w:rsidR="00861AD6" w:rsidRPr="008A4F40">
        <w:rPr>
          <w:color w:val="000000"/>
          <w:sz w:val="22"/>
          <w:szCs w:val="22"/>
          <w:lang w:val="de-CH"/>
        </w:rPr>
        <w:t xml:space="preserve">, </w:t>
      </w:r>
      <w:r w:rsidR="00861AD6" w:rsidRPr="008A4F40">
        <w:rPr>
          <w:color w:val="000000"/>
          <w:sz w:val="22"/>
          <w:szCs w:val="22"/>
          <w:lang w:val="de-DE"/>
        </w:rPr>
        <w:t xml:space="preserve">die </w:t>
      </w:r>
      <w:r w:rsidR="00861AD6" w:rsidRPr="008A4F40">
        <w:rPr>
          <w:b/>
          <w:color w:val="000000"/>
          <w:sz w:val="22"/>
          <w:szCs w:val="22"/>
          <w:lang w:val="de-DE"/>
        </w:rPr>
        <w:t>einmal</w:t>
      </w:r>
      <w:r w:rsidR="00861AD6" w:rsidRPr="008A4F40">
        <w:rPr>
          <w:color w:val="000000"/>
          <w:sz w:val="22"/>
          <w:szCs w:val="22"/>
          <w:lang w:val="de-DE"/>
        </w:rPr>
        <w:t xml:space="preserve"> täglich eingenommen wird.</w:t>
      </w:r>
    </w:p>
    <w:p w14:paraId="1A5F9936" w14:textId="77777777" w:rsidR="00AB6D5E" w:rsidRPr="008A4F40" w:rsidRDefault="00AB6D5E" w:rsidP="004E7659">
      <w:pPr>
        <w:rPr>
          <w:color w:val="000000"/>
          <w:sz w:val="22"/>
          <w:szCs w:val="22"/>
        </w:rPr>
      </w:pPr>
    </w:p>
    <w:p w14:paraId="608561F7" w14:textId="674600A0" w:rsidR="00AB6D5E" w:rsidRPr="008A4F40" w:rsidRDefault="00AB6D5E" w:rsidP="004E7659">
      <w:pPr>
        <w:rPr>
          <w:color w:val="000000"/>
          <w:sz w:val="22"/>
          <w:szCs w:val="22"/>
        </w:rPr>
      </w:pPr>
      <w:r w:rsidRPr="008A4F40">
        <w:rPr>
          <w:color w:val="000000"/>
          <w:sz w:val="22"/>
          <w:szCs w:val="22"/>
        </w:rPr>
        <w:t>In Abhängigkeit von Ihrem Anspre</w:t>
      </w:r>
      <w:r w:rsidRPr="008A4F40">
        <w:rPr>
          <w:color w:val="000000"/>
          <w:sz w:val="22"/>
          <w:szCs w:val="22"/>
        </w:rPr>
        <w:softHyphen/>
        <w:t xml:space="preserve">chen auf die Behandlung kann Ihr Arzt für CML und GIST eine höhere oder niedrigere Dosis verschreiben. Wenn Ihre tägliche Dosis 800 mg beträgt, sollten Sie </w:t>
      </w:r>
      <w:r w:rsidR="00861AD6" w:rsidRPr="008A4F40">
        <w:rPr>
          <w:color w:val="000000"/>
          <w:sz w:val="22"/>
          <w:szCs w:val="22"/>
          <w:lang w:val="de-CH"/>
        </w:rPr>
        <w:t>400 mg</w:t>
      </w:r>
      <w:r w:rsidR="00861AD6" w:rsidRPr="008A4F40" w:rsidDel="00861AD6">
        <w:rPr>
          <w:color w:val="000000"/>
          <w:sz w:val="22"/>
          <w:szCs w:val="22"/>
        </w:rPr>
        <w:t xml:space="preserve"> </w:t>
      </w:r>
      <w:r w:rsidRPr="008A4F40">
        <w:rPr>
          <w:color w:val="000000"/>
          <w:sz w:val="22"/>
          <w:szCs w:val="22"/>
        </w:rPr>
        <w:t xml:space="preserve">morgens und </w:t>
      </w:r>
      <w:r w:rsidR="00861AD6" w:rsidRPr="008A4F40">
        <w:rPr>
          <w:color w:val="000000"/>
          <w:sz w:val="22"/>
          <w:szCs w:val="22"/>
          <w:lang w:val="de-CH"/>
        </w:rPr>
        <w:t>400 mg</w:t>
      </w:r>
      <w:r w:rsidR="00861AD6" w:rsidRPr="008A4F40" w:rsidDel="00861AD6">
        <w:rPr>
          <w:color w:val="000000"/>
          <w:sz w:val="22"/>
          <w:szCs w:val="22"/>
        </w:rPr>
        <w:t xml:space="preserve"> </w:t>
      </w:r>
      <w:r w:rsidRPr="008A4F40">
        <w:rPr>
          <w:color w:val="000000"/>
          <w:sz w:val="22"/>
          <w:szCs w:val="22"/>
        </w:rPr>
        <w:t>abends einnehmen.</w:t>
      </w:r>
    </w:p>
    <w:p w14:paraId="780C2728" w14:textId="77777777" w:rsidR="00AB6D5E" w:rsidRPr="008A4F40" w:rsidRDefault="00AB6D5E" w:rsidP="004E7659">
      <w:pPr>
        <w:rPr>
          <w:color w:val="000000"/>
          <w:sz w:val="22"/>
          <w:szCs w:val="22"/>
        </w:rPr>
      </w:pPr>
    </w:p>
    <w:p w14:paraId="05470EFD" w14:textId="77777777" w:rsidR="00AB6D5E" w:rsidRPr="008A4F40" w:rsidRDefault="00AB6D5E" w:rsidP="004E7659">
      <w:pPr>
        <w:keepNext/>
        <w:numPr>
          <w:ilvl w:val="0"/>
          <w:numId w:val="15"/>
        </w:numPr>
        <w:tabs>
          <w:tab w:val="clear" w:pos="360"/>
        </w:tabs>
        <w:ind w:left="567" w:hanging="567"/>
        <w:rPr>
          <w:b/>
          <w:color w:val="000000"/>
          <w:sz w:val="22"/>
          <w:szCs w:val="22"/>
        </w:rPr>
      </w:pPr>
      <w:r w:rsidRPr="008A4F40">
        <w:rPr>
          <w:b/>
          <w:color w:val="000000"/>
          <w:sz w:val="22"/>
          <w:szCs w:val="22"/>
        </w:rPr>
        <w:t xml:space="preserve">Wenn Sie wegen Ph-positiver </w:t>
      </w:r>
      <w:smartTag w:uri="urn:schemas-microsoft-com:office:smarttags" w:element="stockticker">
        <w:r w:rsidRPr="008A4F40">
          <w:rPr>
            <w:b/>
            <w:color w:val="000000"/>
            <w:sz w:val="22"/>
            <w:szCs w:val="22"/>
          </w:rPr>
          <w:t>ALL</w:t>
        </w:r>
      </w:smartTag>
      <w:r w:rsidRPr="008A4F40">
        <w:rPr>
          <w:b/>
          <w:color w:val="000000"/>
          <w:sz w:val="22"/>
          <w:szCs w:val="22"/>
        </w:rPr>
        <w:t xml:space="preserve"> behandelt werden:</w:t>
      </w:r>
    </w:p>
    <w:p w14:paraId="1216B14B" w14:textId="5719E9B1" w:rsidR="00AB6D5E" w:rsidRPr="008A4F40" w:rsidRDefault="00AB6D5E" w:rsidP="004E7659">
      <w:pPr>
        <w:pStyle w:val="Text"/>
        <w:spacing w:before="0"/>
        <w:ind w:left="567"/>
        <w:jc w:val="left"/>
        <w:rPr>
          <w:color w:val="000000"/>
          <w:sz w:val="22"/>
          <w:szCs w:val="22"/>
          <w:lang w:val="de-CH"/>
        </w:rPr>
      </w:pPr>
      <w:r w:rsidRPr="008A4F40">
        <w:rPr>
          <w:color w:val="000000"/>
          <w:sz w:val="22"/>
          <w:szCs w:val="22"/>
          <w:lang w:val="de-CH"/>
        </w:rPr>
        <w:t>Die Anfangsdosis beträgt 600 mg</w:t>
      </w:r>
      <w:r w:rsidR="00BA253A" w:rsidRPr="008A4F40">
        <w:rPr>
          <w:color w:val="000000"/>
          <w:sz w:val="22"/>
          <w:szCs w:val="22"/>
          <w:lang w:val="de-CH"/>
        </w:rPr>
        <w:t xml:space="preserve">, </w:t>
      </w:r>
      <w:r w:rsidR="00BA253A" w:rsidRPr="008A4F40">
        <w:rPr>
          <w:color w:val="000000"/>
          <w:sz w:val="22"/>
          <w:szCs w:val="22"/>
          <w:lang w:val="de-DE"/>
        </w:rPr>
        <w:t xml:space="preserve">die </w:t>
      </w:r>
      <w:r w:rsidR="00BA253A" w:rsidRPr="008A4F40">
        <w:rPr>
          <w:b/>
          <w:color w:val="000000"/>
          <w:sz w:val="22"/>
          <w:szCs w:val="22"/>
          <w:lang w:val="de-DE"/>
        </w:rPr>
        <w:t>einmal</w:t>
      </w:r>
      <w:r w:rsidR="00BA253A" w:rsidRPr="008A4F40">
        <w:rPr>
          <w:color w:val="000000"/>
          <w:sz w:val="22"/>
          <w:szCs w:val="22"/>
          <w:lang w:val="de-DE"/>
        </w:rPr>
        <w:t xml:space="preserve"> täglich eingenommen wird.</w:t>
      </w:r>
    </w:p>
    <w:p w14:paraId="0B9C3243" w14:textId="77777777" w:rsidR="00AB6D5E" w:rsidRPr="008A4F40" w:rsidRDefault="00AB6D5E" w:rsidP="004E7659">
      <w:pPr>
        <w:rPr>
          <w:color w:val="000000"/>
          <w:sz w:val="22"/>
          <w:szCs w:val="22"/>
        </w:rPr>
      </w:pPr>
    </w:p>
    <w:p w14:paraId="0240E7AB" w14:textId="77777777" w:rsidR="00AB6D5E" w:rsidRPr="008A4F40" w:rsidRDefault="00AB6D5E" w:rsidP="004E7659">
      <w:pPr>
        <w:keepNext/>
        <w:numPr>
          <w:ilvl w:val="0"/>
          <w:numId w:val="15"/>
        </w:numPr>
        <w:tabs>
          <w:tab w:val="clear" w:pos="360"/>
        </w:tabs>
        <w:ind w:left="567" w:hanging="567"/>
        <w:rPr>
          <w:b/>
          <w:color w:val="000000"/>
          <w:sz w:val="22"/>
          <w:szCs w:val="22"/>
        </w:rPr>
      </w:pPr>
      <w:r w:rsidRPr="008A4F40">
        <w:rPr>
          <w:b/>
          <w:color w:val="000000"/>
          <w:sz w:val="22"/>
          <w:szCs w:val="22"/>
        </w:rPr>
        <w:t xml:space="preserve">Wenn Sie wegen </w:t>
      </w:r>
      <w:smartTag w:uri="urn:schemas-microsoft-com:office:smarttags" w:element="stockticker">
        <w:r w:rsidRPr="008A4F40">
          <w:rPr>
            <w:b/>
            <w:color w:val="000000"/>
            <w:sz w:val="22"/>
            <w:szCs w:val="22"/>
          </w:rPr>
          <w:t>MDS</w:t>
        </w:r>
      </w:smartTag>
      <w:r w:rsidRPr="008A4F40">
        <w:rPr>
          <w:b/>
          <w:color w:val="000000"/>
          <w:sz w:val="22"/>
          <w:szCs w:val="22"/>
        </w:rPr>
        <w:t>/MPD behandelt werden:</w:t>
      </w:r>
    </w:p>
    <w:p w14:paraId="0F044EDC" w14:textId="6BE66578" w:rsidR="00AB6D5E" w:rsidRPr="008A4F40" w:rsidRDefault="00AB6D5E" w:rsidP="004E7659">
      <w:pPr>
        <w:pStyle w:val="Text"/>
        <w:spacing w:before="0"/>
        <w:ind w:left="567"/>
        <w:jc w:val="left"/>
        <w:rPr>
          <w:color w:val="000000"/>
          <w:sz w:val="22"/>
          <w:szCs w:val="22"/>
          <w:lang w:val="de-CH"/>
        </w:rPr>
      </w:pPr>
      <w:r w:rsidRPr="008A4F40">
        <w:rPr>
          <w:color w:val="000000"/>
          <w:sz w:val="22"/>
          <w:szCs w:val="22"/>
          <w:lang w:val="de-CH"/>
        </w:rPr>
        <w:t>Die Anfangsdosis beträgt 400 mg</w:t>
      </w:r>
      <w:r w:rsidR="00BA253A" w:rsidRPr="008A4F40">
        <w:rPr>
          <w:color w:val="000000"/>
          <w:sz w:val="22"/>
          <w:szCs w:val="22"/>
          <w:lang w:val="de-CH"/>
        </w:rPr>
        <w:t xml:space="preserve">, </w:t>
      </w:r>
      <w:r w:rsidR="00BA253A" w:rsidRPr="008A4F40">
        <w:rPr>
          <w:color w:val="000000"/>
          <w:sz w:val="22"/>
          <w:szCs w:val="22"/>
          <w:lang w:val="de-DE"/>
        </w:rPr>
        <w:t xml:space="preserve">die </w:t>
      </w:r>
      <w:r w:rsidR="00BA253A" w:rsidRPr="008A4F40">
        <w:rPr>
          <w:b/>
          <w:color w:val="000000"/>
          <w:sz w:val="22"/>
          <w:szCs w:val="22"/>
          <w:lang w:val="de-DE"/>
        </w:rPr>
        <w:t>einmal</w:t>
      </w:r>
      <w:r w:rsidR="00BA253A" w:rsidRPr="008A4F40">
        <w:rPr>
          <w:color w:val="000000"/>
          <w:sz w:val="22"/>
          <w:szCs w:val="22"/>
          <w:lang w:val="de-DE"/>
        </w:rPr>
        <w:t xml:space="preserve"> täglich eingenommen wird.</w:t>
      </w:r>
    </w:p>
    <w:p w14:paraId="33520932" w14:textId="77777777" w:rsidR="00AB6D5E" w:rsidRPr="008A4F40" w:rsidRDefault="00AB6D5E" w:rsidP="004E7659">
      <w:pPr>
        <w:rPr>
          <w:color w:val="000000"/>
          <w:sz w:val="22"/>
          <w:szCs w:val="22"/>
        </w:rPr>
      </w:pPr>
    </w:p>
    <w:p w14:paraId="6D378147" w14:textId="77777777" w:rsidR="00AB6D5E" w:rsidRPr="008A4F40" w:rsidRDefault="00AB6D5E" w:rsidP="004E7659">
      <w:pPr>
        <w:keepNext/>
        <w:numPr>
          <w:ilvl w:val="0"/>
          <w:numId w:val="15"/>
        </w:numPr>
        <w:tabs>
          <w:tab w:val="clear" w:pos="360"/>
        </w:tabs>
        <w:ind w:left="567" w:hanging="567"/>
        <w:rPr>
          <w:b/>
          <w:color w:val="000000"/>
          <w:sz w:val="22"/>
          <w:szCs w:val="22"/>
        </w:rPr>
      </w:pPr>
      <w:r w:rsidRPr="008A4F40">
        <w:rPr>
          <w:b/>
          <w:color w:val="000000"/>
          <w:sz w:val="22"/>
          <w:szCs w:val="22"/>
        </w:rPr>
        <w:t>Wenn Sie wegen HES/</w:t>
      </w:r>
      <w:smartTag w:uri="urn:schemas-microsoft-com:office:smarttags" w:element="stockticker">
        <w:r w:rsidRPr="008A4F40">
          <w:rPr>
            <w:b/>
            <w:color w:val="000000"/>
            <w:sz w:val="22"/>
            <w:szCs w:val="22"/>
          </w:rPr>
          <w:t>CEL</w:t>
        </w:r>
      </w:smartTag>
      <w:r w:rsidRPr="008A4F40">
        <w:rPr>
          <w:b/>
          <w:color w:val="000000"/>
          <w:sz w:val="22"/>
          <w:szCs w:val="22"/>
        </w:rPr>
        <w:t xml:space="preserve"> behandelt werden:</w:t>
      </w:r>
    </w:p>
    <w:p w14:paraId="056770E4" w14:textId="59BC0789" w:rsidR="00AB6D5E" w:rsidRPr="008A4F40" w:rsidRDefault="00AB6D5E" w:rsidP="004E7659">
      <w:pPr>
        <w:pStyle w:val="Text"/>
        <w:spacing w:before="0"/>
        <w:ind w:left="567"/>
        <w:jc w:val="left"/>
        <w:rPr>
          <w:color w:val="000000"/>
          <w:sz w:val="22"/>
          <w:szCs w:val="22"/>
          <w:lang w:val="de-CH"/>
        </w:rPr>
      </w:pPr>
      <w:r w:rsidRPr="008A4F40">
        <w:rPr>
          <w:color w:val="000000"/>
          <w:sz w:val="22"/>
          <w:szCs w:val="22"/>
          <w:lang w:val="de-CH"/>
        </w:rPr>
        <w:t>Die Anfangsdosis beträgt 100 mg</w:t>
      </w:r>
      <w:r w:rsidR="00BA253A" w:rsidRPr="008A4F40">
        <w:rPr>
          <w:color w:val="000000"/>
          <w:sz w:val="22"/>
          <w:szCs w:val="22"/>
          <w:lang w:val="de-CH"/>
        </w:rPr>
        <w:t xml:space="preserve">, </w:t>
      </w:r>
      <w:r w:rsidR="00BA253A" w:rsidRPr="008A4F40">
        <w:rPr>
          <w:color w:val="000000"/>
          <w:sz w:val="22"/>
          <w:szCs w:val="22"/>
          <w:lang w:val="de-DE"/>
        </w:rPr>
        <w:t xml:space="preserve">die </w:t>
      </w:r>
      <w:r w:rsidR="00BA253A" w:rsidRPr="008A4F40">
        <w:rPr>
          <w:b/>
          <w:color w:val="000000"/>
          <w:sz w:val="22"/>
          <w:szCs w:val="22"/>
          <w:lang w:val="de-DE"/>
        </w:rPr>
        <w:t>einmal</w:t>
      </w:r>
      <w:r w:rsidR="00BA253A" w:rsidRPr="008A4F40">
        <w:rPr>
          <w:color w:val="000000"/>
          <w:sz w:val="22"/>
          <w:szCs w:val="22"/>
          <w:lang w:val="de-DE"/>
        </w:rPr>
        <w:t xml:space="preserve"> täglich eingenommen wird.</w:t>
      </w:r>
      <w:r w:rsidRPr="008A4F40">
        <w:rPr>
          <w:color w:val="000000"/>
          <w:sz w:val="22"/>
          <w:szCs w:val="22"/>
          <w:lang w:val="de-CH"/>
        </w:rPr>
        <w:t xml:space="preserve"> </w:t>
      </w:r>
      <w:r w:rsidRPr="008A4F40">
        <w:rPr>
          <w:color w:val="000000"/>
          <w:sz w:val="22"/>
          <w:szCs w:val="22"/>
          <w:lang w:val="de-DE"/>
        </w:rPr>
        <w:t xml:space="preserve">Ihr Arzt wird darüber entscheiden, ob die Dosis auf 400 mg erhöht wird, die </w:t>
      </w:r>
      <w:r w:rsidRPr="008A4F40">
        <w:rPr>
          <w:b/>
          <w:bCs/>
          <w:color w:val="000000"/>
          <w:sz w:val="22"/>
          <w:szCs w:val="22"/>
          <w:lang w:val="de-DE"/>
        </w:rPr>
        <w:t>einmal</w:t>
      </w:r>
      <w:r w:rsidRPr="008A4F40">
        <w:rPr>
          <w:color w:val="000000"/>
          <w:sz w:val="22"/>
          <w:szCs w:val="22"/>
          <w:lang w:val="de-DE"/>
        </w:rPr>
        <w:t xml:space="preserve"> täglich eingenommen wird. </w:t>
      </w:r>
      <w:r w:rsidRPr="008A4F40">
        <w:rPr>
          <w:color w:val="000000"/>
          <w:sz w:val="22"/>
          <w:szCs w:val="22"/>
          <w:lang w:val="de-CH"/>
        </w:rPr>
        <w:t>Dies hängt davon ab, wie Sie auf die Behandlung ansprechen.</w:t>
      </w:r>
    </w:p>
    <w:p w14:paraId="6C62841C" w14:textId="77777777" w:rsidR="00AB6D5E" w:rsidRPr="008A4F40" w:rsidRDefault="00AB6D5E" w:rsidP="004E7659">
      <w:pPr>
        <w:rPr>
          <w:color w:val="000000"/>
          <w:sz w:val="22"/>
          <w:szCs w:val="22"/>
        </w:rPr>
      </w:pPr>
    </w:p>
    <w:p w14:paraId="1A732999" w14:textId="77777777" w:rsidR="00AB6D5E" w:rsidRPr="008A4F40" w:rsidRDefault="00AB6D5E" w:rsidP="004E7659">
      <w:pPr>
        <w:keepNext/>
        <w:numPr>
          <w:ilvl w:val="0"/>
          <w:numId w:val="15"/>
        </w:numPr>
        <w:tabs>
          <w:tab w:val="clear" w:pos="360"/>
        </w:tabs>
        <w:ind w:left="567" w:hanging="567"/>
        <w:rPr>
          <w:b/>
          <w:color w:val="000000"/>
          <w:sz w:val="22"/>
          <w:szCs w:val="22"/>
        </w:rPr>
      </w:pPr>
      <w:r w:rsidRPr="008A4F40">
        <w:rPr>
          <w:b/>
          <w:color w:val="000000"/>
          <w:sz w:val="22"/>
          <w:szCs w:val="22"/>
        </w:rPr>
        <w:t>Wenn Sie wegen DFSP behandelt werden:</w:t>
      </w:r>
    </w:p>
    <w:p w14:paraId="4F0F9D23" w14:textId="60573FA9" w:rsidR="00AB6D5E" w:rsidRPr="008A4F40" w:rsidRDefault="00AB6D5E" w:rsidP="004E7659">
      <w:pPr>
        <w:pStyle w:val="Text"/>
        <w:spacing w:before="0"/>
        <w:ind w:left="567"/>
        <w:jc w:val="left"/>
        <w:rPr>
          <w:color w:val="000000"/>
          <w:sz w:val="22"/>
          <w:szCs w:val="22"/>
          <w:lang w:val="de-DE"/>
        </w:rPr>
      </w:pPr>
      <w:r w:rsidRPr="008A4F40">
        <w:rPr>
          <w:color w:val="000000"/>
          <w:sz w:val="22"/>
          <w:szCs w:val="22"/>
          <w:lang w:val="de-DE"/>
        </w:rPr>
        <w:t xml:space="preserve">Die Dosis beträgt 800 mg pro Tag, </w:t>
      </w:r>
      <w:r w:rsidR="009D20BB" w:rsidRPr="008A4F40">
        <w:rPr>
          <w:color w:val="000000"/>
          <w:sz w:val="22"/>
          <w:szCs w:val="22"/>
          <w:lang w:val="de-DE"/>
        </w:rPr>
        <w:t>wobei jeweils 400 mg</w:t>
      </w:r>
      <w:r w:rsidRPr="008A4F40">
        <w:rPr>
          <w:color w:val="000000"/>
          <w:sz w:val="22"/>
          <w:szCs w:val="22"/>
          <w:lang w:val="de-DE"/>
        </w:rPr>
        <w:t xml:space="preserve"> morgens und </w:t>
      </w:r>
      <w:r w:rsidR="009D20BB" w:rsidRPr="008A4F40">
        <w:rPr>
          <w:color w:val="000000"/>
          <w:sz w:val="22"/>
          <w:szCs w:val="22"/>
          <w:lang w:val="de-DE"/>
        </w:rPr>
        <w:t xml:space="preserve">400 mg </w:t>
      </w:r>
      <w:r w:rsidRPr="008A4F40">
        <w:rPr>
          <w:color w:val="000000"/>
          <w:sz w:val="22"/>
          <w:szCs w:val="22"/>
          <w:lang w:val="de-DE"/>
        </w:rPr>
        <w:t xml:space="preserve">abends eingenommen </w:t>
      </w:r>
      <w:r w:rsidR="009D20BB" w:rsidRPr="008A4F40">
        <w:rPr>
          <w:color w:val="000000"/>
          <w:sz w:val="22"/>
          <w:szCs w:val="22"/>
          <w:lang w:val="de-DE"/>
        </w:rPr>
        <w:t>werden</w:t>
      </w:r>
      <w:r w:rsidRPr="008A4F40">
        <w:rPr>
          <w:color w:val="000000"/>
          <w:sz w:val="22"/>
          <w:szCs w:val="22"/>
          <w:lang w:val="de-DE"/>
        </w:rPr>
        <w:t>.</w:t>
      </w:r>
    </w:p>
    <w:p w14:paraId="250C174A" w14:textId="5CD7C35E" w:rsidR="00AB6D5E" w:rsidRPr="008A4F40" w:rsidRDefault="00AB6D5E" w:rsidP="004E7659">
      <w:pPr>
        <w:rPr>
          <w:color w:val="000000"/>
          <w:sz w:val="22"/>
          <w:szCs w:val="22"/>
        </w:rPr>
      </w:pPr>
    </w:p>
    <w:p w14:paraId="7AE0B65E" w14:textId="78FCD41C" w:rsidR="00BA253A" w:rsidRPr="008A4F40" w:rsidRDefault="00BA253A" w:rsidP="004E7659">
      <w:pPr>
        <w:rPr>
          <w:color w:val="000000"/>
          <w:sz w:val="22"/>
          <w:szCs w:val="22"/>
        </w:rPr>
      </w:pPr>
      <w:r w:rsidRPr="008A4F40">
        <w:rPr>
          <w:color w:val="000000"/>
          <w:sz w:val="22"/>
          <w:szCs w:val="22"/>
        </w:rPr>
        <w:t>Eine 400-mg-Dosis kann entweder als 1 </w:t>
      </w:r>
      <w:r w:rsidR="00037321" w:rsidRPr="008A4F40">
        <w:rPr>
          <w:color w:val="000000"/>
          <w:sz w:val="22"/>
          <w:szCs w:val="22"/>
        </w:rPr>
        <w:t>Tablette zu 400 </w:t>
      </w:r>
      <w:r w:rsidRPr="008A4F40">
        <w:rPr>
          <w:color w:val="000000"/>
          <w:sz w:val="22"/>
          <w:szCs w:val="22"/>
        </w:rPr>
        <w:t>mg oder als 4 </w:t>
      </w:r>
      <w:r w:rsidR="00037321" w:rsidRPr="008A4F40">
        <w:rPr>
          <w:color w:val="000000"/>
          <w:sz w:val="22"/>
          <w:szCs w:val="22"/>
        </w:rPr>
        <w:t>Tabletten zu 100 </w:t>
      </w:r>
      <w:r w:rsidRPr="008A4F40">
        <w:rPr>
          <w:color w:val="000000"/>
          <w:sz w:val="22"/>
          <w:szCs w:val="22"/>
        </w:rPr>
        <w:t>mg eingenommen werden.</w:t>
      </w:r>
    </w:p>
    <w:p w14:paraId="5C6EE748" w14:textId="094207A8" w:rsidR="00BA253A" w:rsidRDefault="00037321" w:rsidP="004E7659">
      <w:pPr>
        <w:rPr>
          <w:color w:val="000000"/>
          <w:sz w:val="22"/>
          <w:szCs w:val="22"/>
        </w:rPr>
      </w:pPr>
      <w:r w:rsidRPr="008A4F40">
        <w:rPr>
          <w:color w:val="000000"/>
          <w:sz w:val="22"/>
          <w:szCs w:val="22"/>
        </w:rPr>
        <w:t xml:space="preserve">Eine 600-mg-Dosis </w:t>
      </w:r>
      <w:r w:rsidR="00CE5BE6">
        <w:rPr>
          <w:color w:val="000000"/>
          <w:sz w:val="22"/>
          <w:szCs w:val="22"/>
        </w:rPr>
        <w:t xml:space="preserve">kann entweder </w:t>
      </w:r>
      <w:r w:rsidRPr="008A4F40">
        <w:rPr>
          <w:color w:val="000000"/>
          <w:sz w:val="22"/>
          <w:szCs w:val="22"/>
        </w:rPr>
        <w:t>als 1 Tablette zu 400 mg plus 2 Tabletten zu 100 </w:t>
      </w:r>
      <w:r w:rsidR="00BA253A" w:rsidRPr="008A4F40">
        <w:rPr>
          <w:color w:val="000000"/>
          <w:sz w:val="22"/>
          <w:szCs w:val="22"/>
        </w:rPr>
        <w:t xml:space="preserve">mg </w:t>
      </w:r>
      <w:r w:rsidR="00CE5BE6">
        <w:rPr>
          <w:color w:val="000000"/>
          <w:sz w:val="22"/>
          <w:szCs w:val="22"/>
        </w:rPr>
        <w:t xml:space="preserve">oder als </w:t>
      </w:r>
      <w:r w:rsidR="00CE5BE6" w:rsidRPr="008A4F40">
        <w:rPr>
          <w:color w:val="000000"/>
          <w:sz w:val="22"/>
          <w:szCs w:val="22"/>
        </w:rPr>
        <w:t xml:space="preserve">1 Tablette zu 400 mg </w:t>
      </w:r>
      <w:r w:rsidR="00CE5BE6">
        <w:rPr>
          <w:color w:val="000000"/>
          <w:sz w:val="22"/>
          <w:szCs w:val="22"/>
        </w:rPr>
        <w:t xml:space="preserve">plus einer halben </w:t>
      </w:r>
      <w:r w:rsidR="00CE5BE6" w:rsidRPr="008A4F40">
        <w:rPr>
          <w:color w:val="000000"/>
          <w:sz w:val="22"/>
          <w:szCs w:val="22"/>
        </w:rPr>
        <w:t>Tablette</w:t>
      </w:r>
      <w:r w:rsidR="00CE5BE6">
        <w:rPr>
          <w:color w:val="000000"/>
          <w:sz w:val="22"/>
          <w:szCs w:val="22"/>
        </w:rPr>
        <w:t xml:space="preserve"> zu 4</w:t>
      </w:r>
      <w:r w:rsidR="00CE5BE6" w:rsidRPr="008A4F40">
        <w:rPr>
          <w:color w:val="000000"/>
          <w:sz w:val="22"/>
          <w:szCs w:val="22"/>
        </w:rPr>
        <w:t xml:space="preserve">00 mg </w:t>
      </w:r>
      <w:r w:rsidR="00CE5BE6">
        <w:rPr>
          <w:color w:val="000000"/>
          <w:sz w:val="22"/>
          <w:szCs w:val="22"/>
        </w:rPr>
        <w:t>eingenommen werden</w:t>
      </w:r>
      <w:r w:rsidR="00BA253A" w:rsidRPr="008A4F40">
        <w:rPr>
          <w:color w:val="000000"/>
          <w:sz w:val="22"/>
          <w:szCs w:val="22"/>
        </w:rPr>
        <w:t>.</w:t>
      </w:r>
    </w:p>
    <w:p w14:paraId="6823C61F" w14:textId="63587A57" w:rsidR="004F5570" w:rsidRDefault="004F5570" w:rsidP="004E7659">
      <w:pPr>
        <w:rPr>
          <w:color w:val="000000"/>
          <w:sz w:val="22"/>
          <w:szCs w:val="22"/>
        </w:rPr>
      </w:pPr>
    </w:p>
    <w:p w14:paraId="545A4B9F" w14:textId="2222FBB2" w:rsidR="004F5570" w:rsidRPr="008A4F40" w:rsidRDefault="004F5570" w:rsidP="004E7659">
      <w:pPr>
        <w:rPr>
          <w:color w:val="000000"/>
          <w:sz w:val="22"/>
          <w:szCs w:val="22"/>
        </w:rPr>
      </w:pPr>
      <w:r w:rsidRPr="00E97BC9">
        <w:rPr>
          <w:color w:val="000000"/>
          <w:sz w:val="22"/>
          <w:szCs w:val="22"/>
        </w:rPr>
        <w:t xml:space="preserve">Die Tabletten können </w:t>
      </w:r>
      <w:r w:rsidR="00134287" w:rsidRPr="00E97BC9">
        <w:rPr>
          <w:color w:val="000000"/>
          <w:sz w:val="22"/>
          <w:szCs w:val="22"/>
        </w:rPr>
        <w:t xml:space="preserve">entlang der Bruchkerbe </w:t>
      </w:r>
      <w:r w:rsidRPr="00E97BC9">
        <w:rPr>
          <w:color w:val="000000"/>
          <w:sz w:val="22"/>
          <w:szCs w:val="22"/>
        </w:rPr>
        <w:t>in zwei Hälften geteilt werden.</w:t>
      </w:r>
    </w:p>
    <w:p w14:paraId="4BD97083" w14:textId="77777777" w:rsidR="00BA253A" w:rsidRPr="008A4F40" w:rsidRDefault="00BA253A" w:rsidP="004E7659">
      <w:pPr>
        <w:rPr>
          <w:color w:val="000000"/>
          <w:sz w:val="22"/>
          <w:szCs w:val="22"/>
        </w:rPr>
      </w:pPr>
    </w:p>
    <w:p w14:paraId="5BE647F9" w14:textId="77777777" w:rsidR="00AB6D5E" w:rsidRPr="008A4F40" w:rsidRDefault="00AB6D5E" w:rsidP="004E7659">
      <w:pPr>
        <w:keepNext/>
        <w:rPr>
          <w:b/>
          <w:color w:val="000000"/>
          <w:sz w:val="22"/>
          <w:szCs w:val="22"/>
        </w:rPr>
      </w:pPr>
      <w:r w:rsidRPr="008A4F40">
        <w:rPr>
          <w:b/>
          <w:color w:val="000000"/>
          <w:sz w:val="22"/>
          <w:szCs w:val="22"/>
        </w:rPr>
        <w:t>Anwendung bei Kindern und Jugendlichen</w:t>
      </w:r>
    </w:p>
    <w:p w14:paraId="2C641059" w14:textId="77777777" w:rsidR="00AB6D5E" w:rsidRPr="008A4F40" w:rsidRDefault="00AB6D5E" w:rsidP="004E7659">
      <w:pPr>
        <w:rPr>
          <w:color w:val="000000"/>
          <w:sz w:val="22"/>
          <w:szCs w:val="22"/>
        </w:rPr>
      </w:pPr>
      <w:r w:rsidRPr="008A4F40">
        <w:rPr>
          <w:color w:val="000000"/>
          <w:sz w:val="22"/>
          <w:szCs w:val="22"/>
        </w:rPr>
        <w:t>Ihr Arzt wird Sie informieren, wie viele Glivec Tabletten Ihrem Kind gegeben werden sollen.</w:t>
      </w:r>
      <w:r w:rsidRPr="008A4F40" w:rsidDel="001A400F">
        <w:rPr>
          <w:color w:val="000000"/>
          <w:sz w:val="22"/>
          <w:szCs w:val="22"/>
        </w:rPr>
        <w:t xml:space="preserve"> </w:t>
      </w:r>
      <w:r w:rsidRPr="008A4F40">
        <w:rPr>
          <w:color w:val="000000"/>
          <w:sz w:val="22"/>
          <w:szCs w:val="22"/>
        </w:rPr>
        <w:t xml:space="preserve">Die notwendige Menge an Glivec hängt vom Zustand Ihres Kindes, von seinem Körpergewicht und seiner Größe ab. Die tägliche Gesamtdosis für ein Kind darf 800 mg </w:t>
      </w:r>
      <w:r w:rsidR="00F6006F" w:rsidRPr="008A4F40">
        <w:rPr>
          <w:color w:val="000000"/>
          <w:sz w:val="22"/>
          <w:szCs w:val="22"/>
        </w:rPr>
        <w:t xml:space="preserve">bei CML und 600 mg bei Ph-positiver ALL </w:t>
      </w:r>
      <w:r w:rsidRPr="008A4F40">
        <w:rPr>
          <w:color w:val="000000"/>
          <w:sz w:val="22"/>
          <w:szCs w:val="22"/>
        </w:rPr>
        <w:t>nicht überschreiten. Die tägliche Dosis kann Ihrem Kind als Einmalgabe verabreicht oder auf zwei Gaben (die Hälfte morgens und die Hälfte abends) aufgeteilt werden.</w:t>
      </w:r>
    </w:p>
    <w:p w14:paraId="15D3E799" w14:textId="77777777" w:rsidR="00AB6D5E" w:rsidRPr="008A4F40" w:rsidRDefault="00AB6D5E" w:rsidP="004E7659">
      <w:pPr>
        <w:rPr>
          <w:color w:val="000000"/>
          <w:sz w:val="22"/>
          <w:szCs w:val="22"/>
        </w:rPr>
      </w:pPr>
    </w:p>
    <w:p w14:paraId="7D689412" w14:textId="77777777" w:rsidR="00AB6D5E" w:rsidRPr="008A4F40" w:rsidRDefault="00AB6D5E" w:rsidP="004E7659">
      <w:pPr>
        <w:keepNext/>
        <w:rPr>
          <w:b/>
          <w:color w:val="000000"/>
          <w:sz w:val="22"/>
          <w:szCs w:val="22"/>
        </w:rPr>
      </w:pPr>
      <w:r w:rsidRPr="008A4F40">
        <w:rPr>
          <w:b/>
          <w:color w:val="000000"/>
          <w:sz w:val="22"/>
          <w:szCs w:val="22"/>
        </w:rPr>
        <w:t>Wann und wie wird Glivec eingenommen?</w:t>
      </w:r>
    </w:p>
    <w:p w14:paraId="30057F49" w14:textId="77777777" w:rsidR="00AB6D5E" w:rsidRPr="008A4F40" w:rsidRDefault="00AB6D5E" w:rsidP="004E7659">
      <w:pPr>
        <w:keepNext/>
        <w:numPr>
          <w:ilvl w:val="0"/>
          <w:numId w:val="15"/>
        </w:numPr>
        <w:tabs>
          <w:tab w:val="clear" w:pos="360"/>
        </w:tabs>
        <w:ind w:left="567" w:hanging="567"/>
        <w:rPr>
          <w:b/>
          <w:color w:val="000000"/>
          <w:sz w:val="22"/>
          <w:szCs w:val="22"/>
        </w:rPr>
      </w:pPr>
      <w:r w:rsidRPr="008A4F40">
        <w:rPr>
          <w:b/>
          <w:color w:val="000000"/>
          <w:sz w:val="22"/>
          <w:szCs w:val="22"/>
        </w:rPr>
        <w:t xml:space="preserve">Nehmen Sie Glivec mit einer Mahlzeit ein. </w:t>
      </w:r>
      <w:r w:rsidRPr="008A4F40">
        <w:rPr>
          <w:color w:val="000000"/>
          <w:sz w:val="22"/>
          <w:szCs w:val="22"/>
        </w:rPr>
        <w:t>Dies kann helfen, Magenbeschwerden bei der Einnahme von Glivec vorzubeugen.</w:t>
      </w:r>
    </w:p>
    <w:p w14:paraId="5DF0DA07" w14:textId="77777777" w:rsidR="00AB6D5E" w:rsidRPr="008A4F40" w:rsidRDefault="00AB6D5E" w:rsidP="004E7659">
      <w:pPr>
        <w:numPr>
          <w:ilvl w:val="0"/>
          <w:numId w:val="15"/>
        </w:numPr>
        <w:tabs>
          <w:tab w:val="clear" w:pos="360"/>
        </w:tabs>
        <w:ind w:left="567" w:hanging="567"/>
        <w:rPr>
          <w:b/>
          <w:color w:val="000000"/>
          <w:sz w:val="22"/>
          <w:szCs w:val="22"/>
        </w:rPr>
      </w:pPr>
      <w:r w:rsidRPr="008A4F40">
        <w:rPr>
          <w:b/>
          <w:color w:val="000000"/>
          <w:sz w:val="22"/>
          <w:szCs w:val="22"/>
        </w:rPr>
        <w:t>Schlucken Sie die Tabletten im Ganzen und trinken Sie dazu ein großes Glas Wasser.</w:t>
      </w:r>
    </w:p>
    <w:p w14:paraId="7BE91575" w14:textId="77777777" w:rsidR="00AB6D5E" w:rsidRPr="008A4F40" w:rsidRDefault="00AB6D5E" w:rsidP="004E7659">
      <w:pPr>
        <w:rPr>
          <w:color w:val="000000"/>
          <w:sz w:val="22"/>
          <w:szCs w:val="22"/>
        </w:rPr>
      </w:pPr>
    </w:p>
    <w:p w14:paraId="37E91E51" w14:textId="77777777" w:rsidR="00AB6D5E" w:rsidRPr="008A4F40" w:rsidRDefault="00AB6D5E" w:rsidP="004E7659">
      <w:pPr>
        <w:keepNext/>
        <w:keepLines/>
        <w:rPr>
          <w:bCs/>
          <w:color w:val="000000"/>
          <w:sz w:val="22"/>
          <w:szCs w:val="22"/>
        </w:rPr>
      </w:pPr>
      <w:r w:rsidRPr="008A4F40">
        <w:rPr>
          <w:bCs/>
          <w:color w:val="000000"/>
          <w:sz w:val="22"/>
          <w:szCs w:val="22"/>
        </w:rPr>
        <w:t>Wenn Sie die Tabletten nicht schlucken können, können Sie sie in einem Glas Wasser ohne Kohlensäure oder Apfelsaft zerfallen lassen:</w:t>
      </w:r>
    </w:p>
    <w:p w14:paraId="053CEA2A" w14:textId="23D375B2" w:rsidR="00AB6D5E" w:rsidRPr="008A4F40" w:rsidRDefault="00AB6D5E" w:rsidP="004E7659">
      <w:pPr>
        <w:keepNext/>
        <w:keepLines/>
        <w:numPr>
          <w:ilvl w:val="0"/>
          <w:numId w:val="11"/>
        </w:numPr>
        <w:tabs>
          <w:tab w:val="clear" w:pos="360"/>
        </w:tabs>
        <w:ind w:left="567" w:hanging="567"/>
        <w:rPr>
          <w:bCs/>
          <w:color w:val="000000"/>
          <w:sz w:val="22"/>
          <w:szCs w:val="22"/>
        </w:rPr>
      </w:pPr>
      <w:r w:rsidRPr="008A4F40">
        <w:rPr>
          <w:bCs/>
          <w:color w:val="000000"/>
          <w:sz w:val="22"/>
          <w:szCs w:val="22"/>
        </w:rPr>
        <w:t>Verwenden Sie etwa 50 ml für jede 100 mg-Tablette</w:t>
      </w:r>
      <w:r w:rsidR="00EB7BA5" w:rsidRPr="008A4F40">
        <w:rPr>
          <w:bCs/>
          <w:color w:val="000000"/>
          <w:sz w:val="22"/>
          <w:szCs w:val="22"/>
        </w:rPr>
        <w:t xml:space="preserve"> oder 200 ml für jede 400 mg-Tablette</w:t>
      </w:r>
      <w:r w:rsidRPr="008A4F40">
        <w:rPr>
          <w:bCs/>
          <w:color w:val="000000"/>
          <w:sz w:val="22"/>
          <w:szCs w:val="22"/>
        </w:rPr>
        <w:t>.</w:t>
      </w:r>
    </w:p>
    <w:p w14:paraId="0CEFED7B" w14:textId="77777777" w:rsidR="00AB6D5E" w:rsidRPr="008A4F40" w:rsidRDefault="00AB6D5E" w:rsidP="004E7659">
      <w:pPr>
        <w:keepNext/>
        <w:keepLines/>
        <w:numPr>
          <w:ilvl w:val="0"/>
          <w:numId w:val="11"/>
        </w:numPr>
        <w:tabs>
          <w:tab w:val="clear" w:pos="360"/>
        </w:tabs>
        <w:ind w:left="567" w:hanging="567"/>
        <w:rPr>
          <w:bCs/>
          <w:color w:val="000000"/>
          <w:sz w:val="22"/>
          <w:szCs w:val="22"/>
        </w:rPr>
      </w:pPr>
      <w:r w:rsidRPr="008A4F40">
        <w:rPr>
          <w:bCs/>
          <w:color w:val="000000"/>
          <w:sz w:val="22"/>
          <w:szCs w:val="22"/>
        </w:rPr>
        <w:t>Rühren Sie mit einem Löffel um, bis die Tabletten vollständig zerfallen sind.</w:t>
      </w:r>
    </w:p>
    <w:p w14:paraId="6B763F34" w14:textId="77777777" w:rsidR="00AB6D5E" w:rsidRPr="008A4F40" w:rsidRDefault="00AB6D5E" w:rsidP="004E7659">
      <w:pPr>
        <w:keepLines/>
        <w:numPr>
          <w:ilvl w:val="0"/>
          <w:numId w:val="11"/>
        </w:numPr>
        <w:tabs>
          <w:tab w:val="clear" w:pos="360"/>
        </w:tabs>
        <w:ind w:left="567" w:hanging="567"/>
        <w:rPr>
          <w:bCs/>
          <w:color w:val="000000"/>
          <w:sz w:val="22"/>
          <w:szCs w:val="22"/>
        </w:rPr>
      </w:pPr>
      <w:r w:rsidRPr="008A4F40">
        <w:rPr>
          <w:bCs/>
          <w:color w:val="000000"/>
          <w:sz w:val="22"/>
          <w:szCs w:val="22"/>
        </w:rPr>
        <w:t>Sobald die Tabletten zerfallen sind, trinken Sie sofort den gesamten Inhalt des Glases. Spuren der zerfallenen Tabletten können im Glas zurückbleiben.</w:t>
      </w:r>
    </w:p>
    <w:p w14:paraId="32639E95" w14:textId="77777777" w:rsidR="00AB6D5E" w:rsidRPr="008A4F40" w:rsidRDefault="00AB6D5E" w:rsidP="004E7659">
      <w:pPr>
        <w:rPr>
          <w:color w:val="000000"/>
          <w:sz w:val="22"/>
          <w:szCs w:val="22"/>
        </w:rPr>
      </w:pPr>
    </w:p>
    <w:p w14:paraId="32C79B2A" w14:textId="77777777" w:rsidR="00AB6D5E" w:rsidRPr="00A24EE4" w:rsidRDefault="00AB6D5E" w:rsidP="004E7659">
      <w:pPr>
        <w:keepNext/>
        <w:rPr>
          <w:b/>
          <w:bCs/>
          <w:sz w:val="22"/>
          <w:szCs w:val="22"/>
        </w:rPr>
      </w:pPr>
      <w:r w:rsidRPr="00A24EE4">
        <w:rPr>
          <w:b/>
          <w:bCs/>
          <w:sz w:val="22"/>
          <w:szCs w:val="22"/>
        </w:rPr>
        <w:t>Wie lange wird Glivec eingenommen?</w:t>
      </w:r>
    </w:p>
    <w:p w14:paraId="2E98565A" w14:textId="77777777" w:rsidR="00AB6D5E" w:rsidRPr="008A4F40" w:rsidRDefault="00AB6D5E" w:rsidP="004E7659">
      <w:pPr>
        <w:rPr>
          <w:color w:val="000000"/>
          <w:sz w:val="22"/>
          <w:szCs w:val="22"/>
        </w:rPr>
      </w:pPr>
      <w:r w:rsidRPr="008A4F40">
        <w:rPr>
          <w:color w:val="000000"/>
          <w:sz w:val="22"/>
          <w:szCs w:val="22"/>
        </w:rPr>
        <w:t>Nehmen Sie Glivec jeden Tag ein, solange Ihr Arzt Ihnen dies empfiehlt.</w:t>
      </w:r>
    </w:p>
    <w:p w14:paraId="25358819" w14:textId="77777777" w:rsidR="00AB6D5E" w:rsidRPr="008A4F40" w:rsidRDefault="00AB6D5E" w:rsidP="004E7659">
      <w:pPr>
        <w:rPr>
          <w:color w:val="000000"/>
          <w:sz w:val="22"/>
          <w:szCs w:val="22"/>
        </w:rPr>
      </w:pPr>
    </w:p>
    <w:p w14:paraId="11B2F2EA" w14:textId="77777777" w:rsidR="00AB6D5E" w:rsidRPr="008A4F40" w:rsidRDefault="00AB6D5E" w:rsidP="004E7659">
      <w:pPr>
        <w:keepNext/>
        <w:rPr>
          <w:color w:val="000000"/>
          <w:sz w:val="22"/>
          <w:szCs w:val="22"/>
        </w:rPr>
      </w:pPr>
      <w:r w:rsidRPr="008A4F40">
        <w:rPr>
          <w:b/>
          <w:color w:val="000000"/>
          <w:sz w:val="22"/>
          <w:szCs w:val="22"/>
        </w:rPr>
        <w:t>Wenn Sie eine größere Menge von Glivec eingenommen haben, als Sie sollten</w:t>
      </w:r>
    </w:p>
    <w:p w14:paraId="191DA798" w14:textId="77777777" w:rsidR="00AB6D5E" w:rsidRPr="008A4F40" w:rsidRDefault="00AB6D5E" w:rsidP="004E7659">
      <w:pPr>
        <w:rPr>
          <w:color w:val="000000"/>
          <w:sz w:val="22"/>
          <w:szCs w:val="22"/>
        </w:rPr>
      </w:pPr>
      <w:r w:rsidRPr="008A4F40">
        <w:rPr>
          <w:color w:val="000000"/>
          <w:sz w:val="22"/>
          <w:szCs w:val="22"/>
        </w:rPr>
        <w:t xml:space="preserve">Sprechen Sie bitte </w:t>
      </w:r>
      <w:r w:rsidRPr="008A4F40">
        <w:rPr>
          <w:b/>
          <w:color w:val="000000"/>
          <w:sz w:val="22"/>
          <w:szCs w:val="22"/>
        </w:rPr>
        <w:t>unverzüglich</w:t>
      </w:r>
      <w:r w:rsidRPr="008A4F40">
        <w:rPr>
          <w:color w:val="000000"/>
          <w:sz w:val="22"/>
          <w:szCs w:val="22"/>
        </w:rPr>
        <w:t xml:space="preserve"> mit Ihrem Arzt, wenn Sie unbeabsichtigt zu viele Tabletten eingenom</w:t>
      </w:r>
      <w:r w:rsidRPr="008A4F40">
        <w:rPr>
          <w:color w:val="000000"/>
          <w:sz w:val="22"/>
          <w:szCs w:val="22"/>
        </w:rPr>
        <w:softHyphen/>
        <w:t>men haben. Es kann sein, dass Sie in diesem Fall eine medizinische Beobachtung benötigen. Bringen Sie die Medikamentenpackung mit.</w:t>
      </w:r>
    </w:p>
    <w:p w14:paraId="21B3289E" w14:textId="77777777" w:rsidR="00AB6D5E" w:rsidRPr="008A4F40" w:rsidRDefault="00AB6D5E" w:rsidP="004E7659">
      <w:pPr>
        <w:rPr>
          <w:color w:val="000000"/>
          <w:sz w:val="22"/>
          <w:szCs w:val="22"/>
        </w:rPr>
      </w:pPr>
    </w:p>
    <w:p w14:paraId="712A0A4A" w14:textId="77777777" w:rsidR="00AB6D5E" w:rsidRPr="008A4F40" w:rsidRDefault="00AB6D5E" w:rsidP="004E7659">
      <w:pPr>
        <w:keepNext/>
        <w:rPr>
          <w:b/>
          <w:color w:val="000000"/>
          <w:sz w:val="22"/>
          <w:szCs w:val="22"/>
        </w:rPr>
      </w:pPr>
      <w:r w:rsidRPr="008A4F40">
        <w:rPr>
          <w:b/>
          <w:color w:val="000000"/>
          <w:sz w:val="22"/>
          <w:szCs w:val="22"/>
        </w:rPr>
        <w:t>Wenn Sie die Einnahme von Glivec vergessen haben</w:t>
      </w:r>
    </w:p>
    <w:p w14:paraId="74D9B15D" w14:textId="77777777" w:rsidR="00AB6D5E" w:rsidRPr="008A4F40" w:rsidRDefault="00AB6D5E" w:rsidP="004E7659">
      <w:pPr>
        <w:numPr>
          <w:ilvl w:val="0"/>
          <w:numId w:val="15"/>
        </w:numPr>
        <w:tabs>
          <w:tab w:val="clear" w:pos="360"/>
        </w:tabs>
        <w:ind w:left="567" w:hanging="567"/>
        <w:rPr>
          <w:color w:val="000000"/>
          <w:sz w:val="22"/>
          <w:szCs w:val="22"/>
        </w:rPr>
      </w:pPr>
      <w:r w:rsidRPr="008A4F40">
        <w:rPr>
          <w:color w:val="000000"/>
          <w:sz w:val="22"/>
          <w:szCs w:val="22"/>
        </w:rPr>
        <w:t>Wenn Sie die Einnahme vergessen haben, nehmen Sie die fehlende Dosis sobald Sie sich daran erinnern. Falls die Einnahme der nächsten Dosis unmittelbar bevor steht, lassen Sie die vergessene Dosis aus.</w:t>
      </w:r>
    </w:p>
    <w:p w14:paraId="5E763FFC" w14:textId="77777777" w:rsidR="00AB6D5E" w:rsidRPr="008A4F40" w:rsidRDefault="00AB6D5E" w:rsidP="004E7659">
      <w:pPr>
        <w:numPr>
          <w:ilvl w:val="0"/>
          <w:numId w:val="15"/>
        </w:numPr>
        <w:tabs>
          <w:tab w:val="clear" w:pos="360"/>
        </w:tabs>
        <w:ind w:left="567" w:hanging="567"/>
        <w:rPr>
          <w:color w:val="000000"/>
          <w:sz w:val="22"/>
          <w:szCs w:val="22"/>
        </w:rPr>
      </w:pPr>
      <w:r w:rsidRPr="008A4F40">
        <w:rPr>
          <w:color w:val="000000"/>
          <w:sz w:val="22"/>
          <w:szCs w:val="22"/>
        </w:rPr>
        <w:t>Dann fahren Sie mit Ihrem normalen Einnahmeschema fort.</w:t>
      </w:r>
    </w:p>
    <w:p w14:paraId="7981827B" w14:textId="77777777" w:rsidR="00AB6D5E" w:rsidRPr="008A4F40" w:rsidRDefault="00AB6D5E" w:rsidP="004E7659">
      <w:pPr>
        <w:numPr>
          <w:ilvl w:val="0"/>
          <w:numId w:val="15"/>
        </w:numPr>
        <w:tabs>
          <w:tab w:val="clear" w:pos="360"/>
        </w:tabs>
        <w:ind w:left="567" w:hanging="567"/>
        <w:rPr>
          <w:color w:val="000000"/>
          <w:sz w:val="22"/>
          <w:szCs w:val="22"/>
        </w:rPr>
      </w:pPr>
      <w:r w:rsidRPr="008A4F40">
        <w:rPr>
          <w:color w:val="000000"/>
          <w:sz w:val="22"/>
          <w:szCs w:val="22"/>
        </w:rPr>
        <w:t xml:space="preserve">Nehmen Sie nicht die doppelte </w:t>
      </w:r>
      <w:r w:rsidR="002906C1" w:rsidRPr="008A4F40">
        <w:rPr>
          <w:color w:val="000000"/>
          <w:sz w:val="22"/>
          <w:szCs w:val="22"/>
        </w:rPr>
        <w:t>Menge</w:t>
      </w:r>
      <w:r w:rsidRPr="008A4F40">
        <w:rPr>
          <w:color w:val="000000"/>
          <w:sz w:val="22"/>
          <w:szCs w:val="22"/>
        </w:rPr>
        <w:t xml:space="preserve"> ein, wenn Sie die vorherige Einnahme vergessen haben.</w:t>
      </w:r>
    </w:p>
    <w:p w14:paraId="7877A403" w14:textId="77777777" w:rsidR="00AB6D5E" w:rsidRPr="008A4F40" w:rsidRDefault="00AB6D5E" w:rsidP="004E7659">
      <w:pPr>
        <w:rPr>
          <w:color w:val="000000"/>
          <w:sz w:val="22"/>
          <w:szCs w:val="22"/>
        </w:rPr>
      </w:pPr>
    </w:p>
    <w:p w14:paraId="20DC06B2" w14:textId="77777777" w:rsidR="00AB6D5E" w:rsidRPr="008A4F40" w:rsidRDefault="00AB6D5E" w:rsidP="004E7659">
      <w:pPr>
        <w:rPr>
          <w:color w:val="000000"/>
          <w:sz w:val="22"/>
          <w:szCs w:val="22"/>
        </w:rPr>
      </w:pPr>
      <w:r w:rsidRPr="008A4F40">
        <w:rPr>
          <w:color w:val="000000"/>
          <w:sz w:val="22"/>
          <w:szCs w:val="22"/>
        </w:rPr>
        <w:t xml:space="preserve">Wenn Sie weitere Fragen zur </w:t>
      </w:r>
      <w:r w:rsidR="00BB2626" w:rsidRPr="008A4F40">
        <w:rPr>
          <w:color w:val="000000"/>
          <w:sz w:val="22"/>
          <w:szCs w:val="22"/>
        </w:rPr>
        <w:t xml:space="preserve">Einnahme </w:t>
      </w:r>
      <w:r w:rsidRPr="008A4F40">
        <w:rPr>
          <w:color w:val="000000"/>
          <w:sz w:val="22"/>
          <w:szCs w:val="22"/>
        </w:rPr>
        <w:t>d</w:t>
      </w:r>
      <w:r w:rsidR="002906C1" w:rsidRPr="008A4F40">
        <w:rPr>
          <w:color w:val="000000"/>
          <w:sz w:val="22"/>
          <w:szCs w:val="22"/>
        </w:rPr>
        <w:t>ies</w:t>
      </w:r>
      <w:r w:rsidRPr="008A4F40">
        <w:rPr>
          <w:color w:val="000000"/>
          <w:sz w:val="22"/>
          <w:szCs w:val="22"/>
        </w:rPr>
        <w:t xml:space="preserve">es Arzneimittels haben, </w:t>
      </w:r>
      <w:r w:rsidR="002906C1" w:rsidRPr="008A4F40">
        <w:rPr>
          <w:color w:val="000000"/>
          <w:sz w:val="22"/>
          <w:szCs w:val="22"/>
        </w:rPr>
        <w:t>wenden</w:t>
      </w:r>
      <w:r w:rsidRPr="008A4F40">
        <w:rPr>
          <w:color w:val="000000"/>
          <w:sz w:val="22"/>
          <w:szCs w:val="22"/>
        </w:rPr>
        <w:t xml:space="preserve"> Sie</w:t>
      </w:r>
      <w:r w:rsidR="002906C1" w:rsidRPr="008A4F40">
        <w:rPr>
          <w:color w:val="000000"/>
          <w:sz w:val="22"/>
          <w:szCs w:val="22"/>
        </w:rPr>
        <w:t xml:space="preserve"> sich an</w:t>
      </w:r>
      <w:r w:rsidRPr="008A4F40">
        <w:rPr>
          <w:color w:val="000000"/>
          <w:sz w:val="22"/>
          <w:szCs w:val="22"/>
        </w:rPr>
        <w:t xml:space="preserve"> Ihren Arzt</w:t>
      </w:r>
      <w:r w:rsidR="00057A02" w:rsidRPr="008A4F40">
        <w:rPr>
          <w:color w:val="000000"/>
          <w:sz w:val="22"/>
          <w:szCs w:val="22"/>
        </w:rPr>
        <w:t>,</w:t>
      </w:r>
      <w:r w:rsidRPr="008A4F40">
        <w:rPr>
          <w:color w:val="000000"/>
          <w:sz w:val="22"/>
          <w:szCs w:val="22"/>
        </w:rPr>
        <w:t xml:space="preserve"> Apotheker</w:t>
      </w:r>
      <w:r w:rsidR="002906C1" w:rsidRPr="008A4F40">
        <w:rPr>
          <w:color w:val="000000"/>
          <w:sz w:val="22"/>
          <w:szCs w:val="22"/>
        </w:rPr>
        <w:t xml:space="preserve"> oder </w:t>
      </w:r>
      <w:r w:rsidR="0095506C" w:rsidRPr="008A4F40">
        <w:rPr>
          <w:color w:val="000000"/>
          <w:sz w:val="22"/>
          <w:szCs w:val="22"/>
        </w:rPr>
        <w:t>das medizinische Fachpersonal</w:t>
      </w:r>
      <w:r w:rsidRPr="008A4F40">
        <w:rPr>
          <w:color w:val="000000"/>
          <w:sz w:val="22"/>
          <w:szCs w:val="22"/>
        </w:rPr>
        <w:t>.</w:t>
      </w:r>
    </w:p>
    <w:p w14:paraId="33F99B07" w14:textId="77777777" w:rsidR="00AB6D5E" w:rsidRPr="008A4F40" w:rsidRDefault="00AB6D5E" w:rsidP="004E7659">
      <w:pPr>
        <w:pStyle w:val="Header"/>
        <w:tabs>
          <w:tab w:val="clear" w:pos="4320"/>
          <w:tab w:val="clear" w:pos="8640"/>
        </w:tabs>
        <w:rPr>
          <w:color w:val="000000"/>
          <w:szCs w:val="22"/>
        </w:rPr>
      </w:pPr>
    </w:p>
    <w:p w14:paraId="09BD3682" w14:textId="77777777" w:rsidR="00AB6D5E" w:rsidRPr="008A4F40" w:rsidRDefault="00AB6D5E" w:rsidP="004E7659">
      <w:pPr>
        <w:rPr>
          <w:color w:val="000000"/>
          <w:sz w:val="22"/>
          <w:szCs w:val="22"/>
        </w:rPr>
      </w:pPr>
    </w:p>
    <w:p w14:paraId="3AE0E056" w14:textId="77777777" w:rsidR="003A33A6" w:rsidRPr="008A4F40" w:rsidRDefault="003A33A6" w:rsidP="004E7659">
      <w:pPr>
        <w:keepNext/>
        <w:tabs>
          <w:tab w:val="left" w:pos="567"/>
        </w:tabs>
        <w:rPr>
          <w:color w:val="000000"/>
          <w:sz w:val="22"/>
          <w:szCs w:val="22"/>
        </w:rPr>
      </w:pPr>
      <w:r w:rsidRPr="008A4F40">
        <w:rPr>
          <w:b/>
          <w:color w:val="000000"/>
          <w:sz w:val="22"/>
          <w:szCs w:val="22"/>
        </w:rPr>
        <w:t>4.</w:t>
      </w:r>
      <w:r w:rsidRPr="008A4F40">
        <w:rPr>
          <w:b/>
          <w:color w:val="000000"/>
          <w:sz w:val="22"/>
          <w:szCs w:val="22"/>
        </w:rPr>
        <w:tab/>
        <w:t>Welche Nebenwirkungen sind möglich?</w:t>
      </w:r>
    </w:p>
    <w:p w14:paraId="600B052D" w14:textId="77777777" w:rsidR="003A33A6" w:rsidRPr="008A4F40" w:rsidRDefault="003A33A6" w:rsidP="004E7659">
      <w:pPr>
        <w:keepNext/>
        <w:rPr>
          <w:color w:val="000000"/>
          <w:sz w:val="22"/>
          <w:szCs w:val="22"/>
        </w:rPr>
      </w:pPr>
    </w:p>
    <w:p w14:paraId="21D2898F" w14:textId="77777777" w:rsidR="003A33A6" w:rsidRPr="008A4F40" w:rsidRDefault="003A33A6" w:rsidP="004E7659">
      <w:pPr>
        <w:rPr>
          <w:color w:val="000000"/>
          <w:sz w:val="22"/>
          <w:szCs w:val="22"/>
        </w:rPr>
      </w:pPr>
      <w:r w:rsidRPr="008A4F40">
        <w:rPr>
          <w:color w:val="000000"/>
          <w:sz w:val="22"/>
          <w:szCs w:val="22"/>
        </w:rPr>
        <w:t>Wie alle Arzneimittel kann auch dieses Arzneimittel Nebenwirkungen haben, die aber nicht bei jedem auftreten müssen. Diese sind im Allgemeinen von geringem bis mäßigem Schweregrad.</w:t>
      </w:r>
    </w:p>
    <w:p w14:paraId="24F3F03E" w14:textId="77777777" w:rsidR="003A33A6" w:rsidRPr="008A4F40" w:rsidRDefault="003A33A6" w:rsidP="004E7659">
      <w:pPr>
        <w:rPr>
          <w:color w:val="000000"/>
          <w:sz w:val="22"/>
          <w:szCs w:val="22"/>
        </w:rPr>
      </w:pPr>
    </w:p>
    <w:p w14:paraId="3D544454" w14:textId="77777777" w:rsidR="003A33A6" w:rsidRPr="008A4F40" w:rsidRDefault="003A33A6" w:rsidP="004E7659">
      <w:pPr>
        <w:keepNext/>
        <w:keepLines/>
        <w:rPr>
          <w:b/>
          <w:color w:val="000000"/>
          <w:sz w:val="22"/>
          <w:szCs w:val="22"/>
        </w:rPr>
      </w:pPr>
      <w:r w:rsidRPr="008A4F40">
        <w:rPr>
          <w:b/>
          <w:color w:val="000000"/>
          <w:sz w:val="22"/>
          <w:szCs w:val="22"/>
        </w:rPr>
        <w:t>Einige Nebenwirkungen können schwerwiegend sein. Informieren Sie Ihren Arzt unverzüglich, wenn bei Ihnen eine der folgenden Nebenwirkungen auftritt:</w:t>
      </w:r>
    </w:p>
    <w:p w14:paraId="64CE2121" w14:textId="77777777" w:rsidR="003A33A6" w:rsidRPr="008A4F40" w:rsidRDefault="003A33A6" w:rsidP="004E7659">
      <w:pPr>
        <w:keepNext/>
        <w:rPr>
          <w:color w:val="000000"/>
          <w:sz w:val="22"/>
          <w:szCs w:val="22"/>
        </w:rPr>
      </w:pPr>
    </w:p>
    <w:p w14:paraId="52D9EE4A" w14:textId="77777777" w:rsidR="003A33A6" w:rsidRPr="008A4F40" w:rsidRDefault="003A33A6" w:rsidP="004E7659">
      <w:pPr>
        <w:keepNext/>
        <w:keepLines/>
        <w:rPr>
          <w:color w:val="000000"/>
          <w:sz w:val="22"/>
          <w:szCs w:val="22"/>
        </w:rPr>
      </w:pPr>
      <w:r w:rsidRPr="008A4F40">
        <w:rPr>
          <w:b/>
          <w:color w:val="000000"/>
          <w:sz w:val="22"/>
          <w:szCs w:val="22"/>
        </w:rPr>
        <w:t xml:space="preserve">Sehr häufig </w:t>
      </w:r>
      <w:r w:rsidRPr="008A4F40">
        <w:rPr>
          <w:color w:val="000000"/>
          <w:sz w:val="22"/>
          <w:szCs w:val="22"/>
        </w:rPr>
        <w:t>(</w:t>
      </w:r>
      <w:r w:rsidR="00540AAA" w:rsidRPr="008A4F40">
        <w:rPr>
          <w:color w:val="000000"/>
          <w:sz w:val="22"/>
          <w:szCs w:val="22"/>
        </w:rPr>
        <w:t>kann mehr als 1 von 10 Behandelten betreffen</w:t>
      </w:r>
      <w:r w:rsidRPr="008A4F40">
        <w:rPr>
          <w:color w:val="000000"/>
          <w:sz w:val="22"/>
          <w:szCs w:val="22"/>
        </w:rPr>
        <w:t>)</w:t>
      </w:r>
      <w:r w:rsidRPr="008A4F40">
        <w:rPr>
          <w:b/>
          <w:color w:val="000000"/>
          <w:sz w:val="22"/>
          <w:szCs w:val="22"/>
        </w:rPr>
        <w:t xml:space="preserve"> oder häufig </w:t>
      </w:r>
      <w:r w:rsidRPr="008A4F40">
        <w:rPr>
          <w:color w:val="000000"/>
          <w:sz w:val="22"/>
          <w:szCs w:val="22"/>
        </w:rPr>
        <w:t>(</w:t>
      </w:r>
      <w:r w:rsidR="00540AAA" w:rsidRPr="008A4F40">
        <w:rPr>
          <w:color w:val="000000"/>
          <w:sz w:val="22"/>
          <w:szCs w:val="22"/>
        </w:rPr>
        <w:t>kann bis zu 1 von 10 Behandelten betreffen</w:t>
      </w:r>
      <w:r w:rsidRPr="008A4F40">
        <w:rPr>
          <w:color w:val="000000"/>
          <w:sz w:val="22"/>
          <w:szCs w:val="22"/>
        </w:rPr>
        <w:t>):</w:t>
      </w:r>
    </w:p>
    <w:p w14:paraId="0D977E07" w14:textId="77777777" w:rsidR="003A33A6" w:rsidRPr="008A4F40" w:rsidRDefault="003A33A6" w:rsidP="004E7659">
      <w:pPr>
        <w:numPr>
          <w:ilvl w:val="0"/>
          <w:numId w:val="4"/>
        </w:numPr>
        <w:tabs>
          <w:tab w:val="clear" w:pos="360"/>
        </w:tabs>
        <w:ind w:left="567" w:hanging="567"/>
        <w:rPr>
          <w:color w:val="000000"/>
          <w:sz w:val="22"/>
          <w:szCs w:val="22"/>
        </w:rPr>
      </w:pPr>
      <w:r w:rsidRPr="008A4F40">
        <w:rPr>
          <w:color w:val="000000"/>
          <w:sz w:val="22"/>
          <w:szCs w:val="22"/>
        </w:rPr>
        <w:t>Rasche Gewichtszunahme. Die Behandlung mit Glivec kann dazu führen, dass Ihr Körper beginnt, Wasser einzulagern (schwere Flüssigkeitsretention).</w:t>
      </w:r>
    </w:p>
    <w:p w14:paraId="07CA90AA" w14:textId="77777777" w:rsidR="003A33A6" w:rsidRPr="008A4F40" w:rsidRDefault="003A33A6" w:rsidP="004E7659">
      <w:pPr>
        <w:numPr>
          <w:ilvl w:val="0"/>
          <w:numId w:val="5"/>
        </w:numPr>
        <w:tabs>
          <w:tab w:val="clear" w:pos="360"/>
        </w:tabs>
        <w:ind w:left="567" w:hanging="567"/>
        <w:rPr>
          <w:color w:val="000000"/>
          <w:sz w:val="22"/>
          <w:szCs w:val="22"/>
        </w:rPr>
      </w:pPr>
      <w:r w:rsidRPr="008A4F40">
        <w:rPr>
          <w:color w:val="000000"/>
          <w:sz w:val="22"/>
          <w:szCs w:val="22"/>
        </w:rPr>
        <w:t>Anzeichen einer Infektion wie Fieber, Schüttelfrost, Halsentzündung oder Mundgeschwüre. Glivec kann die Anzahl der weißen Blutkörperchen vermindern, sodass Sie leichter Infektionen bekommen können.</w:t>
      </w:r>
    </w:p>
    <w:p w14:paraId="011C6D21" w14:textId="77777777" w:rsidR="003A33A6" w:rsidRPr="008A4F40" w:rsidRDefault="003A33A6" w:rsidP="004E7659">
      <w:pPr>
        <w:numPr>
          <w:ilvl w:val="0"/>
          <w:numId w:val="3"/>
        </w:numPr>
        <w:tabs>
          <w:tab w:val="clear" w:pos="360"/>
        </w:tabs>
        <w:ind w:left="567" w:hanging="567"/>
        <w:rPr>
          <w:color w:val="000000"/>
          <w:sz w:val="22"/>
          <w:szCs w:val="22"/>
        </w:rPr>
      </w:pPr>
      <w:r w:rsidRPr="008A4F40">
        <w:rPr>
          <w:color w:val="000000"/>
          <w:sz w:val="22"/>
          <w:szCs w:val="22"/>
        </w:rPr>
        <w:t>Unerwartete Blutungen oder blaue Flecken (obwohl Sie sich nicht verletzt haben).</w:t>
      </w:r>
    </w:p>
    <w:p w14:paraId="3A933446" w14:textId="77777777" w:rsidR="003A33A6" w:rsidRPr="008A4F40" w:rsidRDefault="003A33A6" w:rsidP="004E7659">
      <w:pPr>
        <w:rPr>
          <w:color w:val="000000"/>
          <w:sz w:val="22"/>
          <w:szCs w:val="22"/>
        </w:rPr>
      </w:pPr>
    </w:p>
    <w:p w14:paraId="3C493E7E" w14:textId="5234116D" w:rsidR="003A33A6" w:rsidRPr="008A4F40" w:rsidRDefault="003A33A6" w:rsidP="004E7659">
      <w:pPr>
        <w:keepNext/>
        <w:keepLines/>
        <w:rPr>
          <w:color w:val="000000"/>
          <w:sz w:val="22"/>
          <w:szCs w:val="22"/>
        </w:rPr>
      </w:pPr>
      <w:r w:rsidRPr="008A4F40">
        <w:rPr>
          <w:b/>
          <w:color w:val="000000"/>
          <w:sz w:val="22"/>
          <w:szCs w:val="22"/>
        </w:rPr>
        <w:t xml:space="preserve">Gelegentlich </w:t>
      </w:r>
      <w:r w:rsidRPr="008A4F40">
        <w:rPr>
          <w:color w:val="000000"/>
          <w:sz w:val="22"/>
          <w:szCs w:val="22"/>
        </w:rPr>
        <w:t>(</w:t>
      </w:r>
      <w:r w:rsidR="00540AAA" w:rsidRPr="008A4F40">
        <w:rPr>
          <w:color w:val="000000"/>
          <w:sz w:val="22"/>
          <w:szCs w:val="22"/>
        </w:rPr>
        <w:t>kann bis zu 1 von 100 Behandelten betreffen</w:t>
      </w:r>
      <w:r w:rsidRPr="008A4F40">
        <w:rPr>
          <w:color w:val="000000"/>
          <w:sz w:val="22"/>
          <w:szCs w:val="22"/>
        </w:rPr>
        <w:t>)</w:t>
      </w:r>
      <w:r w:rsidRPr="008A4F40">
        <w:rPr>
          <w:b/>
          <w:color w:val="000000"/>
          <w:sz w:val="22"/>
          <w:szCs w:val="22"/>
        </w:rPr>
        <w:t xml:space="preserve"> oder selten </w:t>
      </w:r>
      <w:r w:rsidRPr="008A4F40">
        <w:rPr>
          <w:color w:val="000000"/>
          <w:sz w:val="22"/>
          <w:szCs w:val="22"/>
        </w:rPr>
        <w:t>(</w:t>
      </w:r>
      <w:r w:rsidR="00540AAA" w:rsidRPr="008A4F40">
        <w:rPr>
          <w:color w:val="000000"/>
          <w:sz w:val="22"/>
          <w:szCs w:val="22"/>
        </w:rPr>
        <w:t>kann bis zu 1 von 1</w:t>
      </w:r>
      <w:ins w:id="907" w:author="Author">
        <w:r w:rsidR="00C85770">
          <w:rPr>
            <w:color w:val="000000"/>
            <w:sz w:val="22"/>
            <w:szCs w:val="22"/>
          </w:rPr>
          <w:t> </w:t>
        </w:r>
      </w:ins>
      <w:del w:id="908" w:author="Author">
        <w:r w:rsidR="00540AAA" w:rsidRPr="008A4F40" w:rsidDel="00C85770">
          <w:rPr>
            <w:color w:val="000000"/>
            <w:sz w:val="22"/>
            <w:szCs w:val="22"/>
          </w:rPr>
          <w:delText>.</w:delText>
        </w:r>
      </w:del>
      <w:r w:rsidR="00540AAA" w:rsidRPr="008A4F40">
        <w:rPr>
          <w:color w:val="000000"/>
          <w:sz w:val="22"/>
          <w:szCs w:val="22"/>
        </w:rPr>
        <w:t>000 Behandelten betreffen</w:t>
      </w:r>
      <w:r w:rsidRPr="008A4F40">
        <w:rPr>
          <w:color w:val="000000"/>
          <w:sz w:val="22"/>
          <w:szCs w:val="22"/>
        </w:rPr>
        <w:t>):</w:t>
      </w:r>
    </w:p>
    <w:p w14:paraId="60EF3DA4" w14:textId="77777777" w:rsidR="003A33A6" w:rsidRPr="008A4F40" w:rsidRDefault="003A33A6" w:rsidP="004E7659">
      <w:pPr>
        <w:numPr>
          <w:ilvl w:val="0"/>
          <w:numId w:val="5"/>
        </w:numPr>
        <w:tabs>
          <w:tab w:val="clear" w:pos="360"/>
        </w:tabs>
        <w:ind w:left="567" w:hanging="567"/>
        <w:rPr>
          <w:color w:val="000000"/>
          <w:sz w:val="22"/>
          <w:szCs w:val="22"/>
        </w:rPr>
      </w:pPr>
      <w:r w:rsidRPr="008A4F40">
        <w:rPr>
          <w:color w:val="000000"/>
          <w:sz w:val="22"/>
          <w:szCs w:val="22"/>
        </w:rPr>
        <w:t>Brustschmerzen, unregelmäßiger Herzschlag (Anzeichen von Herzbeschwerden).</w:t>
      </w:r>
    </w:p>
    <w:p w14:paraId="551C9C8F" w14:textId="77777777" w:rsidR="003A33A6" w:rsidRPr="008A4F40" w:rsidRDefault="003A33A6" w:rsidP="004E7659">
      <w:pPr>
        <w:numPr>
          <w:ilvl w:val="0"/>
          <w:numId w:val="5"/>
        </w:numPr>
        <w:tabs>
          <w:tab w:val="clear" w:pos="360"/>
        </w:tabs>
        <w:ind w:left="567" w:hanging="567"/>
        <w:rPr>
          <w:color w:val="000000"/>
          <w:sz w:val="22"/>
          <w:szCs w:val="22"/>
        </w:rPr>
      </w:pPr>
      <w:r w:rsidRPr="008A4F40">
        <w:rPr>
          <w:color w:val="000000"/>
          <w:sz w:val="22"/>
          <w:szCs w:val="22"/>
        </w:rPr>
        <w:t>Husten, schwieriges oder schmerzhaftes Atmen (Anzeichen von Lungenbeschwerden).</w:t>
      </w:r>
    </w:p>
    <w:p w14:paraId="45AF0DF0" w14:textId="77777777" w:rsidR="003A33A6" w:rsidRPr="008A4F40" w:rsidRDefault="003A33A6" w:rsidP="004E7659">
      <w:pPr>
        <w:numPr>
          <w:ilvl w:val="0"/>
          <w:numId w:val="5"/>
        </w:numPr>
        <w:tabs>
          <w:tab w:val="clear" w:pos="360"/>
        </w:tabs>
        <w:ind w:left="567" w:hanging="567"/>
        <w:rPr>
          <w:color w:val="000000"/>
          <w:sz w:val="22"/>
          <w:szCs w:val="22"/>
        </w:rPr>
      </w:pPr>
      <w:r w:rsidRPr="008A4F40">
        <w:rPr>
          <w:color w:val="000000"/>
          <w:sz w:val="22"/>
          <w:szCs w:val="22"/>
        </w:rPr>
        <w:t>Benommenheit, Schwindel oder Ohnmacht (Anzeichen von niedrigem Blutdruck).</w:t>
      </w:r>
    </w:p>
    <w:p w14:paraId="67B690EB" w14:textId="77777777" w:rsidR="003A33A6" w:rsidRPr="008A4F40" w:rsidRDefault="003A33A6" w:rsidP="004E7659">
      <w:pPr>
        <w:numPr>
          <w:ilvl w:val="0"/>
          <w:numId w:val="6"/>
        </w:numPr>
        <w:tabs>
          <w:tab w:val="clear" w:pos="360"/>
        </w:tabs>
        <w:ind w:left="567" w:hanging="567"/>
        <w:rPr>
          <w:color w:val="000000"/>
          <w:sz w:val="22"/>
          <w:szCs w:val="22"/>
        </w:rPr>
      </w:pPr>
      <w:r w:rsidRPr="008A4F40">
        <w:rPr>
          <w:color w:val="000000"/>
          <w:sz w:val="22"/>
          <w:szCs w:val="22"/>
        </w:rPr>
        <w:t>Übelkeit mit Appetitverlust, eine dunkle Färbung des Urins, Gelbfärbung der Haut oder Augen (Anzeichen von Leberproblemen).</w:t>
      </w:r>
    </w:p>
    <w:p w14:paraId="61E27451" w14:textId="77777777" w:rsidR="003A33A6" w:rsidRPr="008A4F40" w:rsidRDefault="003A33A6" w:rsidP="004E7659">
      <w:pPr>
        <w:numPr>
          <w:ilvl w:val="0"/>
          <w:numId w:val="7"/>
        </w:numPr>
        <w:tabs>
          <w:tab w:val="clear" w:pos="360"/>
        </w:tabs>
        <w:ind w:left="567" w:hanging="567"/>
        <w:rPr>
          <w:color w:val="000000"/>
          <w:sz w:val="22"/>
          <w:szCs w:val="22"/>
        </w:rPr>
      </w:pPr>
      <w:r w:rsidRPr="008A4F40">
        <w:rPr>
          <w:color w:val="000000"/>
          <w:sz w:val="22"/>
          <w:szCs w:val="22"/>
        </w:rPr>
        <w:t>Hautausschlag, Hautrötung mit Bläschen auf den Lippen, den Augen, der Haut oder im Mund, Abschälen der Haut, Fieber, rote oder purpurne Flecken auf der Haut, Juckreiz, brennendes Gefühl, Pustelbildung (Anzeichen von Hautproblemen).</w:t>
      </w:r>
    </w:p>
    <w:p w14:paraId="47952550"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Starke Bauchschmerzen, Blut in Erbrochenem, im Stuhl oder im Urin, schwarzer Stuhl (Anzeichen von Magen-Darm-Erkrankungen).</w:t>
      </w:r>
    </w:p>
    <w:p w14:paraId="3FC53864"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Stark verminderte Urinmenge, Durst (Anzeichen von Nierenbeschwerden).</w:t>
      </w:r>
    </w:p>
    <w:p w14:paraId="0C11355D"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Übelkeit mit Durchfall und Erbrechen, Bauchschmerzen oder Fieber (Anzeichen von Darmbeschwerden).</w:t>
      </w:r>
    </w:p>
    <w:p w14:paraId="0B38ECE2"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Schwere Kopfschmerzen, Erschlaffen oder Lähmung der Gliedmaßen oder des Gesichts, Schwierigkeiten beim Sprechen, plötzlicher Bewusstseinsverlust (Anzeichen von Beschwerden des Nervensystems wie beispielsweise Blutungen oder Schwellungen in Kopf und Gehirn).</w:t>
      </w:r>
    </w:p>
    <w:p w14:paraId="21E44124"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Blasse Haut, Müdigkeit, Kurzatmigkeit und Dunkelfärbung des Urins (Anzeichen einer erniedrigten Anzahl roter Blutkörperchen).</w:t>
      </w:r>
    </w:p>
    <w:p w14:paraId="4CA3CDE8"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Augenschmerzen oder Verschlechterung des Sehvermögens, Blutungen in den Augen.</w:t>
      </w:r>
    </w:p>
    <w:p w14:paraId="431F103A" w14:textId="1549BED4" w:rsidR="003A33A6" w:rsidRDefault="003A33A6" w:rsidP="004E7659">
      <w:pPr>
        <w:numPr>
          <w:ilvl w:val="0"/>
          <w:numId w:val="8"/>
        </w:numPr>
        <w:tabs>
          <w:tab w:val="clear" w:pos="360"/>
        </w:tabs>
        <w:ind w:left="567" w:hanging="567"/>
        <w:rPr>
          <w:color w:val="000000"/>
          <w:sz w:val="22"/>
          <w:szCs w:val="22"/>
        </w:rPr>
      </w:pPr>
      <w:r w:rsidRPr="008A4F40">
        <w:rPr>
          <w:color w:val="000000"/>
          <w:sz w:val="22"/>
          <w:szCs w:val="22"/>
        </w:rPr>
        <w:t xml:space="preserve">Schmerzen in </w:t>
      </w:r>
      <w:r w:rsidR="00AA0260">
        <w:rPr>
          <w:color w:val="000000"/>
          <w:sz w:val="22"/>
          <w:szCs w:val="22"/>
        </w:rPr>
        <w:t>Knochen oder Gelenken (Anzeichen von Osteonekrose)</w:t>
      </w:r>
      <w:r w:rsidRPr="008A4F40">
        <w:rPr>
          <w:color w:val="000000"/>
          <w:sz w:val="22"/>
          <w:szCs w:val="22"/>
        </w:rPr>
        <w:t>.</w:t>
      </w:r>
    </w:p>
    <w:p w14:paraId="002EAE40" w14:textId="52A6934A" w:rsidR="00AA0260" w:rsidRPr="008A4F40" w:rsidRDefault="00AA0260" w:rsidP="004E7659">
      <w:pPr>
        <w:numPr>
          <w:ilvl w:val="0"/>
          <w:numId w:val="8"/>
        </w:numPr>
        <w:tabs>
          <w:tab w:val="clear" w:pos="360"/>
        </w:tabs>
        <w:ind w:left="567" w:hanging="567"/>
        <w:rPr>
          <w:color w:val="000000"/>
          <w:sz w:val="22"/>
          <w:szCs w:val="22"/>
        </w:rPr>
      </w:pPr>
      <w:r w:rsidRPr="00F86BC4">
        <w:rPr>
          <w:color w:val="000000"/>
          <w:sz w:val="22"/>
          <w:szCs w:val="22"/>
        </w:rPr>
        <w:t>Blasen auf der Haut oder den Schleimhäuten (Anzeichen von Pemphigus).</w:t>
      </w:r>
    </w:p>
    <w:p w14:paraId="19BE5DD6"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Taube oder kalte Zehen und Finger (Anzeichen eines Raynaud-Syndroms).</w:t>
      </w:r>
    </w:p>
    <w:p w14:paraId="37228946"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Plötzliche Schwellung und Rötung der Haut (Anzeichen einer bakteriellen Zellgewebsentzündung).</w:t>
      </w:r>
    </w:p>
    <w:p w14:paraId="42F9148D"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Schwerhörigkeit.</w:t>
      </w:r>
    </w:p>
    <w:p w14:paraId="6896420F"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Erschlaffung der Muskulatur und Muskelkrämpfe mit einem anormalen Herzrhythmus (Anzeichen einer Änderung des Kaliumspiegels im Blut).</w:t>
      </w:r>
    </w:p>
    <w:p w14:paraId="6771154F"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Blaue Flecken.</w:t>
      </w:r>
    </w:p>
    <w:p w14:paraId="784B6C0F"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Magenschmerzen mit Übelkeit.</w:t>
      </w:r>
    </w:p>
    <w:p w14:paraId="007D7F07"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Muskelkrämpfe mit Fieber, rotbrauner Urin, Schmerzen oder Muskelschwäche (Anzeichen von Muskelbeschwerden).</w:t>
      </w:r>
    </w:p>
    <w:p w14:paraId="697EE185"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Schmerzen im Becken, manchmal zusammen mit Übelkeit und Erbrechen, mit unerwarteter Blutung aus der Scheide, Schwindel oder Ohnmacht wegen eines niedrigen Blutdruckes (Anzeichen für Eierstock- oder Unterleibsbeschwerden).</w:t>
      </w:r>
    </w:p>
    <w:p w14:paraId="439E8B13" w14:textId="77777777" w:rsidR="007F4F8D"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 xml:space="preserve">Übelkeit, Kurzatmigkeit, unregelmäßiger Herzschlag, trüber Urin, Müdigkeit und/oder Gelenkbeschwerden zusammen mit abnormalen Laborwerten (z. B. hohe Kalium-, Harnsäure- und </w:t>
      </w:r>
      <w:r w:rsidR="0046673B" w:rsidRPr="008A4F40">
        <w:rPr>
          <w:color w:val="000000"/>
          <w:sz w:val="22"/>
          <w:szCs w:val="22"/>
        </w:rPr>
        <w:t>Kalzium</w:t>
      </w:r>
      <w:r w:rsidRPr="008A4F40">
        <w:rPr>
          <w:color w:val="000000"/>
          <w:sz w:val="22"/>
          <w:szCs w:val="22"/>
        </w:rPr>
        <w:t xml:space="preserve">spiegel sowie niedrige </w:t>
      </w:r>
      <w:r w:rsidR="0046673B" w:rsidRPr="008A4F40">
        <w:rPr>
          <w:color w:val="000000"/>
          <w:sz w:val="22"/>
          <w:szCs w:val="22"/>
        </w:rPr>
        <w:t>Phosphat</w:t>
      </w:r>
      <w:r w:rsidRPr="008A4F40">
        <w:rPr>
          <w:color w:val="000000"/>
          <w:sz w:val="22"/>
          <w:szCs w:val="22"/>
        </w:rPr>
        <w:t>spiegel im Blut).</w:t>
      </w:r>
    </w:p>
    <w:p w14:paraId="344A4274" w14:textId="77777777" w:rsidR="003A33A6" w:rsidRPr="008A4F40" w:rsidRDefault="007F4F8D" w:rsidP="004E7659">
      <w:pPr>
        <w:numPr>
          <w:ilvl w:val="0"/>
          <w:numId w:val="8"/>
        </w:numPr>
        <w:tabs>
          <w:tab w:val="clear" w:pos="360"/>
        </w:tabs>
        <w:ind w:left="567" w:hanging="567"/>
        <w:rPr>
          <w:color w:val="000000"/>
          <w:sz w:val="22"/>
          <w:szCs w:val="22"/>
        </w:rPr>
      </w:pPr>
      <w:r w:rsidRPr="008A4F40">
        <w:rPr>
          <w:color w:val="000000"/>
          <w:sz w:val="22"/>
          <w:szCs w:val="22"/>
        </w:rPr>
        <w:t>Blutgerinnsel in kleinen Blutgefäßen (thrombotische Mikroangiopathie).</w:t>
      </w:r>
    </w:p>
    <w:p w14:paraId="1FE41ADC" w14:textId="77777777" w:rsidR="00040717" w:rsidRPr="008A4F40" w:rsidRDefault="00040717" w:rsidP="004E7659">
      <w:pPr>
        <w:rPr>
          <w:color w:val="000000"/>
          <w:sz w:val="22"/>
          <w:szCs w:val="22"/>
        </w:rPr>
      </w:pPr>
    </w:p>
    <w:p w14:paraId="0CE71EAD" w14:textId="77777777" w:rsidR="00040717" w:rsidRPr="008A4F40" w:rsidRDefault="00040717" w:rsidP="004E7659">
      <w:pPr>
        <w:keepNext/>
        <w:rPr>
          <w:color w:val="000000"/>
          <w:sz w:val="22"/>
          <w:szCs w:val="22"/>
        </w:rPr>
      </w:pPr>
      <w:r w:rsidRPr="008A4F40">
        <w:rPr>
          <w:b/>
          <w:color w:val="000000"/>
          <w:sz w:val="22"/>
          <w:szCs w:val="22"/>
        </w:rPr>
        <w:t>Nicht bekannt</w:t>
      </w:r>
      <w:r w:rsidR="0046673B" w:rsidRPr="008A4F40">
        <w:rPr>
          <w:b/>
          <w:color w:val="000000"/>
          <w:sz w:val="22"/>
          <w:szCs w:val="22"/>
        </w:rPr>
        <w:t xml:space="preserve"> </w:t>
      </w:r>
      <w:r w:rsidR="0046673B" w:rsidRPr="008A4F40">
        <w:rPr>
          <w:color w:val="000000"/>
          <w:sz w:val="22"/>
          <w:szCs w:val="22"/>
        </w:rPr>
        <w:t>(Häufigkeit auf Grundlage der verfügbaren Daten nicht abschätzbar)</w:t>
      </w:r>
      <w:r w:rsidRPr="008A4F40">
        <w:rPr>
          <w:color w:val="000000"/>
          <w:sz w:val="22"/>
          <w:szCs w:val="22"/>
        </w:rPr>
        <w:t>:</w:t>
      </w:r>
    </w:p>
    <w:p w14:paraId="19908188" w14:textId="77777777" w:rsidR="00B21B7B" w:rsidRPr="008A4F40" w:rsidRDefault="00B21B7B" w:rsidP="004E7659">
      <w:pPr>
        <w:keepNext/>
        <w:numPr>
          <w:ilvl w:val="0"/>
          <w:numId w:val="4"/>
        </w:numPr>
        <w:tabs>
          <w:tab w:val="clear" w:pos="360"/>
        </w:tabs>
        <w:ind w:left="567" w:hanging="567"/>
        <w:rPr>
          <w:color w:val="000000"/>
          <w:sz w:val="22"/>
          <w:szCs w:val="22"/>
        </w:rPr>
      </w:pPr>
      <w:r w:rsidRPr="008A4F40">
        <w:rPr>
          <w:color w:val="000000"/>
          <w:sz w:val="22"/>
          <w:szCs w:val="22"/>
        </w:rPr>
        <w:t>Kombination von ausgedehntem, schweren Hautausschlag, Krankheitsgefühl, Fieber, hohem Spiegel bestimmter weißer Blutkörperchen oder gelber Haut oder Augen (Anzeichen einer Gelbsucht) mit Atemlosigkeit, Brustschmerzen/Unbehagen, stark verminderter Harnmenge und Durstgefühl usw. (Anzeichen einer behandlungsbedingten allergischen Reaktion).</w:t>
      </w:r>
    </w:p>
    <w:p w14:paraId="57C5F81A" w14:textId="77777777" w:rsidR="00B21B7B" w:rsidRPr="008A4F40" w:rsidRDefault="00B21B7B" w:rsidP="004E7659">
      <w:pPr>
        <w:keepNext/>
        <w:numPr>
          <w:ilvl w:val="0"/>
          <w:numId w:val="4"/>
        </w:numPr>
        <w:tabs>
          <w:tab w:val="clear" w:pos="360"/>
        </w:tabs>
        <w:ind w:left="567" w:hanging="567"/>
        <w:rPr>
          <w:color w:val="000000"/>
          <w:sz w:val="22"/>
          <w:szCs w:val="22"/>
        </w:rPr>
      </w:pPr>
      <w:r w:rsidRPr="008A4F40">
        <w:rPr>
          <w:color w:val="000000"/>
          <w:sz w:val="22"/>
          <w:szCs w:val="22"/>
        </w:rPr>
        <w:t>Chronisches Nierenversagen.</w:t>
      </w:r>
    </w:p>
    <w:p w14:paraId="60CBD20A" w14:textId="77777777" w:rsidR="00B21B7B" w:rsidRPr="008A4F40" w:rsidRDefault="00B21B7B" w:rsidP="004E7659">
      <w:pPr>
        <w:keepNext/>
        <w:numPr>
          <w:ilvl w:val="0"/>
          <w:numId w:val="4"/>
        </w:numPr>
        <w:tabs>
          <w:tab w:val="clear" w:pos="360"/>
        </w:tabs>
        <w:ind w:left="567" w:hanging="567"/>
        <w:rPr>
          <w:color w:val="000000"/>
          <w:sz w:val="22"/>
          <w:szCs w:val="22"/>
        </w:rPr>
      </w:pPr>
      <w:r w:rsidRPr="008A4F40">
        <w:rPr>
          <w:color w:val="000000"/>
          <w:sz w:val="22"/>
          <w:szCs w:val="22"/>
        </w:rPr>
        <w:t>Erneutes Auftreten (Reaktivierung) einer Hepatitis-B-Infektion, wenn Sie in der Vergangenheit bereits Hepatitis B (eine Leberinfektion) hatten.</w:t>
      </w:r>
    </w:p>
    <w:p w14:paraId="0645A63F" w14:textId="77777777" w:rsidR="00040717" w:rsidRPr="008A4F40" w:rsidRDefault="00040717" w:rsidP="004E7659">
      <w:pPr>
        <w:keepNext/>
        <w:rPr>
          <w:color w:val="000000"/>
          <w:sz w:val="22"/>
          <w:szCs w:val="22"/>
        </w:rPr>
      </w:pPr>
    </w:p>
    <w:p w14:paraId="390785D8" w14:textId="77777777" w:rsidR="003A33A6" w:rsidRPr="008A4F40" w:rsidRDefault="003A33A6" w:rsidP="004E7659">
      <w:pPr>
        <w:rPr>
          <w:color w:val="000000"/>
          <w:sz w:val="22"/>
          <w:szCs w:val="22"/>
        </w:rPr>
      </w:pPr>
      <w:r w:rsidRPr="008A4F40">
        <w:rPr>
          <w:color w:val="000000"/>
          <w:sz w:val="22"/>
          <w:szCs w:val="22"/>
        </w:rPr>
        <w:t xml:space="preserve">Falls bei Ihnen eine der genannten Nebenwirkungen auftritt, </w:t>
      </w:r>
      <w:r w:rsidRPr="008A4F40">
        <w:rPr>
          <w:b/>
          <w:color w:val="000000"/>
          <w:sz w:val="22"/>
          <w:szCs w:val="22"/>
        </w:rPr>
        <w:t>informieren Sie unverzüglich Ihren Arzt.</w:t>
      </w:r>
    </w:p>
    <w:p w14:paraId="70A689D4" w14:textId="77777777" w:rsidR="003A33A6" w:rsidRPr="008A4F40" w:rsidRDefault="003A33A6" w:rsidP="004E7659">
      <w:pPr>
        <w:rPr>
          <w:color w:val="000000"/>
          <w:sz w:val="22"/>
          <w:szCs w:val="22"/>
        </w:rPr>
      </w:pPr>
    </w:p>
    <w:p w14:paraId="40028C77" w14:textId="77777777" w:rsidR="003A33A6" w:rsidRPr="008A4F40" w:rsidRDefault="003A33A6" w:rsidP="004E7659">
      <w:pPr>
        <w:keepNext/>
        <w:rPr>
          <w:b/>
          <w:color w:val="000000"/>
          <w:sz w:val="22"/>
          <w:szCs w:val="22"/>
        </w:rPr>
      </w:pPr>
      <w:r w:rsidRPr="008A4F40">
        <w:rPr>
          <w:b/>
          <w:color w:val="000000"/>
          <w:sz w:val="22"/>
          <w:szCs w:val="22"/>
        </w:rPr>
        <w:t>Andere Nebenwirkungen können umfassen:</w:t>
      </w:r>
    </w:p>
    <w:p w14:paraId="3CD39436" w14:textId="77777777" w:rsidR="003A33A6" w:rsidRPr="008A4F40" w:rsidRDefault="003A33A6" w:rsidP="004E7659">
      <w:pPr>
        <w:keepNext/>
        <w:rPr>
          <w:color w:val="000000"/>
          <w:sz w:val="22"/>
          <w:szCs w:val="22"/>
        </w:rPr>
      </w:pPr>
    </w:p>
    <w:p w14:paraId="1BE9B370" w14:textId="77777777" w:rsidR="003A33A6" w:rsidRPr="008A4F40" w:rsidRDefault="003A33A6" w:rsidP="004E7659">
      <w:pPr>
        <w:keepNext/>
        <w:rPr>
          <w:color w:val="000000"/>
          <w:sz w:val="22"/>
          <w:szCs w:val="22"/>
        </w:rPr>
      </w:pPr>
      <w:r w:rsidRPr="008A4F40">
        <w:rPr>
          <w:b/>
          <w:color w:val="000000"/>
          <w:sz w:val="22"/>
          <w:szCs w:val="22"/>
        </w:rPr>
        <w:t xml:space="preserve">Sehr häufig </w:t>
      </w:r>
      <w:r w:rsidRPr="008A4F40">
        <w:rPr>
          <w:color w:val="000000"/>
          <w:sz w:val="22"/>
          <w:szCs w:val="22"/>
        </w:rPr>
        <w:t>(</w:t>
      </w:r>
      <w:r w:rsidR="0003230A" w:rsidRPr="008A4F40">
        <w:rPr>
          <w:color w:val="000000"/>
          <w:sz w:val="22"/>
          <w:szCs w:val="22"/>
        </w:rPr>
        <w:t>kann mehr als 1 von 10 Behandelten betreffen</w:t>
      </w:r>
      <w:r w:rsidRPr="008A4F40">
        <w:rPr>
          <w:color w:val="000000"/>
          <w:sz w:val="22"/>
          <w:szCs w:val="22"/>
        </w:rPr>
        <w:t>):</w:t>
      </w:r>
    </w:p>
    <w:p w14:paraId="6F957EAA"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Kopfschmerzen oder Müdigkeit.</w:t>
      </w:r>
    </w:p>
    <w:p w14:paraId="55293BB0"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Übelkeit, Erbrechen, Durchfall oder Verdauungsstörungen.</w:t>
      </w:r>
    </w:p>
    <w:p w14:paraId="29E3B990"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Hautausschlag.</w:t>
      </w:r>
    </w:p>
    <w:p w14:paraId="20528F00"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Muskelkrämpfe oder Gelenk-, Muskel- oder Knochenschmerzen</w:t>
      </w:r>
      <w:r w:rsidR="00613598" w:rsidRPr="008A4F40">
        <w:rPr>
          <w:color w:val="000000"/>
          <w:sz w:val="22"/>
          <w:szCs w:val="22"/>
        </w:rPr>
        <w:t>, während der Behandlung mit Glivec oder nachdem Sie die Einnahme von Glivec beendet haben</w:t>
      </w:r>
      <w:r w:rsidRPr="008A4F40">
        <w:rPr>
          <w:color w:val="000000"/>
          <w:sz w:val="22"/>
          <w:szCs w:val="22"/>
        </w:rPr>
        <w:t>.</w:t>
      </w:r>
    </w:p>
    <w:p w14:paraId="1A44A3A2"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Schwellungen wie Gelenkschwellungen oder geschwollene Augen.</w:t>
      </w:r>
    </w:p>
    <w:p w14:paraId="56462CE8" w14:textId="77777777" w:rsidR="003A33A6" w:rsidRPr="008A4F40" w:rsidRDefault="003A33A6" w:rsidP="004E7659">
      <w:pPr>
        <w:keepLines/>
        <w:numPr>
          <w:ilvl w:val="0"/>
          <w:numId w:val="8"/>
        </w:numPr>
        <w:tabs>
          <w:tab w:val="clear" w:pos="360"/>
        </w:tabs>
        <w:ind w:left="567" w:hanging="567"/>
        <w:rPr>
          <w:color w:val="000000"/>
          <w:sz w:val="22"/>
          <w:szCs w:val="22"/>
        </w:rPr>
      </w:pPr>
      <w:r w:rsidRPr="008A4F40">
        <w:rPr>
          <w:color w:val="000000"/>
          <w:sz w:val="22"/>
          <w:szCs w:val="22"/>
        </w:rPr>
        <w:t>Gewichtszunahme.</w:t>
      </w:r>
    </w:p>
    <w:p w14:paraId="5D359CD1" w14:textId="739D1DCF" w:rsidR="003A33A6" w:rsidRPr="008A4F40" w:rsidRDefault="003A33A6" w:rsidP="004E7659">
      <w:pPr>
        <w:rPr>
          <w:b/>
          <w:color w:val="000000"/>
          <w:sz w:val="22"/>
          <w:szCs w:val="22"/>
        </w:rPr>
      </w:pPr>
      <w:r w:rsidRPr="008A4F40">
        <w:rPr>
          <w:color w:val="000000"/>
          <w:sz w:val="22"/>
          <w:szCs w:val="22"/>
        </w:rPr>
        <w:t xml:space="preserve">Wenn Sie eine dieser </w:t>
      </w:r>
      <w:r w:rsidR="002C2C5A">
        <w:rPr>
          <w:color w:val="000000"/>
          <w:sz w:val="22"/>
          <w:szCs w:val="22"/>
        </w:rPr>
        <w:t>Nebenwirkungen</w:t>
      </w:r>
      <w:r w:rsidR="002C2C5A" w:rsidRPr="008A4F40">
        <w:rPr>
          <w:color w:val="000000"/>
          <w:sz w:val="22"/>
          <w:szCs w:val="22"/>
        </w:rPr>
        <w:t xml:space="preserve"> </w:t>
      </w:r>
      <w:r w:rsidRPr="008A4F40">
        <w:rPr>
          <w:color w:val="000000"/>
          <w:sz w:val="22"/>
          <w:szCs w:val="22"/>
        </w:rPr>
        <w:t xml:space="preserve">in starkem Maße betrifft, </w:t>
      </w:r>
      <w:r w:rsidRPr="008A4F40">
        <w:rPr>
          <w:b/>
          <w:color w:val="000000"/>
          <w:sz w:val="22"/>
          <w:szCs w:val="22"/>
        </w:rPr>
        <w:t>informieren Sie Ihren Arzt.</w:t>
      </w:r>
    </w:p>
    <w:p w14:paraId="6CCDE447" w14:textId="77777777" w:rsidR="003A33A6" w:rsidRPr="008A4F40" w:rsidRDefault="003A33A6" w:rsidP="004E7659">
      <w:pPr>
        <w:rPr>
          <w:color w:val="000000"/>
          <w:sz w:val="22"/>
          <w:szCs w:val="22"/>
        </w:rPr>
      </w:pPr>
    </w:p>
    <w:p w14:paraId="31BB5647" w14:textId="77777777" w:rsidR="003A33A6" w:rsidRPr="008A4F40" w:rsidRDefault="003A33A6" w:rsidP="004E7659">
      <w:pPr>
        <w:keepNext/>
        <w:rPr>
          <w:i/>
          <w:color w:val="000000"/>
          <w:sz w:val="22"/>
          <w:szCs w:val="22"/>
        </w:rPr>
      </w:pPr>
      <w:r w:rsidRPr="008A4F40">
        <w:rPr>
          <w:b/>
          <w:color w:val="000000"/>
          <w:sz w:val="22"/>
          <w:szCs w:val="22"/>
        </w:rPr>
        <w:t xml:space="preserve">Häufig </w:t>
      </w:r>
      <w:r w:rsidRPr="008A4F40">
        <w:rPr>
          <w:color w:val="000000"/>
          <w:sz w:val="22"/>
          <w:szCs w:val="22"/>
        </w:rPr>
        <w:t>(</w:t>
      </w:r>
      <w:r w:rsidR="0003230A" w:rsidRPr="008A4F40">
        <w:rPr>
          <w:color w:val="000000"/>
          <w:sz w:val="22"/>
          <w:szCs w:val="22"/>
        </w:rPr>
        <w:t>kann bis zu 1 von 10 Behandelten betreffen</w:t>
      </w:r>
      <w:r w:rsidRPr="008A4F40">
        <w:rPr>
          <w:color w:val="000000"/>
          <w:sz w:val="22"/>
          <w:szCs w:val="22"/>
        </w:rPr>
        <w:t>):</w:t>
      </w:r>
    </w:p>
    <w:p w14:paraId="7AE9BD94" w14:textId="77777777" w:rsidR="003A33A6" w:rsidRPr="008A4F40" w:rsidRDefault="003A33A6" w:rsidP="004E7659">
      <w:pPr>
        <w:keepNext/>
        <w:numPr>
          <w:ilvl w:val="0"/>
          <w:numId w:val="8"/>
        </w:numPr>
        <w:tabs>
          <w:tab w:val="clear" w:pos="360"/>
        </w:tabs>
        <w:ind w:left="567" w:hanging="567"/>
        <w:rPr>
          <w:color w:val="000000"/>
          <w:sz w:val="22"/>
          <w:szCs w:val="22"/>
        </w:rPr>
      </w:pPr>
      <w:r w:rsidRPr="008A4F40">
        <w:rPr>
          <w:color w:val="000000"/>
          <w:sz w:val="22"/>
          <w:szCs w:val="22"/>
        </w:rPr>
        <w:t>Appetitverlust, Gewichtsverlust oder Geschmacks</w:t>
      </w:r>
      <w:r w:rsidRPr="008A4F40">
        <w:rPr>
          <w:color w:val="000000"/>
          <w:sz w:val="22"/>
          <w:szCs w:val="22"/>
        </w:rPr>
        <w:softHyphen/>
        <w:t>störungen.</w:t>
      </w:r>
    </w:p>
    <w:p w14:paraId="741AC428" w14:textId="77777777" w:rsidR="003A33A6" w:rsidRPr="008A4F40" w:rsidRDefault="003A33A6" w:rsidP="004E7659">
      <w:pPr>
        <w:keepNext/>
        <w:numPr>
          <w:ilvl w:val="0"/>
          <w:numId w:val="8"/>
        </w:numPr>
        <w:tabs>
          <w:tab w:val="clear" w:pos="360"/>
        </w:tabs>
        <w:ind w:left="567" w:hanging="567"/>
        <w:rPr>
          <w:color w:val="000000"/>
          <w:sz w:val="22"/>
          <w:szCs w:val="22"/>
        </w:rPr>
      </w:pPr>
      <w:r w:rsidRPr="008A4F40">
        <w:rPr>
          <w:color w:val="000000"/>
          <w:sz w:val="22"/>
          <w:szCs w:val="22"/>
        </w:rPr>
        <w:t>Schwindel oder Schwächegefühl.</w:t>
      </w:r>
    </w:p>
    <w:p w14:paraId="41E43A3A"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Schlaflosigkeit.</w:t>
      </w:r>
    </w:p>
    <w:p w14:paraId="6B9A9B1C"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Augenirritationen mit Juckreiz, Rötung und Schwellung (Bindehautentzündung), vermehrter Tränenfluss oder verschwommenes Sehen.</w:t>
      </w:r>
    </w:p>
    <w:p w14:paraId="253D6B6C"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Nasenbluten.</w:t>
      </w:r>
    </w:p>
    <w:p w14:paraId="404ED797"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Bauchschmerzen oder Bläh</w:t>
      </w:r>
      <w:r w:rsidRPr="008A4F40">
        <w:rPr>
          <w:color w:val="000000"/>
          <w:sz w:val="22"/>
          <w:szCs w:val="22"/>
        </w:rPr>
        <w:softHyphen/>
        <w:t>bauch, Blähungen, Sodbrennen oder Verstopfung.</w:t>
      </w:r>
    </w:p>
    <w:p w14:paraId="2BB18F07"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Jucken.</w:t>
      </w:r>
    </w:p>
    <w:p w14:paraId="55C8CAD8"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Ungewöhnlicher Haarverlust oder Ausdünnen der Haare.</w:t>
      </w:r>
    </w:p>
    <w:p w14:paraId="131AAF5E"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Taubheit an Händen und Füßen.</w:t>
      </w:r>
    </w:p>
    <w:p w14:paraId="01C65609"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Entzündungen im Mund.</w:t>
      </w:r>
    </w:p>
    <w:p w14:paraId="30DF432E"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Gelenkschwellungen und Gelenkschmerzen.</w:t>
      </w:r>
    </w:p>
    <w:p w14:paraId="00210021"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Mundtrockenheit, trockene Haut oder trockene Augen.</w:t>
      </w:r>
    </w:p>
    <w:p w14:paraId="0D0E8FE3" w14:textId="77777777" w:rsidR="003A33A6" w:rsidRPr="008A4F40" w:rsidRDefault="003A33A6" w:rsidP="004E7659">
      <w:pPr>
        <w:numPr>
          <w:ilvl w:val="0"/>
          <w:numId w:val="8"/>
        </w:numPr>
        <w:tabs>
          <w:tab w:val="clear" w:pos="360"/>
        </w:tabs>
        <w:ind w:left="567" w:hanging="567"/>
        <w:rPr>
          <w:color w:val="000000"/>
          <w:sz w:val="22"/>
          <w:szCs w:val="22"/>
        </w:rPr>
      </w:pPr>
      <w:r w:rsidRPr="008A4F40">
        <w:rPr>
          <w:color w:val="000000"/>
          <w:sz w:val="22"/>
          <w:szCs w:val="22"/>
        </w:rPr>
        <w:t>Verminderte oder erhöhte Hautempfindlichkeit.</w:t>
      </w:r>
    </w:p>
    <w:p w14:paraId="02B2BD27" w14:textId="77777777" w:rsidR="003A33A6" w:rsidRPr="008A4F40" w:rsidRDefault="003A33A6" w:rsidP="004E7659">
      <w:pPr>
        <w:keepNext/>
        <w:numPr>
          <w:ilvl w:val="0"/>
          <w:numId w:val="8"/>
        </w:numPr>
        <w:tabs>
          <w:tab w:val="clear" w:pos="360"/>
        </w:tabs>
        <w:ind w:left="567" w:hanging="567"/>
        <w:rPr>
          <w:color w:val="000000"/>
          <w:sz w:val="22"/>
          <w:szCs w:val="22"/>
        </w:rPr>
      </w:pPr>
      <w:r w:rsidRPr="008A4F40">
        <w:rPr>
          <w:color w:val="000000"/>
          <w:sz w:val="22"/>
          <w:szCs w:val="22"/>
        </w:rPr>
        <w:t>Hitzewallungen, Schüttelfrost oder Nachtschweiß.</w:t>
      </w:r>
    </w:p>
    <w:p w14:paraId="1E0F402D" w14:textId="6A7A58B7" w:rsidR="003A33A6" w:rsidRPr="008A4F40" w:rsidRDefault="003A33A6" w:rsidP="004E7659">
      <w:pPr>
        <w:rPr>
          <w:b/>
          <w:color w:val="000000"/>
          <w:sz w:val="22"/>
          <w:szCs w:val="22"/>
        </w:rPr>
      </w:pPr>
      <w:r w:rsidRPr="008A4F40">
        <w:rPr>
          <w:color w:val="000000"/>
          <w:sz w:val="22"/>
          <w:szCs w:val="22"/>
        </w:rPr>
        <w:t xml:space="preserve">Wenn Sie eine dieser </w:t>
      </w:r>
      <w:r w:rsidR="002C2C5A">
        <w:rPr>
          <w:color w:val="000000"/>
          <w:sz w:val="22"/>
          <w:szCs w:val="22"/>
        </w:rPr>
        <w:t>Nebenwirkungen</w:t>
      </w:r>
      <w:r w:rsidR="002C2C5A" w:rsidRPr="008A4F40">
        <w:rPr>
          <w:color w:val="000000"/>
          <w:sz w:val="22"/>
          <w:szCs w:val="22"/>
        </w:rPr>
        <w:t xml:space="preserve"> </w:t>
      </w:r>
      <w:r w:rsidRPr="008A4F40">
        <w:rPr>
          <w:color w:val="000000"/>
          <w:sz w:val="22"/>
          <w:szCs w:val="22"/>
        </w:rPr>
        <w:t xml:space="preserve">in starkem Maße betrifft, </w:t>
      </w:r>
      <w:r w:rsidRPr="008A4F40">
        <w:rPr>
          <w:b/>
          <w:color w:val="000000"/>
          <w:sz w:val="22"/>
          <w:szCs w:val="22"/>
        </w:rPr>
        <w:t>informieren Sie Ihren Arzt.</w:t>
      </w:r>
    </w:p>
    <w:p w14:paraId="3DE9A72F" w14:textId="77777777" w:rsidR="00E349F7" w:rsidRDefault="00E349F7" w:rsidP="004E7659">
      <w:pPr>
        <w:rPr>
          <w:color w:val="000000"/>
          <w:sz w:val="22"/>
          <w:szCs w:val="22"/>
        </w:rPr>
      </w:pPr>
    </w:p>
    <w:p w14:paraId="47BF81D4" w14:textId="77777777" w:rsidR="00E349F7" w:rsidRDefault="00E349F7" w:rsidP="004E7659">
      <w:pPr>
        <w:keepNext/>
        <w:rPr>
          <w:color w:val="000000"/>
          <w:sz w:val="22"/>
          <w:szCs w:val="22"/>
        </w:rPr>
      </w:pPr>
      <w:r w:rsidRPr="008A4F40">
        <w:rPr>
          <w:b/>
          <w:color w:val="000000"/>
          <w:sz w:val="22"/>
          <w:szCs w:val="22"/>
        </w:rPr>
        <w:t xml:space="preserve">Gelegentlich </w:t>
      </w:r>
      <w:r w:rsidRPr="008A4F40">
        <w:rPr>
          <w:color w:val="000000"/>
          <w:sz w:val="22"/>
          <w:szCs w:val="22"/>
        </w:rPr>
        <w:t>(kann bis zu 1 von 100 Behandelten betreffen):</w:t>
      </w:r>
    </w:p>
    <w:p w14:paraId="6D8A3CBA" w14:textId="77777777" w:rsidR="00094116" w:rsidRPr="008A4F40" w:rsidRDefault="00094116" w:rsidP="004E7659">
      <w:pPr>
        <w:keepNext/>
        <w:numPr>
          <w:ilvl w:val="0"/>
          <w:numId w:val="8"/>
        </w:numPr>
        <w:tabs>
          <w:tab w:val="clear" w:pos="360"/>
        </w:tabs>
        <w:ind w:left="567" w:hanging="567"/>
        <w:rPr>
          <w:color w:val="000000"/>
          <w:sz w:val="22"/>
          <w:szCs w:val="22"/>
        </w:rPr>
      </w:pPr>
      <w:r w:rsidRPr="00C3680D">
        <w:rPr>
          <w:color w:val="000000"/>
          <w:sz w:val="22"/>
          <w:szCs w:val="22"/>
        </w:rPr>
        <w:t>Schmerzhafte rote Knoten auf der Haut, Hautschmerzen, Hautrötung (Entzündung des Fettgewebes unter der Haut</w:t>
      </w:r>
      <w:r>
        <w:rPr>
          <w:color w:val="000000"/>
          <w:sz w:val="22"/>
          <w:szCs w:val="22"/>
        </w:rPr>
        <w:t>)</w:t>
      </w:r>
      <w:r w:rsidRPr="008A4F40">
        <w:rPr>
          <w:color w:val="000000"/>
          <w:sz w:val="22"/>
          <w:szCs w:val="22"/>
        </w:rPr>
        <w:t>.</w:t>
      </w:r>
    </w:p>
    <w:p w14:paraId="18E46DFF" w14:textId="028DE21F"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 xml:space="preserve">Husten, laufende oder verstopfte Nase, </w:t>
      </w:r>
      <w:r>
        <w:rPr>
          <w:color w:val="000000"/>
          <w:sz w:val="22"/>
          <w:szCs w:val="22"/>
        </w:rPr>
        <w:t>Druck</w:t>
      </w:r>
      <w:r w:rsidRPr="00F86BC4">
        <w:rPr>
          <w:color w:val="000000"/>
          <w:sz w:val="22"/>
          <w:szCs w:val="22"/>
        </w:rPr>
        <w:t>gefühl oder Schmerzen beim Drücken des Bereichs über den Augen oder an den Seiten der Nase, Nase</w:t>
      </w:r>
      <w:r w:rsidR="007A6586">
        <w:rPr>
          <w:color w:val="000000"/>
          <w:sz w:val="22"/>
          <w:szCs w:val="22"/>
        </w:rPr>
        <w:t>nverstopfung</w:t>
      </w:r>
      <w:r w:rsidRPr="00F86BC4">
        <w:rPr>
          <w:color w:val="000000"/>
          <w:sz w:val="22"/>
          <w:szCs w:val="22"/>
        </w:rPr>
        <w:t>, Niesen, Halsschmerzen, mit oder ohne Kopfschmerzen (Anzeichen einer Infektion der oberen Atemwege).</w:t>
      </w:r>
    </w:p>
    <w:p w14:paraId="0E5C8A29"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Starke Kopfschmerzen, die als pochende oder pulsierende Schmerzen empfunden werden, in der Regel auf einer Seite des Kopfes und oft begleitet vo</w:t>
      </w:r>
      <w:r>
        <w:rPr>
          <w:color w:val="000000"/>
          <w:sz w:val="22"/>
          <w:szCs w:val="22"/>
        </w:rPr>
        <w:t>n Übelkeit, Erbrechen und Licht</w:t>
      </w:r>
      <w:r>
        <w:rPr>
          <w:color w:val="000000"/>
          <w:sz w:val="22"/>
          <w:szCs w:val="22"/>
        </w:rPr>
        <w:noBreakHyphen/>
      </w:r>
      <w:r w:rsidRPr="00F86BC4">
        <w:rPr>
          <w:color w:val="000000"/>
          <w:sz w:val="22"/>
          <w:szCs w:val="22"/>
        </w:rPr>
        <w:t xml:space="preserve"> oder Geräuschempfindlichkeit (Anzeichen einer Migräne).</w:t>
      </w:r>
    </w:p>
    <w:p w14:paraId="0F2CF50E" w14:textId="77777777" w:rsidR="00E349F7" w:rsidRPr="00F86BC4" w:rsidRDefault="00E349F7" w:rsidP="004E7659">
      <w:pPr>
        <w:numPr>
          <w:ilvl w:val="0"/>
          <w:numId w:val="8"/>
        </w:numPr>
        <w:tabs>
          <w:tab w:val="clear" w:pos="360"/>
        </w:tabs>
        <w:ind w:left="567" w:hanging="567"/>
        <w:rPr>
          <w:color w:val="000000"/>
          <w:sz w:val="22"/>
          <w:szCs w:val="22"/>
        </w:rPr>
      </w:pPr>
      <w:r>
        <w:rPr>
          <w:color w:val="000000"/>
          <w:sz w:val="22"/>
          <w:szCs w:val="22"/>
        </w:rPr>
        <w:t>Grippale</w:t>
      </w:r>
      <w:r w:rsidRPr="00F86BC4">
        <w:rPr>
          <w:color w:val="000000"/>
          <w:sz w:val="22"/>
          <w:szCs w:val="22"/>
        </w:rPr>
        <w:t xml:space="preserve"> Symptome (Influenza).</w:t>
      </w:r>
    </w:p>
    <w:p w14:paraId="4AC1C95E"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Schmerzen oder Brennen beim Wasserlassen, erhöhte Körpertempe</w:t>
      </w:r>
      <w:r>
        <w:rPr>
          <w:color w:val="000000"/>
          <w:sz w:val="22"/>
          <w:szCs w:val="22"/>
        </w:rPr>
        <w:t>ratur, Schmerzen in der Leisten</w:t>
      </w:r>
      <w:r>
        <w:rPr>
          <w:color w:val="000000"/>
          <w:sz w:val="22"/>
          <w:szCs w:val="22"/>
        </w:rPr>
        <w:noBreakHyphen/>
        <w:t xml:space="preserve"> oder Beckengegend, rot</w:t>
      </w:r>
      <w:r>
        <w:rPr>
          <w:color w:val="000000"/>
          <w:sz w:val="22"/>
          <w:szCs w:val="22"/>
        </w:rPr>
        <w:noBreakHyphen/>
      </w:r>
      <w:r w:rsidRPr="00F86BC4">
        <w:rPr>
          <w:color w:val="000000"/>
          <w:sz w:val="22"/>
          <w:szCs w:val="22"/>
        </w:rPr>
        <w:t xml:space="preserve"> oder braungefärbter oder trüber Urin (Anzeichen einer Harnwegsinfektion).</w:t>
      </w:r>
    </w:p>
    <w:p w14:paraId="0756E63B"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Schmerzen und Schwellungen in den Gelenken (Anzeichen von Arthralgie).</w:t>
      </w:r>
    </w:p>
    <w:p w14:paraId="2BCB1910"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Ein ständiges</w:t>
      </w:r>
      <w:r>
        <w:rPr>
          <w:color w:val="000000"/>
          <w:sz w:val="22"/>
          <w:szCs w:val="22"/>
        </w:rPr>
        <w:t xml:space="preserve"> Gefühl der </w:t>
      </w:r>
      <w:r w:rsidRPr="009F4B4A">
        <w:rPr>
          <w:color w:val="000000"/>
          <w:sz w:val="22"/>
          <w:szCs w:val="22"/>
        </w:rPr>
        <w:t>Niedergeschlagenheit</w:t>
      </w:r>
      <w:r>
        <w:rPr>
          <w:color w:val="000000"/>
          <w:sz w:val="22"/>
          <w:szCs w:val="22"/>
        </w:rPr>
        <w:t xml:space="preserve"> und Interessenlosigkeit, das</w:t>
      </w:r>
      <w:r w:rsidRPr="00F86BC4">
        <w:rPr>
          <w:color w:val="000000"/>
          <w:sz w:val="22"/>
          <w:szCs w:val="22"/>
        </w:rPr>
        <w:t xml:space="preserve"> Sie daran hinde</w:t>
      </w:r>
      <w:r>
        <w:rPr>
          <w:color w:val="000000"/>
          <w:sz w:val="22"/>
          <w:szCs w:val="22"/>
        </w:rPr>
        <w:t>rt</w:t>
      </w:r>
      <w:r w:rsidRPr="00F86BC4">
        <w:rPr>
          <w:color w:val="000000"/>
          <w:sz w:val="22"/>
          <w:szCs w:val="22"/>
        </w:rPr>
        <w:t>, Ihren normalen Aktivitäten nachzugehen (Anzeichen einer Depression).</w:t>
      </w:r>
    </w:p>
    <w:p w14:paraId="298D340F"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Ein Gefühl der Beunruhigung und Sorge zusammen mit körperlichen Symptomen wie Herzklopfen, Schwitzen, Zittern, Mundtrockenheit (Anzeichen von Angstzuständen).</w:t>
      </w:r>
    </w:p>
    <w:p w14:paraId="2912F499"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Schläfrigkeit/</w:t>
      </w:r>
      <w:r>
        <w:rPr>
          <w:color w:val="000000"/>
          <w:sz w:val="22"/>
          <w:szCs w:val="22"/>
        </w:rPr>
        <w:t>Benommenheit</w:t>
      </w:r>
      <w:r w:rsidRPr="00F86BC4">
        <w:rPr>
          <w:color w:val="000000"/>
          <w:sz w:val="22"/>
          <w:szCs w:val="22"/>
        </w:rPr>
        <w:t>/übermäßiger Schlaf.</w:t>
      </w:r>
    </w:p>
    <w:p w14:paraId="573E608E"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 xml:space="preserve">Zitternde oder </w:t>
      </w:r>
      <w:r>
        <w:rPr>
          <w:color w:val="000000"/>
          <w:sz w:val="22"/>
          <w:szCs w:val="22"/>
        </w:rPr>
        <w:t>wackelige</w:t>
      </w:r>
      <w:r w:rsidRPr="00F86BC4">
        <w:rPr>
          <w:color w:val="000000"/>
          <w:sz w:val="22"/>
          <w:szCs w:val="22"/>
        </w:rPr>
        <w:t xml:space="preserve"> Bewegungen (Tremor).</w:t>
      </w:r>
    </w:p>
    <w:p w14:paraId="0F0B12A9" w14:textId="77777777" w:rsidR="00E349F7" w:rsidRPr="00F86BC4" w:rsidRDefault="00E349F7" w:rsidP="004E7659">
      <w:pPr>
        <w:numPr>
          <w:ilvl w:val="0"/>
          <w:numId w:val="8"/>
        </w:numPr>
        <w:tabs>
          <w:tab w:val="clear" w:pos="360"/>
        </w:tabs>
        <w:ind w:left="567" w:hanging="567"/>
        <w:rPr>
          <w:color w:val="000000"/>
          <w:sz w:val="22"/>
          <w:szCs w:val="22"/>
        </w:rPr>
      </w:pPr>
      <w:r>
        <w:rPr>
          <w:color w:val="000000"/>
          <w:sz w:val="22"/>
          <w:szCs w:val="22"/>
        </w:rPr>
        <w:t>Gedächtnisschwäche</w:t>
      </w:r>
      <w:r w:rsidRPr="00F86BC4">
        <w:rPr>
          <w:color w:val="000000"/>
          <w:sz w:val="22"/>
          <w:szCs w:val="22"/>
        </w:rPr>
        <w:t>.</w:t>
      </w:r>
    </w:p>
    <w:p w14:paraId="36D7A687"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Überwältigender Drang, die Beine zu bewegen (Restless-Leg</w:t>
      </w:r>
      <w:r>
        <w:rPr>
          <w:color w:val="000000"/>
          <w:sz w:val="22"/>
          <w:szCs w:val="22"/>
        </w:rPr>
        <w:t>s</w:t>
      </w:r>
      <w:r w:rsidRPr="00F86BC4">
        <w:rPr>
          <w:color w:val="000000"/>
          <w:sz w:val="22"/>
          <w:szCs w:val="22"/>
        </w:rPr>
        <w:t>-Syndrom).</w:t>
      </w:r>
    </w:p>
    <w:p w14:paraId="0A1C4750" w14:textId="0CD78A6A" w:rsidR="00E349F7" w:rsidRPr="00F86BC4" w:rsidRDefault="00E349F7" w:rsidP="004E7659">
      <w:pPr>
        <w:numPr>
          <w:ilvl w:val="0"/>
          <w:numId w:val="8"/>
        </w:numPr>
        <w:tabs>
          <w:tab w:val="clear" w:pos="360"/>
        </w:tabs>
        <w:ind w:left="567" w:hanging="567"/>
        <w:rPr>
          <w:color w:val="000000"/>
          <w:sz w:val="22"/>
          <w:szCs w:val="22"/>
        </w:rPr>
      </w:pPr>
      <w:r>
        <w:rPr>
          <w:color w:val="000000"/>
          <w:sz w:val="22"/>
          <w:szCs w:val="22"/>
        </w:rPr>
        <w:t>Hören von Geräuschen (z. </w:t>
      </w:r>
      <w:r w:rsidR="007A6586">
        <w:rPr>
          <w:color w:val="000000"/>
          <w:sz w:val="22"/>
          <w:szCs w:val="22"/>
        </w:rPr>
        <w:t>B. Klingeln, S</w:t>
      </w:r>
      <w:r w:rsidRPr="00F86BC4">
        <w:rPr>
          <w:color w:val="000000"/>
          <w:sz w:val="22"/>
          <w:szCs w:val="22"/>
        </w:rPr>
        <w:t>ummen) in den Ohren, die keine äußere Quelle haben (Tinnitus).</w:t>
      </w:r>
    </w:p>
    <w:p w14:paraId="79E8795D"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Hoher Blutdruck (Hypertonie).</w:t>
      </w:r>
    </w:p>
    <w:p w14:paraId="6684D28E"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Aufstoßen/</w:t>
      </w:r>
      <w:r>
        <w:rPr>
          <w:color w:val="000000"/>
          <w:sz w:val="22"/>
          <w:szCs w:val="22"/>
        </w:rPr>
        <w:t>Rülpsen</w:t>
      </w:r>
      <w:r w:rsidRPr="00F86BC4">
        <w:rPr>
          <w:color w:val="000000"/>
          <w:sz w:val="22"/>
          <w:szCs w:val="22"/>
        </w:rPr>
        <w:t>.</w:t>
      </w:r>
    </w:p>
    <w:p w14:paraId="108E6F79" w14:textId="345D8391" w:rsidR="00E349F7" w:rsidRPr="00F86BC4" w:rsidRDefault="007A6586" w:rsidP="004E7659">
      <w:pPr>
        <w:numPr>
          <w:ilvl w:val="0"/>
          <w:numId w:val="8"/>
        </w:numPr>
        <w:tabs>
          <w:tab w:val="clear" w:pos="360"/>
        </w:tabs>
        <w:ind w:left="567" w:hanging="567"/>
        <w:rPr>
          <w:color w:val="000000"/>
          <w:sz w:val="22"/>
          <w:szCs w:val="22"/>
        </w:rPr>
      </w:pPr>
      <w:r>
        <w:rPr>
          <w:color w:val="000000"/>
          <w:sz w:val="22"/>
          <w:szCs w:val="22"/>
        </w:rPr>
        <w:t>Entzündung</w:t>
      </w:r>
      <w:r w:rsidR="00E349F7" w:rsidRPr="00F86BC4">
        <w:rPr>
          <w:color w:val="000000"/>
          <w:sz w:val="22"/>
          <w:szCs w:val="22"/>
        </w:rPr>
        <w:t xml:space="preserve"> der Lippen.</w:t>
      </w:r>
    </w:p>
    <w:p w14:paraId="43573F49"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Schwierigkeiten beim Schlucken.</w:t>
      </w:r>
    </w:p>
    <w:p w14:paraId="0523B48E"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Vermehrtes Schwitzen.</w:t>
      </w:r>
    </w:p>
    <w:p w14:paraId="45D267AE"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Verfärbung der Haut.</w:t>
      </w:r>
    </w:p>
    <w:p w14:paraId="33E04B9D"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Brüchige Nägel.</w:t>
      </w:r>
    </w:p>
    <w:p w14:paraId="3EC191DD"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 xml:space="preserve">Rote </w:t>
      </w:r>
      <w:r>
        <w:rPr>
          <w:color w:val="000000"/>
          <w:sz w:val="22"/>
          <w:szCs w:val="22"/>
        </w:rPr>
        <w:t>Knötchen oder weiße</w:t>
      </w:r>
      <w:r w:rsidRPr="00F86BC4">
        <w:rPr>
          <w:color w:val="000000"/>
          <w:sz w:val="22"/>
          <w:szCs w:val="22"/>
        </w:rPr>
        <w:t xml:space="preserve"> Pickel um die Haarwurzeln, möglicherweise mit Schmerzen, Juckreiz oder Brennen (Anzeichen einer Entzündung der Haarfollikel, auch Follikulitis genannt).</w:t>
      </w:r>
    </w:p>
    <w:p w14:paraId="23059E3C"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 xml:space="preserve">Hautausschlag mit Schuppenbildung oder Schälen </w:t>
      </w:r>
      <w:r>
        <w:rPr>
          <w:color w:val="000000"/>
          <w:sz w:val="22"/>
          <w:szCs w:val="22"/>
        </w:rPr>
        <w:t xml:space="preserve">der Haut </w:t>
      </w:r>
      <w:r w:rsidRPr="00F86BC4">
        <w:rPr>
          <w:color w:val="000000"/>
          <w:sz w:val="22"/>
          <w:szCs w:val="22"/>
        </w:rPr>
        <w:t>(exfoliative Dermatitis).</w:t>
      </w:r>
    </w:p>
    <w:p w14:paraId="29941A32"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Brustvergrößerung (kann bei Männern und Frauen auftreten).</w:t>
      </w:r>
    </w:p>
    <w:p w14:paraId="31BDC50F"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D</w:t>
      </w:r>
      <w:r>
        <w:rPr>
          <w:color w:val="000000"/>
          <w:sz w:val="22"/>
          <w:szCs w:val="22"/>
        </w:rPr>
        <w:t>umpfe Schmerzen und/oder Druck</w:t>
      </w:r>
      <w:r w:rsidRPr="00F86BC4">
        <w:rPr>
          <w:color w:val="000000"/>
          <w:sz w:val="22"/>
          <w:szCs w:val="22"/>
        </w:rPr>
        <w:t>gefühl in den Hoden oder im Unterbauch, Schmerzen beim Wasserlassen, beim Geschlechtsverkehr oder beim Samenerguss, Blut im Urin (Anzeichen eines Hodenödems).</w:t>
      </w:r>
    </w:p>
    <w:p w14:paraId="583DA292"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Unfähigkeit, eine Erektion zu bekommen oder zu halten (erektile Dysfunktion).</w:t>
      </w:r>
    </w:p>
    <w:p w14:paraId="4F9297E0"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Starke oder unregelmäßige Menstruationsblutungen.</w:t>
      </w:r>
    </w:p>
    <w:p w14:paraId="45D9483D"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Schwierigkeiten, sexuelle Erregung zu erreichen/aufrechtzuerhalten.</w:t>
      </w:r>
    </w:p>
    <w:p w14:paraId="3BB51A29"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Vermindertes sexuelles Verlangen.</w:t>
      </w:r>
    </w:p>
    <w:p w14:paraId="2DB9741B" w14:textId="77777777" w:rsidR="00E349F7" w:rsidRPr="00F86BC4" w:rsidRDefault="00E349F7" w:rsidP="004E7659">
      <w:pPr>
        <w:numPr>
          <w:ilvl w:val="0"/>
          <w:numId w:val="8"/>
        </w:numPr>
        <w:tabs>
          <w:tab w:val="clear" w:pos="360"/>
        </w:tabs>
        <w:ind w:left="567" w:hanging="567"/>
        <w:rPr>
          <w:color w:val="000000"/>
          <w:sz w:val="22"/>
          <w:szCs w:val="22"/>
        </w:rPr>
      </w:pPr>
      <w:r>
        <w:rPr>
          <w:color w:val="000000"/>
          <w:sz w:val="22"/>
          <w:szCs w:val="22"/>
        </w:rPr>
        <w:t>Schmerzen der</w:t>
      </w:r>
      <w:r w:rsidRPr="00F86BC4">
        <w:rPr>
          <w:color w:val="000000"/>
          <w:sz w:val="22"/>
          <w:szCs w:val="22"/>
        </w:rPr>
        <w:t xml:space="preserve"> Brustwarzen.</w:t>
      </w:r>
    </w:p>
    <w:p w14:paraId="3EA80826" w14:textId="77777777" w:rsidR="00E349F7" w:rsidRPr="00F86BC4" w:rsidRDefault="00E349F7" w:rsidP="004E7659">
      <w:pPr>
        <w:numPr>
          <w:ilvl w:val="0"/>
          <w:numId w:val="8"/>
        </w:numPr>
        <w:tabs>
          <w:tab w:val="clear" w:pos="360"/>
        </w:tabs>
        <w:ind w:left="567" w:hanging="567"/>
        <w:rPr>
          <w:color w:val="000000"/>
          <w:sz w:val="22"/>
          <w:szCs w:val="22"/>
        </w:rPr>
      </w:pPr>
      <w:r w:rsidRPr="00B208A3">
        <w:rPr>
          <w:color w:val="000000"/>
          <w:sz w:val="22"/>
          <w:szCs w:val="22"/>
        </w:rPr>
        <w:t>Allgemeines Krankheitsgefühl (Malaise</w:t>
      </w:r>
      <w:r w:rsidRPr="00F86BC4">
        <w:rPr>
          <w:color w:val="000000"/>
          <w:sz w:val="22"/>
          <w:szCs w:val="22"/>
        </w:rPr>
        <w:t>).</w:t>
      </w:r>
    </w:p>
    <w:p w14:paraId="4F4D7990" w14:textId="2E55594C" w:rsidR="00E349F7" w:rsidRPr="00F86BC4" w:rsidRDefault="00E349F7" w:rsidP="004E7659">
      <w:pPr>
        <w:numPr>
          <w:ilvl w:val="0"/>
          <w:numId w:val="8"/>
        </w:numPr>
        <w:tabs>
          <w:tab w:val="clear" w:pos="360"/>
        </w:tabs>
        <w:ind w:left="567" w:hanging="567"/>
        <w:rPr>
          <w:color w:val="000000"/>
          <w:sz w:val="22"/>
          <w:szCs w:val="22"/>
        </w:rPr>
      </w:pPr>
      <w:r>
        <w:rPr>
          <w:color w:val="000000"/>
          <w:sz w:val="22"/>
          <w:szCs w:val="22"/>
        </w:rPr>
        <w:t xml:space="preserve">Virale Infektionen wie </w:t>
      </w:r>
      <w:r w:rsidR="00145C59">
        <w:rPr>
          <w:color w:val="000000"/>
          <w:sz w:val="22"/>
          <w:szCs w:val="22"/>
        </w:rPr>
        <w:t>Lippenherpes</w:t>
      </w:r>
      <w:r w:rsidRPr="00F86BC4">
        <w:rPr>
          <w:color w:val="000000"/>
          <w:sz w:val="22"/>
          <w:szCs w:val="22"/>
        </w:rPr>
        <w:t>.</w:t>
      </w:r>
    </w:p>
    <w:p w14:paraId="6A3D6865"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Schmerzen im unteren Rücken aufgrund einer Nierenerkrankung.</w:t>
      </w:r>
    </w:p>
    <w:p w14:paraId="50DAD7C9" w14:textId="7EAA155B"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 xml:space="preserve">Erhöhte Häufigkeit des </w:t>
      </w:r>
      <w:r w:rsidR="00AF1011">
        <w:rPr>
          <w:color w:val="000000"/>
          <w:sz w:val="22"/>
          <w:szCs w:val="22"/>
        </w:rPr>
        <w:t>Wasserlassens</w:t>
      </w:r>
      <w:r w:rsidRPr="00F86BC4">
        <w:rPr>
          <w:color w:val="000000"/>
          <w:sz w:val="22"/>
          <w:szCs w:val="22"/>
        </w:rPr>
        <w:t>.</w:t>
      </w:r>
    </w:p>
    <w:p w14:paraId="769525D7" w14:textId="77777777" w:rsidR="00E349F7" w:rsidRPr="00F86BC4" w:rsidRDefault="00E349F7" w:rsidP="004E7659">
      <w:pPr>
        <w:numPr>
          <w:ilvl w:val="0"/>
          <w:numId w:val="8"/>
        </w:numPr>
        <w:tabs>
          <w:tab w:val="clear" w:pos="360"/>
        </w:tabs>
        <w:ind w:left="567" w:hanging="567"/>
        <w:rPr>
          <w:color w:val="000000"/>
          <w:sz w:val="22"/>
          <w:szCs w:val="22"/>
        </w:rPr>
      </w:pPr>
      <w:r>
        <w:rPr>
          <w:color w:val="000000"/>
          <w:sz w:val="22"/>
          <w:szCs w:val="22"/>
        </w:rPr>
        <w:t>Verstärkter</w:t>
      </w:r>
      <w:r w:rsidRPr="00F86BC4">
        <w:rPr>
          <w:color w:val="000000"/>
          <w:sz w:val="22"/>
          <w:szCs w:val="22"/>
        </w:rPr>
        <w:t xml:space="preserve"> Appetit.</w:t>
      </w:r>
    </w:p>
    <w:p w14:paraId="52D9918E"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Schmerzen oder Brennen im Oberbauch und/oder in der Brust (Sodbrennen), Übelkeit, Erbrechen, saures Aufstoßen, Völlegefühl und Blähungen, schwarz gefärbter Stuhl (Anzeichen von Magengeschwüren).</w:t>
      </w:r>
    </w:p>
    <w:p w14:paraId="7FB1D683" w14:textId="77777777" w:rsidR="00E349F7" w:rsidRPr="00F86BC4" w:rsidRDefault="00E349F7" w:rsidP="004E7659">
      <w:pPr>
        <w:numPr>
          <w:ilvl w:val="0"/>
          <w:numId w:val="8"/>
        </w:numPr>
        <w:tabs>
          <w:tab w:val="clear" w:pos="360"/>
        </w:tabs>
        <w:ind w:left="567" w:hanging="567"/>
        <w:rPr>
          <w:color w:val="000000"/>
          <w:sz w:val="22"/>
          <w:szCs w:val="22"/>
        </w:rPr>
      </w:pPr>
      <w:r w:rsidRPr="00F86BC4">
        <w:rPr>
          <w:color w:val="000000"/>
          <w:sz w:val="22"/>
          <w:szCs w:val="22"/>
        </w:rPr>
        <w:t>Gelenk- und Muskelsteifheit.</w:t>
      </w:r>
    </w:p>
    <w:p w14:paraId="647F6F4D" w14:textId="77777777" w:rsidR="00E349F7" w:rsidRPr="008A4F40" w:rsidRDefault="00E349F7" w:rsidP="004E7659">
      <w:pPr>
        <w:numPr>
          <w:ilvl w:val="0"/>
          <w:numId w:val="8"/>
        </w:numPr>
        <w:tabs>
          <w:tab w:val="clear" w:pos="360"/>
        </w:tabs>
        <w:ind w:left="567" w:hanging="567"/>
        <w:rPr>
          <w:color w:val="000000"/>
          <w:sz w:val="22"/>
          <w:szCs w:val="22"/>
        </w:rPr>
      </w:pPr>
      <w:r>
        <w:rPr>
          <w:color w:val="000000"/>
          <w:sz w:val="22"/>
          <w:szCs w:val="22"/>
        </w:rPr>
        <w:t>Abnormale Labor</w:t>
      </w:r>
      <w:r w:rsidRPr="00F86BC4">
        <w:rPr>
          <w:color w:val="000000"/>
          <w:sz w:val="22"/>
          <w:szCs w:val="22"/>
        </w:rPr>
        <w:t>ergebnisse.</w:t>
      </w:r>
    </w:p>
    <w:p w14:paraId="2497CB4A" w14:textId="77777777" w:rsidR="00094116" w:rsidRPr="00094116" w:rsidRDefault="00094116" w:rsidP="004E7659">
      <w:pPr>
        <w:keepNext/>
        <w:rPr>
          <w:b/>
          <w:color w:val="000000"/>
          <w:sz w:val="22"/>
          <w:szCs w:val="22"/>
        </w:rPr>
      </w:pPr>
      <w:r w:rsidRPr="00094116">
        <w:rPr>
          <w:color w:val="000000"/>
          <w:sz w:val="22"/>
          <w:szCs w:val="22"/>
        </w:rPr>
        <w:t xml:space="preserve">Wenn Sie eine dieser Nebenwirkungen in starkem Maße betrifft, </w:t>
      </w:r>
      <w:r w:rsidRPr="00094116">
        <w:rPr>
          <w:b/>
          <w:color w:val="000000"/>
          <w:sz w:val="22"/>
          <w:szCs w:val="22"/>
        </w:rPr>
        <w:t>informieren Sie Ihren Arzt.</w:t>
      </w:r>
    </w:p>
    <w:p w14:paraId="07DDC5CD" w14:textId="77777777" w:rsidR="00E349F7" w:rsidRDefault="00E349F7" w:rsidP="004E7659">
      <w:pPr>
        <w:rPr>
          <w:color w:val="000000"/>
          <w:sz w:val="22"/>
          <w:szCs w:val="22"/>
        </w:rPr>
      </w:pPr>
    </w:p>
    <w:p w14:paraId="61FA015E" w14:textId="02F50660" w:rsidR="00E349F7" w:rsidRDefault="00E349F7" w:rsidP="004E7659">
      <w:pPr>
        <w:keepNext/>
        <w:rPr>
          <w:color w:val="000000"/>
          <w:sz w:val="22"/>
          <w:szCs w:val="22"/>
        </w:rPr>
      </w:pPr>
      <w:r>
        <w:rPr>
          <w:b/>
          <w:color w:val="000000"/>
          <w:sz w:val="22"/>
          <w:szCs w:val="22"/>
        </w:rPr>
        <w:t>S</w:t>
      </w:r>
      <w:r w:rsidRPr="008A4F40">
        <w:rPr>
          <w:b/>
          <w:color w:val="000000"/>
          <w:sz w:val="22"/>
          <w:szCs w:val="22"/>
        </w:rPr>
        <w:t xml:space="preserve">elten </w:t>
      </w:r>
      <w:r w:rsidRPr="008A4F40">
        <w:rPr>
          <w:color w:val="000000"/>
          <w:sz w:val="22"/>
          <w:szCs w:val="22"/>
        </w:rPr>
        <w:t>(kann bis zu 1 von 1</w:t>
      </w:r>
      <w:ins w:id="909" w:author="Author">
        <w:r w:rsidR="00C85770">
          <w:rPr>
            <w:color w:val="000000"/>
            <w:sz w:val="22"/>
            <w:szCs w:val="22"/>
          </w:rPr>
          <w:t> </w:t>
        </w:r>
      </w:ins>
      <w:del w:id="910" w:author="Author">
        <w:r w:rsidRPr="008A4F40" w:rsidDel="00C85770">
          <w:rPr>
            <w:color w:val="000000"/>
            <w:sz w:val="22"/>
            <w:szCs w:val="22"/>
          </w:rPr>
          <w:delText>.</w:delText>
        </w:r>
      </w:del>
      <w:r w:rsidRPr="008A4F40">
        <w:rPr>
          <w:color w:val="000000"/>
          <w:sz w:val="22"/>
          <w:szCs w:val="22"/>
        </w:rPr>
        <w:t>000 Behandelten betreffen):</w:t>
      </w:r>
    </w:p>
    <w:p w14:paraId="4F136052" w14:textId="54E10B99" w:rsidR="00E349F7" w:rsidRDefault="00E349F7" w:rsidP="004E7659">
      <w:pPr>
        <w:numPr>
          <w:ilvl w:val="0"/>
          <w:numId w:val="8"/>
        </w:numPr>
        <w:tabs>
          <w:tab w:val="clear" w:pos="360"/>
        </w:tabs>
        <w:ind w:left="567" w:hanging="567"/>
        <w:rPr>
          <w:color w:val="000000"/>
          <w:sz w:val="22"/>
          <w:szCs w:val="22"/>
        </w:rPr>
      </w:pPr>
      <w:r>
        <w:rPr>
          <w:color w:val="000000"/>
          <w:sz w:val="22"/>
          <w:szCs w:val="22"/>
        </w:rPr>
        <w:t>Verwirrtheit</w:t>
      </w:r>
      <w:r w:rsidRPr="00F86BC4">
        <w:rPr>
          <w:color w:val="000000"/>
          <w:sz w:val="22"/>
          <w:szCs w:val="22"/>
        </w:rPr>
        <w:t>.</w:t>
      </w:r>
    </w:p>
    <w:p w14:paraId="5886D196" w14:textId="3C05DFA9" w:rsidR="00D74510" w:rsidRPr="00D74510" w:rsidRDefault="00D74510" w:rsidP="004E7659">
      <w:pPr>
        <w:numPr>
          <w:ilvl w:val="0"/>
          <w:numId w:val="8"/>
        </w:numPr>
        <w:tabs>
          <w:tab w:val="clear" w:pos="360"/>
        </w:tabs>
        <w:ind w:left="567" w:hanging="567"/>
        <w:rPr>
          <w:color w:val="000000"/>
          <w:sz w:val="22"/>
          <w:szCs w:val="22"/>
        </w:rPr>
      </w:pPr>
      <w:r w:rsidRPr="00D74510">
        <w:rPr>
          <w:color w:val="000000"/>
          <w:sz w:val="22"/>
          <w:szCs w:val="22"/>
        </w:rPr>
        <w:t>Ein Anfall mit Krämpfen und vermindertem Bewusstsein (Konvulsionen).</w:t>
      </w:r>
    </w:p>
    <w:p w14:paraId="3562F638" w14:textId="77777777" w:rsidR="00E349F7" w:rsidRPr="00653CED" w:rsidRDefault="00E349F7" w:rsidP="004E7659">
      <w:pPr>
        <w:numPr>
          <w:ilvl w:val="0"/>
          <w:numId w:val="8"/>
        </w:numPr>
        <w:tabs>
          <w:tab w:val="clear" w:pos="360"/>
        </w:tabs>
        <w:ind w:left="567" w:hanging="567"/>
        <w:rPr>
          <w:color w:val="000000"/>
          <w:sz w:val="22"/>
          <w:szCs w:val="22"/>
        </w:rPr>
      </w:pPr>
      <w:r>
        <w:rPr>
          <w:color w:val="000000"/>
          <w:sz w:val="22"/>
          <w:szCs w:val="22"/>
        </w:rPr>
        <w:t>Verfärbung der Nägel</w:t>
      </w:r>
      <w:r w:rsidRPr="00653CED">
        <w:rPr>
          <w:color w:val="000000"/>
          <w:sz w:val="22"/>
          <w:szCs w:val="22"/>
        </w:rPr>
        <w:t>.</w:t>
      </w:r>
    </w:p>
    <w:p w14:paraId="4A1DBFB7" w14:textId="77777777" w:rsidR="003A33A6" w:rsidRPr="008A4F40" w:rsidRDefault="003A33A6" w:rsidP="004E7659">
      <w:pPr>
        <w:rPr>
          <w:color w:val="000000"/>
          <w:sz w:val="22"/>
          <w:szCs w:val="22"/>
        </w:rPr>
      </w:pPr>
    </w:p>
    <w:p w14:paraId="7250B05C" w14:textId="77777777" w:rsidR="003A33A6" w:rsidRPr="008A4F40" w:rsidRDefault="003A33A6" w:rsidP="004E7659">
      <w:pPr>
        <w:keepNext/>
        <w:rPr>
          <w:color w:val="000000"/>
          <w:sz w:val="22"/>
          <w:szCs w:val="22"/>
        </w:rPr>
      </w:pPr>
      <w:r w:rsidRPr="008A4F40">
        <w:rPr>
          <w:b/>
          <w:color w:val="000000"/>
          <w:sz w:val="22"/>
          <w:szCs w:val="22"/>
        </w:rPr>
        <w:t xml:space="preserve">Nicht bekannt </w:t>
      </w:r>
      <w:r w:rsidRPr="008A4F40">
        <w:rPr>
          <w:color w:val="000000"/>
          <w:sz w:val="22"/>
          <w:szCs w:val="22"/>
        </w:rPr>
        <w:t>(Häufigkeit auf Grundlage der verfügbaren Daten nicht abschätzbar):</w:t>
      </w:r>
    </w:p>
    <w:p w14:paraId="1C8AB44F" w14:textId="77777777" w:rsidR="003A33A6" w:rsidRPr="008A4F40" w:rsidRDefault="003A33A6" w:rsidP="004E7659">
      <w:pPr>
        <w:keepNext/>
        <w:numPr>
          <w:ilvl w:val="0"/>
          <w:numId w:val="8"/>
        </w:numPr>
        <w:tabs>
          <w:tab w:val="clear" w:pos="360"/>
        </w:tabs>
        <w:ind w:left="567" w:hanging="567"/>
        <w:rPr>
          <w:color w:val="000000"/>
          <w:sz w:val="22"/>
          <w:szCs w:val="22"/>
        </w:rPr>
      </w:pPr>
      <w:r w:rsidRPr="008A4F40">
        <w:rPr>
          <w:color w:val="000000"/>
          <w:sz w:val="22"/>
          <w:szCs w:val="22"/>
        </w:rPr>
        <w:t>Rötung und/oder Schwellung der Handflächen und Fußsohlen, das von Kribbeln und brennendem Schmerz begleitet sein kann.</w:t>
      </w:r>
    </w:p>
    <w:p w14:paraId="1033E9FB" w14:textId="77777777" w:rsidR="00935428" w:rsidRPr="008A4F40" w:rsidRDefault="00935428" w:rsidP="004E7659">
      <w:pPr>
        <w:keepNext/>
        <w:numPr>
          <w:ilvl w:val="0"/>
          <w:numId w:val="8"/>
        </w:numPr>
        <w:tabs>
          <w:tab w:val="clear" w:pos="360"/>
        </w:tabs>
        <w:ind w:left="567" w:hanging="567"/>
        <w:rPr>
          <w:color w:val="000000"/>
          <w:sz w:val="22"/>
          <w:szCs w:val="22"/>
        </w:rPr>
      </w:pPr>
      <w:r w:rsidRPr="008A4F40">
        <w:rPr>
          <w:color w:val="000000"/>
          <w:sz w:val="22"/>
          <w:szCs w:val="22"/>
        </w:rPr>
        <w:t>Schmerzhafte und/oder blasenbildende Hautveränderungen.</w:t>
      </w:r>
    </w:p>
    <w:p w14:paraId="32A40D43" w14:textId="77777777" w:rsidR="003A33A6" w:rsidRPr="008A4F40" w:rsidRDefault="003A33A6" w:rsidP="004E7659">
      <w:pPr>
        <w:keepNext/>
        <w:numPr>
          <w:ilvl w:val="0"/>
          <w:numId w:val="8"/>
        </w:numPr>
        <w:tabs>
          <w:tab w:val="clear" w:pos="360"/>
        </w:tabs>
        <w:ind w:left="567" w:hanging="567"/>
        <w:rPr>
          <w:color w:val="000000"/>
          <w:sz w:val="22"/>
          <w:szCs w:val="22"/>
        </w:rPr>
      </w:pPr>
      <w:r w:rsidRPr="008A4F40">
        <w:rPr>
          <w:color w:val="000000"/>
          <w:sz w:val="22"/>
          <w:szCs w:val="22"/>
        </w:rPr>
        <w:t>Verlangsamtes Wachstum bei Kindern und Jugendlichen.</w:t>
      </w:r>
    </w:p>
    <w:p w14:paraId="5A9D9D54" w14:textId="77777777" w:rsidR="003A33A6" w:rsidRPr="008A4F40" w:rsidRDefault="003A33A6" w:rsidP="004E7659">
      <w:pPr>
        <w:rPr>
          <w:b/>
          <w:color w:val="000000"/>
          <w:sz w:val="22"/>
          <w:szCs w:val="22"/>
        </w:rPr>
      </w:pPr>
      <w:r w:rsidRPr="008A4F40">
        <w:rPr>
          <w:color w:val="000000"/>
          <w:sz w:val="22"/>
          <w:szCs w:val="22"/>
        </w:rPr>
        <w:t xml:space="preserve">Wenn Sie eine dieser Nebenwirkungen in starkem Maße betrifft, </w:t>
      </w:r>
      <w:r w:rsidRPr="008A4F40">
        <w:rPr>
          <w:b/>
          <w:color w:val="000000"/>
          <w:sz w:val="22"/>
          <w:szCs w:val="22"/>
        </w:rPr>
        <w:t>informieren Sie Ihren Arzt.</w:t>
      </w:r>
    </w:p>
    <w:p w14:paraId="6BA97F1F" w14:textId="77777777" w:rsidR="003A33A6" w:rsidRPr="008A4F40" w:rsidRDefault="003A33A6" w:rsidP="004E7659">
      <w:pPr>
        <w:rPr>
          <w:color w:val="000000"/>
          <w:sz w:val="22"/>
          <w:szCs w:val="22"/>
        </w:rPr>
      </w:pPr>
    </w:p>
    <w:p w14:paraId="607EBFC5" w14:textId="77777777" w:rsidR="003A33A6" w:rsidRPr="008A4F40" w:rsidRDefault="003A33A6" w:rsidP="004E7659">
      <w:pPr>
        <w:pStyle w:val="Text"/>
        <w:keepNext/>
        <w:spacing w:before="0"/>
        <w:jc w:val="left"/>
        <w:rPr>
          <w:b/>
          <w:color w:val="000000"/>
          <w:sz w:val="22"/>
          <w:szCs w:val="22"/>
          <w:lang w:val="de-DE"/>
        </w:rPr>
      </w:pPr>
      <w:r w:rsidRPr="008A4F40">
        <w:rPr>
          <w:b/>
          <w:color w:val="000000"/>
          <w:sz w:val="22"/>
          <w:szCs w:val="22"/>
          <w:lang w:val="de-DE"/>
        </w:rPr>
        <w:t>Meldung von Nebenwirkungen</w:t>
      </w:r>
    </w:p>
    <w:p w14:paraId="798FDDFA" w14:textId="2803F0DF" w:rsidR="003A33A6" w:rsidRPr="008A4F40" w:rsidRDefault="003A33A6" w:rsidP="004E7659">
      <w:pPr>
        <w:rPr>
          <w:b/>
          <w:color w:val="000000"/>
          <w:sz w:val="22"/>
          <w:szCs w:val="22"/>
        </w:rPr>
      </w:pPr>
      <w:r w:rsidRPr="008A4F40">
        <w:rPr>
          <w:color w:val="000000"/>
          <w:sz w:val="22"/>
          <w:szCs w:val="22"/>
        </w:rPr>
        <w:t>Wenn Sie Nebenwirkungen bemerken, wenden Sie sich an Ihren Arzt, Apotheker oder das medizinische Fachpersonal. Dies gilt auch für Nebenwirkungen, die nicht in dieser Packungsbeilage angegeben sind.</w:t>
      </w:r>
      <w:r w:rsidRPr="008A4F40">
        <w:rPr>
          <w:noProof/>
          <w:sz w:val="22"/>
          <w:szCs w:val="22"/>
        </w:rPr>
        <w:t xml:space="preserve"> Sie können Nebenwirkungen auch direkt über </w:t>
      </w:r>
      <w:r w:rsidRPr="008A4F40">
        <w:rPr>
          <w:noProof/>
          <w:sz w:val="22"/>
          <w:szCs w:val="22"/>
          <w:shd w:val="pct15" w:color="auto" w:fill="auto"/>
        </w:rPr>
        <w:t xml:space="preserve">das in </w:t>
      </w:r>
      <w:r>
        <w:fldChar w:fldCharType="begin"/>
      </w:r>
      <w:ins w:id="911" w:author="Author">
        <w:r w:rsidR="002A594A">
          <w:instrText>HYPERLINK "https://www.ema.europa.eu/documents/template-form/qrd-appendix-v-adverse-drug-reaction-reporting-details_en.docx"</w:instrText>
        </w:r>
      </w:ins>
      <w:del w:id="912" w:author="Author">
        <w:r w:rsidDel="002A594A">
          <w:delInstrText>HYPERLINK "http://www.ema.europa.eu/docs/en_GB/document_library/Template_or_form/2013/03/WC500139752.doc"</w:delInstrText>
        </w:r>
      </w:del>
      <w:r>
        <w:fldChar w:fldCharType="separate"/>
      </w:r>
      <w:r w:rsidRPr="008A4F40">
        <w:rPr>
          <w:rStyle w:val="Hyperlink"/>
          <w:noProof/>
          <w:sz w:val="22"/>
          <w:szCs w:val="22"/>
          <w:shd w:val="pct15" w:color="auto" w:fill="auto"/>
        </w:rPr>
        <w:t>Anhang V</w:t>
      </w:r>
      <w:r>
        <w:fldChar w:fldCharType="end"/>
      </w:r>
      <w:r w:rsidRPr="008A4F40">
        <w:rPr>
          <w:noProof/>
          <w:sz w:val="22"/>
          <w:szCs w:val="22"/>
          <w:shd w:val="pct15" w:color="auto" w:fill="auto"/>
        </w:rPr>
        <w:t xml:space="preserve"> aufgeführte nationale Meldesystem</w:t>
      </w:r>
      <w:r w:rsidRPr="008A4F40">
        <w:rPr>
          <w:noProof/>
          <w:sz w:val="22"/>
          <w:szCs w:val="22"/>
        </w:rPr>
        <w:t xml:space="preserve"> anzeigen.</w:t>
      </w:r>
      <w:r w:rsidRPr="008A4F40">
        <w:rPr>
          <w:sz w:val="22"/>
          <w:szCs w:val="22"/>
        </w:rPr>
        <w:t xml:space="preserve"> </w:t>
      </w:r>
      <w:r w:rsidRPr="008A4F40">
        <w:rPr>
          <w:noProof/>
          <w:sz w:val="22"/>
          <w:szCs w:val="22"/>
        </w:rPr>
        <w:t>Indem Sie Nebenwirkungen melden, können Sie dazu beitragen, dass mehr Informationen über die Sicherheit dieses Arzneimittels zur Verfügung gestellt werden.</w:t>
      </w:r>
    </w:p>
    <w:p w14:paraId="1F43B1DD" w14:textId="77777777" w:rsidR="003A33A6" w:rsidRPr="008A4F40" w:rsidRDefault="003A33A6" w:rsidP="004E7659">
      <w:pPr>
        <w:pStyle w:val="Header"/>
        <w:tabs>
          <w:tab w:val="clear" w:pos="4320"/>
          <w:tab w:val="clear" w:pos="8640"/>
        </w:tabs>
        <w:rPr>
          <w:color w:val="000000"/>
          <w:szCs w:val="22"/>
        </w:rPr>
      </w:pPr>
    </w:p>
    <w:p w14:paraId="030B3073" w14:textId="77777777" w:rsidR="003A33A6" w:rsidRPr="008A4F40" w:rsidRDefault="003A33A6" w:rsidP="004E7659">
      <w:pPr>
        <w:rPr>
          <w:color w:val="000000"/>
          <w:sz w:val="22"/>
          <w:szCs w:val="22"/>
        </w:rPr>
      </w:pPr>
    </w:p>
    <w:p w14:paraId="5F4E51FD" w14:textId="77777777" w:rsidR="007217B7" w:rsidRPr="008A4F40" w:rsidRDefault="007217B7" w:rsidP="004E7659">
      <w:pPr>
        <w:keepNext/>
        <w:ind w:left="567" w:hanging="567"/>
        <w:rPr>
          <w:color w:val="000000"/>
          <w:sz w:val="22"/>
          <w:szCs w:val="22"/>
        </w:rPr>
      </w:pPr>
      <w:r w:rsidRPr="008A4F40">
        <w:rPr>
          <w:b/>
          <w:color w:val="000000"/>
          <w:sz w:val="22"/>
          <w:szCs w:val="22"/>
        </w:rPr>
        <w:t>5.</w:t>
      </w:r>
      <w:r w:rsidRPr="008A4F40">
        <w:rPr>
          <w:b/>
          <w:color w:val="000000"/>
          <w:sz w:val="22"/>
          <w:szCs w:val="22"/>
        </w:rPr>
        <w:tab/>
        <w:t>Wie ist Glivec aufzubewahren?</w:t>
      </w:r>
    </w:p>
    <w:p w14:paraId="5AAC492D" w14:textId="77777777" w:rsidR="007217B7" w:rsidRPr="008A4F40" w:rsidRDefault="007217B7" w:rsidP="004E7659">
      <w:pPr>
        <w:keepNext/>
        <w:rPr>
          <w:color w:val="000000"/>
          <w:sz w:val="22"/>
          <w:szCs w:val="22"/>
        </w:rPr>
      </w:pPr>
    </w:p>
    <w:p w14:paraId="1E803444" w14:textId="77777777" w:rsidR="007217B7" w:rsidRPr="008A4F40" w:rsidRDefault="007217B7" w:rsidP="004E7659">
      <w:pPr>
        <w:numPr>
          <w:ilvl w:val="0"/>
          <w:numId w:val="12"/>
        </w:numPr>
        <w:tabs>
          <w:tab w:val="clear" w:pos="360"/>
        </w:tabs>
        <w:ind w:left="567" w:hanging="567"/>
        <w:rPr>
          <w:color w:val="000000"/>
          <w:sz w:val="22"/>
          <w:szCs w:val="22"/>
        </w:rPr>
      </w:pPr>
      <w:r w:rsidRPr="008A4F40">
        <w:rPr>
          <w:color w:val="000000"/>
          <w:sz w:val="22"/>
          <w:szCs w:val="22"/>
        </w:rPr>
        <w:t>Bewahren Sie dieses Arzneimittel für Kinder unzugänglich auf.</w:t>
      </w:r>
    </w:p>
    <w:p w14:paraId="3761E447" w14:textId="31F8537F" w:rsidR="007217B7" w:rsidRPr="008A4F40" w:rsidRDefault="007217B7" w:rsidP="004E7659">
      <w:pPr>
        <w:numPr>
          <w:ilvl w:val="0"/>
          <w:numId w:val="12"/>
        </w:numPr>
        <w:tabs>
          <w:tab w:val="clear" w:pos="360"/>
        </w:tabs>
        <w:ind w:left="567" w:hanging="567"/>
        <w:rPr>
          <w:color w:val="000000"/>
          <w:sz w:val="22"/>
          <w:szCs w:val="22"/>
        </w:rPr>
      </w:pPr>
      <w:r w:rsidRPr="008A4F40">
        <w:rPr>
          <w:color w:val="000000"/>
          <w:sz w:val="22"/>
          <w:szCs w:val="22"/>
        </w:rPr>
        <w:t xml:space="preserve">Sie dürfen dieses Arzneimittel nach dem auf dem Umkarton </w:t>
      </w:r>
      <w:r w:rsidR="00935428" w:rsidRPr="008A4F40">
        <w:rPr>
          <w:color w:val="000000"/>
          <w:sz w:val="22"/>
          <w:szCs w:val="22"/>
        </w:rPr>
        <w:t>nach „</w:t>
      </w:r>
      <w:del w:id="913" w:author="Author">
        <w:r w:rsidR="00935428" w:rsidRPr="008A4F40" w:rsidDel="001F19F9">
          <w:rPr>
            <w:color w:val="000000"/>
            <w:sz w:val="22"/>
            <w:szCs w:val="22"/>
          </w:rPr>
          <w:delText>V</w:delText>
        </w:r>
      </w:del>
      <w:ins w:id="914" w:author="Author">
        <w:r w:rsidR="001F19F9">
          <w:rPr>
            <w:color w:val="000000"/>
            <w:sz w:val="22"/>
            <w:szCs w:val="22"/>
          </w:rPr>
          <w:t>v</w:t>
        </w:r>
      </w:ins>
      <w:r w:rsidR="00935428" w:rsidRPr="008A4F40">
        <w:rPr>
          <w:color w:val="000000"/>
          <w:sz w:val="22"/>
          <w:szCs w:val="22"/>
        </w:rPr>
        <w:t xml:space="preserve">erwendbar bis“ </w:t>
      </w:r>
      <w:r w:rsidRPr="008A4F40">
        <w:rPr>
          <w:color w:val="000000"/>
          <w:sz w:val="22"/>
          <w:szCs w:val="22"/>
        </w:rPr>
        <w:t>angegebenen Verfall</w:t>
      </w:r>
      <w:ins w:id="915" w:author="Author">
        <w:r w:rsidR="00D236F0">
          <w:rPr>
            <w:color w:val="000000"/>
            <w:sz w:val="22"/>
            <w:szCs w:val="22"/>
          </w:rPr>
          <w:t>s</w:t>
        </w:r>
      </w:ins>
      <w:r w:rsidRPr="008A4F40">
        <w:rPr>
          <w:color w:val="000000"/>
          <w:sz w:val="22"/>
          <w:szCs w:val="22"/>
        </w:rPr>
        <w:t>datum nicht mehr verwenden.</w:t>
      </w:r>
    </w:p>
    <w:p w14:paraId="526CFF3B" w14:textId="70AD9400" w:rsidR="00E20EFC" w:rsidRPr="008A4F40" w:rsidRDefault="00E20EFC" w:rsidP="004E7659">
      <w:pPr>
        <w:numPr>
          <w:ilvl w:val="0"/>
          <w:numId w:val="12"/>
        </w:numPr>
        <w:tabs>
          <w:tab w:val="clear" w:pos="360"/>
        </w:tabs>
        <w:ind w:left="567" w:hanging="567"/>
        <w:rPr>
          <w:color w:val="000000"/>
          <w:sz w:val="22"/>
          <w:szCs w:val="22"/>
        </w:rPr>
      </w:pPr>
      <w:r w:rsidRPr="008A4F40">
        <w:rPr>
          <w:color w:val="000000"/>
          <w:sz w:val="22"/>
          <w:szCs w:val="22"/>
        </w:rPr>
        <w:t>Lagerungstemperatur</w:t>
      </w:r>
    </w:p>
    <w:p w14:paraId="11E587BC" w14:textId="43BE02F4" w:rsidR="006B6A0D" w:rsidRPr="008A4F40" w:rsidRDefault="006B6A0D" w:rsidP="004E7659">
      <w:pPr>
        <w:pStyle w:val="ListParagraph"/>
        <w:numPr>
          <w:ilvl w:val="0"/>
          <w:numId w:val="22"/>
        </w:numPr>
        <w:rPr>
          <w:color w:val="000000"/>
          <w:sz w:val="22"/>
          <w:szCs w:val="22"/>
        </w:rPr>
      </w:pPr>
      <w:r w:rsidRPr="008A4F40">
        <w:rPr>
          <w:color w:val="000000"/>
          <w:sz w:val="22"/>
          <w:szCs w:val="22"/>
        </w:rPr>
        <w:t>Glivec 100 mg Filmtabletten: Nicht über 30</w:t>
      </w:r>
      <w:ins w:id="916" w:author="Author">
        <w:r w:rsidR="00B2659D">
          <w:rPr>
            <w:color w:val="000000"/>
            <w:sz w:val="22"/>
            <w:szCs w:val="22"/>
          </w:rPr>
          <w:t> </w:t>
        </w:r>
      </w:ins>
      <w:r w:rsidRPr="008A4F40">
        <w:rPr>
          <w:color w:val="000000"/>
          <w:sz w:val="22"/>
          <w:szCs w:val="22"/>
        </w:rPr>
        <w:t>°C lagern.</w:t>
      </w:r>
    </w:p>
    <w:p w14:paraId="417F4DE3" w14:textId="7D04D19C" w:rsidR="007217B7" w:rsidRPr="008A4F40" w:rsidRDefault="006B6A0D" w:rsidP="004E7659">
      <w:pPr>
        <w:pStyle w:val="ListParagraph"/>
        <w:numPr>
          <w:ilvl w:val="0"/>
          <w:numId w:val="22"/>
        </w:numPr>
        <w:rPr>
          <w:color w:val="000000"/>
          <w:sz w:val="22"/>
          <w:szCs w:val="22"/>
        </w:rPr>
      </w:pPr>
      <w:r w:rsidRPr="008A4F40">
        <w:rPr>
          <w:color w:val="000000"/>
          <w:sz w:val="22"/>
          <w:szCs w:val="22"/>
        </w:rPr>
        <w:t>Glivec 400 mg Filmtabletten: Nicht über 25</w:t>
      </w:r>
      <w:ins w:id="917" w:author="Author">
        <w:r w:rsidR="00B2659D">
          <w:rPr>
            <w:color w:val="000000"/>
            <w:sz w:val="22"/>
            <w:szCs w:val="22"/>
          </w:rPr>
          <w:t> </w:t>
        </w:r>
      </w:ins>
      <w:r w:rsidRPr="008A4F40">
        <w:rPr>
          <w:color w:val="000000"/>
          <w:sz w:val="22"/>
          <w:szCs w:val="22"/>
        </w:rPr>
        <w:t>°C lagern.</w:t>
      </w:r>
    </w:p>
    <w:p w14:paraId="4BDBCBFD" w14:textId="77777777" w:rsidR="007217B7" w:rsidRPr="008A4F40" w:rsidRDefault="007217B7" w:rsidP="004E7659">
      <w:pPr>
        <w:numPr>
          <w:ilvl w:val="0"/>
          <w:numId w:val="12"/>
        </w:numPr>
        <w:tabs>
          <w:tab w:val="clear" w:pos="360"/>
        </w:tabs>
        <w:ind w:left="567" w:hanging="567"/>
        <w:rPr>
          <w:color w:val="000000"/>
          <w:sz w:val="22"/>
          <w:szCs w:val="22"/>
        </w:rPr>
      </w:pPr>
      <w:r w:rsidRPr="008A4F40">
        <w:rPr>
          <w:color w:val="000000"/>
          <w:sz w:val="22"/>
          <w:szCs w:val="22"/>
        </w:rPr>
        <w:t>In der Originalverpackung aufbewahren, um den Inhalt vor Feuchtigkeit zu schützen.</w:t>
      </w:r>
    </w:p>
    <w:p w14:paraId="4A2D9089" w14:textId="77777777" w:rsidR="00B311A3" w:rsidRPr="008A4F40" w:rsidRDefault="007217B7" w:rsidP="004E7659">
      <w:pPr>
        <w:numPr>
          <w:ilvl w:val="0"/>
          <w:numId w:val="12"/>
        </w:numPr>
        <w:tabs>
          <w:tab w:val="clear" w:pos="360"/>
        </w:tabs>
        <w:ind w:left="567" w:hanging="567"/>
        <w:rPr>
          <w:color w:val="000000"/>
          <w:sz w:val="22"/>
          <w:szCs w:val="22"/>
        </w:rPr>
      </w:pPr>
      <w:r w:rsidRPr="008A4F40">
        <w:rPr>
          <w:color w:val="000000"/>
          <w:sz w:val="22"/>
          <w:szCs w:val="22"/>
        </w:rPr>
        <w:t>Verwenden Sie keine Packung, die beschädigt ist oder an der manipuliert wurde.</w:t>
      </w:r>
    </w:p>
    <w:p w14:paraId="510EB9A0" w14:textId="77777777" w:rsidR="007217B7" w:rsidRPr="008A4F40" w:rsidRDefault="00B311A3" w:rsidP="004E7659">
      <w:pPr>
        <w:numPr>
          <w:ilvl w:val="0"/>
          <w:numId w:val="12"/>
        </w:numPr>
        <w:tabs>
          <w:tab w:val="clear" w:pos="360"/>
        </w:tabs>
        <w:ind w:left="567" w:hanging="567"/>
        <w:rPr>
          <w:color w:val="000000"/>
          <w:sz w:val="22"/>
          <w:szCs w:val="22"/>
        </w:rPr>
      </w:pPr>
      <w:r w:rsidRPr="008A4F40">
        <w:rPr>
          <w:color w:val="000000"/>
          <w:sz w:val="22"/>
          <w:szCs w:val="22"/>
        </w:rPr>
        <w:t>Entsorgen Sie Arzneimittel nicht im Abwasser oder Haushaltsabfall. Fragen Sie Ihren Apotheker, wie das Arzneimittel zu entsorgen ist, wenn Sie es nicht mehr verwenden. Sie tragen damit zum Schutz der Umwelt bei.</w:t>
      </w:r>
    </w:p>
    <w:p w14:paraId="3CF41182" w14:textId="77777777" w:rsidR="00AB6D5E" w:rsidRPr="008A4F40" w:rsidRDefault="00AB6D5E" w:rsidP="004E7659">
      <w:pPr>
        <w:pStyle w:val="Header"/>
        <w:tabs>
          <w:tab w:val="clear" w:pos="4320"/>
          <w:tab w:val="clear" w:pos="8640"/>
        </w:tabs>
        <w:rPr>
          <w:color w:val="000000"/>
          <w:szCs w:val="22"/>
        </w:rPr>
      </w:pPr>
    </w:p>
    <w:p w14:paraId="7A506EA8" w14:textId="77777777" w:rsidR="00AB6D5E" w:rsidRPr="008A4F40" w:rsidRDefault="00AB6D5E" w:rsidP="004E7659">
      <w:pPr>
        <w:rPr>
          <w:color w:val="000000"/>
          <w:sz w:val="22"/>
          <w:szCs w:val="22"/>
        </w:rPr>
      </w:pPr>
    </w:p>
    <w:p w14:paraId="7AB21957" w14:textId="77777777" w:rsidR="00AB6D5E" w:rsidRPr="008A4F40" w:rsidRDefault="00AB6D5E" w:rsidP="004E7659">
      <w:pPr>
        <w:keepNext/>
        <w:rPr>
          <w:b/>
          <w:color w:val="000000"/>
          <w:sz w:val="22"/>
          <w:szCs w:val="22"/>
        </w:rPr>
      </w:pPr>
      <w:r w:rsidRPr="008A4F40">
        <w:rPr>
          <w:b/>
          <w:color w:val="000000"/>
          <w:sz w:val="22"/>
          <w:szCs w:val="22"/>
        </w:rPr>
        <w:t>6.</w:t>
      </w:r>
      <w:r w:rsidRPr="008A4F40">
        <w:rPr>
          <w:b/>
          <w:color w:val="000000"/>
          <w:sz w:val="22"/>
          <w:szCs w:val="22"/>
        </w:rPr>
        <w:tab/>
      </w:r>
      <w:r w:rsidR="002906C1" w:rsidRPr="008A4F40">
        <w:rPr>
          <w:b/>
          <w:color w:val="000000"/>
          <w:sz w:val="22"/>
          <w:szCs w:val="22"/>
        </w:rPr>
        <w:t>Inhalt der Packung und weitere Informationen</w:t>
      </w:r>
    </w:p>
    <w:p w14:paraId="1D83179E" w14:textId="77777777" w:rsidR="00AB6D5E" w:rsidRPr="008A4F40" w:rsidRDefault="00AB6D5E" w:rsidP="004E7659">
      <w:pPr>
        <w:keepNext/>
        <w:rPr>
          <w:color w:val="000000"/>
          <w:sz w:val="22"/>
          <w:szCs w:val="22"/>
        </w:rPr>
      </w:pPr>
    </w:p>
    <w:p w14:paraId="492DC95C" w14:textId="77777777" w:rsidR="00AB6D5E" w:rsidRPr="008A4F40" w:rsidRDefault="00AB6D5E" w:rsidP="004E7659">
      <w:pPr>
        <w:pStyle w:val="BodyText"/>
        <w:spacing w:line="240" w:lineRule="auto"/>
        <w:jc w:val="left"/>
        <w:rPr>
          <w:b/>
          <w:color w:val="000000"/>
          <w:szCs w:val="22"/>
        </w:rPr>
      </w:pPr>
      <w:r w:rsidRPr="008A4F40">
        <w:rPr>
          <w:b/>
          <w:color w:val="000000"/>
          <w:szCs w:val="22"/>
        </w:rPr>
        <w:t>Was Glivec enthält</w:t>
      </w:r>
    </w:p>
    <w:p w14:paraId="774FF9F2" w14:textId="77777777" w:rsidR="00EB7BA5" w:rsidRPr="008A4F40" w:rsidRDefault="00AB6D5E" w:rsidP="004E7659">
      <w:pPr>
        <w:numPr>
          <w:ilvl w:val="0"/>
          <w:numId w:val="1"/>
        </w:numPr>
        <w:tabs>
          <w:tab w:val="clear" w:pos="417"/>
        </w:tabs>
        <w:ind w:left="567" w:hanging="567"/>
        <w:rPr>
          <w:color w:val="000000"/>
          <w:sz w:val="22"/>
          <w:szCs w:val="22"/>
        </w:rPr>
      </w:pPr>
      <w:r w:rsidRPr="008A4F40">
        <w:rPr>
          <w:color w:val="000000"/>
          <w:sz w:val="22"/>
          <w:szCs w:val="22"/>
        </w:rPr>
        <w:t>Der Wirkstoff ist Imatinibmesilat.</w:t>
      </w:r>
    </w:p>
    <w:p w14:paraId="7C92BAC4" w14:textId="0E322764" w:rsidR="00AB6D5E" w:rsidRPr="008A4F40" w:rsidRDefault="00AB6D5E" w:rsidP="004E7659">
      <w:pPr>
        <w:numPr>
          <w:ilvl w:val="0"/>
          <w:numId w:val="1"/>
        </w:numPr>
        <w:tabs>
          <w:tab w:val="clear" w:pos="417"/>
        </w:tabs>
        <w:ind w:left="1134" w:hanging="567"/>
        <w:rPr>
          <w:color w:val="000000"/>
          <w:sz w:val="22"/>
          <w:szCs w:val="22"/>
        </w:rPr>
      </w:pPr>
      <w:r w:rsidRPr="008A4F40">
        <w:rPr>
          <w:color w:val="000000"/>
          <w:sz w:val="22"/>
          <w:szCs w:val="22"/>
        </w:rPr>
        <w:t xml:space="preserve">Jede </w:t>
      </w:r>
      <w:r w:rsidR="008B319E" w:rsidRPr="008A4F40">
        <w:rPr>
          <w:color w:val="000000"/>
          <w:sz w:val="22"/>
          <w:szCs w:val="22"/>
        </w:rPr>
        <w:t>100 mg</w:t>
      </w:r>
      <w:r w:rsidR="008B319E" w:rsidRPr="008A4F40">
        <w:rPr>
          <w:bCs/>
          <w:color w:val="000000"/>
          <w:sz w:val="22"/>
          <w:szCs w:val="22"/>
        </w:rPr>
        <w:t>-</w:t>
      </w:r>
      <w:r w:rsidRPr="008A4F40">
        <w:rPr>
          <w:color w:val="000000"/>
          <w:sz w:val="22"/>
          <w:szCs w:val="22"/>
        </w:rPr>
        <w:t>Tablette Glivec enthält 100 mg Imatinib</w:t>
      </w:r>
      <w:r w:rsidR="00001DA2" w:rsidRPr="008A4F40">
        <w:rPr>
          <w:color w:val="000000"/>
          <w:sz w:val="22"/>
          <w:szCs w:val="22"/>
        </w:rPr>
        <w:t xml:space="preserve"> (als M</w:t>
      </w:r>
      <w:r w:rsidRPr="008A4F40">
        <w:rPr>
          <w:color w:val="000000"/>
          <w:sz w:val="22"/>
          <w:szCs w:val="22"/>
        </w:rPr>
        <w:t>esilat</w:t>
      </w:r>
      <w:r w:rsidR="00001DA2" w:rsidRPr="008A4F40">
        <w:rPr>
          <w:color w:val="000000"/>
          <w:sz w:val="22"/>
          <w:szCs w:val="22"/>
        </w:rPr>
        <w:t>)</w:t>
      </w:r>
      <w:r w:rsidRPr="008A4F40">
        <w:rPr>
          <w:color w:val="000000"/>
          <w:sz w:val="22"/>
          <w:szCs w:val="22"/>
        </w:rPr>
        <w:t>.</w:t>
      </w:r>
    </w:p>
    <w:p w14:paraId="39BA249D" w14:textId="04BE9FFB" w:rsidR="00EB7BA5" w:rsidRPr="008A4F40" w:rsidRDefault="00EB7BA5" w:rsidP="004E7659">
      <w:pPr>
        <w:numPr>
          <w:ilvl w:val="0"/>
          <w:numId w:val="1"/>
        </w:numPr>
        <w:tabs>
          <w:tab w:val="clear" w:pos="417"/>
        </w:tabs>
        <w:ind w:left="1134" w:hanging="567"/>
        <w:rPr>
          <w:color w:val="000000"/>
          <w:sz w:val="22"/>
          <w:szCs w:val="22"/>
        </w:rPr>
      </w:pPr>
      <w:r w:rsidRPr="008A4F40">
        <w:rPr>
          <w:color w:val="000000"/>
          <w:sz w:val="22"/>
          <w:szCs w:val="22"/>
        </w:rPr>
        <w:t xml:space="preserve">Jede </w:t>
      </w:r>
      <w:r w:rsidR="008B319E" w:rsidRPr="008A4F40">
        <w:rPr>
          <w:color w:val="000000"/>
          <w:sz w:val="22"/>
          <w:szCs w:val="22"/>
        </w:rPr>
        <w:t>400 mg</w:t>
      </w:r>
      <w:r w:rsidR="008B319E" w:rsidRPr="008A4F40">
        <w:rPr>
          <w:bCs/>
          <w:color w:val="000000"/>
          <w:sz w:val="22"/>
          <w:szCs w:val="22"/>
        </w:rPr>
        <w:t>-</w:t>
      </w:r>
      <w:r w:rsidRPr="008A4F40">
        <w:rPr>
          <w:color w:val="000000"/>
          <w:sz w:val="22"/>
          <w:szCs w:val="22"/>
        </w:rPr>
        <w:t>Tablette Glivec enthält 400 mg Imatinib (als Mesilat).</w:t>
      </w:r>
    </w:p>
    <w:p w14:paraId="2413E412" w14:textId="77777777" w:rsidR="00AB6D5E" w:rsidRPr="008A4F40" w:rsidRDefault="00AB6D5E" w:rsidP="004E7659">
      <w:pPr>
        <w:numPr>
          <w:ilvl w:val="0"/>
          <w:numId w:val="1"/>
        </w:numPr>
        <w:tabs>
          <w:tab w:val="clear" w:pos="417"/>
        </w:tabs>
        <w:ind w:left="567" w:hanging="567"/>
        <w:rPr>
          <w:color w:val="000000"/>
          <w:sz w:val="22"/>
          <w:szCs w:val="22"/>
        </w:rPr>
      </w:pPr>
      <w:r w:rsidRPr="008A4F40">
        <w:rPr>
          <w:color w:val="000000"/>
          <w:sz w:val="22"/>
          <w:szCs w:val="22"/>
        </w:rPr>
        <w:t>Die sonstigen Bestandteile sind mikrokristalline Cellulose, Crospovidon,</w:t>
      </w:r>
      <w:r w:rsidR="003A2DFF" w:rsidRPr="008A4F40">
        <w:rPr>
          <w:color w:val="000000"/>
          <w:sz w:val="22"/>
          <w:szCs w:val="22"/>
        </w:rPr>
        <w:t xml:space="preserve"> </w:t>
      </w:r>
      <w:r w:rsidR="00850EAC" w:rsidRPr="008A4F40">
        <w:rPr>
          <w:color w:val="000000"/>
          <w:sz w:val="22"/>
          <w:szCs w:val="22"/>
        </w:rPr>
        <w:t>Hypromellose</w:t>
      </w:r>
      <w:r w:rsidR="003A2DFF" w:rsidRPr="008A4F40">
        <w:rPr>
          <w:color w:val="000000"/>
          <w:sz w:val="22"/>
          <w:szCs w:val="22"/>
        </w:rPr>
        <w:t>,</w:t>
      </w:r>
      <w:r w:rsidRPr="008A4F40">
        <w:rPr>
          <w:color w:val="000000"/>
          <w:sz w:val="22"/>
          <w:szCs w:val="22"/>
        </w:rPr>
        <w:t xml:space="preserve"> Magnesiumstearat </w:t>
      </w:r>
      <w:r w:rsidR="000F76A4" w:rsidRPr="008A4F40">
        <w:rPr>
          <w:color w:val="000000"/>
          <w:sz w:val="22"/>
          <w:szCs w:val="22"/>
        </w:rPr>
        <w:t xml:space="preserve">[pflanzlich] </w:t>
      </w:r>
      <w:r w:rsidRPr="008A4F40">
        <w:rPr>
          <w:color w:val="000000"/>
          <w:sz w:val="22"/>
          <w:szCs w:val="22"/>
        </w:rPr>
        <w:t>und hochdisperses Siliciumdioxid.</w:t>
      </w:r>
    </w:p>
    <w:p w14:paraId="2A214B8D" w14:textId="77777777" w:rsidR="00AB6D5E" w:rsidRPr="008A4F40" w:rsidRDefault="00AB6D5E" w:rsidP="004E7659">
      <w:pPr>
        <w:numPr>
          <w:ilvl w:val="0"/>
          <w:numId w:val="1"/>
        </w:numPr>
        <w:tabs>
          <w:tab w:val="clear" w:pos="417"/>
        </w:tabs>
        <w:ind w:left="567" w:hanging="567"/>
        <w:rPr>
          <w:color w:val="000000"/>
          <w:sz w:val="22"/>
          <w:szCs w:val="22"/>
        </w:rPr>
      </w:pPr>
      <w:r w:rsidRPr="008A4F40">
        <w:rPr>
          <w:color w:val="000000"/>
          <w:sz w:val="22"/>
          <w:szCs w:val="22"/>
        </w:rPr>
        <w:t>Der Filmüberzug der Tablette besteht aus Eisen(</w:t>
      </w:r>
      <w:smartTag w:uri="urn:schemas-microsoft-com:office:smarttags" w:element="stockticker">
        <w:r w:rsidRPr="008A4F40">
          <w:rPr>
            <w:color w:val="000000"/>
            <w:sz w:val="22"/>
            <w:szCs w:val="22"/>
          </w:rPr>
          <w:t>III</w:t>
        </w:r>
      </w:smartTag>
      <w:r w:rsidRPr="008A4F40">
        <w:rPr>
          <w:color w:val="000000"/>
          <w:sz w:val="22"/>
          <w:szCs w:val="22"/>
        </w:rPr>
        <w:t>)-oxid (E 172</w:t>
      </w:r>
      <w:r w:rsidR="001371BD" w:rsidRPr="008A4F40">
        <w:rPr>
          <w:color w:val="000000"/>
          <w:sz w:val="22"/>
          <w:szCs w:val="22"/>
        </w:rPr>
        <w:t>, rot</w:t>
      </w:r>
      <w:r w:rsidRPr="008A4F40">
        <w:rPr>
          <w:color w:val="000000"/>
          <w:sz w:val="22"/>
          <w:szCs w:val="22"/>
        </w:rPr>
        <w:t xml:space="preserve">), </w:t>
      </w:r>
      <w:r w:rsidR="001371BD" w:rsidRPr="008A4F40">
        <w:rPr>
          <w:sz w:val="22"/>
          <w:szCs w:val="22"/>
          <w:lang w:val="de-CH"/>
        </w:rPr>
        <w:t>Eisen(III)-hydroxid-oxid x H</w:t>
      </w:r>
      <w:r w:rsidR="001371BD" w:rsidRPr="008A4F40">
        <w:rPr>
          <w:sz w:val="22"/>
          <w:szCs w:val="22"/>
          <w:vertAlign w:val="subscript"/>
          <w:lang w:val="de-CH"/>
        </w:rPr>
        <w:t>2</w:t>
      </w:r>
      <w:r w:rsidR="001371BD" w:rsidRPr="008A4F40">
        <w:rPr>
          <w:sz w:val="22"/>
          <w:szCs w:val="22"/>
          <w:lang w:val="de-CH"/>
        </w:rPr>
        <w:t>O</w:t>
      </w:r>
      <w:r w:rsidR="001371BD" w:rsidRPr="008A4F40">
        <w:rPr>
          <w:color w:val="000000"/>
          <w:sz w:val="22"/>
          <w:szCs w:val="22"/>
        </w:rPr>
        <w:t xml:space="preserve"> </w:t>
      </w:r>
      <w:r w:rsidRPr="008A4F40">
        <w:rPr>
          <w:color w:val="000000"/>
          <w:sz w:val="22"/>
          <w:szCs w:val="22"/>
        </w:rPr>
        <w:t>(E 172</w:t>
      </w:r>
      <w:r w:rsidR="001371BD" w:rsidRPr="008A4F40">
        <w:rPr>
          <w:color w:val="000000"/>
          <w:sz w:val="22"/>
          <w:szCs w:val="22"/>
        </w:rPr>
        <w:t>, gelb</w:t>
      </w:r>
      <w:r w:rsidRPr="008A4F40">
        <w:rPr>
          <w:color w:val="000000"/>
          <w:sz w:val="22"/>
          <w:szCs w:val="22"/>
        </w:rPr>
        <w:t>), Macrogol, Talkum und Hypromellose.</w:t>
      </w:r>
    </w:p>
    <w:p w14:paraId="5A5C1EDD" w14:textId="77777777" w:rsidR="00AB6D5E" w:rsidRPr="008A4F40" w:rsidRDefault="00AB6D5E" w:rsidP="004E7659">
      <w:pPr>
        <w:rPr>
          <w:color w:val="000000"/>
          <w:sz w:val="22"/>
          <w:szCs w:val="22"/>
        </w:rPr>
      </w:pPr>
    </w:p>
    <w:p w14:paraId="1B18D86F" w14:textId="77777777" w:rsidR="00AB6D5E" w:rsidRPr="008A4F40" w:rsidRDefault="00AB6D5E" w:rsidP="004E7659">
      <w:pPr>
        <w:keepNext/>
        <w:rPr>
          <w:b/>
          <w:color w:val="000000"/>
          <w:sz w:val="22"/>
          <w:szCs w:val="22"/>
        </w:rPr>
      </w:pPr>
      <w:r w:rsidRPr="008A4F40">
        <w:rPr>
          <w:b/>
          <w:color w:val="000000"/>
          <w:sz w:val="22"/>
          <w:szCs w:val="22"/>
        </w:rPr>
        <w:t>Wie Glivec aussieht und Inhalt der Packung</w:t>
      </w:r>
    </w:p>
    <w:p w14:paraId="2333CD21" w14:textId="452C5F5E" w:rsidR="00AB6D5E" w:rsidRPr="008A4F40" w:rsidRDefault="00AB6D5E" w:rsidP="004E7659">
      <w:pPr>
        <w:rPr>
          <w:color w:val="000000"/>
          <w:sz w:val="22"/>
          <w:szCs w:val="22"/>
        </w:rPr>
      </w:pPr>
      <w:r w:rsidRPr="008A4F40">
        <w:rPr>
          <w:color w:val="000000"/>
          <w:sz w:val="22"/>
          <w:szCs w:val="22"/>
        </w:rPr>
        <w:t>Glivec 100 mg Filmtabletten sind stark dunkelgelbe bis bräunlich-orange runde Tabletten mit „</w:t>
      </w:r>
      <w:smartTag w:uri="urn:schemas-microsoft-com:office:smarttags" w:element="stockticker">
        <w:r w:rsidRPr="008A4F40">
          <w:rPr>
            <w:color w:val="000000"/>
            <w:sz w:val="22"/>
            <w:szCs w:val="22"/>
          </w:rPr>
          <w:t>NVR</w:t>
        </w:r>
      </w:smartTag>
      <w:r w:rsidRPr="008A4F40">
        <w:rPr>
          <w:color w:val="000000"/>
          <w:sz w:val="22"/>
          <w:szCs w:val="22"/>
        </w:rPr>
        <w:t>“ auf der einen Seite und „SA“ und einer Bruch</w:t>
      </w:r>
      <w:r w:rsidR="00CE5BE6">
        <w:rPr>
          <w:color w:val="000000"/>
          <w:sz w:val="22"/>
          <w:szCs w:val="22"/>
        </w:rPr>
        <w:t>kerbe</w:t>
      </w:r>
      <w:r w:rsidRPr="008A4F40">
        <w:rPr>
          <w:color w:val="000000"/>
          <w:sz w:val="22"/>
          <w:szCs w:val="22"/>
        </w:rPr>
        <w:t xml:space="preserve"> auf der anderen Seite.</w:t>
      </w:r>
    </w:p>
    <w:p w14:paraId="49616B16" w14:textId="6882EDA8" w:rsidR="00EB7BA5" w:rsidRPr="008A4F40" w:rsidRDefault="00EB7BA5" w:rsidP="004E7659">
      <w:pPr>
        <w:rPr>
          <w:color w:val="000000"/>
          <w:sz w:val="22"/>
          <w:szCs w:val="22"/>
        </w:rPr>
      </w:pPr>
      <w:r w:rsidRPr="008A4F40">
        <w:rPr>
          <w:color w:val="000000"/>
          <w:sz w:val="22"/>
          <w:szCs w:val="22"/>
        </w:rPr>
        <w:t>Glivec 400 mg Filmtabletten sind stark dunkelgelbe bis bräunlich-orange ovale Tabletten mit „</w:t>
      </w:r>
      <w:r w:rsidR="00CE5BE6">
        <w:rPr>
          <w:color w:val="000000"/>
          <w:sz w:val="22"/>
          <w:szCs w:val="22"/>
        </w:rPr>
        <w:t>400</w:t>
      </w:r>
      <w:r w:rsidRPr="008A4F40">
        <w:rPr>
          <w:color w:val="000000"/>
          <w:sz w:val="22"/>
          <w:szCs w:val="22"/>
        </w:rPr>
        <w:t xml:space="preserve">“ auf </w:t>
      </w:r>
      <w:r w:rsidR="00CE5BE6">
        <w:rPr>
          <w:color w:val="000000"/>
          <w:sz w:val="22"/>
          <w:szCs w:val="22"/>
        </w:rPr>
        <w:t xml:space="preserve">der </w:t>
      </w:r>
      <w:r w:rsidRPr="008A4F40">
        <w:rPr>
          <w:color w:val="000000"/>
          <w:sz w:val="22"/>
          <w:szCs w:val="22"/>
        </w:rPr>
        <w:t>eine</w:t>
      </w:r>
      <w:r w:rsidR="00CE5BE6">
        <w:rPr>
          <w:color w:val="000000"/>
          <w:sz w:val="22"/>
          <w:szCs w:val="22"/>
        </w:rPr>
        <w:t>n</w:t>
      </w:r>
      <w:r w:rsidRPr="008A4F40">
        <w:rPr>
          <w:color w:val="000000"/>
          <w:sz w:val="22"/>
          <w:szCs w:val="22"/>
        </w:rPr>
        <w:t xml:space="preserve"> Seite</w:t>
      </w:r>
      <w:r w:rsidR="00CE5BE6">
        <w:rPr>
          <w:color w:val="000000"/>
          <w:sz w:val="22"/>
          <w:szCs w:val="22"/>
        </w:rPr>
        <w:t xml:space="preserve"> und einer Bruchkerbe</w:t>
      </w:r>
      <w:r w:rsidR="00692264">
        <w:rPr>
          <w:color w:val="000000"/>
          <w:sz w:val="22"/>
          <w:szCs w:val="22"/>
        </w:rPr>
        <w:t xml:space="preserve"> mit „SL“ auf jeder Seite der Bruchkerbe auf der anderen Seite</w:t>
      </w:r>
      <w:r w:rsidRPr="008A4F40">
        <w:rPr>
          <w:color w:val="000000"/>
          <w:sz w:val="22"/>
          <w:szCs w:val="22"/>
        </w:rPr>
        <w:t>.</w:t>
      </w:r>
    </w:p>
    <w:p w14:paraId="15512450" w14:textId="77777777" w:rsidR="00AB6D5E" w:rsidRPr="008A4F40" w:rsidRDefault="00AB6D5E" w:rsidP="004E7659">
      <w:pPr>
        <w:rPr>
          <w:color w:val="000000"/>
          <w:sz w:val="22"/>
          <w:szCs w:val="22"/>
        </w:rPr>
      </w:pPr>
    </w:p>
    <w:p w14:paraId="3E7C9B32" w14:textId="351DD782" w:rsidR="00AD1D80" w:rsidRPr="008A4F40" w:rsidRDefault="00EB7BA5" w:rsidP="004E7659">
      <w:pPr>
        <w:rPr>
          <w:color w:val="000000"/>
          <w:sz w:val="22"/>
          <w:szCs w:val="22"/>
        </w:rPr>
      </w:pPr>
      <w:r w:rsidRPr="008A4F40">
        <w:rPr>
          <w:color w:val="000000"/>
          <w:sz w:val="22"/>
          <w:szCs w:val="22"/>
        </w:rPr>
        <w:t xml:space="preserve">Glivec 100 mg Filmtabletten </w:t>
      </w:r>
      <w:r w:rsidR="00AB6D5E" w:rsidRPr="008A4F40">
        <w:rPr>
          <w:color w:val="000000"/>
          <w:sz w:val="22"/>
          <w:szCs w:val="22"/>
        </w:rPr>
        <w:t>werden in Packungen mit 20, 60, 120 oder 180 Tabletten zur Verfügung gestellt</w:t>
      </w:r>
      <w:r w:rsidR="00AD1D80" w:rsidRPr="008A4F40">
        <w:rPr>
          <w:color w:val="000000"/>
          <w:sz w:val="22"/>
          <w:szCs w:val="22"/>
        </w:rPr>
        <w:t>.</w:t>
      </w:r>
    </w:p>
    <w:p w14:paraId="162C3C7B" w14:textId="77777777" w:rsidR="00AD1D80" w:rsidRPr="008A4F40" w:rsidRDefault="00EB7BA5" w:rsidP="004E7659">
      <w:pPr>
        <w:rPr>
          <w:color w:val="000000"/>
          <w:sz w:val="22"/>
          <w:szCs w:val="22"/>
        </w:rPr>
      </w:pPr>
      <w:r w:rsidRPr="008A4F40">
        <w:rPr>
          <w:color w:val="000000"/>
          <w:sz w:val="22"/>
          <w:szCs w:val="22"/>
        </w:rPr>
        <w:t>Glivec 400 mg Filmtabletten werden in Packungen mit 10, 30 oder 90 Tabletten zur Verfügung gestellt.</w:t>
      </w:r>
    </w:p>
    <w:p w14:paraId="64EAC2D0" w14:textId="215FA8B4" w:rsidR="00AB6D5E" w:rsidRPr="008A4F40" w:rsidRDefault="00AD1D80" w:rsidP="004E7659">
      <w:pPr>
        <w:rPr>
          <w:color w:val="000000"/>
          <w:sz w:val="22"/>
          <w:szCs w:val="22"/>
        </w:rPr>
      </w:pPr>
      <w:r w:rsidRPr="008A4F40">
        <w:rPr>
          <w:color w:val="000000"/>
          <w:sz w:val="22"/>
          <w:szCs w:val="22"/>
        </w:rPr>
        <w:t xml:space="preserve">Es sind möglicherweise </w:t>
      </w:r>
      <w:r w:rsidR="00AB6D5E" w:rsidRPr="008A4F40">
        <w:rPr>
          <w:color w:val="000000"/>
          <w:sz w:val="22"/>
          <w:szCs w:val="22"/>
        </w:rPr>
        <w:t>nicht alle Packungsgrößen in Ihrem Land verfügbar.</w:t>
      </w:r>
    </w:p>
    <w:p w14:paraId="1D4096C8" w14:textId="77777777" w:rsidR="00AB6D5E" w:rsidRPr="008A4F40" w:rsidRDefault="00AB6D5E" w:rsidP="004E7659">
      <w:pPr>
        <w:rPr>
          <w:color w:val="000000"/>
          <w:sz w:val="22"/>
          <w:szCs w:val="22"/>
        </w:rPr>
      </w:pPr>
    </w:p>
    <w:p w14:paraId="51E53BBD" w14:textId="77777777" w:rsidR="00AB6D5E" w:rsidRPr="008A4F40" w:rsidRDefault="00AB6D5E" w:rsidP="004E7659">
      <w:pPr>
        <w:keepNext/>
        <w:rPr>
          <w:b/>
          <w:color w:val="000000"/>
          <w:sz w:val="22"/>
          <w:szCs w:val="22"/>
          <w:lang w:val="en-US"/>
        </w:rPr>
      </w:pPr>
      <w:proofErr w:type="spellStart"/>
      <w:r w:rsidRPr="008A4F40">
        <w:rPr>
          <w:b/>
          <w:color w:val="000000"/>
          <w:sz w:val="22"/>
          <w:szCs w:val="22"/>
          <w:lang w:val="en-US"/>
        </w:rPr>
        <w:t>Pharmazeutischer</w:t>
      </w:r>
      <w:proofErr w:type="spellEnd"/>
      <w:r w:rsidRPr="008A4F40">
        <w:rPr>
          <w:b/>
          <w:color w:val="000000"/>
          <w:sz w:val="22"/>
          <w:szCs w:val="22"/>
          <w:lang w:val="en-US"/>
        </w:rPr>
        <w:t xml:space="preserve"> </w:t>
      </w:r>
      <w:proofErr w:type="spellStart"/>
      <w:r w:rsidRPr="008A4F40">
        <w:rPr>
          <w:b/>
          <w:color w:val="000000"/>
          <w:sz w:val="22"/>
          <w:szCs w:val="22"/>
          <w:lang w:val="en-US"/>
        </w:rPr>
        <w:t>Unternehmer</w:t>
      </w:r>
      <w:proofErr w:type="spellEnd"/>
    </w:p>
    <w:p w14:paraId="6231ADA1" w14:textId="77777777" w:rsidR="00AB6D5E" w:rsidRPr="008A4F40" w:rsidRDefault="00AB6D5E" w:rsidP="004E7659">
      <w:pPr>
        <w:keepNext/>
        <w:rPr>
          <w:color w:val="000000"/>
          <w:sz w:val="22"/>
          <w:szCs w:val="22"/>
          <w:lang w:val="en-US"/>
        </w:rPr>
      </w:pPr>
      <w:r w:rsidRPr="008A4F40">
        <w:rPr>
          <w:color w:val="000000"/>
          <w:sz w:val="22"/>
          <w:szCs w:val="22"/>
          <w:lang w:val="en-US"/>
        </w:rPr>
        <w:t xml:space="preserve">Novartis </w:t>
      </w:r>
      <w:proofErr w:type="spellStart"/>
      <w:r w:rsidRPr="008A4F40">
        <w:rPr>
          <w:color w:val="000000"/>
          <w:sz w:val="22"/>
          <w:szCs w:val="22"/>
          <w:lang w:val="en-US"/>
        </w:rPr>
        <w:t>Europharm</w:t>
      </w:r>
      <w:proofErr w:type="spellEnd"/>
      <w:r w:rsidRPr="008A4F40">
        <w:rPr>
          <w:color w:val="000000"/>
          <w:sz w:val="22"/>
          <w:szCs w:val="22"/>
          <w:lang w:val="en-US"/>
        </w:rPr>
        <w:t xml:space="preserve"> Limited</w:t>
      </w:r>
    </w:p>
    <w:p w14:paraId="26DEEFE0" w14:textId="77777777" w:rsidR="002C158B" w:rsidRPr="008A4F40" w:rsidRDefault="002C158B" w:rsidP="004E7659">
      <w:pPr>
        <w:keepNext/>
        <w:rPr>
          <w:color w:val="000000"/>
          <w:sz w:val="22"/>
          <w:szCs w:val="22"/>
          <w:lang w:val="en-US"/>
        </w:rPr>
      </w:pPr>
      <w:r w:rsidRPr="008A4F40">
        <w:rPr>
          <w:color w:val="000000"/>
          <w:sz w:val="22"/>
          <w:szCs w:val="22"/>
          <w:lang w:val="en-US"/>
        </w:rPr>
        <w:t>Vista Building</w:t>
      </w:r>
    </w:p>
    <w:p w14:paraId="51A53DEA" w14:textId="77777777" w:rsidR="002C158B" w:rsidRPr="008A4F40" w:rsidRDefault="002C158B" w:rsidP="004E7659">
      <w:pPr>
        <w:keepNext/>
        <w:rPr>
          <w:color w:val="000000"/>
          <w:sz w:val="22"/>
          <w:szCs w:val="22"/>
          <w:lang w:val="en-US"/>
        </w:rPr>
      </w:pPr>
      <w:r w:rsidRPr="008A4F40">
        <w:rPr>
          <w:color w:val="000000"/>
          <w:sz w:val="22"/>
          <w:szCs w:val="22"/>
          <w:lang w:val="en-US"/>
        </w:rPr>
        <w:t>Elm Park, Merrion Road</w:t>
      </w:r>
    </w:p>
    <w:p w14:paraId="4B45162B" w14:textId="77777777" w:rsidR="002C158B" w:rsidRPr="008A4F40" w:rsidRDefault="002C158B" w:rsidP="004E7659">
      <w:pPr>
        <w:keepNext/>
        <w:rPr>
          <w:color w:val="000000"/>
          <w:sz w:val="22"/>
          <w:szCs w:val="22"/>
          <w:lang w:val="en-US"/>
        </w:rPr>
      </w:pPr>
      <w:r w:rsidRPr="008A4F40">
        <w:rPr>
          <w:color w:val="000000"/>
          <w:sz w:val="22"/>
          <w:szCs w:val="22"/>
          <w:lang w:val="en-US"/>
        </w:rPr>
        <w:t>Dublin 4</w:t>
      </w:r>
    </w:p>
    <w:p w14:paraId="3470597F" w14:textId="77777777" w:rsidR="00AB6D5E" w:rsidRPr="008A4F40" w:rsidRDefault="002C158B" w:rsidP="004E7659">
      <w:pPr>
        <w:rPr>
          <w:color w:val="000000"/>
          <w:sz w:val="22"/>
          <w:szCs w:val="22"/>
          <w:lang w:val="nb-NO"/>
        </w:rPr>
      </w:pPr>
      <w:r w:rsidRPr="008A4F40">
        <w:rPr>
          <w:color w:val="000000"/>
          <w:sz w:val="22"/>
          <w:szCs w:val="22"/>
          <w:lang w:val="nb-NO"/>
        </w:rPr>
        <w:t>Irland</w:t>
      </w:r>
    </w:p>
    <w:p w14:paraId="552629DD" w14:textId="77777777" w:rsidR="00AB6D5E" w:rsidRPr="008A4F40" w:rsidRDefault="00AB6D5E" w:rsidP="004E7659">
      <w:pPr>
        <w:rPr>
          <w:color w:val="000000"/>
          <w:sz w:val="22"/>
          <w:szCs w:val="22"/>
          <w:lang w:val="nb-NO"/>
        </w:rPr>
      </w:pPr>
    </w:p>
    <w:p w14:paraId="3420DD20" w14:textId="77777777" w:rsidR="00AB6D5E" w:rsidRPr="008A4F40" w:rsidRDefault="00AB6D5E" w:rsidP="004E7659">
      <w:pPr>
        <w:keepNext/>
        <w:rPr>
          <w:b/>
          <w:color w:val="000000"/>
          <w:sz w:val="22"/>
          <w:szCs w:val="22"/>
          <w:lang w:val="nb-NO"/>
        </w:rPr>
      </w:pPr>
      <w:r w:rsidRPr="008A4F40">
        <w:rPr>
          <w:b/>
          <w:color w:val="000000"/>
          <w:sz w:val="22"/>
          <w:szCs w:val="22"/>
          <w:lang w:val="nb-NO"/>
        </w:rPr>
        <w:t>Hersteller</w:t>
      </w:r>
    </w:p>
    <w:p w14:paraId="6DBEAD8B" w14:textId="77777777" w:rsidR="006F599D" w:rsidRPr="006F599D" w:rsidRDefault="006F599D" w:rsidP="004E7659">
      <w:pPr>
        <w:keepNext/>
        <w:tabs>
          <w:tab w:val="left" w:pos="7513"/>
        </w:tabs>
        <w:rPr>
          <w:sz w:val="22"/>
          <w:szCs w:val="22"/>
          <w:lang w:val="en-US"/>
        </w:rPr>
      </w:pPr>
      <w:r w:rsidRPr="006F599D">
        <w:rPr>
          <w:sz w:val="22"/>
          <w:szCs w:val="22"/>
          <w:lang w:val="en-US"/>
        </w:rPr>
        <w:t>Novartis Pharmaceutical Manufacturing LLC</w:t>
      </w:r>
    </w:p>
    <w:p w14:paraId="471492A6" w14:textId="77777777" w:rsidR="006F599D" w:rsidRPr="006F599D" w:rsidRDefault="006F599D" w:rsidP="004E7659">
      <w:pPr>
        <w:keepNext/>
        <w:tabs>
          <w:tab w:val="left" w:pos="7513"/>
        </w:tabs>
        <w:rPr>
          <w:sz w:val="22"/>
          <w:szCs w:val="22"/>
          <w:lang w:val="en-US"/>
        </w:rPr>
      </w:pPr>
      <w:proofErr w:type="spellStart"/>
      <w:r w:rsidRPr="006F599D">
        <w:rPr>
          <w:sz w:val="22"/>
          <w:szCs w:val="22"/>
          <w:lang w:val="en-US"/>
        </w:rPr>
        <w:t>Verovskova</w:t>
      </w:r>
      <w:proofErr w:type="spellEnd"/>
      <w:r w:rsidRPr="006F599D">
        <w:rPr>
          <w:sz w:val="22"/>
          <w:szCs w:val="22"/>
          <w:lang w:val="en-US"/>
        </w:rPr>
        <w:t xml:space="preserve"> </w:t>
      </w:r>
      <w:proofErr w:type="spellStart"/>
      <w:r w:rsidRPr="006F599D">
        <w:rPr>
          <w:sz w:val="22"/>
          <w:szCs w:val="22"/>
          <w:lang w:val="en-US"/>
        </w:rPr>
        <w:t>Ulica</w:t>
      </w:r>
      <w:proofErr w:type="spellEnd"/>
      <w:r w:rsidRPr="006F599D">
        <w:rPr>
          <w:sz w:val="22"/>
          <w:szCs w:val="22"/>
          <w:lang w:val="en-US"/>
        </w:rPr>
        <w:t xml:space="preserve"> 57</w:t>
      </w:r>
    </w:p>
    <w:p w14:paraId="7B4ACC88" w14:textId="77777777" w:rsidR="006F599D" w:rsidRPr="006F599D" w:rsidRDefault="006F599D" w:rsidP="004E7659">
      <w:pPr>
        <w:keepNext/>
        <w:tabs>
          <w:tab w:val="left" w:pos="7513"/>
        </w:tabs>
        <w:rPr>
          <w:sz w:val="22"/>
          <w:szCs w:val="22"/>
          <w:lang w:val="en-US"/>
        </w:rPr>
      </w:pPr>
      <w:r w:rsidRPr="006F599D">
        <w:rPr>
          <w:sz w:val="22"/>
          <w:szCs w:val="22"/>
          <w:lang w:val="en-US"/>
        </w:rPr>
        <w:t>Ljubljana, 1000</w:t>
      </w:r>
    </w:p>
    <w:p w14:paraId="7F9582A0" w14:textId="426FE29B" w:rsidR="006F599D" w:rsidRPr="006F599D" w:rsidRDefault="006F599D" w:rsidP="004E7659">
      <w:pPr>
        <w:ind w:right="-2"/>
        <w:rPr>
          <w:sz w:val="22"/>
          <w:szCs w:val="22"/>
          <w:lang w:val="en-US"/>
        </w:rPr>
      </w:pPr>
      <w:r w:rsidRPr="008A4F40">
        <w:rPr>
          <w:sz w:val="22"/>
          <w:szCs w:val="22"/>
          <w:lang w:val="pt-PT"/>
        </w:rPr>
        <w:t>Slowenien</w:t>
      </w:r>
    </w:p>
    <w:p w14:paraId="25C132D5" w14:textId="77777777" w:rsidR="006F599D" w:rsidRPr="006F599D" w:rsidRDefault="006F599D" w:rsidP="004E7659">
      <w:pPr>
        <w:ind w:right="-2"/>
        <w:rPr>
          <w:color w:val="000000"/>
          <w:sz w:val="22"/>
          <w:szCs w:val="22"/>
          <w:lang w:val="en-US"/>
        </w:rPr>
      </w:pPr>
    </w:p>
    <w:p w14:paraId="6BCFE64B" w14:textId="77777777" w:rsidR="00D7000F" w:rsidRPr="001B0316" w:rsidRDefault="00D7000F" w:rsidP="004E7659">
      <w:pPr>
        <w:keepNext/>
        <w:tabs>
          <w:tab w:val="left" w:pos="7513"/>
        </w:tabs>
        <w:rPr>
          <w:sz w:val="22"/>
          <w:szCs w:val="22"/>
          <w:shd w:val="pct15" w:color="auto" w:fill="auto"/>
          <w:lang w:val="nb-NO"/>
        </w:rPr>
      </w:pPr>
      <w:r w:rsidRPr="001B0316">
        <w:rPr>
          <w:sz w:val="22"/>
          <w:szCs w:val="22"/>
          <w:shd w:val="pct15" w:color="auto" w:fill="auto"/>
          <w:lang w:val="nb-NO"/>
        </w:rPr>
        <w:t>Lek d.d, PE PROIZVODNJA LENDAVA</w:t>
      </w:r>
    </w:p>
    <w:p w14:paraId="21C2CB00" w14:textId="77777777" w:rsidR="00D7000F" w:rsidRPr="001B0316" w:rsidRDefault="00D7000F" w:rsidP="004E7659">
      <w:pPr>
        <w:keepNext/>
        <w:tabs>
          <w:tab w:val="left" w:pos="7513"/>
        </w:tabs>
        <w:rPr>
          <w:sz w:val="22"/>
          <w:szCs w:val="22"/>
          <w:shd w:val="pct15" w:color="auto" w:fill="auto"/>
          <w:lang w:val="nb-NO"/>
        </w:rPr>
      </w:pPr>
      <w:r w:rsidRPr="001B0316">
        <w:rPr>
          <w:sz w:val="22"/>
          <w:szCs w:val="22"/>
          <w:shd w:val="pct15" w:color="auto" w:fill="auto"/>
          <w:lang w:val="nb-NO"/>
        </w:rPr>
        <w:t>Trimlini 2D</w:t>
      </w:r>
    </w:p>
    <w:p w14:paraId="48F28D4D" w14:textId="77777777" w:rsidR="00D7000F" w:rsidRPr="001B0316" w:rsidRDefault="00D7000F" w:rsidP="004E7659">
      <w:pPr>
        <w:keepNext/>
        <w:tabs>
          <w:tab w:val="left" w:pos="7513"/>
        </w:tabs>
        <w:rPr>
          <w:sz w:val="22"/>
          <w:szCs w:val="22"/>
          <w:shd w:val="pct15" w:color="auto" w:fill="auto"/>
          <w:lang w:val="pt-PT"/>
        </w:rPr>
      </w:pPr>
      <w:r w:rsidRPr="001B0316">
        <w:rPr>
          <w:sz w:val="22"/>
          <w:szCs w:val="22"/>
          <w:shd w:val="pct15" w:color="auto" w:fill="auto"/>
          <w:lang w:val="pt-PT"/>
        </w:rPr>
        <w:t>Lendava, 9220</w:t>
      </w:r>
    </w:p>
    <w:p w14:paraId="1C2395B2" w14:textId="77777777" w:rsidR="00D7000F" w:rsidRPr="001B0316" w:rsidRDefault="00D7000F" w:rsidP="004E7659">
      <w:pPr>
        <w:tabs>
          <w:tab w:val="left" w:pos="7513"/>
        </w:tabs>
        <w:rPr>
          <w:sz w:val="22"/>
          <w:szCs w:val="22"/>
          <w:shd w:val="pct15" w:color="auto" w:fill="auto"/>
          <w:lang w:val="pt-PT"/>
        </w:rPr>
      </w:pPr>
      <w:r w:rsidRPr="001B0316">
        <w:rPr>
          <w:sz w:val="22"/>
          <w:szCs w:val="22"/>
          <w:shd w:val="pct15" w:color="auto" w:fill="auto"/>
          <w:lang w:val="pt-PT"/>
        </w:rPr>
        <w:t>Slowenien</w:t>
      </w:r>
    </w:p>
    <w:p w14:paraId="1C329586" w14:textId="77777777" w:rsidR="00D7000F" w:rsidRPr="008A4F40" w:rsidRDefault="00D7000F" w:rsidP="004E7659">
      <w:pPr>
        <w:tabs>
          <w:tab w:val="left" w:pos="7513"/>
        </w:tabs>
        <w:rPr>
          <w:sz w:val="22"/>
          <w:szCs w:val="22"/>
          <w:lang w:val="pt-PT"/>
        </w:rPr>
      </w:pPr>
    </w:p>
    <w:p w14:paraId="726D4D9A" w14:textId="77777777" w:rsidR="00F909D5" w:rsidRPr="00F46B3D" w:rsidRDefault="00F909D5" w:rsidP="004E7659">
      <w:pPr>
        <w:keepNext/>
        <w:tabs>
          <w:tab w:val="left" w:pos="7513"/>
        </w:tabs>
        <w:rPr>
          <w:sz w:val="22"/>
          <w:szCs w:val="22"/>
          <w:shd w:val="pct15" w:color="auto" w:fill="auto"/>
          <w:lang w:val="it-IT"/>
        </w:rPr>
      </w:pPr>
      <w:r w:rsidRPr="00F46B3D">
        <w:rPr>
          <w:sz w:val="22"/>
          <w:szCs w:val="22"/>
          <w:shd w:val="pct15" w:color="auto" w:fill="auto"/>
          <w:lang w:val="it-IT"/>
        </w:rPr>
        <w:t>Novartis Farmacéutica, S.A.</w:t>
      </w:r>
    </w:p>
    <w:p w14:paraId="6646F432" w14:textId="77777777" w:rsidR="00F909D5" w:rsidRPr="00F46B3D" w:rsidRDefault="00F909D5" w:rsidP="004E7659">
      <w:pPr>
        <w:keepNext/>
        <w:tabs>
          <w:tab w:val="left" w:pos="7513"/>
        </w:tabs>
        <w:rPr>
          <w:sz w:val="22"/>
          <w:szCs w:val="22"/>
          <w:shd w:val="pct15" w:color="auto" w:fill="auto"/>
          <w:lang w:val="it-IT"/>
        </w:rPr>
      </w:pPr>
      <w:r w:rsidRPr="00F46B3D">
        <w:rPr>
          <w:sz w:val="22"/>
          <w:szCs w:val="22"/>
          <w:shd w:val="pct15" w:color="auto" w:fill="auto"/>
          <w:lang w:val="it-IT"/>
        </w:rPr>
        <w:t>Gran Via de les Corts Catalanes, 764</w:t>
      </w:r>
    </w:p>
    <w:p w14:paraId="4B1307B1" w14:textId="77777777" w:rsidR="00F909D5" w:rsidRPr="00F46B3D" w:rsidRDefault="00F909D5" w:rsidP="004E7659">
      <w:pPr>
        <w:keepNext/>
        <w:tabs>
          <w:tab w:val="left" w:pos="7513"/>
        </w:tabs>
        <w:rPr>
          <w:sz w:val="22"/>
          <w:szCs w:val="22"/>
          <w:shd w:val="pct15" w:color="auto" w:fill="auto"/>
          <w:lang w:val="it-IT"/>
        </w:rPr>
      </w:pPr>
      <w:r w:rsidRPr="00F46B3D">
        <w:rPr>
          <w:sz w:val="22"/>
          <w:szCs w:val="22"/>
          <w:shd w:val="pct15" w:color="auto" w:fill="auto"/>
          <w:lang w:val="it-IT"/>
        </w:rPr>
        <w:t>08013 Barcelona</w:t>
      </w:r>
    </w:p>
    <w:p w14:paraId="18EA0D75" w14:textId="4B13FA94" w:rsidR="00AB6D5E" w:rsidRPr="008A4F40" w:rsidRDefault="00F909D5" w:rsidP="004E7659">
      <w:pPr>
        <w:rPr>
          <w:color w:val="000000"/>
          <w:sz w:val="22"/>
          <w:szCs w:val="22"/>
          <w:shd w:val="pct15" w:color="auto" w:fill="auto"/>
        </w:rPr>
      </w:pPr>
      <w:r w:rsidRPr="00F46B3D">
        <w:rPr>
          <w:sz w:val="22"/>
          <w:szCs w:val="22"/>
          <w:shd w:val="pct15" w:color="auto" w:fill="auto"/>
          <w:lang w:val="it-IT"/>
        </w:rPr>
        <w:t>Spanien</w:t>
      </w:r>
    </w:p>
    <w:p w14:paraId="661309F5" w14:textId="77777777" w:rsidR="00AB6D5E" w:rsidRDefault="00AB6D5E" w:rsidP="004E7659">
      <w:pPr>
        <w:rPr>
          <w:color w:val="000000"/>
          <w:sz w:val="22"/>
          <w:szCs w:val="22"/>
        </w:rPr>
      </w:pPr>
    </w:p>
    <w:p w14:paraId="5B42C043" w14:textId="77777777" w:rsidR="00D861C2" w:rsidRPr="004E7659" w:rsidRDefault="00D861C2" w:rsidP="004E7659">
      <w:pPr>
        <w:keepNext/>
        <w:rPr>
          <w:rFonts w:eastAsia="Aptos"/>
          <w:sz w:val="22"/>
          <w:szCs w:val="22"/>
          <w:shd w:val="pct15" w:color="auto" w:fill="auto"/>
          <w:lang w:eastAsia="de-CH"/>
        </w:rPr>
      </w:pPr>
      <w:r w:rsidRPr="004E7659">
        <w:rPr>
          <w:rFonts w:eastAsia="Aptos"/>
          <w:sz w:val="22"/>
          <w:szCs w:val="22"/>
          <w:shd w:val="pct15" w:color="auto" w:fill="auto"/>
          <w:lang w:eastAsia="de-CH"/>
        </w:rPr>
        <w:t>Novartis Pharma GmbH</w:t>
      </w:r>
    </w:p>
    <w:p w14:paraId="2AD6C1DA" w14:textId="77777777" w:rsidR="00D861C2" w:rsidRPr="004E7659" w:rsidRDefault="00D861C2" w:rsidP="004E7659">
      <w:pPr>
        <w:keepNext/>
        <w:rPr>
          <w:rFonts w:eastAsia="Aptos"/>
          <w:sz w:val="22"/>
          <w:szCs w:val="22"/>
          <w:shd w:val="pct15" w:color="auto" w:fill="auto"/>
          <w:lang w:eastAsia="de-CH"/>
        </w:rPr>
      </w:pPr>
      <w:r w:rsidRPr="004E7659">
        <w:rPr>
          <w:rFonts w:eastAsia="Aptos"/>
          <w:sz w:val="22"/>
          <w:szCs w:val="22"/>
          <w:shd w:val="pct15" w:color="auto" w:fill="auto"/>
          <w:lang w:eastAsia="de-CH"/>
        </w:rPr>
        <w:t>Sophie-Germain-Straße 10</w:t>
      </w:r>
    </w:p>
    <w:p w14:paraId="0BD7972C" w14:textId="77777777" w:rsidR="00D861C2" w:rsidRPr="004E7659" w:rsidRDefault="00D861C2" w:rsidP="004E7659">
      <w:pPr>
        <w:keepNext/>
        <w:rPr>
          <w:rFonts w:eastAsia="Aptos"/>
          <w:sz w:val="22"/>
          <w:szCs w:val="22"/>
          <w:shd w:val="pct15" w:color="auto" w:fill="auto"/>
          <w:lang w:eastAsia="de-CH"/>
        </w:rPr>
      </w:pPr>
      <w:r w:rsidRPr="004E7659">
        <w:rPr>
          <w:rFonts w:eastAsia="Aptos"/>
          <w:sz w:val="22"/>
          <w:szCs w:val="22"/>
          <w:shd w:val="pct15" w:color="auto" w:fill="auto"/>
          <w:lang w:eastAsia="de-CH"/>
        </w:rPr>
        <w:t>90443 Nürnberg</w:t>
      </w:r>
    </w:p>
    <w:p w14:paraId="4758DE7B" w14:textId="68CF37B1" w:rsidR="00D861C2" w:rsidRDefault="00D861C2" w:rsidP="004E7659">
      <w:pPr>
        <w:rPr>
          <w:sz w:val="22"/>
          <w:szCs w:val="22"/>
          <w:shd w:val="pct15" w:color="auto" w:fill="auto"/>
          <w:lang w:val="de-CH"/>
        </w:rPr>
      </w:pPr>
      <w:r w:rsidRPr="00CC69C1">
        <w:rPr>
          <w:sz w:val="22"/>
          <w:szCs w:val="22"/>
          <w:shd w:val="pct15" w:color="auto" w:fill="auto"/>
          <w:lang w:val="de-CH"/>
        </w:rPr>
        <w:t>Deutschland</w:t>
      </w:r>
    </w:p>
    <w:p w14:paraId="2E724B24" w14:textId="77777777" w:rsidR="00D861C2" w:rsidRPr="008A4F40" w:rsidRDefault="00D861C2" w:rsidP="004E7659">
      <w:pPr>
        <w:rPr>
          <w:color w:val="000000"/>
          <w:sz w:val="22"/>
          <w:szCs w:val="22"/>
        </w:rPr>
      </w:pPr>
    </w:p>
    <w:p w14:paraId="0371EEA6" w14:textId="408F0899" w:rsidR="00AB6D5E" w:rsidRPr="008A4F40" w:rsidRDefault="00AB6D5E" w:rsidP="004E7659">
      <w:pPr>
        <w:pStyle w:val="BodyText"/>
        <w:spacing w:line="240" w:lineRule="auto"/>
        <w:jc w:val="left"/>
        <w:rPr>
          <w:color w:val="000000"/>
          <w:szCs w:val="22"/>
        </w:rPr>
      </w:pPr>
      <w:r w:rsidRPr="008A4F40">
        <w:rPr>
          <w:color w:val="000000"/>
          <w:szCs w:val="22"/>
        </w:rPr>
        <w:t xml:space="preserve">Falls </w:t>
      </w:r>
      <w:r w:rsidR="00001DA2" w:rsidRPr="008A4F40">
        <w:rPr>
          <w:color w:val="000000"/>
          <w:szCs w:val="22"/>
        </w:rPr>
        <w:t xml:space="preserve">Sie </w:t>
      </w:r>
      <w:r w:rsidRPr="008A4F40">
        <w:rPr>
          <w:color w:val="000000"/>
          <w:szCs w:val="22"/>
        </w:rPr>
        <w:t>weitere Informationen über das Arzneimittel wünsch</w:t>
      </w:r>
      <w:r w:rsidR="00001DA2" w:rsidRPr="008A4F40">
        <w:rPr>
          <w:color w:val="000000"/>
          <w:szCs w:val="22"/>
        </w:rPr>
        <w:t>en</w:t>
      </w:r>
      <w:r w:rsidRPr="008A4F40">
        <w:rPr>
          <w:color w:val="000000"/>
          <w:szCs w:val="22"/>
        </w:rPr>
        <w:t xml:space="preserve">, setzen Sie sich bitte mit dem örtlichen Vertreter des </w:t>
      </w:r>
      <w:r w:rsidR="0095506C" w:rsidRPr="008A4F40">
        <w:rPr>
          <w:color w:val="000000"/>
          <w:szCs w:val="22"/>
        </w:rPr>
        <w:t>p</w:t>
      </w:r>
      <w:r w:rsidRPr="008A4F40">
        <w:rPr>
          <w:color w:val="000000"/>
          <w:szCs w:val="22"/>
        </w:rPr>
        <w:t>harmazeutischen Unternehmers in Verbindung</w:t>
      </w:r>
      <w:ins w:id="918" w:author="Author">
        <w:r w:rsidR="001F19F9">
          <w:rPr>
            <w:color w:val="000000"/>
            <w:szCs w:val="22"/>
          </w:rPr>
          <w:t>.</w:t>
        </w:r>
      </w:ins>
      <w:del w:id="919" w:author="Author">
        <w:r w:rsidR="00AC50E5" w:rsidRPr="008A4F40" w:rsidDel="001F19F9">
          <w:rPr>
            <w:color w:val="000000"/>
            <w:szCs w:val="22"/>
          </w:rPr>
          <w:delText>:</w:delText>
        </w:r>
      </w:del>
    </w:p>
    <w:p w14:paraId="44DD0655" w14:textId="77777777" w:rsidR="002D1A41" w:rsidRPr="008A4F40" w:rsidRDefault="002D1A41" w:rsidP="004E7659">
      <w:pPr>
        <w:keepNext/>
        <w:ind w:right="-449"/>
        <w:rPr>
          <w:color w:val="000000"/>
          <w:sz w:val="22"/>
          <w:szCs w:val="22"/>
        </w:rPr>
      </w:pPr>
    </w:p>
    <w:tbl>
      <w:tblPr>
        <w:tblW w:w="9300" w:type="dxa"/>
        <w:tblLayout w:type="fixed"/>
        <w:tblLook w:val="0000" w:firstRow="0" w:lastRow="0" w:firstColumn="0" w:lastColumn="0" w:noHBand="0" w:noVBand="0"/>
      </w:tblPr>
      <w:tblGrid>
        <w:gridCol w:w="4650"/>
        <w:gridCol w:w="4650"/>
      </w:tblGrid>
      <w:tr w:rsidR="002D1A41" w:rsidRPr="008A4F40" w14:paraId="2E07C0EE" w14:textId="77777777" w:rsidTr="00CC644C">
        <w:trPr>
          <w:cantSplit/>
        </w:trPr>
        <w:tc>
          <w:tcPr>
            <w:tcW w:w="4650" w:type="dxa"/>
          </w:tcPr>
          <w:p w14:paraId="6E48D546" w14:textId="77777777" w:rsidR="002D1A41" w:rsidRPr="008A4F40" w:rsidRDefault="002D1A41" w:rsidP="004E7659">
            <w:pPr>
              <w:rPr>
                <w:b/>
                <w:color w:val="000000"/>
                <w:sz w:val="22"/>
                <w:szCs w:val="22"/>
                <w:lang w:val="fr-FR"/>
              </w:rPr>
            </w:pPr>
            <w:proofErr w:type="spellStart"/>
            <w:r w:rsidRPr="008A4F40">
              <w:rPr>
                <w:b/>
                <w:color w:val="000000"/>
                <w:sz w:val="22"/>
                <w:szCs w:val="22"/>
                <w:lang w:val="fr-FR"/>
              </w:rPr>
              <w:t>België</w:t>
            </w:r>
            <w:proofErr w:type="spellEnd"/>
            <w:r w:rsidRPr="008A4F40">
              <w:rPr>
                <w:b/>
                <w:color w:val="000000"/>
                <w:sz w:val="22"/>
                <w:szCs w:val="22"/>
                <w:lang w:val="fr-FR"/>
              </w:rPr>
              <w:t>/Belgique/</w:t>
            </w:r>
            <w:proofErr w:type="spellStart"/>
            <w:r w:rsidRPr="008A4F40">
              <w:rPr>
                <w:b/>
                <w:color w:val="000000"/>
                <w:sz w:val="22"/>
                <w:szCs w:val="22"/>
                <w:lang w:val="fr-FR"/>
              </w:rPr>
              <w:t>Belgien</w:t>
            </w:r>
            <w:proofErr w:type="spellEnd"/>
          </w:p>
          <w:p w14:paraId="7B2ADBEE" w14:textId="77777777" w:rsidR="002D1A41" w:rsidRPr="008A4F40" w:rsidRDefault="002D1A41" w:rsidP="004E7659">
            <w:pPr>
              <w:rPr>
                <w:color w:val="000000"/>
                <w:sz w:val="22"/>
                <w:szCs w:val="22"/>
                <w:lang w:val="fr-FR"/>
              </w:rPr>
            </w:pPr>
            <w:r w:rsidRPr="008A4F40">
              <w:rPr>
                <w:color w:val="000000"/>
                <w:sz w:val="22"/>
                <w:szCs w:val="22"/>
                <w:lang w:val="fr-FR"/>
              </w:rPr>
              <w:t>Novartis Pharma N.V.</w:t>
            </w:r>
          </w:p>
          <w:p w14:paraId="36444341" w14:textId="77777777" w:rsidR="002D1A41" w:rsidRPr="008A4F40" w:rsidRDefault="002D1A41" w:rsidP="004E7659">
            <w:pPr>
              <w:rPr>
                <w:color w:val="000000"/>
                <w:sz w:val="22"/>
                <w:szCs w:val="22"/>
              </w:rPr>
            </w:pPr>
            <w:r w:rsidRPr="008A4F40">
              <w:rPr>
                <w:color w:val="000000"/>
                <w:sz w:val="22"/>
                <w:szCs w:val="22"/>
              </w:rPr>
              <w:t>Tél/Tel: +32 2 246 16 11</w:t>
            </w:r>
          </w:p>
          <w:p w14:paraId="73D4EFF3" w14:textId="77777777" w:rsidR="002D1A41" w:rsidRPr="008A4F40" w:rsidRDefault="002D1A41" w:rsidP="004E7659">
            <w:pPr>
              <w:rPr>
                <w:b/>
                <w:color w:val="000000"/>
                <w:sz w:val="22"/>
                <w:szCs w:val="22"/>
              </w:rPr>
            </w:pPr>
          </w:p>
        </w:tc>
        <w:tc>
          <w:tcPr>
            <w:tcW w:w="4650" w:type="dxa"/>
          </w:tcPr>
          <w:p w14:paraId="4B06273A" w14:textId="77777777" w:rsidR="002D1A41" w:rsidRPr="008A4F40" w:rsidRDefault="002D1A41" w:rsidP="004E7659">
            <w:pPr>
              <w:rPr>
                <w:b/>
                <w:color w:val="000000"/>
                <w:sz w:val="22"/>
                <w:szCs w:val="22"/>
                <w:lang w:val="es-ES"/>
              </w:rPr>
            </w:pPr>
            <w:proofErr w:type="spellStart"/>
            <w:r w:rsidRPr="008A4F40">
              <w:rPr>
                <w:b/>
                <w:color w:val="000000"/>
                <w:sz w:val="22"/>
                <w:szCs w:val="22"/>
                <w:lang w:val="es-ES"/>
              </w:rPr>
              <w:t>Lietuva</w:t>
            </w:r>
            <w:proofErr w:type="spellEnd"/>
          </w:p>
          <w:p w14:paraId="461BAFEA" w14:textId="0B1F4DD6" w:rsidR="002D1A41" w:rsidRPr="008A4F40" w:rsidRDefault="00E37E76" w:rsidP="004E7659">
            <w:pPr>
              <w:rPr>
                <w:color w:val="000000"/>
                <w:sz w:val="22"/>
                <w:szCs w:val="22"/>
                <w:lang w:val="es-ES"/>
              </w:rPr>
            </w:pPr>
            <w:r w:rsidRPr="008A4F40">
              <w:rPr>
                <w:sz w:val="22"/>
                <w:szCs w:val="22"/>
                <w:lang w:val="es-ES"/>
              </w:rPr>
              <w:t xml:space="preserve">SIA Novartis </w:t>
            </w:r>
            <w:proofErr w:type="spellStart"/>
            <w:r w:rsidRPr="008A4F40">
              <w:rPr>
                <w:sz w:val="22"/>
                <w:szCs w:val="22"/>
                <w:lang w:val="es-ES"/>
              </w:rPr>
              <w:t>Baltics</w:t>
            </w:r>
            <w:proofErr w:type="spellEnd"/>
            <w:r w:rsidRPr="008A4F40">
              <w:rPr>
                <w:sz w:val="22"/>
                <w:szCs w:val="22"/>
                <w:lang w:val="es-ES"/>
              </w:rPr>
              <w:t xml:space="preserve"> </w:t>
            </w:r>
            <w:proofErr w:type="spellStart"/>
            <w:r w:rsidRPr="008A4F40">
              <w:rPr>
                <w:sz w:val="22"/>
                <w:szCs w:val="22"/>
                <w:lang w:val="es-ES"/>
              </w:rPr>
              <w:t>Lietuvos</w:t>
            </w:r>
            <w:proofErr w:type="spellEnd"/>
            <w:r w:rsidRPr="008A4F40">
              <w:rPr>
                <w:sz w:val="22"/>
                <w:szCs w:val="22"/>
                <w:lang w:val="es-ES"/>
              </w:rPr>
              <w:t xml:space="preserve"> </w:t>
            </w:r>
            <w:proofErr w:type="spellStart"/>
            <w:r w:rsidRPr="008A4F40">
              <w:rPr>
                <w:sz w:val="22"/>
                <w:szCs w:val="22"/>
                <w:lang w:val="es-ES"/>
              </w:rPr>
              <w:t>filialas</w:t>
            </w:r>
            <w:proofErr w:type="spellEnd"/>
          </w:p>
          <w:p w14:paraId="2F3887AA" w14:textId="77777777" w:rsidR="002D1A41" w:rsidRPr="008A4F40" w:rsidRDefault="002D1A41" w:rsidP="004E7659">
            <w:pPr>
              <w:rPr>
                <w:color w:val="000000"/>
                <w:sz w:val="22"/>
                <w:szCs w:val="22"/>
                <w:lang w:val="es-ES"/>
              </w:rPr>
            </w:pPr>
            <w:r w:rsidRPr="008A4F40">
              <w:rPr>
                <w:color w:val="000000"/>
                <w:sz w:val="22"/>
                <w:szCs w:val="22"/>
                <w:lang w:val="es-ES"/>
              </w:rPr>
              <w:t>Tel: +370 5 269 16 50</w:t>
            </w:r>
          </w:p>
          <w:p w14:paraId="26B94E90" w14:textId="77777777" w:rsidR="002D1A41" w:rsidRPr="008A4F40" w:rsidRDefault="002D1A41" w:rsidP="004E7659">
            <w:pPr>
              <w:rPr>
                <w:color w:val="000000"/>
                <w:sz w:val="22"/>
                <w:szCs w:val="22"/>
                <w:lang w:val="es-ES"/>
              </w:rPr>
            </w:pPr>
          </w:p>
        </w:tc>
      </w:tr>
      <w:tr w:rsidR="002D1A41" w:rsidRPr="008A4F40" w14:paraId="71D7BBC9" w14:textId="77777777" w:rsidTr="00CC644C">
        <w:trPr>
          <w:cantSplit/>
        </w:trPr>
        <w:tc>
          <w:tcPr>
            <w:tcW w:w="4650" w:type="dxa"/>
          </w:tcPr>
          <w:p w14:paraId="7A814366" w14:textId="77777777" w:rsidR="002D1A41" w:rsidRPr="008A4F40" w:rsidRDefault="002D1A41" w:rsidP="004E7659">
            <w:pPr>
              <w:rPr>
                <w:b/>
                <w:noProof/>
                <w:color w:val="000000"/>
                <w:sz w:val="22"/>
                <w:szCs w:val="22"/>
                <w:lang w:val="pt-PT"/>
              </w:rPr>
            </w:pPr>
            <w:r w:rsidRPr="008A4F40">
              <w:rPr>
                <w:b/>
                <w:noProof/>
                <w:color w:val="000000"/>
                <w:sz w:val="22"/>
                <w:szCs w:val="22"/>
              </w:rPr>
              <w:t>България</w:t>
            </w:r>
          </w:p>
          <w:p w14:paraId="4C039132" w14:textId="77777777" w:rsidR="002D1A41" w:rsidRPr="008A4F40" w:rsidRDefault="002C0CB2" w:rsidP="004E7659">
            <w:pPr>
              <w:rPr>
                <w:noProof/>
                <w:color w:val="000000"/>
                <w:sz w:val="22"/>
                <w:szCs w:val="22"/>
                <w:lang w:val="pt-PT"/>
              </w:rPr>
            </w:pPr>
            <w:r w:rsidRPr="008A4F40">
              <w:rPr>
                <w:noProof/>
                <w:color w:val="000000"/>
                <w:sz w:val="22"/>
                <w:szCs w:val="22"/>
                <w:lang w:val="pt-PT"/>
              </w:rPr>
              <w:t>Novartis Bulgaria EOOD</w:t>
            </w:r>
          </w:p>
          <w:p w14:paraId="3FE60FCB" w14:textId="77777777" w:rsidR="002D1A41" w:rsidRPr="008A4F40" w:rsidRDefault="002D1A41" w:rsidP="004E7659">
            <w:pPr>
              <w:rPr>
                <w:noProof/>
                <w:color w:val="000000"/>
                <w:sz w:val="22"/>
                <w:szCs w:val="22"/>
                <w:lang w:val="pt-PT"/>
              </w:rPr>
            </w:pPr>
            <w:r w:rsidRPr="008A4F40">
              <w:rPr>
                <w:noProof/>
                <w:color w:val="000000"/>
                <w:sz w:val="22"/>
                <w:szCs w:val="22"/>
              </w:rPr>
              <w:t>Тел</w:t>
            </w:r>
            <w:r w:rsidRPr="008A4F40">
              <w:rPr>
                <w:noProof/>
                <w:color w:val="000000"/>
                <w:sz w:val="22"/>
                <w:szCs w:val="22"/>
                <w:lang w:val="pt-PT"/>
              </w:rPr>
              <w:t>.: +359 2 489 98 28</w:t>
            </w:r>
          </w:p>
          <w:p w14:paraId="77F8B669" w14:textId="77777777" w:rsidR="002D1A41" w:rsidRPr="008A4F40" w:rsidRDefault="002D1A41" w:rsidP="004E7659">
            <w:pPr>
              <w:rPr>
                <w:b/>
                <w:color w:val="000000"/>
                <w:sz w:val="22"/>
                <w:szCs w:val="22"/>
                <w:lang w:val="pt-BR"/>
              </w:rPr>
            </w:pPr>
          </w:p>
        </w:tc>
        <w:tc>
          <w:tcPr>
            <w:tcW w:w="4650" w:type="dxa"/>
          </w:tcPr>
          <w:p w14:paraId="1B7AC7EB" w14:textId="77777777" w:rsidR="002D1A41" w:rsidRPr="008A4F40" w:rsidRDefault="002D1A41" w:rsidP="004E7659">
            <w:pPr>
              <w:rPr>
                <w:b/>
                <w:color w:val="000000"/>
                <w:sz w:val="22"/>
                <w:szCs w:val="22"/>
                <w:lang w:val="de-CH"/>
              </w:rPr>
            </w:pPr>
            <w:r w:rsidRPr="008A4F40">
              <w:rPr>
                <w:b/>
                <w:color w:val="000000"/>
                <w:sz w:val="22"/>
                <w:szCs w:val="22"/>
                <w:lang w:val="de-CH"/>
              </w:rPr>
              <w:t>Luxembourg/Luxemburg</w:t>
            </w:r>
          </w:p>
          <w:p w14:paraId="505439E4" w14:textId="77777777" w:rsidR="002D1A41" w:rsidRPr="008A4F40" w:rsidRDefault="002D1A41" w:rsidP="004E7659">
            <w:pPr>
              <w:rPr>
                <w:color w:val="000000"/>
                <w:sz w:val="22"/>
                <w:szCs w:val="22"/>
                <w:lang w:val="de-CH"/>
              </w:rPr>
            </w:pPr>
            <w:r w:rsidRPr="008A4F40">
              <w:rPr>
                <w:color w:val="000000"/>
                <w:sz w:val="22"/>
                <w:szCs w:val="22"/>
                <w:lang w:val="de-CH"/>
              </w:rPr>
              <w:t>Novartis Pharma N.V.</w:t>
            </w:r>
          </w:p>
          <w:p w14:paraId="4A3DD085" w14:textId="77777777" w:rsidR="002D1A41" w:rsidRPr="008A4F40" w:rsidRDefault="002D1A41" w:rsidP="004E7659">
            <w:pPr>
              <w:rPr>
                <w:color w:val="000000"/>
                <w:sz w:val="22"/>
                <w:szCs w:val="22"/>
                <w:lang w:val="de-CH"/>
              </w:rPr>
            </w:pPr>
            <w:r w:rsidRPr="008A4F40">
              <w:rPr>
                <w:color w:val="000000"/>
                <w:sz w:val="22"/>
                <w:szCs w:val="22"/>
                <w:lang w:val="de-CH"/>
              </w:rPr>
              <w:t>Tél/Tel: +32 2 246 16 11</w:t>
            </w:r>
          </w:p>
          <w:p w14:paraId="40755F59" w14:textId="77777777" w:rsidR="002D1A41" w:rsidRPr="008A4F40" w:rsidRDefault="002D1A41" w:rsidP="004E7659">
            <w:pPr>
              <w:rPr>
                <w:color w:val="000000"/>
                <w:sz w:val="22"/>
                <w:szCs w:val="22"/>
                <w:lang w:val="de-CH"/>
              </w:rPr>
            </w:pPr>
          </w:p>
        </w:tc>
      </w:tr>
      <w:tr w:rsidR="002D1A41" w:rsidRPr="00FA2E9E" w14:paraId="5961D0E8" w14:textId="77777777" w:rsidTr="00CC644C">
        <w:trPr>
          <w:cantSplit/>
        </w:trPr>
        <w:tc>
          <w:tcPr>
            <w:tcW w:w="4650" w:type="dxa"/>
          </w:tcPr>
          <w:p w14:paraId="7C4C01C8" w14:textId="77777777" w:rsidR="002D1A41" w:rsidRPr="008A4F40" w:rsidRDefault="002D1A41" w:rsidP="004E7659">
            <w:pPr>
              <w:rPr>
                <w:b/>
                <w:color w:val="000000"/>
                <w:sz w:val="22"/>
                <w:szCs w:val="22"/>
                <w:lang w:val="pt-BR"/>
              </w:rPr>
            </w:pPr>
            <w:r w:rsidRPr="008A4F40">
              <w:rPr>
                <w:b/>
                <w:color w:val="000000"/>
                <w:sz w:val="22"/>
                <w:szCs w:val="22"/>
                <w:lang w:val="pt-BR"/>
              </w:rPr>
              <w:t>Česká republika</w:t>
            </w:r>
          </w:p>
          <w:p w14:paraId="0AED47ED" w14:textId="77777777" w:rsidR="002D1A41" w:rsidRPr="008A4F40" w:rsidRDefault="002D1A41" w:rsidP="004E7659">
            <w:pPr>
              <w:rPr>
                <w:color w:val="000000"/>
                <w:sz w:val="22"/>
                <w:szCs w:val="22"/>
                <w:lang w:val="pt-BR"/>
              </w:rPr>
            </w:pPr>
            <w:r w:rsidRPr="008A4F40">
              <w:rPr>
                <w:color w:val="000000"/>
                <w:sz w:val="22"/>
                <w:szCs w:val="22"/>
                <w:lang w:val="pt-BR"/>
              </w:rPr>
              <w:t>Novartis s.r.o.</w:t>
            </w:r>
          </w:p>
          <w:p w14:paraId="4BED02B9" w14:textId="77777777" w:rsidR="002D1A41" w:rsidRPr="008A4F40" w:rsidRDefault="002D1A41" w:rsidP="004E7659">
            <w:pPr>
              <w:rPr>
                <w:color w:val="000000"/>
                <w:sz w:val="22"/>
                <w:szCs w:val="22"/>
              </w:rPr>
            </w:pPr>
            <w:r w:rsidRPr="008A4F40">
              <w:rPr>
                <w:color w:val="000000"/>
                <w:sz w:val="22"/>
                <w:szCs w:val="22"/>
              </w:rPr>
              <w:t>Tel: +420 225 775 111</w:t>
            </w:r>
          </w:p>
          <w:p w14:paraId="5E8E52D0" w14:textId="77777777" w:rsidR="002D1A41" w:rsidRPr="008A4F40" w:rsidRDefault="002D1A41" w:rsidP="004E7659">
            <w:pPr>
              <w:rPr>
                <w:b/>
                <w:color w:val="000000"/>
                <w:sz w:val="22"/>
                <w:szCs w:val="22"/>
              </w:rPr>
            </w:pPr>
          </w:p>
        </w:tc>
        <w:tc>
          <w:tcPr>
            <w:tcW w:w="4650" w:type="dxa"/>
          </w:tcPr>
          <w:p w14:paraId="150BED13" w14:textId="77777777" w:rsidR="002D1A41" w:rsidRPr="008A4F40" w:rsidRDefault="002D1A41" w:rsidP="004E7659">
            <w:pPr>
              <w:rPr>
                <w:b/>
                <w:color w:val="000000"/>
                <w:sz w:val="22"/>
                <w:szCs w:val="22"/>
                <w:lang w:val="nb-NO"/>
              </w:rPr>
            </w:pPr>
            <w:r w:rsidRPr="008A4F40">
              <w:rPr>
                <w:b/>
                <w:color w:val="000000"/>
                <w:sz w:val="22"/>
                <w:szCs w:val="22"/>
                <w:lang w:val="nb-NO"/>
              </w:rPr>
              <w:t>Magyarország</w:t>
            </w:r>
          </w:p>
          <w:p w14:paraId="0592C0E1" w14:textId="77777777" w:rsidR="002D1A41" w:rsidRPr="008A4F40" w:rsidRDefault="002D1A41" w:rsidP="004E7659">
            <w:pPr>
              <w:rPr>
                <w:color w:val="000000"/>
                <w:sz w:val="22"/>
                <w:szCs w:val="22"/>
                <w:lang w:val="nb-NO"/>
              </w:rPr>
            </w:pPr>
            <w:r w:rsidRPr="008A4F40">
              <w:rPr>
                <w:color w:val="000000"/>
                <w:sz w:val="22"/>
                <w:szCs w:val="22"/>
                <w:lang w:val="nb-NO"/>
              </w:rPr>
              <w:t>Novartis Hungária Kft.</w:t>
            </w:r>
          </w:p>
          <w:p w14:paraId="69FE3C72" w14:textId="77777777" w:rsidR="002D1A41" w:rsidRPr="008A4F40" w:rsidRDefault="002D1A41" w:rsidP="004E7659">
            <w:pPr>
              <w:rPr>
                <w:color w:val="000000"/>
                <w:sz w:val="22"/>
                <w:szCs w:val="22"/>
                <w:lang w:val="nb-NO"/>
              </w:rPr>
            </w:pPr>
            <w:r w:rsidRPr="008A4F40">
              <w:rPr>
                <w:color w:val="000000"/>
                <w:sz w:val="22"/>
                <w:szCs w:val="22"/>
                <w:lang w:val="nb-NO"/>
              </w:rPr>
              <w:t>Tel.: +36 1 457 65 00</w:t>
            </w:r>
          </w:p>
        </w:tc>
      </w:tr>
      <w:tr w:rsidR="002D1A41" w:rsidRPr="008A4F40" w14:paraId="13F8CBE1" w14:textId="77777777" w:rsidTr="00CC644C">
        <w:trPr>
          <w:cantSplit/>
        </w:trPr>
        <w:tc>
          <w:tcPr>
            <w:tcW w:w="4650" w:type="dxa"/>
          </w:tcPr>
          <w:p w14:paraId="189838EA" w14:textId="77777777" w:rsidR="002D1A41" w:rsidRPr="008A4F40" w:rsidRDefault="002D1A41" w:rsidP="004E7659">
            <w:pPr>
              <w:rPr>
                <w:b/>
                <w:color w:val="000000"/>
                <w:sz w:val="22"/>
                <w:szCs w:val="22"/>
                <w:lang w:val="en-US"/>
              </w:rPr>
            </w:pPr>
            <w:r w:rsidRPr="008A4F40">
              <w:rPr>
                <w:b/>
                <w:color w:val="000000"/>
                <w:sz w:val="22"/>
                <w:szCs w:val="22"/>
                <w:lang w:val="en-US"/>
              </w:rPr>
              <w:t>Danmark</w:t>
            </w:r>
          </w:p>
          <w:p w14:paraId="22CC1A50" w14:textId="77777777" w:rsidR="002D1A41" w:rsidRPr="008A4F40" w:rsidRDefault="002D1A41" w:rsidP="004E7659">
            <w:pPr>
              <w:rPr>
                <w:color w:val="000000"/>
                <w:sz w:val="22"/>
                <w:szCs w:val="22"/>
                <w:lang w:val="en-US"/>
              </w:rPr>
            </w:pPr>
            <w:r w:rsidRPr="008A4F40">
              <w:rPr>
                <w:color w:val="000000"/>
                <w:sz w:val="22"/>
                <w:szCs w:val="22"/>
                <w:lang w:val="en-US"/>
              </w:rPr>
              <w:t>Novartis Healthcare A/S</w:t>
            </w:r>
          </w:p>
          <w:p w14:paraId="0B1A3679" w14:textId="631C1C9F" w:rsidR="002D1A41" w:rsidRPr="008A4F40" w:rsidRDefault="002D1A41" w:rsidP="004E7659">
            <w:pPr>
              <w:rPr>
                <w:color w:val="000000"/>
                <w:sz w:val="22"/>
                <w:szCs w:val="22"/>
                <w:lang w:val="en-US"/>
              </w:rPr>
            </w:pPr>
            <w:proofErr w:type="spellStart"/>
            <w:r w:rsidRPr="008A4F40">
              <w:rPr>
                <w:color w:val="000000"/>
                <w:sz w:val="22"/>
                <w:szCs w:val="22"/>
                <w:lang w:val="en-US"/>
              </w:rPr>
              <w:t>Tlf</w:t>
            </w:r>
            <w:proofErr w:type="spellEnd"/>
            <w:ins w:id="920" w:author="Author">
              <w:r w:rsidR="00A53AF7">
                <w:rPr>
                  <w:color w:val="000000"/>
                  <w:sz w:val="22"/>
                  <w:szCs w:val="22"/>
                  <w:lang w:val="en-US"/>
                </w:rPr>
                <w:t>.</w:t>
              </w:r>
            </w:ins>
            <w:r w:rsidRPr="008A4F40">
              <w:rPr>
                <w:color w:val="000000"/>
                <w:sz w:val="22"/>
                <w:szCs w:val="22"/>
                <w:lang w:val="en-US"/>
              </w:rPr>
              <w:t>: +45 39 16 84 00</w:t>
            </w:r>
          </w:p>
          <w:p w14:paraId="07A87768" w14:textId="77777777" w:rsidR="002D1A41" w:rsidRPr="008A4F40" w:rsidRDefault="002D1A41" w:rsidP="004E7659">
            <w:pPr>
              <w:rPr>
                <w:b/>
                <w:color w:val="000000"/>
                <w:sz w:val="22"/>
                <w:szCs w:val="22"/>
                <w:lang w:val="en-US"/>
              </w:rPr>
            </w:pPr>
          </w:p>
        </w:tc>
        <w:tc>
          <w:tcPr>
            <w:tcW w:w="4650" w:type="dxa"/>
          </w:tcPr>
          <w:p w14:paraId="64F99424" w14:textId="77777777" w:rsidR="002D1A41" w:rsidRPr="008A4F40" w:rsidRDefault="002D1A41" w:rsidP="004E7659">
            <w:pPr>
              <w:rPr>
                <w:b/>
                <w:color w:val="000000"/>
                <w:sz w:val="22"/>
                <w:szCs w:val="22"/>
                <w:lang w:val="pt-BR"/>
              </w:rPr>
            </w:pPr>
            <w:r w:rsidRPr="008A4F40">
              <w:rPr>
                <w:b/>
                <w:color w:val="000000"/>
                <w:sz w:val="22"/>
                <w:szCs w:val="22"/>
                <w:lang w:val="pt-BR"/>
              </w:rPr>
              <w:t>Malta</w:t>
            </w:r>
          </w:p>
          <w:p w14:paraId="55B50E3B" w14:textId="77777777" w:rsidR="002D1A41" w:rsidRPr="008A4F40" w:rsidRDefault="002D1A41" w:rsidP="004E7659">
            <w:pPr>
              <w:rPr>
                <w:color w:val="000000"/>
                <w:sz w:val="22"/>
                <w:szCs w:val="22"/>
                <w:lang w:val="pt-BR"/>
              </w:rPr>
            </w:pPr>
            <w:r w:rsidRPr="008A4F40">
              <w:rPr>
                <w:color w:val="000000"/>
                <w:sz w:val="22"/>
                <w:szCs w:val="22"/>
                <w:lang w:val="pt-BR"/>
              </w:rPr>
              <w:t>Novartis Pharma Services Inc.</w:t>
            </w:r>
          </w:p>
          <w:p w14:paraId="1DEFCF84" w14:textId="77777777" w:rsidR="002D1A41" w:rsidRPr="008A4F40" w:rsidRDefault="002D1A41" w:rsidP="004E7659">
            <w:pPr>
              <w:rPr>
                <w:color w:val="000000"/>
                <w:sz w:val="22"/>
                <w:szCs w:val="22"/>
              </w:rPr>
            </w:pPr>
            <w:r w:rsidRPr="008A4F40">
              <w:rPr>
                <w:color w:val="000000"/>
                <w:sz w:val="22"/>
                <w:szCs w:val="22"/>
              </w:rPr>
              <w:t>Tel: +356 2122 2872</w:t>
            </w:r>
          </w:p>
        </w:tc>
      </w:tr>
      <w:tr w:rsidR="002D1A41" w:rsidRPr="008A4F40" w14:paraId="1BBE780B" w14:textId="77777777" w:rsidTr="00CC644C">
        <w:trPr>
          <w:cantSplit/>
        </w:trPr>
        <w:tc>
          <w:tcPr>
            <w:tcW w:w="4650" w:type="dxa"/>
          </w:tcPr>
          <w:p w14:paraId="4AB230CF" w14:textId="77777777" w:rsidR="002D1A41" w:rsidRPr="008A4F40" w:rsidRDefault="002D1A41" w:rsidP="004E7659">
            <w:pPr>
              <w:rPr>
                <w:b/>
                <w:color w:val="000000"/>
                <w:sz w:val="22"/>
                <w:szCs w:val="22"/>
                <w:lang w:val="de-CH"/>
              </w:rPr>
            </w:pPr>
            <w:r w:rsidRPr="008A4F40">
              <w:rPr>
                <w:b/>
                <w:color w:val="000000"/>
                <w:sz w:val="22"/>
                <w:szCs w:val="22"/>
                <w:lang w:val="de-CH"/>
              </w:rPr>
              <w:t>Deutschland</w:t>
            </w:r>
          </w:p>
          <w:p w14:paraId="31074646" w14:textId="77777777" w:rsidR="002D1A41" w:rsidRPr="008A4F40" w:rsidRDefault="002D1A41" w:rsidP="004E7659">
            <w:pPr>
              <w:rPr>
                <w:color w:val="000000"/>
                <w:sz w:val="22"/>
                <w:szCs w:val="22"/>
                <w:lang w:val="de-CH"/>
              </w:rPr>
            </w:pPr>
            <w:r w:rsidRPr="008A4F40">
              <w:rPr>
                <w:color w:val="000000"/>
                <w:sz w:val="22"/>
                <w:szCs w:val="22"/>
                <w:lang w:val="de-CH"/>
              </w:rPr>
              <w:t>Novartis Pharma GmbH</w:t>
            </w:r>
          </w:p>
          <w:p w14:paraId="7F1FB36F" w14:textId="77777777" w:rsidR="002D1A41" w:rsidRPr="008A4F40" w:rsidRDefault="002D1A41" w:rsidP="004E7659">
            <w:pPr>
              <w:rPr>
                <w:color w:val="000000"/>
                <w:sz w:val="22"/>
                <w:szCs w:val="22"/>
                <w:lang w:val="de-CH"/>
              </w:rPr>
            </w:pPr>
            <w:r w:rsidRPr="008A4F40">
              <w:rPr>
                <w:color w:val="000000"/>
                <w:sz w:val="22"/>
                <w:szCs w:val="22"/>
                <w:lang w:val="de-CH"/>
              </w:rPr>
              <w:t>Tel: +49 911 273 0</w:t>
            </w:r>
          </w:p>
          <w:p w14:paraId="7E339884" w14:textId="77777777" w:rsidR="002D1A41" w:rsidRPr="008A4F40" w:rsidRDefault="002D1A41" w:rsidP="004E7659">
            <w:pPr>
              <w:rPr>
                <w:b/>
                <w:color w:val="000000"/>
                <w:sz w:val="22"/>
                <w:szCs w:val="22"/>
                <w:lang w:val="de-CH"/>
              </w:rPr>
            </w:pPr>
          </w:p>
        </w:tc>
        <w:tc>
          <w:tcPr>
            <w:tcW w:w="4650" w:type="dxa"/>
          </w:tcPr>
          <w:p w14:paraId="1C6EEF13" w14:textId="77777777" w:rsidR="002D1A41" w:rsidRPr="008A4F40" w:rsidRDefault="002D1A41" w:rsidP="004E7659">
            <w:pPr>
              <w:rPr>
                <w:b/>
                <w:color w:val="000000"/>
                <w:sz w:val="22"/>
                <w:szCs w:val="22"/>
                <w:lang w:val="de-CH"/>
              </w:rPr>
            </w:pPr>
            <w:r w:rsidRPr="008A4F40">
              <w:rPr>
                <w:b/>
                <w:color w:val="000000"/>
                <w:sz w:val="22"/>
                <w:szCs w:val="22"/>
                <w:lang w:val="de-CH"/>
              </w:rPr>
              <w:t>Nederland</w:t>
            </w:r>
          </w:p>
          <w:p w14:paraId="66D66DC3" w14:textId="77777777" w:rsidR="002D1A41" w:rsidRPr="008A4F40" w:rsidRDefault="002D1A41" w:rsidP="004E7659">
            <w:pPr>
              <w:rPr>
                <w:color w:val="000000"/>
                <w:sz w:val="22"/>
                <w:szCs w:val="22"/>
                <w:lang w:val="de-CH"/>
              </w:rPr>
            </w:pPr>
            <w:r w:rsidRPr="008A4F40">
              <w:rPr>
                <w:color w:val="000000"/>
                <w:sz w:val="22"/>
                <w:szCs w:val="22"/>
                <w:lang w:val="de-CH"/>
              </w:rPr>
              <w:t>Novartis Pharma B.V.</w:t>
            </w:r>
          </w:p>
          <w:p w14:paraId="4B3DC514" w14:textId="4AA9FB59" w:rsidR="002D1A41" w:rsidRPr="008A4F40" w:rsidRDefault="002D1A41" w:rsidP="004E7659">
            <w:pPr>
              <w:rPr>
                <w:color w:val="000000"/>
                <w:sz w:val="22"/>
                <w:szCs w:val="22"/>
              </w:rPr>
            </w:pPr>
            <w:r w:rsidRPr="008A4F40">
              <w:rPr>
                <w:color w:val="000000"/>
                <w:sz w:val="22"/>
                <w:szCs w:val="22"/>
              </w:rPr>
              <w:t xml:space="preserve">Tel: +31 </w:t>
            </w:r>
            <w:r w:rsidR="008B319E" w:rsidRPr="008A4F40">
              <w:rPr>
                <w:color w:val="000000"/>
                <w:sz w:val="22"/>
                <w:szCs w:val="22"/>
              </w:rPr>
              <w:t>88 04 52</w:t>
            </w:r>
            <w:r w:rsidRPr="008A4F40">
              <w:rPr>
                <w:color w:val="000000"/>
                <w:sz w:val="22"/>
                <w:szCs w:val="22"/>
              </w:rPr>
              <w:t xml:space="preserve"> </w:t>
            </w:r>
            <w:del w:id="921" w:author="Author">
              <w:r w:rsidR="0095506C" w:rsidRPr="008A4F40" w:rsidDel="00A53AF7">
                <w:rPr>
                  <w:color w:val="000000"/>
                  <w:sz w:val="22"/>
                  <w:szCs w:val="22"/>
                </w:rPr>
                <w:delText>555</w:delText>
              </w:r>
            </w:del>
            <w:ins w:id="922" w:author="Author">
              <w:r w:rsidR="00A53AF7">
                <w:rPr>
                  <w:color w:val="000000"/>
                  <w:sz w:val="22"/>
                  <w:szCs w:val="22"/>
                </w:rPr>
                <w:t>111</w:t>
              </w:r>
            </w:ins>
          </w:p>
        </w:tc>
      </w:tr>
      <w:tr w:rsidR="002D1A41" w:rsidRPr="00FA2E9E" w14:paraId="231EAEF5" w14:textId="77777777" w:rsidTr="00CC644C">
        <w:trPr>
          <w:cantSplit/>
        </w:trPr>
        <w:tc>
          <w:tcPr>
            <w:tcW w:w="4650" w:type="dxa"/>
          </w:tcPr>
          <w:p w14:paraId="7510076C" w14:textId="77777777" w:rsidR="002D1A41" w:rsidRPr="008A4F40" w:rsidRDefault="002D1A41" w:rsidP="004E7659">
            <w:pPr>
              <w:rPr>
                <w:b/>
                <w:color w:val="000000"/>
                <w:sz w:val="22"/>
                <w:szCs w:val="22"/>
                <w:lang w:val="it-IT"/>
              </w:rPr>
            </w:pPr>
            <w:r w:rsidRPr="008A4F40">
              <w:rPr>
                <w:b/>
                <w:color w:val="000000"/>
                <w:sz w:val="22"/>
                <w:szCs w:val="22"/>
                <w:lang w:val="it-IT"/>
              </w:rPr>
              <w:t>Eesti</w:t>
            </w:r>
          </w:p>
          <w:p w14:paraId="02F9BABE" w14:textId="77777777" w:rsidR="002D1A41" w:rsidRPr="008A4F40" w:rsidRDefault="00E37E76" w:rsidP="004E7659">
            <w:pPr>
              <w:rPr>
                <w:color w:val="000000"/>
                <w:sz w:val="22"/>
                <w:szCs w:val="22"/>
                <w:lang w:val="it-IT"/>
              </w:rPr>
            </w:pPr>
            <w:r w:rsidRPr="008A4F40">
              <w:rPr>
                <w:sz w:val="22"/>
                <w:szCs w:val="22"/>
                <w:lang w:val="it-IT"/>
              </w:rPr>
              <w:t>SIA Novartis Baltics Eesti filiaal</w:t>
            </w:r>
          </w:p>
          <w:p w14:paraId="417DABEB" w14:textId="77777777" w:rsidR="002D1A41" w:rsidRPr="008A4F40" w:rsidRDefault="002D1A41" w:rsidP="004E7659">
            <w:pPr>
              <w:rPr>
                <w:color w:val="000000"/>
                <w:sz w:val="22"/>
                <w:szCs w:val="22"/>
                <w:lang w:val="it-IT"/>
              </w:rPr>
            </w:pPr>
            <w:r w:rsidRPr="008A4F40">
              <w:rPr>
                <w:color w:val="000000"/>
                <w:sz w:val="22"/>
                <w:szCs w:val="22"/>
                <w:lang w:val="it-IT"/>
              </w:rPr>
              <w:t>Tel: +372 66 30 810</w:t>
            </w:r>
          </w:p>
          <w:p w14:paraId="0D392640" w14:textId="77777777" w:rsidR="002D1A41" w:rsidRPr="008A4F40" w:rsidRDefault="002D1A41" w:rsidP="004E7659">
            <w:pPr>
              <w:rPr>
                <w:b/>
                <w:color w:val="000000"/>
                <w:sz w:val="22"/>
                <w:szCs w:val="22"/>
                <w:lang w:val="it-IT"/>
              </w:rPr>
            </w:pPr>
          </w:p>
        </w:tc>
        <w:tc>
          <w:tcPr>
            <w:tcW w:w="4650" w:type="dxa"/>
          </w:tcPr>
          <w:p w14:paraId="647D217E" w14:textId="77777777" w:rsidR="002D1A41" w:rsidRPr="008A4F40" w:rsidRDefault="002D1A41" w:rsidP="004E7659">
            <w:pPr>
              <w:rPr>
                <w:b/>
                <w:color w:val="000000"/>
                <w:sz w:val="22"/>
                <w:szCs w:val="22"/>
                <w:lang w:val="pt-BR"/>
              </w:rPr>
            </w:pPr>
            <w:r w:rsidRPr="008A4F40">
              <w:rPr>
                <w:b/>
                <w:color w:val="000000"/>
                <w:sz w:val="22"/>
                <w:szCs w:val="22"/>
                <w:lang w:val="pt-BR"/>
              </w:rPr>
              <w:t>Norge</w:t>
            </w:r>
          </w:p>
          <w:p w14:paraId="2F7ABA1D" w14:textId="77777777" w:rsidR="002D1A41" w:rsidRPr="008A4F40" w:rsidRDefault="002D1A41" w:rsidP="004E7659">
            <w:pPr>
              <w:rPr>
                <w:color w:val="000000"/>
                <w:sz w:val="22"/>
                <w:szCs w:val="22"/>
                <w:lang w:val="pt-BR"/>
              </w:rPr>
            </w:pPr>
            <w:r w:rsidRPr="008A4F40">
              <w:rPr>
                <w:color w:val="000000"/>
                <w:sz w:val="22"/>
                <w:szCs w:val="22"/>
                <w:lang w:val="pt-BR"/>
              </w:rPr>
              <w:t>Novartis Norge AS</w:t>
            </w:r>
          </w:p>
          <w:p w14:paraId="1242AE20" w14:textId="77777777" w:rsidR="002D1A41" w:rsidRPr="008A4F40" w:rsidRDefault="002D1A41" w:rsidP="004E7659">
            <w:pPr>
              <w:rPr>
                <w:color w:val="000000"/>
                <w:sz w:val="22"/>
                <w:szCs w:val="22"/>
                <w:lang w:val="pt-BR"/>
              </w:rPr>
            </w:pPr>
            <w:r w:rsidRPr="008A4F40">
              <w:rPr>
                <w:color w:val="000000"/>
                <w:sz w:val="22"/>
                <w:szCs w:val="22"/>
                <w:lang w:val="pt-BR"/>
              </w:rPr>
              <w:t>Tlf: +47 23 05 20 00</w:t>
            </w:r>
          </w:p>
        </w:tc>
      </w:tr>
      <w:tr w:rsidR="002D1A41" w:rsidRPr="008A4F40" w14:paraId="0A6FE1BF" w14:textId="77777777" w:rsidTr="00CC644C">
        <w:trPr>
          <w:cantSplit/>
        </w:trPr>
        <w:tc>
          <w:tcPr>
            <w:tcW w:w="4650" w:type="dxa"/>
          </w:tcPr>
          <w:p w14:paraId="6B2AC2B8" w14:textId="77777777" w:rsidR="002D1A41" w:rsidRPr="008A4F40" w:rsidRDefault="002D1A41" w:rsidP="004E7659">
            <w:pPr>
              <w:rPr>
                <w:b/>
                <w:color w:val="000000"/>
                <w:sz w:val="22"/>
                <w:szCs w:val="22"/>
                <w:lang w:val="en-US"/>
              </w:rPr>
            </w:pPr>
            <w:r w:rsidRPr="008A4F40">
              <w:rPr>
                <w:b/>
                <w:color w:val="000000"/>
                <w:sz w:val="22"/>
                <w:szCs w:val="22"/>
              </w:rPr>
              <w:t>Ελλάδα</w:t>
            </w:r>
          </w:p>
          <w:p w14:paraId="627D0540" w14:textId="77777777" w:rsidR="002D1A41" w:rsidRPr="008A4F40" w:rsidRDefault="002D1A41" w:rsidP="004E7659">
            <w:pPr>
              <w:rPr>
                <w:color w:val="000000"/>
                <w:sz w:val="22"/>
                <w:szCs w:val="22"/>
                <w:lang w:val="en-US"/>
              </w:rPr>
            </w:pPr>
            <w:r w:rsidRPr="008A4F40">
              <w:rPr>
                <w:color w:val="000000"/>
                <w:sz w:val="22"/>
                <w:szCs w:val="22"/>
                <w:lang w:val="en-US"/>
              </w:rPr>
              <w:t>Novartis (Hellas) A.E.B.E.</w:t>
            </w:r>
          </w:p>
          <w:p w14:paraId="713F648E" w14:textId="77777777" w:rsidR="002D1A41" w:rsidRPr="008A4F40" w:rsidRDefault="002D1A41" w:rsidP="004E7659">
            <w:pPr>
              <w:rPr>
                <w:color w:val="000000"/>
                <w:sz w:val="22"/>
                <w:szCs w:val="22"/>
                <w:lang w:val="pt-BR"/>
              </w:rPr>
            </w:pPr>
            <w:r w:rsidRPr="008A4F40">
              <w:rPr>
                <w:color w:val="000000"/>
                <w:sz w:val="22"/>
                <w:szCs w:val="22"/>
              </w:rPr>
              <w:t>Τηλ</w:t>
            </w:r>
            <w:r w:rsidRPr="008A4F40">
              <w:rPr>
                <w:color w:val="000000"/>
                <w:sz w:val="22"/>
                <w:szCs w:val="22"/>
                <w:lang w:val="pt-BR"/>
              </w:rPr>
              <w:t>: +30 210 281 17 12</w:t>
            </w:r>
          </w:p>
          <w:p w14:paraId="2801828A" w14:textId="77777777" w:rsidR="002D1A41" w:rsidRPr="008A4F40" w:rsidRDefault="002D1A41" w:rsidP="004E7659">
            <w:pPr>
              <w:rPr>
                <w:b/>
                <w:color w:val="000000"/>
                <w:sz w:val="22"/>
                <w:szCs w:val="22"/>
                <w:lang w:val="pt-BR"/>
              </w:rPr>
            </w:pPr>
          </w:p>
        </w:tc>
        <w:tc>
          <w:tcPr>
            <w:tcW w:w="4650" w:type="dxa"/>
          </w:tcPr>
          <w:p w14:paraId="5CF9B1C9" w14:textId="77777777" w:rsidR="002D1A41" w:rsidRPr="008A4F40" w:rsidRDefault="002D1A41" w:rsidP="004E7659">
            <w:pPr>
              <w:rPr>
                <w:b/>
                <w:color w:val="000000"/>
                <w:sz w:val="22"/>
                <w:szCs w:val="22"/>
                <w:lang w:val="de-CH"/>
              </w:rPr>
            </w:pPr>
            <w:r w:rsidRPr="008A4F40">
              <w:rPr>
                <w:b/>
                <w:color w:val="000000"/>
                <w:sz w:val="22"/>
                <w:szCs w:val="22"/>
                <w:lang w:val="de-CH"/>
              </w:rPr>
              <w:t>Österreich</w:t>
            </w:r>
          </w:p>
          <w:p w14:paraId="72265B0F" w14:textId="77777777" w:rsidR="002D1A41" w:rsidRPr="008A4F40" w:rsidRDefault="002D1A41" w:rsidP="004E7659">
            <w:pPr>
              <w:rPr>
                <w:color w:val="000000"/>
                <w:sz w:val="22"/>
                <w:szCs w:val="22"/>
                <w:lang w:val="de-CH"/>
              </w:rPr>
            </w:pPr>
            <w:r w:rsidRPr="008A4F40">
              <w:rPr>
                <w:color w:val="000000"/>
                <w:sz w:val="22"/>
                <w:szCs w:val="22"/>
                <w:lang w:val="de-CH"/>
              </w:rPr>
              <w:t>Novartis Pharma GmbH</w:t>
            </w:r>
          </w:p>
          <w:p w14:paraId="448055FF" w14:textId="77777777" w:rsidR="002D1A41" w:rsidRPr="008A4F40" w:rsidRDefault="002D1A41" w:rsidP="004E7659">
            <w:pPr>
              <w:rPr>
                <w:color w:val="000000"/>
                <w:sz w:val="22"/>
                <w:szCs w:val="22"/>
                <w:lang w:val="de-CH"/>
              </w:rPr>
            </w:pPr>
            <w:r w:rsidRPr="008A4F40">
              <w:rPr>
                <w:color w:val="000000"/>
                <w:sz w:val="22"/>
                <w:szCs w:val="22"/>
                <w:lang w:val="de-CH"/>
              </w:rPr>
              <w:t>Tel: +43 1 86 6570</w:t>
            </w:r>
          </w:p>
        </w:tc>
      </w:tr>
      <w:tr w:rsidR="002D1A41" w:rsidRPr="008A4F40" w14:paraId="2586C811" w14:textId="77777777" w:rsidTr="00CC644C">
        <w:trPr>
          <w:cantSplit/>
        </w:trPr>
        <w:tc>
          <w:tcPr>
            <w:tcW w:w="4650" w:type="dxa"/>
          </w:tcPr>
          <w:p w14:paraId="01340228" w14:textId="77777777" w:rsidR="002D1A41" w:rsidRPr="008A4F40" w:rsidRDefault="002D1A41" w:rsidP="004E7659">
            <w:pPr>
              <w:rPr>
                <w:b/>
                <w:color w:val="000000"/>
                <w:sz w:val="22"/>
                <w:szCs w:val="22"/>
                <w:lang w:val="pt-BR"/>
              </w:rPr>
            </w:pPr>
            <w:r w:rsidRPr="008A4F40">
              <w:rPr>
                <w:b/>
                <w:color w:val="000000"/>
                <w:sz w:val="22"/>
                <w:szCs w:val="22"/>
                <w:lang w:val="pt-BR"/>
              </w:rPr>
              <w:t>España</w:t>
            </w:r>
          </w:p>
          <w:p w14:paraId="43435AA0" w14:textId="77777777" w:rsidR="002D1A41" w:rsidRPr="008A4F40" w:rsidRDefault="002D1A41" w:rsidP="004E7659">
            <w:pPr>
              <w:rPr>
                <w:color w:val="000000"/>
                <w:sz w:val="22"/>
                <w:szCs w:val="22"/>
                <w:lang w:val="pt-BR"/>
              </w:rPr>
            </w:pPr>
            <w:r w:rsidRPr="008A4F40">
              <w:rPr>
                <w:color w:val="000000"/>
                <w:sz w:val="22"/>
                <w:szCs w:val="22"/>
                <w:lang w:val="pt-BR"/>
              </w:rPr>
              <w:t>Novartis Farmacéutica, S.A.</w:t>
            </w:r>
          </w:p>
          <w:p w14:paraId="09F87868" w14:textId="77777777" w:rsidR="002D1A41" w:rsidRPr="008A4F40" w:rsidRDefault="002D1A41" w:rsidP="004E7659">
            <w:pPr>
              <w:rPr>
                <w:color w:val="000000"/>
                <w:sz w:val="22"/>
                <w:szCs w:val="22"/>
              </w:rPr>
            </w:pPr>
            <w:r w:rsidRPr="008A4F40">
              <w:rPr>
                <w:color w:val="000000"/>
                <w:sz w:val="22"/>
                <w:szCs w:val="22"/>
              </w:rPr>
              <w:t>Tel: +34 93 306 42 00</w:t>
            </w:r>
          </w:p>
          <w:p w14:paraId="1C2FE947" w14:textId="77777777" w:rsidR="002D1A41" w:rsidRPr="008A4F40" w:rsidRDefault="002D1A41" w:rsidP="004E7659">
            <w:pPr>
              <w:rPr>
                <w:b/>
                <w:color w:val="000000"/>
                <w:sz w:val="22"/>
                <w:szCs w:val="22"/>
              </w:rPr>
            </w:pPr>
          </w:p>
        </w:tc>
        <w:tc>
          <w:tcPr>
            <w:tcW w:w="4650" w:type="dxa"/>
          </w:tcPr>
          <w:p w14:paraId="751504CF" w14:textId="77777777" w:rsidR="002D1A41" w:rsidRPr="008A4F40" w:rsidRDefault="002D1A41" w:rsidP="004E7659">
            <w:pPr>
              <w:rPr>
                <w:b/>
                <w:color w:val="000000"/>
                <w:sz w:val="22"/>
                <w:szCs w:val="22"/>
                <w:lang w:val="pt-BR"/>
              </w:rPr>
            </w:pPr>
            <w:r w:rsidRPr="008A4F40">
              <w:rPr>
                <w:b/>
                <w:color w:val="000000"/>
                <w:sz w:val="22"/>
                <w:szCs w:val="22"/>
                <w:lang w:val="pt-BR"/>
              </w:rPr>
              <w:t>Polska</w:t>
            </w:r>
          </w:p>
          <w:p w14:paraId="426665FF" w14:textId="77777777" w:rsidR="002D1A41" w:rsidRPr="008A4F40" w:rsidRDefault="002D1A41" w:rsidP="004E7659">
            <w:pPr>
              <w:rPr>
                <w:color w:val="000000"/>
                <w:sz w:val="22"/>
                <w:szCs w:val="22"/>
                <w:lang w:val="pt-BR"/>
              </w:rPr>
            </w:pPr>
            <w:r w:rsidRPr="008A4F40">
              <w:rPr>
                <w:color w:val="000000"/>
                <w:sz w:val="22"/>
                <w:szCs w:val="22"/>
                <w:lang w:val="pt-BR"/>
              </w:rPr>
              <w:t>Novartis Poland Sp. z o.o.</w:t>
            </w:r>
          </w:p>
          <w:p w14:paraId="6D63B795" w14:textId="77777777" w:rsidR="002D1A41" w:rsidRPr="008A4F40" w:rsidRDefault="002D1A41" w:rsidP="004E7659">
            <w:pPr>
              <w:rPr>
                <w:color w:val="000000"/>
                <w:sz w:val="22"/>
                <w:szCs w:val="22"/>
                <w:lang w:val="pt-BR"/>
              </w:rPr>
            </w:pPr>
            <w:r w:rsidRPr="008A4F40">
              <w:rPr>
                <w:color w:val="000000"/>
                <w:sz w:val="22"/>
                <w:szCs w:val="22"/>
                <w:lang w:val="pt-BR"/>
              </w:rPr>
              <w:t xml:space="preserve">Tel.: +48 22 </w:t>
            </w:r>
            <w:r w:rsidRPr="008A4F40">
              <w:rPr>
                <w:sz w:val="22"/>
                <w:szCs w:val="22"/>
              </w:rPr>
              <w:t>375 4888</w:t>
            </w:r>
          </w:p>
        </w:tc>
      </w:tr>
      <w:tr w:rsidR="002D1A41" w:rsidRPr="008A4F40" w14:paraId="013C2858" w14:textId="77777777" w:rsidTr="00CC644C">
        <w:trPr>
          <w:cantSplit/>
        </w:trPr>
        <w:tc>
          <w:tcPr>
            <w:tcW w:w="4650" w:type="dxa"/>
          </w:tcPr>
          <w:p w14:paraId="3EB5EE3F" w14:textId="77777777" w:rsidR="002D1A41" w:rsidRPr="008A4F40" w:rsidRDefault="002D1A41" w:rsidP="004E7659">
            <w:pPr>
              <w:rPr>
                <w:b/>
                <w:color w:val="000000"/>
                <w:sz w:val="22"/>
                <w:szCs w:val="22"/>
                <w:lang w:val="fr-FR"/>
              </w:rPr>
            </w:pPr>
            <w:r w:rsidRPr="008A4F40">
              <w:rPr>
                <w:b/>
                <w:color w:val="000000"/>
                <w:sz w:val="22"/>
                <w:szCs w:val="22"/>
                <w:lang w:val="fr-FR"/>
              </w:rPr>
              <w:t>France</w:t>
            </w:r>
          </w:p>
          <w:p w14:paraId="6481B7F5" w14:textId="77777777" w:rsidR="002D1A41" w:rsidRPr="008A4F40" w:rsidRDefault="002D1A41" w:rsidP="004E7659">
            <w:pPr>
              <w:rPr>
                <w:color w:val="000000"/>
                <w:sz w:val="22"/>
                <w:szCs w:val="22"/>
                <w:lang w:val="fr-FR"/>
              </w:rPr>
            </w:pPr>
            <w:r w:rsidRPr="008A4F40">
              <w:rPr>
                <w:color w:val="000000"/>
                <w:sz w:val="22"/>
                <w:szCs w:val="22"/>
                <w:lang w:val="fr-FR"/>
              </w:rPr>
              <w:t>Novartis Pharma S.A.S.</w:t>
            </w:r>
          </w:p>
          <w:p w14:paraId="5F7B205F" w14:textId="77777777" w:rsidR="002D1A41" w:rsidRPr="008A4F40" w:rsidRDefault="002D1A41" w:rsidP="004E7659">
            <w:pPr>
              <w:rPr>
                <w:color w:val="000000"/>
                <w:sz w:val="22"/>
                <w:szCs w:val="22"/>
                <w:lang w:val="fr-FR"/>
              </w:rPr>
            </w:pPr>
            <w:r w:rsidRPr="008A4F40">
              <w:rPr>
                <w:color w:val="000000"/>
                <w:sz w:val="22"/>
                <w:szCs w:val="22"/>
                <w:lang w:val="fr-FR"/>
              </w:rPr>
              <w:t>Tél: +33 1 55 47 66 00</w:t>
            </w:r>
          </w:p>
          <w:p w14:paraId="1195CBB5" w14:textId="77777777" w:rsidR="002D1A41" w:rsidRPr="008A4F40" w:rsidRDefault="002D1A41" w:rsidP="004E7659">
            <w:pPr>
              <w:rPr>
                <w:b/>
                <w:color w:val="000000"/>
                <w:sz w:val="22"/>
                <w:szCs w:val="22"/>
                <w:lang w:val="fr-FR"/>
              </w:rPr>
            </w:pPr>
          </w:p>
        </w:tc>
        <w:tc>
          <w:tcPr>
            <w:tcW w:w="4650" w:type="dxa"/>
          </w:tcPr>
          <w:p w14:paraId="3AB4A783" w14:textId="77777777" w:rsidR="002D1A41" w:rsidRPr="008A4F40" w:rsidRDefault="002D1A41" w:rsidP="004E7659">
            <w:pPr>
              <w:rPr>
                <w:b/>
                <w:color w:val="000000"/>
                <w:sz w:val="22"/>
                <w:szCs w:val="22"/>
                <w:lang w:val="pt-BR"/>
              </w:rPr>
            </w:pPr>
            <w:r w:rsidRPr="008A4F40">
              <w:rPr>
                <w:b/>
                <w:color w:val="000000"/>
                <w:sz w:val="22"/>
                <w:szCs w:val="22"/>
                <w:lang w:val="pt-BR"/>
              </w:rPr>
              <w:t>Portugal</w:t>
            </w:r>
          </w:p>
          <w:p w14:paraId="3F8B0E61" w14:textId="77777777" w:rsidR="002D1A41" w:rsidRPr="008A4F40" w:rsidRDefault="002D1A41" w:rsidP="004E7659">
            <w:pPr>
              <w:rPr>
                <w:color w:val="000000"/>
                <w:sz w:val="22"/>
                <w:szCs w:val="22"/>
                <w:lang w:val="pt-BR"/>
              </w:rPr>
            </w:pPr>
            <w:r w:rsidRPr="008A4F40">
              <w:rPr>
                <w:color w:val="000000"/>
                <w:sz w:val="22"/>
                <w:szCs w:val="22"/>
                <w:lang w:val="pt-BR"/>
              </w:rPr>
              <w:t>Novartis Farma - Produtos Farmacêuticos, S.A.</w:t>
            </w:r>
          </w:p>
          <w:p w14:paraId="54B36525" w14:textId="77777777" w:rsidR="002D1A41" w:rsidRPr="008A4F40" w:rsidRDefault="002D1A41" w:rsidP="004E7659">
            <w:pPr>
              <w:rPr>
                <w:color w:val="000000"/>
                <w:sz w:val="22"/>
                <w:szCs w:val="22"/>
              </w:rPr>
            </w:pPr>
            <w:r w:rsidRPr="008A4F40">
              <w:rPr>
                <w:color w:val="000000"/>
                <w:sz w:val="22"/>
                <w:szCs w:val="22"/>
              </w:rPr>
              <w:t>Tel: +351 21 000 8600</w:t>
            </w:r>
          </w:p>
        </w:tc>
      </w:tr>
      <w:tr w:rsidR="002D1A41" w:rsidRPr="008A4F40" w14:paraId="50264AF9" w14:textId="77777777" w:rsidTr="00CC644C">
        <w:trPr>
          <w:cantSplit/>
        </w:trPr>
        <w:tc>
          <w:tcPr>
            <w:tcW w:w="4650" w:type="dxa"/>
          </w:tcPr>
          <w:p w14:paraId="7BE45AA8" w14:textId="77777777" w:rsidR="002D1A41" w:rsidRPr="008A4F40" w:rsidRDefault="002D1A41" w:rsidP="004E7659">
            <w:pPr>
              <w:rPr>
                <w:rFonts w:eastAsia="PMingLiU"/>
                <w:b/>
                <w:sz w:val="22"/>
                <w:szCs w:val="22"/>
              </w:rPr>
            </w:pPr>
            <w:r w:rsidRPr="008A4F40">
              <w:rPr>
                <w:rFonts w:eastAsia="PMingLiU"/>
                <w:b/>
                <w:sz w:val="22"/>
                <w:szCs w:val="22"/>
              </w:rPr>
              <w:t>Hrvatska</w:t>
            </w:r>
          </w:p>
          <w:p w14:paraId="0276E30F" w14:textId="77777777" w:rsidR="002D1A41" w:rsidRPr="008A4F40" w:rsidRDefault="002D1A41" w:rsidP="004E7659">
            <w:pPr>
              <w:rPr>
                <w:sz w:val="22"/>
                <w:szCs w:val="22"/>
              </w:rPr>
            </w:pPr>
            <w:r w:rsidRPr="008A4F40">
              <w:rPr>
                <w:sz w:val="22"/>
                <w:szCs w:val="22"/>
              </w:rPr>
              <w:t>Novartis Hrvatska d.o.o.</w:t>
            </w:r>
          </w:p>
          <w:p w14:paraId="25F1776A" w14:textId="77777777" w:rsidR="002D1A41" w:rsidRPr="008A4F40" w:rsidRDefault="002D1A41" w:rsidP="004E7659">
            <w:pPr>
              <w:rPr>
                <w:sz w:val="22"/>
                <w:szCs w:val="22"/>
              </w:rPr>
            </w:pPr>
            <w:r w:rsidRPr="008A4F40">
              <w:rPr>
                <w:sz w:val="22"/>
                <w:szCs w:val="22"/>
              </w:rPr>
              <w:t>Tel. +385 1 6274 220</w:t>
            </w:r>
          </w:p>
          <w:p w14:paraId="3B7EE37E" w14:textId="77777777" w:rsidR="002D1A41" w:rsidRPr="008A4F40" w:rsidRDefault="002D1A41" w:rsidP="004E7659">
            <w:pPr>
              <w:rPr>
                <w:b/>
                <w:color w:val="000000"/>
                <w:sz w:val="22"/>
                <w:szCs w:val="22"/>
                <w:lang w:val="fr-FR"/>
              </w:rPr>
            </w:pPr>
          </w:p>
        </w:tc>
        <w:tc>
          <w:tcPr>
            <w:tcW w:w="4650" w:type="dxa"/>
          </w:tcPr>
          <w:p w14:paraId="0DEA3C48" w14:textId="77777777" w:rsidR="002D1A41" w:rsidRPr="008A4F40" w:rsidRDefault="002D1A41" w:rsidP="004E7659">
            <w:pPr>
              <w:rPr>
                <w:b/>
                <w:noProof/>
                <w:color w:val="000000"/>
                <w:sz w:val="22"/>
                <w:szCs w:val="22"/>
                <w:lang w:val="it-IT"/>
              </w:rPr>
            </w:pPr>
            <w:r w:rsidRPr="008A4F40">
              <w:rPr>
                <w:b/>
                <w:noProof/>
                <w:color w:val="000000"/>
                <w:sz w:val="22"/>
                <w:szCs w:val="22"/>
                <w:lang w:val="it-IT"/>
              </w:rPr>
              <w:t>România</w:t>
            </w:r>
          </w:p>
          <w:p w14:paraId="6E175205" w14:textId="77777777" w:rsidR="002D1A41" w:rsidRPr="008A4F40" w:rsidRDefault="002D1A41" w:rsidP="004E7659">
            <w:pPr>
              <w:rPr>
                <w:noProof/>
                <w:color w:val="000000"/>
                <w:sz w:val="22"/>
                <w:szCs w:val="22"/>
                <w:lang w:val="it-IT"/>
              </w:rPr>
            </w:pPr>
            <w:r w:rsidRPr="008A4F40">
              <w:rPr>
                <w:noProof/>
                <w:color w:val="000000"/>
                <w:sz w:val="22"/>
                <w:szCs w:val="22"/>
                <w:lang w:val="it-IT"/>
              </w:rPr>
              <w:t xml:space="preserve">Novartis Pharma Services </w:t>
            </w:r>
            <w:r w:rsidRPr="008A4F40">
              <w:rPr>
                <w:color w:val="2F2F2F"/>
                <w:sz w:val="22"/>
                <w:szCs w:val="22"/>
                <w:lang w:val="pt-PT"/>
              </w:rPr>
              <w:t>Romania SRL</w:t>
            </w:r>
          </w:p>
          <w:p w14:paraId="0FB28F0B" w14:textId="77777777" w:rsidR="002D1A41" w:rsidRPr="008A4F40" w:rsidRDefault="002D1A41" w:rsidP="004E7659">
            <w:pPr>
              <w:rPr>
                <w:color w:val="000000"/>
                <w:sz w:val="22"/>
                <w:szCs w:val="22"/>
              </w:rPr>
            </w:pPr>
            <w:r w:rsidRPr="008A4F40">
              <w:rPr>
                <w:noProof/>
                <w:color w:val="000000"/>
                <w:sz w:val="22"/>
                <w:szCs w:val="22"/>
                <w:lang w:val="it-IT"/>
              </w:rPr>
              <w:t>Tel: +40 21 31299 01</w:t>
            </w:r>
          </w:p>
        </w:tc>
      </w:tr>
      <w:tr w:rsidR="002D1A41" w:rsidRPr="008A4F40" w14:paraId="7C760090" w14:textId="77777777" w:rsidTr="00CC644C">
        <w:trPr>
          <w:cantSplit/>
        </w:trPr>
        <w:tc>
          <w:tcPr>
            <w:tcW w:w="4650" w:type="dxa"/>
          </w:tcPr>
          <w:p w14:paraId="68171237" w14:textId="77777777" w:rsidR="002D1A41" w:rsidRPr="008A4F40" w:rsidRDefault="002D1A41" w:rsidP="004E7659">
            <w:pPr>
              <w:rPr>
                <w:b/>
                <w:color w:val="000000"/>
                <w:sz w:val="22"/>
                <w:szCs w:val="22"/>
                <w:lang w:val="en-US"/>
              </w:rPr>
            </w:pPr>
            <w:r w:rsidRPr="008A4F40">
              <w:rPr>
                <w:b/>
                <w:color w:val="000000"/>
                <w:sz w:val="22"/>
                <w:szCs w:val="22"/>
                <w:lang w:val="en-US"/>
              </w:rPr>
              <w:t>Ireland</w:t>
            </w:r>
          </w:p>
          <w:p w14:paraId="5822A710" w14:textId="77777777" w:rsidR="002D1A41" w:rsidRPr="008A4F40" w:rsidRDefault="002D1A41" w:rsidP="004E7659">
            <w:pPr>
              <w:rPr>
                <w:color w:val="000000"/>
                <w:sz w:val="22"/>
                <w:szCs w:val="22"/>
                <w:lang w:val="en-US"/>
              </w:rPr>
            </w:pPr>
            <w:r w:rsidRPr="008A4F40">
              <w:rPr>
                <w:color w:val="000000"/>
                <w:sz w:val="22"/>
                <w:szCs w:val="22"/>
                <w:lang w:val="en-US"/>
              </w:rPr>
              <w:t>Novartis Ireland Limited</w:t>
            </w:r>
          </w:p>
          <w:p w14:paraId="446FFDE8" w14:textId="77777777" w:rsidR="002D1A41" w:rsidRPr="008A4F40" w:rsidRDefault="002D1A41" w:rsidP="004E7659">
            <w:pPr>
              <w:rPr>
                <w:color w:val="000000"/>
                <w:sz w:val="22"/>
                <w:szCs w:val="22"/>
                <w:lang w:val="en-US"/>
              </w:rPr>
            </w:pPr>
            <w:r w:rsidRPr="008A4F40">
              <w:rPr>
                <w:color w:val="000000"/>
                <w:sz w:val="22"/>
                <w:szCs w:val="22"/>
                <w:lang w:val="en-US"/>
              </w:rPr>
              <w:t>Tel: +353 1 260 12 55</w:t>
            </w:r>
          </w:p>
          <w:p w14:paraId="176C991B" w14:textId="77777777" w:rsidR="002D1A41" w:rsidRPr="008A4F40" w:rsidRDefault="002D1A41" w:rsidP="004E7659">
            <w:pPr>
              <w:rPr>
                <w:b/>
                <w:color w:val="000000"/>
                <w:sz w:val="22"/>
                <w:szCs w:val="22"/>
                <w:lang w:val="en-US"/>
              </w:rPr>
            </w:pPr>
          </w:p>
        </w:tc>
        <w:tc>
          <w:tcPr>
            <w:tcW w:w="4650" w:type="dxa"/>
          </w:tcPr>
          <w:p w14:paraId="3C3A62E5" w14:textId="77777777" w:rsidR="002D1A41" w:rsidRPr="008A4F40" w:rsidRDefault="002D1A41" w:rsidP="004E7659">
            <w:pPr>
              <w:rPr>
                <w:b/>
                <w:color w:val="000000"/>
                <w:sz w:val="22"/>
                <w:szCs w:val="22"/>
                <w:lang w:val="fr-FR"/>
              </w:rPr>
            </w:pPr>
            <w:r w:rsidRPr="008A4F40">
              <w:rPr>
                <w:b/>
                <w:color w:val="000000"/>
                <w:sz w:val="22"/>
                <w:szCs w:val="22"/>
                <w:lang w:val="fr-FR"/>
              </w:rPr>
              <w:t>Slovenija</w:t>
            </w:r>
          </w:p>
          <w:p w14:paraId="26F0CCFA" w14:textId="77777777" w:rsidR="002D1A41" w:rsidRPr="008A4F40" w:rsidRDefault="002D1A41" w:rsidP="004E7659">
            <w:pPr>
              <w:rPr>
                <w:color w:val="000000"/>
                <w:sz w:val="22"/>
                <w:szCs w:val="22"/>
                <w:lang w:val="fr-FR"/>
              </w:rPr>
            </w:pPr>
            <w:r w:rsidRPr="008A4F40">
              <w:rPr>
                <w:color w:val="000000"/>
                <w:sz w:val="22"/>
                <w:szCs w:val="22"/>
                <w:lang w:val="fr-FR"/>
              </w:rPr>
              <w:t>Novartis Pharma Services Inc.</w:t>
            </w:r>
          </w:p>
          <w:p w14:paraId="7EF447DE" w14:textId="77777777" w:rsidR="002D1A41" w:rsidRPr="008A4F40" w:rsidRDefault="002D1A41" w:rsidP="004E7659">
            <w:pPr>
              <w:rPr>
                <w:color w:val="000000"/>
                <w:sz w:val="22"/>
                <w:szCs w:val="22"/>
                <w:lang w:val="fr-FR"/>
              </w:rPr>
            </w:pPr>
            <w:r w:rsidRPr="008A4F40">
              <w:rPr>
                <w:color w:val="000000"/>
                <w:sz w:val="22"/>
                <w:szCs w:val="22"/>
                <w:lang w:val="fr-FR"/>
              </w:rPr>
              <w:t>Tel: +386 1 300 75 50</w:t>
            </w:r>
          </w:p>
        </w:tc>
      </w:tr>
      <w:tr w:rsidR="002D1A41" w:rsidRPr="008A4F40" w14:paraId="0A1DA9AD" w14:textId="77777777" w:rsidTr="00CC644C">
        <w:trPr>
          <w:cantSplit/>
        </w:trPr>
        <w:tc>
          <w:tcPr>
            <w:tcW w:w="4650" w:type="dxa"/>
          </w:tcPr>
          <w:p w14:paraId="56008A53" w14:textId="77777777" w:rsidR="002D1A41" w:rsidRPr="008A4F40" w:rsidRDefault="002D1A41" w:rsidP="004E7659">
            <w:pPr>
              <w:rPr>
                <w:b/>
                <w:color w:val="000000"/>
                <w:sz w:val="22"/>
                <w:szCs w:val="22"/>
              </w:rPr>
            </w:pPr>
            <w:r w:rsidRPr="008A4F40">
              <w:rPr>
                <w:b/>
                <w:color w:val="000000"/>
                <w:sz w:val="22"/>
                <w:szCs w:val="22"/>
              </w:rPr>
              <w:t>Ísland</w:t>
            </w:r>
          </w:p>
          <w:p w14:paraId="6DC76F49" w14:textId="66571613" w:rsidR="002D1A41" w:rsidRPr="008A4F40" w:rsidRDefault="002D1A41" w:rsidP="004E7659">
            <w:pPr>
              <w:rPr>
                <w:color w:val="000000"/>
                <w:sz w:val="22"/>
                <w:szCs w:val="22"/>
              </w:rPr>
            </w:pPr>
            <w:r w:rsidRPr="008A4F40">
              <w:rPr>
                <w:color w:val="000000"/>
                <w:sz w:val="22"/>
                <w:szCs w:val="22"/>
              </w:rPr>
              <w:t xml:space="preserve">Vistor </w:t>
            </w:r>
            <w:ins w:id="923" w:author="Author">
              <w:r w:rsidR="00A53AF7">
                <w:rPr>
                  <w:color w:val="000000"/>
                  <w:sz w:val="22"/>
                  <w:szCs w:val="22"/>
                </w:rPr>
                <w:t>e</w:t>
              </w:r>
            </w:ins>
            <w:r w:rsidRPr="008A4F40">
              <w:rPr>
                <w:color w:val="000000"/>
                <w:sz w:val="22"/>
                <w:szCs w:val="22"/>
              </w:rPr>
              <w:t>hf.</w:t>
            </w:r>
          </w:p>
          <w:p w14:paraId="17053B42" w14:textId="77777777" w:rsidR="002D1A41" w:rsidRPr="008A4F40" w:rsidRDefault="002D1A41" w:rsidP="004E7659">
            <w:pPr>
              <w:rPr>
                <w:color w:val="000000"/>
                <w:sz w:val="22"/>
                <w:szCs w:val="22"/>
              </w:rPr>
            </w:pPr>
            <w:r w:rsidRPr="008A4F40">
              <w:rPr>
                <w:noProof/>
                <w:color w:val="000000"/>
                <w:sz w:val="22"/>
                <w:szCs w:val="22"/>
                <w:lang w:val="it-IT"/>
              </w:rPr>
              <w:t>S</w:t>
            </w:r>
            <w:r w:rsidRPr="008A4F40">
              <w:rPr>
                <w:noProof/>
                <w:color w:val="000000"/>
                <w:sz w:val="22"/>
                <w:szCs w:val="22"/>
                <w:lang w:val="cs-CZ"/>
              </w:rPr>
              <w:t>í</w:t>
            </w:r>
            <w:r w:rsidRPr="008A4F40">
              <w:rPr>
                <w:noProof/>
                <w:color w:val="000000"/>
                <w:sz w:val="22"/>
                <w:szCs w:val="22"/>
                <w:lang w:val="it-IT"/>
              </w:rPr>
              <w:t>mi</w:t>
            </w:r>
            <w:r w:rsidRPr="008A4F40">
              <w:rPr>
                <w:color w:val="000000"/>
                <w:sz w:val="22"/>
                <w:szCs w:val="22"/>
              </w:rPr>
              <w:t>: +354 535 7000</w:t>
            </w:r>
          </w:p>
          <w:p w14:paraId="3EBF10A5" w14:textId="77777777" w:rsidR="002D1A41" w:rsidRPr="008A4F40" w:rsidRDefault="002D1A41" w:rsidP="004E7659">
            <w:pPr>
              <w:rPr>
                <w:b/>
                <w:color w:val="000000"/>
                <w:sz w:val="22"/>
                <w:szCs w:val="22"/>
              </w:rPr>
            </w:pPr>
          </w:p>
        </w:tc>
        <w:tc>
          <w:tcPr>
            <w:tcW w:w="4650" w:type="dxa"/>
          </w:tcPr>
          <w:p w14:paraId="42EE5039" w14:textId="77777777" w:rsidR="002D1A41" w:rsidRPr="008A4F40" w:rsidRDefault="002D1A41" w:rsidP="004E7659">
            <w:pPr>
              <w:rPr>
                <w:b/>
                <w:color w:val="000000"/>
                <w:sz w:val="22"/>
                <w:szCs w:val="22"/>
                <w:lang w:val="nb-NO"/>
              </w:rPr>
            </w:pPr>
            <w:r w:rsidRPr="008A4F40">
              <w:rPr>
                <w:b/>
                <w:color w:val="000000"/>
                <w:sz w:val="22"/>
                <w:szCs w:val="22"/>
                <w:lang w:val="nb-NO"/>
              </w:rPr>
              <w:t>Slovenská republika</w:t>
            </w:r>
          </w:p>
          <w:p w14:paraId="4B888315" w14:textId="77777777" w:rsidR="002D1A41" w:rsidRPr="008A4F40" w:rsidRDefault="002D1A41" w:rsidP="004E7659">
            <w:pPr>
              <w:rPr>
                <w:color w:val="000000"/>
                <w:sz w:val="22"/>
                <w:szCs w:val="22"/>
                <w:lang w:val="nb-NO"/>
              </w:rPr>
            </w:pPr>
            <w:r w:rsidRPr="008A4F40">
              <w:rPr>
                <w:color w:val="000000"/>
                <w:sz w:val="22"/>
                <w:szCs w:val="22"/>
                <w:lang w:val="nb-NO"/>
              </w:rPr>
              <w:t>Novartis Slovakia s.r.o.</w:t>
            </w:r>
          </w:p>
          <w:p w14:paraId="4F199771" w14:textId="77777777" w:rsidR="002D1A41" w:rsidRPr="008A4F40" w:rsidRDefault="002D1A41" w:rsidP="004E7659">
            <w:pPr>
              <w:rPr>
                <w:color w:val="000000"/>
                <w:sz w:val="22"/>
                <w:szCs w:val="22"/>
              </w:rPr>
            </w:pPr>
            <w:r w:rsidRPr="008A4F40">
              <w:rPr>
                <w:color w:val="000000"/>
                <w:sz w:val="22"/>
                <w:szCs w:val="22"/>
              </w:rPr>
              <w:t>Tel: +421 2 5542 5439</w:t>
            </w:r>
          </w:p>
          <w:p w14:paraId="23D3A996" w14:textId="77777777" w:rsidR="002D1A41" w:rsidRPr="008A4F40" w:rsidRDefault="002D1A41" w:rsidP="004E7659">
            <w:pPr>
              <w:rPr>
                <w:color w:val="000000"/>
                <w:sz w:val="22"/>
                <w:szCs w:val="22"/>
              </w:rPr>
            </w:pPr>
          </w:p>
        </w:tc>
      </w:tr>
      <w:tr w:rsidR="002D1A41" w:rsidRPr="008A4F40" w14:paraId="34D17D86" w14:textId="77777777" w:rsidTr="00CC644C">
        <w:trPr>
          <w:cantSplit/>
        </w:trPr>
        <w:tc>
          <w:tcPr>
            <w:tcW w:w="4650" w:type="dxa"/>
          </w:tcPr>
          <w:p w14:paraId="2F02FE95" w14:textId="77777777" w:rsidR="002D1A41" w:rsidRPr="008A4F40" w:rsidRDefault="002D1A41" w:rsidP="004E7659">
            <w:pPr>
              <w:rPr>
                <w:b/>
                <w:color w:val="000000"/>
                <w:sz w:val="22"/>
                <w:szCs w:val="22"/>
                <w:lang w:val="pt-BR"/>
              </w:rPr>
            </w:pPr>
            <w:r w:rsidRPr="008A4F40">
              <w:rPr>
                <w:b/>
                <w:color w:val="000000"/>
                <w:sz w:val="22"/>
                <w:szCs w:val="22"/>
                <w:lang w:val="pt-BR"/>
              </w:rPr>
              <w:t>Italia</w:t>
            </w:r>
          </w:p>
          <w:p w14:paraId="20ED5E77" w14:textId="77777777" w:rsidR="002D1A41" w:rsidRPr="008A4F40" w:rsidRDefault="002D1A41" w:rsidP="004E7659">
            <w:pPr>
              <w:rPr>
                <w:color w:val="000000"/>
                <w:sz w:val="22"/>
                <w:szCs w:val="22"/>
                <w:lang w:val="pt-BR"/>
              </w:rPr>
            </w:pPr>
            <w:r w:rsidRPr="008A4F40">
              <w:rPr>
                <w:color w:val="000000"/>
                <w:sz w:val="22"/>
                <w:szCs w:val="22"/>
                <w:lang w:val="pt-BR"/>
              </w:rPr>
              <w:t>Novartis Farma S.p.A.</w:t>
            </w:r>
          </w:p>
          <w:p w14:paraId="4D4DC7E2" w14:textId="77777777" w:rsidR="002D1A41" w:rsidRPr="008A4F40" w:rsidRDefault="002D1A41" w:rsidP="004E7659">
            <w:pPr>
              <w:rPr>
                <w:b/>
                <w:color w:val="000000"/>
                <w:sz w:val="22"/>
                <w:szCs w:val="22"/>
              </w:rPr>
            </w:pPr>
            <w:r w:rsidRPr="008A4F40">
              <w:rPr>
                <w:color w:val="000000"/>
                <w:sz w:val="22"/>
                <w:szCs w:val="22"/>
              </w:rPr>
              <w:t>Tel: +39 02 96 54 1</w:t>
            </w:r>
          </w:p>
        </w:tc>
        <w:tc>
          <w:tcPr>
            <w:tcW w:w="4650" w:type="dxa"/>
          </w:tcPr>
          <w:p w14:paraId="3BF9FBF9" w14:textId="77777777" w:rsidR="002D1A41" w:rsidRPr="008A4F40" w:rsidRDefault="002D1A41" w:rsidP="004E7659">
            <w:pPr>
              <w:rPr>
                <w:b/>
                <w:color w:val="000000"/>
                <w:sz w:val="22"/>
                <w:szCs w:val="22"/>
                <w:lang w:val="fr-FR"/>
              </w:rPr>
            </w:pPr>
            <w:r w:rsidRPr="008A4F40">
              <w:rPr>
                <w:b/>
                <w:color w:val="000000"/>
                <w:sz w:val="22"/>
                <w:szCs w:val="22"/>
                <w:lang w:val="fr-FR"/>
              </w:rPr>
              <w:t>Suomi/Finland</w:t>
            </w:r>
          </w:p>
          <w:p w14:paraId="00445541" w14:textId="77777777" w:rsidR="002D1A41" w:rsidRPr="008A4F40" w:rsidRDefault="002D1A41" w:rsidP="004E7659">
            <w:pPr>
              <w:rPr>
                <w:color w:val="000000"/>
                <w:sz w:val="22"/>
                <w:szCs w:val="22"/>
                <w:lang w:val="fr-FR"/>
              </w:rPr>
            </w:pPr>
            <w:r w:rsidRPr="008A4F40">
              <w:rPr>
                <w:color w:val="000000"/>
                <w:sz w:val="22"/>
                <w:szCs w:val="22"/>
                <w:lang w:val="fr-FR"/>
              </w:rPr>
              <w:t>Novartis Finland Oy</w:t>
            </w:r>
          </w:p>
          <w:p w14:paraId="58875143" w14:textId="77777777" w:rsidR="002D1A41" w:rsidRPr="008A4F40" w:rsidRDefault="002D1A41" w:rsidP="004E7659">
            <w:pPr>
              <w:rPr>
                <w:color w:val="000000"/>
                <w:sz w:val="22"/>
                <w:szCs w:val="22"/>
                <w:lang w:val="fr-FR"/>
              </w:rPr>
            </w:pPr>
            <w:proofErr w:type="spellStart"/>
            <w:r w:rsidRPr="008A4F40">
              <w:rPr>
                <w:color w:val="000000"/>
                <w:sz w:val="22"/>
                <w:szCs w:val="22"/>
                <w:lang w:val="fr-FR"/>
              </w:rPr>
              <w:t>Puh</w:t>
            </w:r>
            <w:proofErr w:type="spellEnd"/>
            <w:r w:rsidRPr="008A4F40">
              <w:rPr>
                <w:color w:val="000000"/>
                <w:sz w:val="22"/>
                <w:szCs w:val="22"/>
                <w:lang w:val="fr-FR"/>
              </w:rPr>
              <w:t xml:space="preserve">/Tel: </w:t>
            </w:r>
            <w:r w:rsidRPr="008A4F40">
              <w:rPr>
                <w:color w:val="000000"/>
                <w:sz w:val="22"/>
                <w:szCs w:val="22"/>
                <w:lang w:val="de-CH" w:bidi="he-IL"/>
              </w:rPr>
              <w:t>+358 (0)10 6133 200</w:t>
            </w:r>
          </w:p>
          <w:p w14:paraId="5A456F73" w14:textId="77777777" w:rsidR="002D1A41" w:rsidRPr="008A4F40" w:rsidRDefault="002D1A41" w:rsidP="004E7659">
            <w:pPr>
              <w:rPr>
                <w:color w:val="000000"/>
                <w:sz w:val="22"/>
                <w:szCs w:val="22"/>
                <w:lang w:val="fr-FR"/>
              </w:rPr>
            </w:pPr>
          </w:p>
        </w:tc>
      </w:tr>
      <w:tr w:rsidR="002D1A41" w:rsidRPr="008A4F40" w14:paraId="099E62AC" w14:textId="77777777" w:rsidTr="00CC644C">
        <w:trPr>
          <w:cantSplit/>
        </w:trPr>
        <w:tc>
          <w:tcPr>
            <w:tcW w:w="4650" w:type="dxa"/>
          </w:tcPr>
          <w:p w14:paraId="63C942FD" w14:textId="77777777" w:rsidR="002D1A41" w:rsidRPr="008A4F40" w:rsidRDefault="002D1A41" w:rsidP="004E7659">
            <w:pPr>
              <w:rPr>
                <w:b/>
                <w:color w:val="000000"/>
                <w:sz w:val="22"/>
                <w:szCs w:val="22"/>
                <w:lang w:val="fr-FR"/>
              </w:rPr>
            </w:pPr>
            <w:r w:rsidRPr="008A4F40">
              <w:rPr>
                <w:b/>
                <w:color w:val="000000"/>
                <w:sz w:val="22"/>
                <w:szCs w:val="22"/>
              </w:rPr>
              <w:t>Κύπρος</w:t>
            </w:r>
          </w:p>
          <w:p w14:paraId="3B1BBE6D" w14:textId="77777777" w:rsidR="002D1A41" w:rsidRPr="008A4F40" w:rsidRDefault="002D1A41" w:rsidP="004E7659">
            <w:pPr>
              <w:rPr>
                <w:color w:val="000000"/>
                <w:sz w:val="22"/>
                <w:szCs w:val="22"/>
                <w:lang w:val="fr-FR"/>
              </w:rPr>
            </w:pPr>
            <w:r w:rsidRPr="008A4F40">
              <w:rPr>
                <w:color w:val="000000"/>
                <w:sz w:val="22"/>
                <w:szCs w:val="22"/>
                <w:lang w:val="fr-FR" w:bidi="he-IL"/>
              </w:rPr>
              <w:t>Novartis Pharma Services Inc.</w:t>
            </w:r>
          </w:p>
          <w:p w14:paraId="32651F42" w14:textId="77777777" w:rsidR="002D1A41" w:rsidRPr="008A4F40" w:rsidRDefault="002D1A41" w:rsidP="004E7659">
            <w:pPr>
              <w:rPr>
                <w:color w:val="000000"/>
                <w:sz w:val="22"/>
                <w:szCs w:val="22"/>
                <w:lang w:val="fr-FR"/>
              </w:rPr>
            </w:pPr>
            <w:r w:rsidRPr="008A4F40">
              <w:rPr>
                <w:color w:val="000000"/>
                <w:sz w:val="22"/>
                <w:szCs w:val="22"/>
              </w:rPr>
              <w:t>Τηλ</w:t>
            </w:r>
            <w:r w:rsidRPr="008A4F40">
              <w:rPr>
                <w:color w:val="000000"/>
                <w:sz w:val="22"/>
                <w:szCs w:val="22"/>
                <w:lang w:val="fr-FR"/>
              </w:rPr>
              <w:t>: +357 22 690 690</w:t>
            </w:r>
          </w:p>
          <w:p w14:paraId="6C6D01A3" w14:textId="77777777" w:rsidR="002D1A41" w:rsidRPr="008A4F40" w:rsidRDefault="002D1A41" w:rsidP="004E7659">
            <w:pPr>
              <w:rPr>
                <w:b/>
                <w:color w:val="000000"/>
                <w:sz w:val="22"/>
                <w:szCs w:val="22"/>
                <w:lang w:val="fr-FR"/>
              </w:rPr>
            </w:pPr>
          </w:p>
        </w:tc>
        <w:tc>
          <w:tcPr>
            <w:tcW w:w="4650" w:type="dxa"/>
          </w:tcPr>
          <w:p w14:paraId="2CE4C22D" w14:textId="77777777" w:rsidR="002D1A41" w:rsidRPr="008A4F40" w:rsidRDefault="002D1A41" w:rsidP="004E7659">
            <w:pPr>
              <w:rPr>
                <w:b/>
                <w:color w:val="000000"/>
                <w:sz w:val="22"/>
                <w:szCs w:val="22"/>
                <w:lang w:val="nb-NO"/>
              </w:rPr>
            </w:pPr>
            <w:r w:rsidRPr="008A4F40">
              <w:rPr>
                <w:b/>
                <w:color w:val="000000"/>
                <w:sz w:val="22"/>
                <w:szCs w:val="22"/>
                <w:lang w:val="nb-NO"/>
              </w:rPr>
              <w:t>Sverige</w:t>
            </w:r>
          </w:p>
          <w:p w14:paraId="5EFA0AD8" w14:textId="77777777" w:rsidR="002D1A41" w:rsidRPr="008A4F40" w:rsidRDefault="002D1A41" w:rsidP="004E7659">
            <w:pPr>
              <w:rPr>
                <w:color w:val="000000"/>
                <w:sz w:val="22"/>
                <w:szCs w:val="22"/>
                <w:lang w:val="nb-NO"/>
              </w:rPr>
            </w:pPr>
            <w:r w:rsidRPr="008A4F40">
              <w:rPr>
                <w:color w:val="000000"/>
                <w:sz w:val="22"/>
                <w:szCs w:val="22"/>
                <w:lang w:val="nb-NO"/>
              </w:rPr>
              <w:t>Novartis Sverige AB</w:t>
            </w:r>
          </w:p>
          <w:p w14:paraId="397ED9C9" w14:textId="77777777" w:rsidR="002D1A41" w:rsidRPr="008A4F40" w:rsidRDefault="002D1A41" w:rsidP="004E7659">
            <w:pPr>
              <w:rPr>
                <w:color w:val="000000"/>
                <w:sz w:val="22"/>
                <w:szCs w:val="22"/>
                <w:lang w:val="nb-NO"/>
              </w:rPr>
            </w:pPr>
            <w:r w:rsidRPr="008A4F40">
              <w:rPr>
                <w:color w:val="000000"/>
                <w:sz w:val="22"/>
                <w:szCs w:val="22"/>
                <w:lang w:val="nb-NO"/>
              </w:rPr>
              <w:t>Tel: +46 8 732 32 00</w:t>
            </w:r>
          </w:p>
          <w:p w14:paraId="5275BB47" w14:textId="77777777" w:rsidR="002D1A41" w:rsidRPr="008A4F40" w:rsidRDefault="002D1A41" w:rsidP="004E7659">
            <w:pPr>
              <w:rPr>
                <w:color w:val="000000"/>
                <w:sz w:val="22"/>
                <w:szCs w:val="22"/>
                <w:lang w:val="nb-NO"/>
              </w:rPr>
            </w:pPr>
          </w:p>
        </w:tc>
      </w:tr>
      <w:tr w:rsidR="002D1A41" w:rsidRPr="00FA2E9E" w14:paraId="0641346C" w14:textId="77777777" w:rsidTr="00CC644C">
        <w:trPr>
          <w:cantSplit/>
        </w:trPr>
        <w:tc>
          <w:tcPr>
            <w:tcW w:w="4650" w:type="dxa"/>
          </w:tcPr>
          <w:p w14:paraId="1C3C05BA" w14:textId="77777777" w:rsidR="002D1A41" w:rsidRPr="008A4F40" w:rsidRDefault="002D1A41" w:rsidP="004E7659">
            <w:pPr>
              <w:rPr>
                <w:b/>
                <w:color w:val="000000"/>
                <w:sz w:val="22"/>
                <w:szCs w:val="22"/>
                <w:lang w:val="pt-PT"/>
              </w:rPr>
            </w:pPr>
            <w:r w:rsidRPr="008A4F40">
              <w:rPr>
                <w:b/>
                <w:color w:val="000000"/>
                <w:sz w:val="22"/>
                <w:szCs w:val="22"/>
                <w:lang w:val="pt-PT"/>
              </w:rPr>
              <w:t>Latvija</w:t>
            </w:r>
          </w:p>
          <w:p w14:paraId="45B46E9C" w14:textId="36A284A8" w:rsidR="002D1A41" w:rsidRPr="008A4F40" w:rsidRDefault="002C0CB2" w:rsidP="004E7659">
            <w:pPr>
              <w:rPr>
                <w:color w:val="000000"/>
                <w:sz w:val="22"/>
                <w:szCs w:val="22"/>
                <w:lang w:val="pt-PT"/>
              </w:rPr>
            </w:pPr>
            <w:r w:rsidRPr="008A4F40">
              <w:rPr>
                <w:color w:val="000000"/>
                <w:sz w:val="22"/>
                <w:szCs w:val="22"/>
                <w:lang w:val="pt-PT"/>
              </w:rPr>
              <w:t>SIA Novartis Baltics</w:t>
            </w:r>
          </w:p>
          <w:p w14:paraId="36043FCC" w14:textId="77777777" w:rsidR="002D1A41" w:rsidRPr="008A4F40" w:rsidRDefault="002D1A41" w:rsidP="004E7659">
            <w:pPr>
              <w:rPr>
                <w:color w:val="000000"/>
                <w:sz w:val="22"/>
                <w:szCs w:val="22"/>
                <w:lang w:val="pt-PT"/>
              </w:rPr>
            </w:pPr>
            <w:r w:rsidRPr="008A4F40">
              <w:rPr>
                <w:color w:val="000000"/>
                <w:sz w:val="22"/>
                <w:szCs w:val="22"/>
                <w:lang w:val="pt-PT"/>
              </w:rPr>
              <w:t>Tel: +371 67 887 070</w:t>
            </w:r>
          </w:p>
          <w:p w14:paraId="5C1048E1" w14:textId="77777777" w:rsidR="002D1A41" w:rsidRPr="008A4F40" w:rsidRDefault="002D1A41" w:rsidP="004E7659">
            <w:pPr>
              <w:rPr>
                <w:b/>
                <w:color w:val="000000"/>
                <w:sz w:val="22"/>
                <w:szCs w:val="22"/>
                <w:lang w:val="pt-PT"/>
              </w:rPr>
            </w:pPr>
          </w:p>
        </w:tc>
        <w:tc>
          <w:tcPr>
            <w:tcW w:w="4650" w:type="dxa"/>
          </w:tcPr>
          <w:p w14:paraId="60646345" w14:textId="77777777" w:rsidR="002D1A41" w:rsidRPr="00D1077B" w:rsidRDefault="002D1A41" w:rsidP="004E7659">
            <w:pPr>
              <w:rPr>
                <w:color w:val="000000"/>
                <w:sz w:val="22"/>
                <w:szCs w:val="22"/>
                <w:lang w:val="en-US"/>
                <w:rPrChange w:id="924" w:author="Author">
                  <w:rPr>
                    <w:color w:val="000000"/>
                    <w:sz w:val="22"/>
                    <w:szCs w:val="22"/>
                  </w:rPr>
                </w:rPrChange>
              </w:rPr>
            </w:pPr>
          </w:p>
        </w:tc>
      </w:tr>
    </w:tbl>
    <w:p w14:paraId="0E84CB5C" w14:textId="77777777" w:rsidR="002D1A41" w:rsidRPr="00D1077B" w:rsidRDefault="002D1A41" w:rsidP="004E7659">
      <w:pPr>
        <w:ind w:right="-449"/>
        <w:rPr>
          <w:color w:val="000000"/>
          <w:sz w:val="22"/>
          <w:szCs w:val="22"/>
          <w:lang w:val="en-US"/>
          <w:rPrChange w:id="925" w:author="Author">
            <w:rPr>
              <w:color w:val="000000"/>
              <w:sz w:val="22"/>
              <w:szCs w:val="22"/>
            </w:rPr>
          </w:rPrChange>
        </w:rPr>
      </w:pPr>
    </w:p>
    <w:p w14:paraId="177A3DC6" w14:textId="77777777" w:rsidR="00AB6D5E" w:rsidRPr="008A4F40" w:rsidRDefault="00AB6D5E" w:rsidP="004E7659">
      <w:pPr>
        <w:numPr>
          <w:ilvl w:val="12"/>
          <w:numId w:val="0"/>
        </w:numPr>
        <w:rPr>
          <w:b/>
          <w:color w:val="000000"/>
          <w:sz w:val="22"/>
          <w:szCs w:val="22"/>
        </w:rPr>
      </w:pPr>
      <w:r w:rsidRPr="008A4F40">
        <w:rPr>
          <w:b/>
          <w:color w:val="000000"/>
          <w:sz w:val="22"/>
          <w:szCs w:val="22"/>
        </w:rPr>
        <w:t xml:space="preserve">Diese </w:t>
      </w:r>
      <w:r w:rsidR="00001DA2" w:rsidRPr="008A4F40">
        <w:rPr>
          <w:b/>
          <w:color w:val="000000"/>
          <w:sz w:val="22"/>
          <w:szCs w:val="22"/>
        </w:rPr>
        <w:t>Packungsbeilage</w:t>
      </w:r>
      <w:r w:rsidRPr="008A4F40">
        <w:rPr>
          <w:b/>
          <w:color w:val="000000"/>
          <w:sz w:val="22"/>
          <w:szCs w:val="22"/>
        </w:rPr>
        <w:t xml:space="preserve"> wurde zuletzt </w:t>
      </w:r>
      <w:r w:rsidR="00001DA2" w:rsidRPr="008A4F40">
        <w:rPr>
          <w:b/>
          <w:color w:val="000000"/>
          <w:sz w:val="22"/>
          <w:szCs w:val="22"/>
        </w:rPr>
        <w:t>überarbeitet</w:t>
      </w:r>
      <w:r w:rsidRPr="008A4F40">
        <w:rPr>
          <w:b/>
          <w:color w:val="000000"/>
          <w:sz w:val="22"/>
          <w:szCs w:val="22"/>
        </w:rPr>
        <w:t xml:space="preserve"> im</w:t>
      </w:r>
    </w:p>
    <w:p w14:paraId="47A094FE" w14:textId="77777777" w:rsidR="00AB6D5E" w:rsidRPr="008A4F40" w:rsidRDefault="00AB6D5E" w:rsidP="004E7659">
      <w:pPr>
        <w:numPr>
          <w:ilvl w:val="12"/>
          <w:numId w:val="0"/>
        </w:numPr>
        <w:rPr>
          <w:color w:val="000000"/>
          <w:sz w:val="22"/>
          <w:szCs w:val="22"/>
        </w:rPr>
      </w:pPr>
    </w:p>
    <w:p w14:paraId="7680B9B9" w14:textId="77777777" w:rsidR="00001DA2" w:rsidRPr="008A4F40" w:rsidRDefault="00001DA2" w:rsidP="004E7659">
      <w:pPr>
        <w:keepNext/>
        <w:numPr>
          <w:ilvl w:val="12"/>
          <w:numId w:val="0"/>
        </w:numPr>
        <w:rPr>
          <w:color w:val="000000"/>
          <w:sz w:val="22"/>
          <w:szCs w:val="22"/>
        </w:rPr>
      </w:pPr>
      <w:r w:rsidRPr="008A4F40">
        <w:rPr>
          <w:b/>
          <w:sz w:val="22"/>
          <w:szCs w:val="22"/>
        </w:rPr>
        <w:t>Weitere Informationsquellen</w:t>
      </w:r>
    </w:p>
    <w:p w14:paraId="4361EC29" w14:textId="61D3E933" w:rsidR="00AB6D5E" w:rsidRPr="00B30A12" w:rsidRDefault="00AB6D5E" w:rsidP="004E7659">
      <w:pPr>
        <w:numPr>
          <w:ilvl w:val="12"/>
          <w:numId w:val="0"/>
        </w:numPr>
        <w:rPr>
          <w:color w:val="000000"/>
          <w:sz w:val="22"/>
          <w:szCs w:val="22"/>
        </w:rPr>
      </w:pPr>
      <w:r w:rsidRPr="008A4F40">
        <w:rPr>
          <w:color w:val="000000"/>
          <w:sz w:val="22"/>
          <w:szCs w:val="22"/>
        </w:rPr>
        <w:t>Ausführliche Informationen zu diesem Arzneimittel sind auf de</w:t>
      </w:r>
      <w:r w:rsidR="00001DA2" w:rsidRPr="008A4F40">
        <w:rPr>
          <w:color w:val="000000"/>
          <w:sz w:val="22"/>
          <w:szCs w:val="22"/>
        </w:rPr>
        <w:t>n Internetseiten</w:t>
      </w:r>
      <w:r w:rsidRPr="008A4F40">
        <w:rPr>
          <w:color w:val="000000"/>
          <w:sz w:val="22"/>
          <w:szCs w:val="22"/>
        </w:rPr>
        <w:t xml:space="preserve"> der Europäischen Arzneimittel-Agentur </w:t>
      </w:r>
      <w:ins w:id="926" w:author="Author">
        <w:r w:rsidR="00E96CC8">
          <w:rPr>
            <w:sz w:val="22"/>
            <w:szCs w:val="22"/>
          </w:rPr>
          <w:fldChar w:fldCharType="begin"/>
        </w:r>
        <w:r w:rsidR="00E96CC8">
          <w:rPr>
            <w:sz w:val="22"/>
            <w:szCs w:val="22"/>
          </w:rPr>
          <w:instrText>HYPERLINK "</w:instrText>
        </w:r>
      </w:ins>
      <w:r w:rsidR="00E96CC8" w:rsidRPr="004E7659">
        <w:rPr>
          <w:rStyle w:val="Hyperlink"/>
          <w:sz w:val="22"/>
          <w:szCs w:val="22"/>
        </w:rPr>
        <w:instrText>http</w:instrText>
      </w:r>
      <w:ins w:id="927" w:author="Author">
        <w:r w:rsidR="00E96CC8" w:rsidRPr="004E7659">
          <w:rPr>
            <w:rStyle w:val="Hyperlink"/>
            <w:sz w:val="22"/>
            <w:szCs w:val="22"/>
          </w:rPr>
          <w:instrText>s</w:instrText>
        </w:r>
      </w:ins>
      <w:r w:rsidR="00E96CC8" w:rsidRPr="004E7659">
        <w:rPr>
          <w:rStyle w:val="Hyperlink"/>
          <w:sz w:val="22"/>
          <w:szCs w:val="22"/>
        </w:rPr>
        <w:instrText>://www.ema.europa.eu/</w:instrText>
      </w:r>
      <w:ins w:id="928" w:author="Author">
        <w:r w:rsidR="00E96CC8">
          <w:rPr>
            <w:sz w:val="22"/>
            <w:szCs w:val="22"/>
          </w:rPr>
          <w:instrText>"</w:instrText>
        </w:r>
        <w:r w:rsidR="00E96CC8">
          <w:rPr>
            <w:sz w:val="22"/>
            <w:szCs w:val="22"/>
          </w:rPr>
        </w:r>
        <w:r w:rsidR="00E96CC8">
          <w:rPr>
            <w:sz w:val="22"/>
            <w:szCs w:val="22"/>
          </w:rPr>
          <w:fldChar w:fldCharType="separate"/>
        </w:r>
      </w:ins>
      <w:r w:rsidR="00E96CC8" w:rsidRPr="00E96CC8">
        <w:rPr>
          <w:rStyle w:val="Hyperlink"/>
          <w:sz w:val="22"/>
          <w:szCs w:val="22"/>
        </w:rPr>
        <w:t>http</w:t>
      </w:r>
      <w:ins w:id="929" w:author="Author">
        <w:r w:rsidR="00E96CC8" w:rsidRPr="00E96CC8">
          <w:rPr>
            <w:rStyle w:val="Hyperlink"/>
            <w:sz w:val="22"/>
            <w:szCs w:val="22"/>
          </w:rPr>
          <w:t>s</w:t>
        </w:r>
      </w:ins>
      <w:r w:rsidR="00E96CC8" w:rsidRPr="00E96CC8">
        <w:rPr>
          <w:rStyle w:val="Hyperlink"/>
          <w:sz w:val="22"/>
          <w:szCs w:val="22"/>
        </w:rPr>
        <w:t>://www.ema.europa.eu/</w:t>
      </w:r>
      <w:ins w:id="930" w:author="Author">
        <w:r w:rsidR="00E96CC8">
          <w:rPr>
            <w:sz w:val="22"/>
            <w:szCs w:val="22"/>
          </w:rPr>
          <w:fldChar w:fldCharType="end"/>
        </w:r>
      </w:ins>
      <w:r w:rsidRPr="008A4F40">
        <w:rPr>
          <w:color w:val="000000"/>
          <w:sz w:val="22"/>
          <w:szCs w:val="22"/>
        </w:rPr>
        <w:t xml:space="preserve"> verfügbar.</w:t>
      </w:r>
    </w:p>
    <w:p w14:paraId="1EADC7C6" w14:textId="77777777" w:rsidR="00AB6D5E" w:rsidRPr="00D7000F" w:rsidRDefault="00AB6D5E" w:rsidP="004E7659">
      <w:pPr>
        <w:numPr>
          <w:ilvl w:val="12"/>
          <w:numId w:val="0"/>
        </w:numPr>
        <w:rPr>
          <w:color w:val="000000"/>
          <w:sz w:val="22"/>
          <w:szCs w:val="22"/>
        </w:rPr>
      </w:pPr>
    </w:p>
    <w:p w14:paraId="6E3CE8F5" w14:textId="742A2426" w:rsidR="006615F9" w:rsidRPr="00964770" w:rsidRDefault="006615F9" w:rsidP="004E7659">
      <w:pPr>
        <w:jc w:val="center"/>
        <w:rPr>
          <w:sz w:val="22"/>
          <w:szCs w:val="22"/>
        </w:rPr>
      </w:pPr>
    </w:p>
    <w:sectPr w:rsidR="006615F9" w:rsidRPr="00964770" w:rsidSect="00903853">
      <w:footerReference w:type="default" r:id="rId15"/>
      <w:footerReference w:type="first" r:id="rId16"/>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C01A" w14:textId="77777777" w:rsidR="00C25117" w:rsidRDefault="00C25117">
      <w:r>
        <w:separator/>
      </w:r>
    </w:p>
  </w:endnote>
  <w:endnote w:type="continuationSeparator" w:id="0">
    <w:p w14:paraId="1E14A7FC" w14:textId="77777777" w:rsidR="00C25117" w:rsidRDefault="00C2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D041" w14:textId="59A21E54" w:rsidR="00D9340D" w:rsidRPr="00903853" w:rsidRDefault="00D9340D">
    <w:pPr>
      <w:pStyle w:val="Footer"/>
      <w:jc w:val="center"/>
      <w:rPr>
        <w:rFonts w:ascii="Arial" w:hAnsi="Arial" w:cs="Arial"/>
      </w:rPr>
    </w:pPr>
    <w:r>
      <w:fldChar w:fldCharType="begin"/>
    </w:r>
    <w:r>
      <w:instrText xml:space="preserve"> EQ </w:instrText>
    </w:r>
    <w:r>
      <w:fldChar w:fldCharType="end"/>
    </w:r>
    <w:r w:rsidRPr="00903853">
      <w:rPr>
        <w:rStyle w:val="PageNumber"/>
        <w:rFonts w:ascii="Arial" w:hAnsi="Arial" w:cs="Arial"/>
      </w:rPr>
      <w:fldChar w:fldCharType="begin"/>
    </w:r>
    <w:r w:rsidRPr="00903853">
      <w:rPr>
        <w:rStyle w:val="PageNumber"/>
        <w:rFonts w:ascii="Arial" w:hAnsi="Arial" w:cs="Arial"/>
      </w:rPr>
      <w:instrText xml:space="preserve">PAGE  </w:instrText>
    </w:r>
    <w:r w:rsidRPr="00903853">
      <w:rPr>
        <w:rStyle w:val="PageNumber"/>
        <w:rFonts w:ascii="Arial" w:hAnsi="Arial" w:cs="Arial"/>
      </w:rPr>
      <w:fldChar w:fldCharType="separate"/>
    </w:r>
    <w:r w:rsidR="00E97BC9">
      <w:rPr>
        <w:rStyle w:val="PageNumber"/>
        <w:rFonts w:ascii="Arial" w:hAnsi="Arial" w:cs="Arial"/>
        <w:noProof/>
      </w:rPr>
      <w:t>110</w:t>
    </w:r>
    <w:r w:rsidRPr="0090385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9804" w14:textId="77777777" w:rsidR="00D9340D" w:rsidRDefault="00D9340D" w:rsidP="009038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C1B6E8" w14:textId="77777777" w:rsidR="00D9340D" w:rsidRPr="00903853" w:rsidRDefault="00D9340D" w:rsidP="00903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C065" w14:textId="77777777" w:rsidR="00C25117" w:rsidRDefault="00C25117">
      <w:r>
        <w:separator/>
      </w:r>
    </w:p>
  </w:footnote>
  <w:footnote w:type="continuationSeparator" w:id="0">
    <w:p w14:paraId="2928AFC3" w14:textId="77777777" w:rsidR="00C25117" w:rsidRDefault="00C25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numPicBullet w:numPicBulletId="1">
    <w:pict>
      <v:shape id="_x0000_i1028" type="#_x0000_t75" style="width:15.75pt;height:13.5pt;visibility:visible;mso-wrap-style:squar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26033"/>
    <w:multiLevelType w:val="singleLevel"/>
    <w:tmpl w:val="2D9291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4172CF"/>
    <w:multiLevelType w:val="hybridMultilevel"/>
    <w:tmpl w:val="89F28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64523"/>
    <w:multiLevelType w:val="hybridMultilevel"/>
    <w:tmpl w:val="02EA0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82D02CA"/>
    <w:multiLevelType w:val="hybridMultilevel"/>
    <w:tmpl w:val="5C686AEE"/>
    <w:lvl w:ilvl="0" w:tplc="0407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8A910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C84971"/>
    <w:multiLevelType w:val="hybridMultilevel"/>
    <w:tmpl w:val="4A5040E8"/>
    <w:lvl w:ilvl="0" w:tplc="1D8029EE">
      <w:start w:val="1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FDF2A37"/>
    <w:multiLevelType w:val="hybridMultilevel"/>
    <w:tmpl w:val="7BCCB664"/>
    <w:lvl w:ilvl="0" w:tplc="516897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151C9"/>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41FC1B50"/>
    <w:multiLevelType w:val="singleLevel"/>
    <w:tmpl w:val="2D9291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A26F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DBD5776"/>
    <w:multiLevelType w:val="singleLevel"/>
    <w:tmpl w:val="1C58E154"/>
    <w:lvl w:ilvl="0">
      <w:start w:val="1"/>
      <w:numFmt w:val="bullet"/>
      <w:lvlText w:val="-"/>
      <w:lvlJc w:val="left"/>
      <w:pPr>
        <w:tabs>
          <w:tab w:val="num" w:pos="644"/>
        </w:tabs>
        <w:ind w:left="567" w:hanging="283"/>
      </w:pPr>
    </w:lvl>
  </w:abstractNum>
  <w:abstractNum w:abstractNumId="14" w15:restartNumberingAfterBreak="0">
    <w:nsid w:val="642700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1E1817"/>
    <w:multiLevelType w:val="hybridMultilevel"/>
    <w:tmpl w:val="A02653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CD5852"/>
    <w:multiLevelType w:val="hybridMultilevel"/>
    <w:tmpl w:val="32A687E0"/>
    <w:lvl w:ilvl="0" w:tplc="1D8029EE">
      <w:start w:val="1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F0650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35337092">
    <w:abstractNumId w:val="0"/>
    <w:lvlOverride w:ilvl="0">
      <w:lvl w:ilvl="0">
        <w:start w:val="21"/>
        <w:numFmt w:val="bullet"/>
        <w:lvlText w:val="-"/>
        <w:lvlJc w:val="left"/>
        <w:pPr>
          <w:tabs>
            <w:tab w:val="num" w:pos="417"/>
          </w:tabs>
          <w:ind w:left="417" w:hanging="360"/>
        </w:pPr>
        <w:rPr>
          <w:rFonts w:hint="default"/>
        </w:rPr>
      </w:lvl>
    </w:lvlOverride>
  </w:num>
  <w:num w:numId="2" w16cid:durableId="1193957859">
    <w:abstractNumId w:val="13"/>
  </w:num>
  <w:num w:numId="3" w16cid:durableId="1098911562">
    <w:abstractNumId w:val="18"/>
  </w:num>
  <w:num w:numId="4" w16cid:durableId="709188843">
    <w:abstractNumId w:val="14"/>
  </w:num>
  <w:num w:numId="5" w16cid:durableId="1537623174">
    <w:abstractNumId w:val="12"/>
  </w:num>
  <w:num w:numId="6" w16cid:durableId="2085642863">
    <w:abstractNumId w:val="7"/>
  </w:num>
  <w:num w:numId="7" w16cid:durableId="1817989791">
    <w:abstractNumId w:val="1"/>
  </w:num>
  <w:num w:numId="8" w16cid:durableId="2116945109">
    <w:abstractNumId w:val="11"/>
  </w:num>
  <w:num w:numId="9" w16cid:durableId="1217551676">
    <w:abstractNumId w:val="2"/>
  </w:num>
  <w:num w:numId="10" w16cid:durableId="138305463">
    <w:abstractNumId w:val="0"/>
    <w:lvlOverride w:ilvl="0">
      <w:lvl w:ilvl="0">
        <w:start w:val="1"/>
        <w:numFmt w:val="bullet"/>
        <w:lvlText w:val=""/>
        <w:lvlJc w:val="left"/>
        <w:pPr>
          <w:ind w:left="360" w:hanging="360"/>
        </w:pPr>
        <w:rPr>
          <w:rFonts w:ascii="Symbol" w:hAnsi="Symbol" w:hint="default"/>
        </w:rPr>
      </w:lvl>
    </w:lvlOverride>
  </w:num>
  <w:num w:numId="11" w16cid:durableId="1836844685">
    <w:abstractNumId w:val="5"/>
  </w:num>
  <w:num w:numId="12" w16cid:durableId="349841455">
    <w:abstractNumId w:val="15"/>
  </w:num>
  <w:num w:numId="13" w16cid:durableId="721440184">
    <w:abstractNumId w:val="9"/>
  </w:num>
  <w:num w:numId="14" w16cid:durableId="207450818">
    <w:abstractNumId w:val="8"/>
  </w:num>
  <w:num w:numId="15" w16cid:durableId="244610718">
    <w:abstractNumId w:val="17"/>
  </w:num>
  <w:num w:numId="16" w16cid:durableId="1896694931">
    <w:abstractNumId w:val="3"/>
  </w:num>
  <w:num w:numId="17" w16cid:durableId="1875265743">
    <w:abstractNumId w:val="10"/>
  </w:num>
  <w:num w:numId="18" w16cid:durableId="1325740550">
    <w:abstractNumId w:val="16"/>
  </w:num>
  <w:num w:numId="19" w16cid:durableId="8796290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123856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6935671">
    <w:abstractNumId w:val="10"/>
  </w:num>
  <w:num w:numId="22" w16cid:durableId="96261077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hideSpellingErrors/>
  <w:hideGrammaticalErrors/>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31BB"/>
    <w:rsid w:val="00000A46"/>
    <w:rsid w:val="00000C30"/>
    <w:rsid w:val="000016FC"/>
    <w:rsid w:val="00001DA2"/>
    <w:rsid w:val="00001E34"/>
    <w:rsid w:val="00002E39"/>
    <w:rsid w:val="0000319B"/>
    <w:rsid w:val="000039C8"/>
    <w:rsid w:val="00003BD4"/>
    <w:rsid w:val="00003D6B"/>
    <w:rsid w:val="00004597"/>
    <w:rsid w:val="0000498E"/>
    <w:rsid w:val="00005775"/>
    <w:rsid w:val="00010397"/>
    <w:rsid w:val="00010671"/>
    <w:rsid w:val="000118D4"/>
    <w:rsid w:val="0001596E"/>
    <w:rsid w:val="00016D3E"/>
    <w:rsid w:val="0001711A"/>
    <w:rsid w:val="00020323"/>
    <w:rsid w:val="00020C2A"/>
    <w:rsid w:val="00021300"/>
    <w:rsid w:val="00021304"/>
    <w:rsid w:val="00022036"/>
    <w:rsid w:val="00022BF5"/>
    <w:rsid w:val="000235CB"/>
    <w:rsid w:val="00024D47"/>
    <w:rsid w:val="00025F64"/>
    <w:rsid w:val="00026841"/>
    <w:rsid w:val="00027795"/>
    <w:rsid w:val="00027DCD"/>
    <w:rsid w:val="000309A7"/>
    <w:rsid w:val="0003152A"/>
    <w:rsid w:val="000319D7"/>
    <w:rsid w:val="0003230A"/>
    <w:rsid w:val="000343C8"/>
    <w:rsid w:val="000349B9"/>
    <w:rsid w:val="00034EE7"/>
    <w:rsid w:val="00036353"/>
    <w:rsid w:val="00036DB5"/>
    <w:rsid w:val="00037321"/>
    <w:rsid w:val="0003777D"/>
    <w:rsid w:val="000378CD"/>
    <w:rsid w:val="000400CE"/>
    <w:rsid w:val="00040615"/>
    <w:rsid w:val="00040717"/>
    <w:rsid w:val="00041BB3"/>
    <w:rsid w:val="00041DBC"/>
    <w:rsid w:val="000422AF"/>
    <w:rsid w:val="00042F14"/>
    <w:rsid w:val="00043819"/>
    <w:rsid w:val="00043875"/>
    <w:rsid w:val="00044609"/>
    <w:rsid w:val="000461BC"/>
    <w:rsid w:val="00046D23"/>
    <w:rsid w:val="00051F7E"/>
    <w:rsid w:val="00052596"/>
    <w:rsid w:val="000537C6"/>
    <w:rsid w:val="00053C4C"/>
    <w:rsid w:val="00053DE4"/>
    <w:rsid w:val="00054198"/>
    <w:rsid w:val="0005491D"/>
    <w:rsid w:val="00054A24"/>
    <w:rsid w:val="00055A65"/>
    <w:rsid w:val="000566B3"/>
    <w:rsid w:val="00057A02"/>
    <w:rsid w:val="00057D58"/>
    <w:rsid w:val="00061AEA"/>
    <w:rsid w:val="00063C3B"/>
    <w:rsid w:val="000644D7"/>
    <w:rsid w:val="0006487A"/>
    <w:rsid w:val="00065716"/>
    <w:rsid w:val="000671F7"/>
    <w:rsid w:val="00067469"/>
    <w:rsid w:val="00067651"/>
    <w:rsid w:val="00070F54"/>
    <w:rsid w:val="00071A0A"/>
    <w:rsid w:val="00072317"/>
    <w:rsid w:val="000724FA"/>
    <w:rsid w:val="000742FC"/>
    <w:rsid w:val="000761A6"/>
    <w:rsid w:val="000761DF"/>
    <w:rsid w:val="0007744E"/>
    <w:rsid w:val="00080496"/>
    <w:rsid w:val="00080DDF"/>
    <w:rsid w:val="000822B7"/>
    <w:rsid w:val="000839B7"/>
    <w:rsid w:val="00083CE6"/>
    <w:rsid w:val="00084271"/>
    <w:rsid w:val="00084CF2"/>
    <w:rsid w:val="0008596D"/>
    <w:rsid w:val="0009196E"/>
    <w:rsid w:val="00092112"/>
    <w:rsid w:val="000939C6"/>
    <w:rsid w:val="00093C1C"/>
    <w:rsid w:val="00094116"/>
    <w:rsid w:val="00094914"/>
    <w:rsid w:val="00094B8D"/>
    <w:rsid w:val="000951F8"/>
    <w:rsid w:val="00096596"/>
    <w:rsid w:val="000A0FDB"/>
    <w:rsid w:val="000A2427"/>
    <w:rsid w:val="000A3721"/>
    <w:rsid w:val="000A3B73"/>
    <w:rsid w:val="000A50C7"/>
    <w:rsid w:val="000A7707"/>
    <w:rsid w:val="000B0D93"/>
    <w:rsid w:val="000B356F"/>
    <w:rsid w:val="000B3712"/>
    <w:rsid w:val="000B4A2F"/>
    <w:rsid w:val="000B4C32"/>
    <w:rsid w:val="000B4F4D"/>
    <w:rsid w:val="000B5E3D"/>
    <w:rsid w:val="000B60CB"/>
    <w:rsid w:val="000B63B6"/>
    <w:rsid w:val="000B67E0"/>
    <w:rsid w:val="000B7C6E"/>
    <w:rsid w:val="000C0F7F"/>
    <w:rsid w:val="000C2951"/>
    <w:rsid w:val="000C3FBB"/>
    <w:rsid w:val="000C40C2"/>
    <w:rsid w:val="000C47C6"/>
    <w:rsid w:val="000C557C"/>
    <w:rsid w:val="000C770F"/>
    <w:rsid w:val="000D103C"/>
    <w:rsid w:val="000D13AA"/>
    <w:rsid w:val="000D1CE8"/>
    <w:rsid w:val="000D1DD3"/>
    <w:rsid w:val="000D21FE"/>
    <w:rsid w:val="000D264B"/>
    <w:rsid w:val="000D31BB"/>
    <w:rsid w:val="000D7ADA"/>
    <w:rsid w:val="000E1EF9"/>
    <w:rsid w:val="000E22AA"/>
    <w:rsid w:val="000E41BC"/>
    <w:rsid w:val="000F05FE"/>
    <w:rsid w:val="000F2E7F"/>
    <w:rsid w:val="000F3C20"/>
    <w:rsid w:val="000F4D20"/>
    <w:rsid w:val="000F5094"/>
    <w:rsid w:val="000F6168"/>
    <w:rsid w:val="000F67FA"/>
    <w:rsid w:val="000F6D5C"/>
    <w:rsid w:val="000F7253"/>
    <w:rsid w:val="000F76A4"/>
    <w:rsid w:val="000F7EB5"/>
    <w:rsid w:val="001004D9"/>
    <w:rsid w:val="001008D0"/>
    <w:rsid w:val="00100B42"/>
    <w:rsid w:val="00102027"/>
    <w:rsid w:val="0010341D"/>
    <w:rsid w:val="00103EC0"/>
    <w:rsid w:val="00106479"/>
    <w:rsid w:val="0010691E"/>
    <w:rsid w:val="0010708C"/>
    <w:rsid w:val="00107DF6"/>
    <w:rsid w:val="0011110C"/>
    <w:rsid w:val="00112357"/>
    <w:rsid w:val="001132CF"/>
    <w:rsid w:val="00113639"/>
    <w:rsid w:val="00117023"/>
    <w:rsid w:val="0012119B"/>
    <w:rsid w:val="001214A9"/>
    <w:rsid w:val="001215C0"/>
    <w:rsid w:val="0012541A"/>
    <w:rsid w:val="001255AB"/>
    <w:rsid w:val="00125C79"/>
    <w:rsid w:val="00126253"/>
    <w:rsid w:val="00126A14"/>
    <w:rsid w:val="00127677"/>
    <w:rsid w:val="00127ABE"/>
    <w:rsid w:val="00127C07"/>
    <w:rsid w:val="00127D1A"/>
    <w:rsid w:val="00131F7A"/>
    <w:rsid w:val="00132859"/>
    <w:rsid w:val="0013311D"/>
    <w:rsid w:val="00134287"/>
    <w:rsid w:val="0013458D"/>
    <w:rsid w:val="00135270"/>
    <w:rsid w:val="00135858"/>
    <w:rsid w:val="00136404"/>
    <w:rsid w:val="00136A49"/>
    <w:rsid w:val="00136B01"/>
    <w:rsid w:val="001371BD"/>
    <w:rsid w:val="00137681"/>
    <w:rsid w:val="0013769D"/>
    <w:rsid w:val="00137715"/>
    <w:rsid w:val="00140578"/>
    <w:rsid w:val="00140731"/>
    <w:rsid w:val="0014149A"/>
    <w:rsid w:val="00143C3C"/>
    <w:rsid w:val="0014534A"/>
    <w:rsid w:val="00145C59"/>
    <w:rsid w:val="001467EF"/>
    <w:rsid w:val="0015065E"/>
    <w:rsid w:val="00150B46"/>
    <w:rsid w:val="0015206D"/>
    <w:rsid w:val="001555D8"/>
    <w:rsid w:val="001563B0"/>
    <w:rsid w:val="001576EA"/>
    <w:rsid w:val="0015787A"/>
    <w:rsid w:val="00160382"/>
    <w:rsid w:val="0016131D"/>
    <w:rsid w:val="00161B39"/>
    <w:rsid w:val="0016334E"/>
    <w:rsid w:val="00163ACA"/>
    <w:rsid w:val="001657DF"/>
    <w:rsid w:val="001729FD"/>
    <w:rsid w:val="001732A2"/>
    <w:rsid w:val="00174573"/>
    <w:rsid w:val="00174C24"/>
    <w:rsid w:val="00174F79"/>
    <w:rsid w:val="00175A62"/>
    <w:rsid w:val="00177CEA"/>
    <w:rsid w:val="001808B4"/>
    <w:rsid w:val="00180BE7"/>
    <w:rsid w:val="0018421A"/>
    <w:rsid w:val="001853C4"/>
    <w:rsid w:val="00185FCB"/>
    <w:rsid w:val="001866AD"/>
    <w:rsid w:val="0019079C"/>
    <w:rsid w:val="001922B0"/>
    <w:rsid w:val="0019233D"/>
    <w:rsid w:val="00193467"/>
    <w:rsid w:val="00193514"/>
    <w:rsid w:val="00193D70"/>
    <w:rsid w:val="00193FE7"/>
    <w:rsid w:val="0019450A"/>
    <w:rsid w:val="001946DA"/>
    <w:rsid w:val="00194823"/>
    <w:rsid w:val="00194BB0"/>
    <w:rsid w:val="00194C64"/>
    <w:rsid w:val="001A0F9F"/>
    <w:rsid w:val="001A127E"/>
    <w:rsid w:val="001A128D"/>
    <w:rsid w:val="001A17FE"/>
    <w:rsid w:val="001A208B"/>
    <w:rsid w:val="001A2186"/>
    <w:rsid w:val="001A2408"/>
    <w:rsid w:val="001A257C"/>
    <w:rsid w:val="001A33A8"/>
    <w:rsid w:val="001A400F"/>
    <w:rsid w:val="001A625D"/>
    <w:rsid w:val="001A6773"/>
    <w:rsid w:val="001B0316"/>
    <w:rsid w:val="001B152D"/>
    <w:rsid w:val="001B1658"/>
    <w:rsid w:val="001B28C4"/>
    <w:rsid w:val="001B2CAC"/>
    <w:rsid w:val="001B49FC"/>
    <w:rsid w:val="001B548E"/>
    <w:rsid w:val="001B6353"/>
    <w:rsid w:val="001B662D"/>
    <w:rsid w:val="001B75C4"/>
    <w:rsid w:val="001B77B6"/>
    <w:rsid w:val="001B79EA"/>
    <w:rsid w:val="001C053C"/>
    <w:rsid w:val="001C0DB5"/>
    <w:rsid w:val="001C26EF"/>
    <w:rsid w:val="001C4579"/>
    <w:rsid w:val="001C5EAA"/>
    <w:rsid w:val="001C767C"/>
    <w:rsid w:val="001D0B49"/>
    <w:rsid w:val="001D31EC"/>
    <w:rsid w:val="001D390D"/>
    <w:rsid w:val="001D3DA3"/>
    <w:rsid w:val="001D531A"/>
    <w:rsid w:val="001D6A33"/>
    <w:rsid w:val="001D7908"/>
    <w:rsid w:val="001D7BD5"/>
    <w:rsid w:val="001D7EC3"/>
    <w:rsid w:val="001D7F01"/>
    <w:rsid w:val="001E0F3F"/>
    <w:rsid w:val="001E10A7"/>
    <w:rsid w:val="001E1BE8"/>
    <w:rsid w:val="001E3393"/>
    <w:rsid w:val="001E3D49"/>
    <w:rsid w:val="001E5880"/>
    <w:rsid w:val="001E5888"/>
    <w:rsid w:val="001E7457"/>
    <w:rsid w:val="001E78B7"/>
    <w:rsid w:val="001E7A2F"/>
    <w:rsid w:val="001E7F80"/>
    <w:rsid w:val="001F0A27"/>
    <w:rsid w:val="001F0D5A"/>
    <w:rsid w:val="001F0E7D"/>
    <w:rsid w:val="001F12D7"/>
    <w:rsid w:val="001F19F9"/>
    <w:rsid w:val="001F3D42"/>
    <w:rsid w:val="001F49E7"/>
    <w:rsid w:val="001F6967"/>
    <w:rsid w:val="001F6B08"/>
    <w:rsid w:val="001F6BBC"/>
    <w:rsid w:val="001F78CE"/>
    <w:rsid w:val="001F7B1D"/>
    <w:rsid w:val="00200154"/>
    <w:rsid w:val="0020092F"/>
    <w:rsid w:val="00200A1B"/>
    <w:rsid w:val="00201432"/>
    <w:rsid w:val="002017DA"/>
    <w:rsid w:val="0020398A"/>
    <w:rsid w:val="00203AA5"/>
    <w:rsid w:val="00204C6B"/>
    <w:rsid w:val="00206164"/>
    <w:rsid w:val="002101D9"/>
    <w:rsid w:val="0021148E"/>
    <w:rsid w:val="00211F0A"/>
    <w:rsid w:val="00213256"/>
    <w:rsid w:val="002138BA"/>
    <w:rsid w:val="0021532B"/>
    <w:rsid w:val="002222A6"/>
    <w:rsid w:val="002222CA"/>
    <w:rsid w:val="0022535B"/>
    <w:rsid w:val="0022558E"/>
    <w:rsid w:val="00227128"/>
    <w:rsid w:val="00230D81"/>
    <w:rsid w:val="00232347"/>
    <w:rsid w:val="0023312F"/>
    <w:rsid w:val="002333C7"/>
    <w:rsid w:val="00233B1A"/>
    <w:rsid w:val="0023449C"/>
    <w:rsid w:val="00234D3E"/>
    <w:rsid w:val="00234DEC"/>
    <w:rsid w:val="002369F0"/>
    <w:rsid w:val="0023743F"/>
    <w:rsid w:val="00237507"/>
    <w:rsid w:val="00237800"/>
    <w:rsid w:val="00237C79"/>
    <w:rsid w:val="00240E47"/>
    <w:rsid w:val="002428F0"/>
    <w:rsid w:val="00242BD7"/>
    <w:rsid w:val="00242CC6"/>
    <w:rsid w:val="002430BD"/>
    <w:rsid w:val="00243A24"/>
    <w:rsid w:val="00243D95"/>
    <w:rsid w:val="002440AE"/>
    <w:rsid w:val="00244DD2"/>
    <w:rsid w:val="002466D1"/>
    <w:rsid w:val="00247137"/>
    <w:rsid w:val="00247AFA"/>
    <w:rsid w:val="00250949"/>
    <w:rsid w:val="0025190B"/>
    <w:rsid w:val="00252912"/>
    <w:rsid w:val="0025297E"/>
    <w:rsid w:val="0025312F"/>
    <w:rsid w:val="00253A3F"/>
    <w:rsid w:val="002551FB"/>
    <w:rsid w:val="00256485"/>
    <w:rsid w:val="00257796"/>
    <w:rsid w:val="002613AB"/>
    <w:rsid w:val="002613B4"/>
    <w:rsid w:val="00261402"/>
    <w:rsid w:val="00261448"/>
    <w:rsid w:val="002614AC"/>
    <w:rsid w:val="00261899"/>
    <w:rsid w:val="0026386B"/>
    <w:rsid w:val="002643A1"/>
    <w:rsid w:val="00264F36"/>
    <w:rsid w:val="002650DA"/>
    <w:rsid w:val="0026682B"/>
    <w:rsid w:val="002672C4"/>
    <w:rsid w:val="00267AB6"/>
    <w:rsid w:val="00270D50"/>
    <w:rsid w:val="00271D37"/>
    <w:rsid w:val="00271F5D"/>
    <w:rsid w:val="002732D1"/>
    <w:rsid w:val="00273DE2"/>
    <w:rsid w:val="002757F8"/>
    <w:rsid w:val="00280A21"/>
    <w:rsid w:val="00281801"/>
    <w:rsid w:val="002826A1"/>
    <w:rsid w:val="00282CA3"/>
    <w:rsid w:val="00282D87"/>
    <w:rsid w:val="00282FEB"/>
    <w:rsid w:val="00283276"/>
    <w:rsid w:val="00283AD4"/>
    <w:rsid w:val="00285103"/>
    <w:rsid w:val="00286958"/>
    <w:rsid w:val="00286C9A"/>
    <w:rsid w:val="00287147"/>
    <w:rsid w:val="002873E7"/>
    <w:rsid w:val="002906C1"/>
    <w:rsid w:val="00291111"/>
    <w:rsid w:val="00292B6E"/>
    <w:rsid w:val="0029416C"/>
    <w:rsid w:val="002943FD"/>
    <w:rsid w:val="0029498D"/>
    <w:rsid w:val="00295294"/>
    <w:rsid w:val="00295F12"/>
    <w:rsid w:val="002960A0"/>
    <w:rsid w:val="00296941"/>
    <w:rsid w:val="002A051A"/>
    <w:rsid w:val="002A1AF4"/>
    <w:rsid w:val="002A2632"/>
    <w:rsid w:val="002A3693"/>
    <w:rsid w:val="002A4FCD"/>
    <w:rsid w:val="002A539F"/>
    <w:rsid w:val="002A53D0"/>
    <w:rsid w:val="002A594A"/>
    <w:rsid w:val="002A63F2"/>
    <w:rsid w:val="002A6E20"/>
    <w:rsid w:val="002A6F3C"/>
    <w:rsid w:val="002B07F7"/>
    <w:rsid w:val="002B0908"/>
    <w:rsid w:val="002B0946"/>
    <w:rsid w:val="002B17E1"/>
    <w:rsid w:val="002B313C"/>
    <w:rsid w:val="002B49F8"/>
    <w:rsid w:val="002B4FC0"/>
    <w:rsid w:val="002B55B5"/>
    <w:rsid w:val="002B7A69"/>
    <w:rsid w:val="002C033A"/>
    <w:rsid w:val="002C04D8"/>
    <w:rsid w:val="002C0958"/>
    <w:rsid w:val="002C0CB2"/>
    <w:rsid w:val="002C158B"/>
    <w:rsid w:val="002C21F8"/>
    <w:rsid w:val="002C2AA6"/>
    <w:rsid w:val="002C2C5A"/>
    <w:rsid w:val="002C2F28"/>
    <w:rsid w:val="002C37A4"/>
    <w:rsid w:val="002C3E1A"/>
    <w:rsid w:val="002C4BCD"/>
    <w:rsid w:val="002C4FAA"/>
    <w:rsid w:val="002C5FB4"/>
    <w:rsid w:val="002C7E33"/>
    <w:rsid w:val="002D0BAC"/>
    <w:rsid w:val="002D117D"/>
    <w:rsid w:val="002D1A41"/>
    <w:rsid w:val="002D1CFC"/>
    <w:rsid w:val="002D2EEE"/>
    <w:rsid w:val="002D2F97"/>
    <w:rsid w:val="002D31D9"/>
    <w:rsid w:val="002D324A"/>
    <w:rsid w:val="002D35AD"/>
    <w:rsid w:val="002D3E85"/>
    <w:rsid w:val="002D6F5F"/>
    <w:rsid w:val="002D7E9F"/>
    <w:rsid w:val="002E0612"/>
    <w:rsid w:val="002E161C"/>
    <w:rsid w:val="002E1756"/>
    <w:rsid w:val="002E2903"/>
    <w:rsid w:val="002E42F5"/>
    <w:rsid w:val="002E518F"/>
    <w:rsid w:val="002E5A14"/>
    <w:rsid w:val="002E7E53"/>
    <w:rsid w:val="002F009E"/>
    <w:rsid w:val="002F0D3C"/>
    <w:rsid w:val="002F1586"/>
    <w:rsid w:val="002F23BE"/>
    <w:rsid w:val="002F23C3"/>
    <w:rsid w:val="002F3477"/>
    <w:rsid w:val="002F3900"/>
    <w:rsid w:val="002F3A45"/>
    <w:rsid w:val="002F4D78"/>
    <w:rsid w:val="002F52D6"/>
    <w:rsid w:val="002F5D50"/>
    <w:rsid w:val="002F635C"/>
    <w:rsid w:val="002F7111"/>
    <w:rsid w:val="002F7A7F"/>
    <w:rsid w:val="002F7B1A"/>
    <w:rsid w:val="003002D8"/>
    <w:rsid w:val="003029BF"/>
    <w:rsid w:val="00304832"/>
    <w:rsid w:val="003048B7"/>
    <w:rsid w:val="00304B5F"/>
    <w:rsid w:val="003055A9"/>
    <w:rsid w:val="00306E78"/>
    <w:rsid w:val="00306F0E"/>
    <w:rsid w:val="00307B68"/>
    <w:rsid w:val="00310A0E"/>
    <w:rsid w:val="00310C2B"/>
    <w:rsid w:val="003120A6"/>
    <w:rsid w:val="00312981"/>
    <w:rsid w:val="0031533C"/>
    <w:rsid w:val="0031633A"/>
    <w:rsid w:val="00321206"/>
    <w:rsid w:val="003213A0"/>
    <w:rsid w:val="00321D56"/>
    <w:rsid w:val="00322AD9"/>
    <w:rsid w:val="00323A03"/>
    <w:rsid w:val="003264C9"/>
    <w:rsid w:val="003267BD"/>
    <w:rsid w:val="00330083"/>
    <w:rsid w:val="00330D46"/>
    <w:rsid w:val="003310C1"/>
    <w:rsid w:val="003324FB"/>
    <w:rsid w:val="00334262"/>
    <w:rsid w:val="00334F03"/>
    <w:rsid w:val="00335E94"/>
    <w:rsid w:val="00336A78"/>
    <w:rsid w:val="00340DBD"/>
    <w:rsid w:val="00341CFD"/>
    <w:rsid w:val="003428E2"/>
    <w:rsid w:val="00346338"/>
    <w:rsid w:val="00346D42"/>
    <w:rsid w:val="00347BCE"/>
    <w:rsid w:val="00350C01"/>
    <w:rsid w:val="00351C57"/>
    <w:rsid w:val="00351FC0"/>
    <w:rsid w:val="00352BD7"/>
    <w:rsid w:val="003531B5"/>
    <w:rsid w:val="003543CA"/>
    <w:rsid w:val="00354740"/>
    <w:rsid w:val="0035638E"/>
    <w:rsid w:val="003603A9"/>
    <w:rsid w:val="0036082F"/>
    <w:rsid w:val="003633BD"/>
    <w:rsid w:val="00363D92"/>
    <w:rsid w:val="0036477D"/>
    <w:rsid w:val="00364E6C"/>
    <w:rsid w:val="003657E8"/>
    <w:rsid w:val="00366D8A"/>
    <w:rsid w:val="00367B53"/>
    <w:rsid w:val="00367F75"/>
    <w:rsid w:val="00370878"/>
    <w:rsid w:val="003719C2"/>
    <w:rsid w:val="00372A8A"/>
    <w:rsid w:val="00372E28"/>
    <w:rsid w:val="00373CFA"/>
    <w:rsid w:val="00374D98"/>
    <w:rsid w:val="00376BBB"/>
    <w:rsid w:val="0037741F"/>
    <w:rsid w:val="003802DC"/>
    <w:rsid w:val="00380552"/>
    <w:rsid w:val="003809D6"/>
    <w:rsid w:val="00380BB7"/>
    <w:rsid w:val="003816BA"/>
    <w:rsid w:val="003820B7"/>
    <w:rsid w:val="00382705"/>
    <w:rsid w:val="00382A19"/>
    <w:rsid w:val="003830AB"/>
    <w:rsid w:val="00383F16"/>
    <w:rsid w:val="00384568"/>
    <w:rsid w:val="003856B5"/>
    <w:rsid w:val="00386344"/>
    <w:rsid w:val="00386DC8"/>
    <w:rsid w:val="00387261"/>
    <w:rsid w:val="00387D09"/>
    <w:rsid w:val="003912D1"/>
    <w:rsid w:val="003924BD"/>
    <w:rsid w:val="003929CB"/>
    <w:rsid w:val="00392E98"/>
    <w:rsid w:val="003957F7"/>
    <w:rsid w:val="00396397"/>
    <w:rsid w:val="003967AD"/>
    <w:rsid w:val="00396BF8"/>
    <w:rsid w:val="003A16D9"/>
    <w:rsid w:val="003A2DFF"/>
    <w:rsid w:val="003A2E0F"/>
    <w:rsid w:val="003A33A6"/>
    <w:rsid w:val="003A443D"/>
    <w:rsid w:val="003A448C"/>
    <w:rsid w:val="003A478D"/>
    <w:rsid w:val="003A52E7"/>
    <w:rsid w:val="003A5854"/>
    <w:rsid w:val="003A5A2F"/>
    <w:rsid w:val="003B0394"/>
    <w:rsid w:val="003B0760"/>
    <w:rsid w:val="003B1540"/>
    <w:rsid w:val="003B1A07"/>
    <w:rsid w:val="003B3786"/>
    <w:rsid w:val="003B442F"/>
    <w:rsid w:val="003B6284"/>
    <w:rsid w:val="003C0611"/>
    <w:rsid w:val="003C0612"/>
    <w:rsid w:val="003C0A1D"/>
    <w:rsid w:val="003C0D6C"/>
    <w:rsid w:val="003C3864"/>
    <w:rsid w:val="003C3C0C"/>
    <w:rsid w:val="003C4637"/>
    <w:rsid w:val="003C4DC9"/>
    <w:rsid w:val="003C6155"/>
    <w:rsid w:val="003C61B7"/>
    <w:rsid w:val="003C684F"/>
    <w:rsid w:val="003C7B28"/>
    <w:rsid w:val="003D06B3"/>
    <w:rsid w:val="003D0FC9"/>
    <w:rsid w:val="003D1CC8"/>
    <w:rsid w:val="003D2800"/>
    <w:rsid w:val="003D30FF"/>
    <w:rsid w:val="003D32C4"/>
    <w:rsid w:val="003D4E1D"/>
    <w:rsid w:val="003D5884"/>
    <w:rsid w:val="003D5CBD"/>
    <w:rsid w:val="003D678B"/>
    <w:rsid w:val="003D7460"/>
    <w:rsid w:val="003E3F6C"/>
    <w:rsid w:val="003E54DF"/>
    <w:rsid w:val="003E6EC8"/>
    <w:rsid w:val="003F14A4"/>
    <w:rsid w:val="003F1988"/>
    <w:rsid w:val="003F3011"/>
    <w:rsid w:val="003F4B7C"/>
    <w:rsid w:val="003F66A7"/>
    <w:rsid w:val="003F742A"/>
    <w:rsid w:val="003F7ABD"/>
    <w:rsid w:val="004003A7"/>
    <w:rsid w:val="00400713"/>
    <w:rsid w:val="00400F27"/>
    <w:rsid w:val="00402494"/>
    <w:rsid w:val="0040344E"/>
    <w:rsid w:val="00404243"/>
    <w:rsid w:val="00405FD2"/>
    <w:rsid w:val="004070CD"/>
    <w:rsid w:val="004072DE"/>
    <w:rsid w:val="00410A32"/>
    <w:rsid w:val="00410B94"/>
    <w:rsid w:val="00411FE3"/>
    <w:rsid w:val="004126ED"/>
    <w:rsid w:val="00413F72"/>
    <w:rsid w:val="00414FC0"/>
    <w:rsid w:val="004150EA"/>
    <w:rsid w:val="004151C6"/>
    <w:rsid w:val="00416119"/>
    <w:rsid w:val="004173B1"/>
    <w:rsid w:val="00421511"/>
    <w:rsid w:val="004225AE"/>
    <w:rsid w:val="00422DB6"/>
    <w:rsid w:val="0042468A"/>
    <w:rsid w:val="004262D6"/>
    <w:rsid w:val="004309D4"/>
    <w:rsid w:val="00430CDC"/>
    <w:rsid w:val="0043139A"/>
    <w:rsid w:val="00432963"/>
    <w:rsid w:val="0043305B"/>
    <w:rsid w:val="00433503"/>
    <w:rsid w:val="00436BDA"/>
    <w:rsid w:val="00437A19"/>
    <w:rsid w:val="004410F4"/>
    <w:rsid w:val="004419FA"/>
    <w:rsid w:val="00442653"/>
    <w:rsid w:val="00445695"/>
    <w:rsid w:val="00450EBA"/>
    <w:rsid w:val="00451906"/>
    <w:rsid w:val="00451A82"/>
    <w:rsid w:val="00453075"/>
    <w:rsid w:val="00454C31"/>
    <w:rsid w:val="004550F2"/>
    <w:rsid w:val="004558AD"/>
    <w:rsid w:val="00455A03"/>
    <w:rsid w:val="0045629C"/>
    <w:rsid w:val="00456D6F"/>
    <w:rsid w:val="004577BC"/>
    <w:rsid w:val="0045784C"/>
    <w:rsid w:val="00460221"/>
    <w:rsid w:val="00461750"/>
    <w:rsid w:val="00461BB3"/>
    <w:rsid w:val="00461E77"/>
    <w:rsid w:val="00462C96"/>
    <w:rsid w:val="0046344C"/>
    <w:rsid w:val="00463601"/>
    <w:rsid w:val="00463D41"/>
    <w:rsid w:val="004650AD"/>
    <w:rsid w:val="004651EE"/>
    <w:rsid w:val="0046560E"/>
    <w:rsid w:val="0046580E"/>
    <w:rsid w:val="0046673B"/>
    <w:rsid w:val="00466984"/>
    <w:rsid w:val="00466E74"/>
    <w:rsid w:val="00470D8E"/>
    <w:rsid w:val="0047153E"/>
    <w:rsid w:val="00472959"/>
    <w:rsid w:val="00472AFE"/>
    <w:rsid w:val="0047544B"/>
    <w:rsid w:val="004757B9"/>
    <w:rsid w:val="00476207"/>
    <w:rsid w:val="004774BE"/>
    <w:rsid w:val="00481135"/>
    <w:rsid w:val="0048119C"/>
    <w:rsid w:val="004832BF"/>
    <w:rsid w:val="004847B3"/>
    <w:rsid w:val="00485026"/>
    <w:rsid w:val="00486FEB"/>
    <w:rsid w:val="004912DC"/>
    <w:rsid w:val="00491846"/>
    <w:rsid w:val="00491DF1"/>
    <w:rsid w:val="00492400"/>
    <w:rsid w:val="00492935"/>
    <w:rsid w:val="0049323E"/>
    <w:rsid w:val="00494750"/>
    <w:rsid w:val="00496218"/>
    <w:rsid w:val="00496800"/>
    <w:rsid w:val="00497F34"/>
    <w:rsid w:val="004A03C2"/>
    <w:rsid w:val="004A141B"/>
    <w:rsid w:val="004A29F3"/>
    <w:rsid w:val="004A463C"/>
    <w:rsid w:val="004A47E2"/>
    <w:rsid w:val="004A4E9F"/>
    <w:rsid w:val="004A5850"/>
    <w:rsid w:val="004A662F"/>
    <w:rsid w:val="004A69DA"/>
    <w:rsid w:val="004B26E8"/>
    <w:rsid w:val="004B282D"/>
    <w:rsid w:val="004B2F2C"/>
    <w:rsid w:val="004B3897"/>
    <w:rsid w:val="004B46EF"/>
    <w:rsid w:val="004B46F1"/>
    <w:rsid w:val="004B5AA4"/>
    <w:rsid w:val="004B6C26"/>
    <w:rsid w:val="004B79F6"/>
    <w:rsid w:val="004B7AE7"/>
    <w:rsid w:val="004B7E0F"/>
    <w:rsid w:val="004B7E69"/>
    <w:rsid w:val="004C1FC2"/>
    <w:rsid w:val="004C4C12"/>
    <w:rsid w:val="004C547D"/>
    <w:rsid w:val="004C6503"/>
    <w:rsid w:val="004C7171"/>
    <w:rsid w:val="004C7425"/>
    <w:rsid w:val="004D1016"/>
    <w:rsid w:val="004D2A30"/>
    <w:rsid w:val="004D345F"/>
    <w:rsid w:val="004D3BDF"/>
    <w:rsid w:val="004D466B"/>
    <w:rsid w:val="004D4B2D"/>
    <w:rsid w:val="004D51EE"/>
    <w:rsid w:val="004D7196"/>
    <w:rsid w:val="004E0971"/>
    <w:rsid w:val="004E0A10"/>
    <w:rsid w:val="004E1FAC"/>
    <w:rsid w:val="004E2E97"/>
    <w:rsid w:val="004E31C0"/>
    <w:rsid w:val="004E3412"/>
    <w:rsid w:val="004E34F6"/>
    <w:rsid w:val="004E3E69"/>
    <w:rsid w:val="004E532F"/>
    <w:rsid w:val="004E5853"/>
    <w:rsid w:val="004E66C0"/>
    <w:rsid w:val="004E6738"/>
    <w:rsid w:val="004E7298"/>
    <w:rsid w:val="004E764B"/>
    <w:rsid w:val="004E7659"/>
    <w:rsid w:val="004E7892"/>
    <w:rsid w:val="004E7D4C"/>
    <w:rsid w:val="004F1D8B"/>
    <w:rsid w:val="004F1E92"/>
    <w:rsid w:val="004F220E"/>
    <w:rsid w:val="004F22FA"/>
    <w:rsid w:val="004F33E7"/>
    <w:rsid w:val="004F39EB"/>
    <w:rsid w:val="004F3B6A"/>
    <w:rsid w:val="004F481D"/>
    <w:rsid w:val="004F5570"/>
    <w:rsid w:val="004F5D28"/>
    <w:rsid w:val="004F649F"/>
    <w:rsid w:val="004F7736"/>
    <w:rsid w:val="005012B2"/>
    <w:rsid w:val="00501538"/>
    <w:rsid w:val="005024B7"/>
    <w:rsid w:val="0050469F"/>
    <w:rsid w:val="00504AC4"/>
    <w:rsid w:val="005057AB"/>
    <w:rsid w:val="0050723A"/>
    <w:rsid w:val="00507BDC"/>
    <w:rsid w:val="00510E36"/>
    <w:rsid w:val="0051185A"/>
    <w:rsid w:val="00512273"/>
    <w:rsid w:val="0051320A"/>
    <w:rsid w:val="00514426"/>
    <w:rsid w:val="00514DA3"/>
    <w:rsid w:val="00514F09"/>
    <w:rsid w:val="005164A6"/>
    <w:rsid w:val="00520B3A"/>
    <w:rsid w:val="00520C96"/>
    <w:rsid w:val="0052196F"/>
    <w:rsid w:val="005224CB"/>
    <w:rsid w:val="005244DA"/>
    <w:rsid w:val="00524A5C"/>
    <w:rsid w:val="005251F4"/>
    <w:rsid w:val="005268DC"/>
    <w:rsid w:val="0053081E"/>
    <w:rsid w:val="00531D66"/>
    <w:rsid w:val="00534E06"/>
    <w:rsid w:val="00535141"/>
    <w:rsid w:val="0053546C"/>
    <w:rsid w:val="00536309"/>
    <w:rsid w:val="00537391"/>
    <w:rsid w:val="005375A7"/>
    <w:rsid w:val="00537E23"/>
    <w:rsid w:val="00540AAA"/>
    <w:rsid w:val="0054140C"/>
    <w:rsid w:val="00541E91"/>
    <w:rsid w:val="00542689"/>
    <w:rsid w:val="00542E95"/>
    <w:rsid w:val="005463E2"/>
    <w:rsid w:val="005463E6"/>
    <w:rsid w:val="0054657F"/>
    <w:rsid w:val="00547136"/>
    <w:rsid w:val="005472ED"/>
    <w:rsid w:val="0054789C"/>
    <w:rsid w:val="00552EFC"/>
    <w:rsid w:val="00552F86"/>
    <w:rsid w:val="0055335C"/>
    <w:rsid w:val="00553599"/>
    <w:rsid w:val="005539D7"/>
    <w:rsid w:val="0055538D"/>
    <w:rsid w:val="00555BDF"/>
    <w:rsid w:val="005561BD"/>
    <w:rsid w:val="00556223"/>
    <w:rsid w:val="00561A8E"/>
    <w:rsid w:val="00561FE3"/>
    <w:rsid w:val="0056236F"/>
    <w:rsid w:val="00563BF5"/>
    <w:rsid w:val="005673BC"/>
    <w:rsid w:val="00571349"/>
    <w:rsid w:val="0057182E"/>
    <w:rsid w:val="00574E07"/>
    <w:rsid w:val="00576C8E"/>
    <w:rsid w:val="00576EF2"/>
    <w:rsid w:val="00580675"/>
    <w:rsid w:val="005811E2"/>
    <w:rsid w:val="00581F1D"/>
    <w:rsid w:val="00582BFF"/>
    <w:rsid w:val="005831D8"/>
    <w:rsid w:val="0058370B"/>
    <w:rsid w:val="00587E67"/>
    <w:rsid w:val="00590D8C"/>
    <w:rsid w:val="00591048"/>
    <w:rsid w:val="00591459"/>
    <w:rsid w:val="005917CC"/>
    <w:rsid w:val="00591C71"/>
    <w:rsid w:val="005922CF"/>
    <w:rsid w:val="00593254"/>
    <w:rsid w:val="005944C5"/>
    <w:rsid w:val="00594ADB"/>
    <w:rsid w:val="0059637F"/>
    <w:rsid w:val="005A14CD"/>
    <w:rsid w:val="005A1DA5"/>
    <w:rsid w:val="005A3FD1"/>
    <w:rsid w:val="005A5259"/>
    <w:rsid w:val="005A53ED"/>
    <w:rsid w:val="005A5ABF"/>
    <w:rsid w:val="005A787F"/>
    <w:rsid w:val="005B0492"/>
    <w:rsid w:val="005B05A0"/>
    <w:rsid w:val="005B05DE"/>
    <w:rsid w:val="005B0D60"/>
    <w:rsid w:val="005B1CC3"/>
    <w:rsid w:val="005B2213"/>
    <w:rsid w:val="005B2D50"/>
    <w:rsid w:val="005B53C2"/>
    <w:rsid w:val="005B72F9"/>
    <w:rsid w:val="005B78E6"/>
    <w:rsid w:val="005C038C"/>
    <w:rsid w:val="005C0D83"/>
    <w:rsid w:val="005C0F19"/>
    <w:rsid w:val="005C1D70"/>
    <w:rsid w:val="005C1F94"/>
    <w:rsid w:val="005C3C66"/>
    <w:rsid w:val="005C453C"/>
    <w:rsid w:val="005C676A"/>
    <w:rsid w:val="005C748B"/>
    <w:rsid w:val="005C7A18"/>
    <w:rsid w:val="005C7E95"/>
    <w:rsid w:val="005D0355"/>
    <w:rsid w:val="005D44B3"/>
    <w:rsid w:val="005D6A26"/>
    <w:rsid w:val="005E0A97"/>
    <w:rsid w:val="005E2EA4"/>
    <w:rsid w:val="005E6077"/>
    <w:rsid w:val="005E6CEF"/>
    <w:rsid w:val="005E7AAC"/>
    <w:rsid w:val="005F0353"/>
    <w:rsid w:val="005F18E1"/>
    <w:rsid w:val="005F2E94"/>
    <w:rsid w:val="005F4911"/>
    <w:rsid w:val="005F637E"/>
    <w:rsid w:val="005F66D4"/>
    <w:rsid w:val="005F6F30"/>
    <w:rsid w:val="0060284B"/>
    <w:rsid w:val="006037B7"/>
    <w:rsid w:val="00603F29"/>
    <w:rsid w:val="00604CF6"/>
    <w:rsid w:val="006051F8"/>
    <w:rsid w:val="00605AF8"/>
    <w:rsid w:val="006109FF"/>
    <w:rsid w:val="00611796"/>
    <w:rsid w:val="00611D2E"/>
    <w:rsid w:val="00612A93"/>
    <w:rsid w:val="00613598"/>
    <w:rsid w:val="00614B3B"/>
    <w:rsid w:val="00615B49"/>
    <w:rsid w:val="00621238"/>
    <w:rsid w:val="00622138"/>
    <w:rsid w:val="006226F9"/>
    <w:rsid w:val="006231DD"/>
    <w:rsid w:val="00623D14"/>
    <w:rsid w:val="00623D46"/>
    <w:rsid w:val="006249E0"/>
    <w:rsid w:val="00624ABD"/>
    <w:rsid w:val="00627AE5"/>
    <w:rsid w:val="00630B70"/>
    <w:rsid w:val="006317DA"/>
    <w:rsid w:val="0063184B"/>
    <w:rsid w:val="00631E37"/>
    <w:rsid w:val="00632602"/>
    <w:rsid w:val="006341E4"/>
    <w:rsid w:val="0063643A"/>
    <w:rsid w:val="00636A05"/>
    <w:rsid w:val="00636C56"/>
    <w:rsid w:val="00636FAE"/>
    <w:rsid w:val="0063714D"/>
    <w:rsid w:val="00641BCB"/>
    <w:rsid w:val="00641E53"/>
    <w:rsid w:val="0064397D"/>
    <w:rsid w:val="00644A8F"/>
    <w:rsid w:val="00644D21"/>
    <w:rsid w:val="00646EB3"/>
    <w:rsid w:val="0065275E"/>
    <w:rsid w:val="00652A94"/>
    <w:rsid w:val="00652B8F"/>
    <w:rsid w:val="00653958"/>
    <w:rsid w:val="00653CED"/>
    <w:rsid w:val="006552F7"/>
    <w:rsid w:val="00655BEB"/>
    <w:rsid w:val="00656C3E"/>
    <w:rsid w:val="006604D5"/>
    <w:rsid w:val="006615F9"/>
    <w:rsid w:val="006624ED"/>
    <w:rsid w:val="0066276E"/>
    <w:rsid w:val="00662CAB"/>
    <w:rsid w:val="0066318B"/>
    <w:rsid w:val="00665853"/>
    <w:rsid w:val="00665BF5"/>
    <w:rsid w:val="006669B2"/>
    <w:rsid w:val="00667062"/>
    <w:rsid w:val="006671D5"/>
    <w:rsid w:val="006676DE"/>
    <w:rsid w:val="006703D7"/>
    <w:rsid w:val="00670417"/>
    <w:rsid w:val="00671A9C"/>
    <w:rsid w:val="00671E6C"/>
    <w:rsid w:val="006725DB"/>
    <w:rsid w:val="006766AC"/>
    <w:rsid w:val="00677510"/>
    <w:rsid w:val="00680171"/>
    <w:rsid w:val="0068071D"/>
    <w:rsid w:val="006814A1"/>
    <w:rsid w:val="00681FE5"/>
    <w:rsid w:val="006830C5"/>
    <w:rsid w:val="00683604"/>
    <w:rsid w:val="00684319"/>
    <w:rsid w:val="00685044"/>
    <w:rsid w:val="006854CC"/>
    <w:rsid w:val="006879EA"/>
    <w:rsid w:val="00687CCF"/>
    <w:rsid w:val="006906C2"/>
    <w:rsid w:val="00692264"/>
    <w:rsid w:val="006930D4"/>
    <w:rsid w:val="00693999"/>
    <w:rsid w:val="00693FDC"/>
    <w:rsid w:val="006976C3"/>
    <w:rsid w:val="006A0489"/>
    <w:rsid w:val="006A359B"/>
    <w:rsid w:val="006A4488"/>
    <w:rsid w:val="006A7B68"/>
    <w:rsid w:val="006B055D"/>
    <w:rsid w:val="006B156A"/>
    <w:rsid w:val="006B22FE"/>
    <w:rsid w:val="006B3D38"/>
    <w:rsid w:val="006B4013"/>
    <w:rsid w:val="006B4495"/>
    <w:rsid w:val="006B6649"/>
    <w:rsid w:val="006B6A0D"/>
    <w:rsid w:val="006C0BC8"/>
    <w:rsid w:val="006C1799"/>
    <w:rsid w:val="006C187C"/>
    <w:rsid w:val="006C241F"/>
    <w:rsid w:val="006C26D8"/>
    <w:rsid w:val="006C3994"/>
    <w:rsid w:val="006C62D6"/>
    <w:rsid w:val="006C6E1B"/>
    <w:rsid w:val="006C75BB"/>
    <w:rsid w:val="006D03B8"/>
    <w:rsid w:val="006D07E5"/>
    <w:rsid w:val="006D1311"/>
    <w:rsid w:val="006D23B7"/>
    <w:rsid w:val="006D3542"/>
    <w:rsid w:val="006D3C0C"/>
    <w:rsid w:val="006D3C61"/>
    <w:rsid w:val="006D3F94"/>
    <w:rsid w:val="006D579D"/>
    <w:rsid w:val="006D57E4"/>
    <w:rsid w:val="006D5838"/>
    <w:rsid w:val="006D71DB"/>
    <w:rsid w:val="006D7716"/>
    <w:rsid w:val="006D77ED"/>
    <w:rsid w:val="006E01E8"/>
    <w:rsid w:val="006E059B"/>
    <w:rsid w:val="006E0BF6"/>
    <w:rsid w:val="006E2602"/>
    <w:rsid w:val="006E614F"/>
    <w:rsid w:val="006E656A"/>
    <w:rsid w:val="006F021A"/>
    <w:rsid w:val="006F0E16"/>
    <w:rsid w:val="006F1578"/>
    <w:rsid w:val="006F2763"/>
    <w:rsid w:val="006F3089"/>
    <w:rsid w:val="006F4465"/>
    <w:rsid w:val="006F4FA2"/>
    <w:rsid w:val="006F599D"/>
    <w:rsid w:val="006F7036"/>
    <w:rsid w:val="006F748B"/>
    <w:rsid w:val="006F75F7"/>
    <w:rsid w:val="006F7CAA"/>
    <w:rsid w:val="007008A3"/>
    <w:rsid w:val="00700A4C"/>
    <w:rsid w:val="0070127A"/>
    <w:rsid w:val="007034DE"/>
    <w:rsid w:val="00704B0E"/>
    <w:rsid w:val="0070587C"/>
    <w:rsid w:val="007061AB"/>
    <w:rsid w:val="0070627F"/>
    <w:rsid w:val="00707B86"/>
    <w:rsid w:val="00707E28"/>
    <w:rsid w:val="00710618"/>
    <w:rsid w:val="00711031"/>
    <w:rsid w:val="00711258"/>
    <w:rsid w:val="00711D8E"/>
    <w:rsid w:val="00712DEA"/>
    <w:rsid w:val="007161B4"/>
    <w:rsid w:val="00717846"/>
    <w:rsid w:val="0072072D"/>
    <w:rsid w:val="007209A7"/>
    <w:rsid w:val="007217B7"/>
    <w:rsid w:val="00721FA0"/>
    <w:rsid w:val="0072201B"/>
    <w:rsid w:val="00723A2F"/>
    <w:rsid w:val="007242C4"/>
    <w:rsid w:val="00727E1F"/>
    <w:rsid w:val="00730ED3"/>
    <w:rsid w:val="00731124"/>
    <w:rsid w:val="00731AB8"/>
    <w:rsid w:val="00732BFB"/>
    <w:rsid w:val="007337A5"/>
    <w:rsid w:val="00733941"/>
    <w:rsid w:val="00734342"/>
    <w:rsid w:val="00735334"/>
    <w:rsid w:val="007356AA"/>
    <w:rsid w:val="007361F4"/>
    <w:rsid w:val="00736ACF"/>
    <w:rsid w:val="00736CFC"/>
    <w:rsid w:val="00736D3E"/>
    <w:rsid w:val="00737796"/>
    <w:rsid w:val="0074013D"/>
    <w:rsid w:val="00740D29"/>
    <w:rsid w:val="007422AA"/>
    <w:rsid w:val="007422D1"/>
    <w:rsid w:val="00745451"/>
    <w:rsid w:val="0074590C"/>
    <w:rsid w:val="0075238E"/>
    <w:rsid w:val="007526A1"/>
    <w:rsid w:val="00754C40"/>
    <w:rsid w:val="00760D23"/>
    <w:rsid w:val="00761675"/>
    <w:rsid w:val="0076318D"/>
    <w:rsid w:val="00763AD4"/>
    <w:rsid w:val="0076402F"/>
    <w:rsid w:val="00764B6C"/>
    <w:rsid w:val="00767752"/>
    <w:rsid w:val="00770B2B"/>
    <w:rsid w:val="007713F4"/>
    <w:rsid w:val="007722F3"/>
    <w:rsid w:val="00772E57"/>
    <w:rsid w:val="00773C01"/>
    <w:rsid w:val="00773CF8"/>
    <w:rsid w:val="00774430"/>
    <w:rsid w:val="007759BD"/>
    <w:rsid w:val="007760F7"/>
    <w:rsid w:val="00776D9E"/>
    <w:rsid w:val="0077720A"/>
    <w:rsid w:val="00777B24"/>
    <w:rsid w:val="00781F7F"/>
    <w:rsid w:val="00782653"/>
    <w:rsid w:val="00782FD0"/>
    <w:rsid w:val="0078388C"/>
    <w:rsid w:val="0078418C"/>
    <w:rsid w:val="0078519F"/>
    <w:rsid w:val="007854BF"/>
    <w:rsid w:val="00786896"/>
    <w:rsid w:val="007876D9"/>
    <w:rsid w:val="00787D9F"/>
    <w:rsid w:val="00790308"/>
    <w:rsid w:val="00790597"/>
    <w:rsid w:val="00790A3E"/>
    <w:rsid w:val="007931AC"/>
    <w:rsid w:val="0079386C"/>
    <w:rsid w:val="00793C82"/>
    <w:rsid w:val="0079509B"/>
    <w:rsid w:val="00795D02"/>
    <w:rsid w:val="00796F0F"/>
    <w:rsid w:val="00797565"/>
    <w:rsid w:val="007A0377"/>
    <w:rsid w:val="007A1459"/>
    <w:rsid w:val="007A247D"/>
    <w:rsid w:val="007A26D7"/>
    <w:rsid w:val="007A2B84"/>
    <w:rsid w:val="007A3446"/>
    <w:rsid w:val="007A39FB"/>
    <w:rsid w:val="007A433A"/>
    <w:rsid w:val="007A521B"/>
    <w:rsid w:val="007A6586"/>
    <w:rsid w:val="007A7758"/>
    <w:rsid w:val="007B001E"/>
    <w:rsid w:val="007B0208"/>
    <w:rsid w:val="007B0B80"/>
    <w:rsid w:val="007B1226"/>
    <w:rsid w:val="007B216C"/>
    <w:rsid w:val="007B2499"/>
    <w:rsid w:val="007B2937"/>
    <w:rsid w:val="007B2D34"/>
    <w:rsid w:val="007B3E4A"/>
    <w:rsid w:val="007B6137"/>
    <w:rsid w:val="007B69D4"/>
    <w:rsid w:val="007B6A82"/>
    <w:rsid w:val="007C06A7"/>
    <w:rsid w:val="007C0C6D"/>
    <w:rsid w:val="007C32C4"/>
    <w:rsid w:val="007C3BD1"/>
    <w:rsid w:val="007C4D5D"/>
    <w:rsid w:val="007C6A6A"/>
    <w:rsid w:val="007C6C2B"/>
    <w:rsid w:val="007C72FD"/>
    <w:rsid w:val="007C7EC5"/>
    <w:rsid w:val="007D0B9A"/>
    <w:rsid w:val="007D16E4"/>
    <w:rsid w:val="007D18F7"/>
    <w:rsid w:val="007D25C6"/>
    <w:rsid w:val="007D3121"/>
    <w:rsid w:val="007D3C54"/>
    <w:rsid w:val="007D43AC"/>
    <w:rsid w:val="007D6643"/>
    <w:rsid w:val="007E0152"/>
    <w:rsid w:val="007E3DFF"/>
    <w:rsid w:val="007E59DC"/>
    <w:rsid w:val="007E5A0D"/>
    <w:rsid w:val="007E6225"/>
    <w:rsid w:val="007E7629"/>
    <w:rsid w:val="007E781F"/>
    <w:rsid w:val="007F1B01"/>
    <w:rsid w:val="007F392E"/>
    <w:rsid w:val="007F409F"/>
    <w:rsid w:val="007F463D"/>
    <w:rsid w:val="007F485A"/>
    <w:rsid w:val="007F4DDE"/>
    <w:rsid w:val="007F4F8D"/>
    <w:rsid w:val="007F53D1"/>
    <w:rsid w:val="007F545D"/>
    <w:rsid w:val="007F5C4C"/>
    <w:rsid w:val="007F62DB"/>
    <w:rsid w:val="007F7856"/>
    <w:rsid w:val="00800E2D"/>
    <w:rsid w:val="00801F28"/>
    <w:rsid w:val="00802268"/>
    <w:rsid w:val="00802517"/>
    <w:rsid w:val="00804616"/>
    <w:rsid w:val="008047C5"/>
    <w:rsid w:val="00804DD8"/>
    <w:rsid w:val="008060BB"/>
    <w:rsid w:val="008067E5"/>
    <w:rsid w:val="008071E5"/>
    <w:rsid w:val="00807BCC"/>
    <w:rsid w:val="00812331"/>
    <w:rsid w:val="00812997"/>
    <w:rsid w:val="00813B51"/>
    <w:rsid w:val="00814358"/>
    <w:rsid w:val="00816CCA"/>
    <w:rsid w:val="00817377"/>
    <w:rsid w:val="00820053"/>
    <w:rsid w:val="00820FDC"/>
    <w:rsid w:val="00826212"/>
    <w:rsid w:val="0082715A"/>
    <w:rsid w:val="008278AF"/>
    <w:rsid w:val="00831FC0"/>
    <w:rsid w:val="00832C59"/>
    <w:rsid w:val="00832E04"/>
    <w:rsid w:val="008338D9"/>
    <w:rsid w:val="008340F3"/>
    <w:rsid w:val="008344FF"/>
    <w:rsid w:val="0083534B"/>
    <w:rsid w:val="008353DB"/>
    <w:rsid w:val="00836523"/>
    <w:rsid w:val="008428E5"/>
    <w:rsid w:val="0084586C"/>
    <w:rsid w:val="00846DCC"/>
    <w:rsid w:val="0084717F"/>
    <w:rsid w:val="008473AD"/>
    <w:rsid w:val="00850EAC"/>
    <w:rsid w:val="00851FF5"/>
    <w:rsid w:val="0085217B"/>
    <w:rsid w:val="00852455"/>
    <w:rsid w:val="008535CC"/>
    <w:rsid w:val="00854278"/>
    <w:rsid w:val="00854301"/>
    <w:rsid w:val="008558E7"/>
    <w:rsid w:val="00855E85"/>
    <w:rsid w:val="00855EEB"/>
    <w:rsid w:val="008609C1"/>
    <w:rsid w:val="00860CEB"/>
    <w:rsid w:val="00861AD6"/>
    <w:rsid w:val="00863A55"/>
    <w:rsid w:val="00863FCB"/>
    <w:rsid w:val="0086414C"/>
    <w:rsid w:val="00864938"/>
    <w:rsid w:val="0086594D"/>
    <w:rsid w:val="008705B1"/>
    <w:rsid w:val="00872D91"/>
    <w:rsid w:val="00875322"/>
    <w:rsid w:val="00875ECF"/>
    <w:rsid w:val="00877442"/>
    <w:rsid w:val="00877499"/>
    <w:rsid w:val="00877C19"/>
    <w:rsid w:val="00880E8B"/>
    <w:rsid w:val="0088308C"/>
    <w:rsid w:val="0088409A"/>
    <w:rsid w:val="00885591"/>
    <w:rsid w:val="00885ACA"/>
    <w:rsid w:val="00885C96"/>
    <w:rsid w:val="00885D78"/>
    <w:rsid w:val="00886284"/>
    <w:rsid w:val="00890951"/>
    <w:rsid w:val="00890B06"/>
    <w:rsid w:val="008924A8"/>
    <w:rsid w:val="0089263E"/>
    <w:rsid w:val="0089502E"/>
    <w:rsid w:val="00895086"/>
    <w:rsid w:val="00895450"/>
    <w:rsid w:val="0089571A"/>
    <w:rsid w:val="00895E9A"/>
    <w:rsid w:val="00897223"/>
    <w:rsid w:val="008A0134"/>
    <w:rsid w:val="008A10B3"/>
    <w:rsid w:val="008A27FD"/>
    <w:rsid w:val="008A3868"/>
    <w:rsid w:val="008A4F40"/>
    <w:rsid w:val="008A5067"/>
    <w:rsid w:val="008A53C7"/>
    <w:rsid w:val="008A7205"/>
    <w:rsid w:val="008A7E9D"/>
    <w:rsid w:val="008B091F"/>
    <w:rsid w:val="008B0DF4"/>
    <w:rsid w:val="008B106B"/>
    <w:rsid w:val="008B127A"/>
    <w:rsid w:val="008B1A47"/>
    <w:rsid w:val="008B2B4E"/>
    <w:rsid w:val="008B319E"/>
    <w:rsid w:val="008B3240"/>
    <w:rsid w:val="008B4F36"/>
    <w:rsid w:val="008B67A1"/>
    <w:rsid w:val="008B714E"/>
    <w:rsid w:val="008B7276"/>
    <w:rsid w:val="008B78B7"/>
    <w:rsid w:val="008C0069"/>
    <w:rsid w:val="008C0539"/>
    <w:rsid w:val="008C05E1"/>
    <w:rsid w:val="008C2442"/>
    <w:rsid w:val="008C3159"/>
    <w:rsid w:val="008C4130"/>
    <w:rsid w:val="008C536D"/>
    <w:rsid w:val="008C5A51"/>
    <w:rsid w:val="008C7959"/>
    <w:rsid w:val="008D159D"/>
    <w:rsid w:val="008D1AEB"/>
    <w:rsid w:val="008D6D65"/>
    <w:rsid w:val="008E0216"/>
    <w:rsid w:val="008E064E"/>
    <w:rsid w:val="008E2868"/>
    <w:rsid w:val="008F01C4"/>
    <w:rsid w:val="008F19B7"/>
    <w:rsid w:val="008F24D2"/>
    <w:rsid w:val="008F34CB"/>
    <w:rsid w:val="008F4350"/>
    <w:rsid w:val="008F4874"/>
    <w:rsid w:val="008F564E"/>
    <w:rsid w:val="008F5DF9"/>
    <w:rsid w:val="008F6C56"/>
    <w:rsid w:val="008F7114"/>
    <w:rsid w:val="008F71F0"/>
    <w:rsid w:val="00901EC8"/>
    <w:rsid w:val="00902CDD"/>
    <w:rsid w:val="00903853"/>
    <w:rsid w:val="009044D1"/>
    <w:rsid w:val="00905A55"/>
    <w:rsid w:val="00906B6C"/>
    <w:rsid w:val="0090784C"/>
    <w:rsid w:val="0091037B"/>
    <w:rsid w:val="009105EE"/>
    <w:rsid w:val="00910C02"/>
    <w:rsid w:val="00910D9D"/>
    <w:rsid w:val="00912AC8"/>
    <w:rsid w:val="009150FF"/>
    <w:rsid w:val="00915167"/>
    <w:rsid w:val="00916036"/>
    <w:rsid w:val="00916E25"/>
    <w:rsid w:val="00917073"/>
    <w:rsid w:val="009216B1"/>
    <w:rsid w:val="00922EAD"/>
    <w:rsid w:val="00923010"/>
    <w:rsid w:val="00923353"/>
    <w:rsid w:val="00924353"/>
    <w:rsid w:val="0092578F"/>
    <w:rsid w:val="009257BD"/>
    <w:rsid w:val="00925EAA"/>
    <w:rsid w:val="00926CC0"/>
    <w:rsid w:val="00927A25"/>
    <w:rsid w:val="00927B95"/>
    <w:rsid w:val="0093000B"/>
    <w:rsid w:val="00930133"/>
    <w:rsid w:val="009315EA"/>
    <w:rsid w:val="00931B98"/>
    <w:rsid w:val="00934AFF"/>
    <w:rsid w:val="00935428"/>
    <w:rsid w:val="00936B75"/>
    <w:rsid w:val="00936CC5"/>
    <w:rsid w:val="00936D94"/>
    <w:rsid w:val="00936DAB"/>
    <w:rsid w:val="009370BB"/>
    <w:rsid w:val="00937193"/>
    <w:rsid w:val="00937FB2"/>
    <w:rsid w:val="00940063"/>
    <w:rsid w:val="0094126D"/>
    <w:rsid w:val="00941C23"/>
    <w:rsid w:val="00942EEE"/>
    <w:rsid w:val="00943670"/>
    <w:rsid w:val="0094399D"/>
    <w:rsid w:val="0094523F"/>
    <w:rsid w:val="00945588"/>
    <w:rsid w:val="009477D1"/>
    <w:rsid w:val="009477F2"/>
    <w:rsid w:val="00951527"/>
    <w:rsid w:val="00952054"/>
    <w:rsid w:val="009522CA"/>
    <w:rsid w:val="009542C5"/>
    <w:rsid w:val="00954D04"/>
    <w:rsid w:val="00954FFF"/>
    <w:rsid w:val="0095506C"/>
    <w:rsid w:val="009601B4"/>
    <w:rsid w:val="00960C8D"/>
    <w:rsid w:val="009620ED"/>
    <w:rsid w:val="00962895"/>
    <w:rsid w:val="00963062"/>
    <w:rsid w:val="0096337D"/>
    <w:rsid w:val="0096383D"/>
    <w:rsid w:val="009639E2"/>
    <w:rsid w:val="00963A2F"/>
    <w:rsid w:val="009641E4"/>
    <w:rsid w:val="00964770"/>
    <w:rsid w:val="009652AE"/>
    <w:rsid w:val="009663AE"/>
    <w:rsid w:val="0096669B"/>
    <w:rsid w:val="009669BB"/>
    <w:rsid w:val="00970FEE"/>
    <w:rsid w:val="00974842"/>
    <w:rsid w:val="00975215"/>
    <w:rsid w:val="00975CBE"/>
    <w:rsid w:val="00976C99"/>
    <w:rsid w:val="00976FC2"/>
    <w:rsid w:val="009805BA"/>
    <w:rsid w:val="00980A98"/>
    <w:rsid w:val="00980B78"/>
    <w:rsid w:val="009822C3"/>
    <w:rsid w:val="009840E8"/>
    <w:rsid w:val="009841D7"/>
    <w:rsid w:val="009845F6"/>
    <w:rsid w:val="009845FF"/>
    <w:rsid w:val="0098481A"/>
    <w:rsid w:val="00987BA8"/>
    <w:rsid w:val="00987D6A"/>
    <w:rsid w:val="009909CD"/>
    <w:rsid w:val="00991177"/>
    <w:rsid w:val="00992C11"/>
    <w:rsid w:val="00992FE7"/>
    <w:rsid w:val="00994130"/>
    <w:rsid w:val="009945D7"/>
    <w:rsid w:val="0099470A"/>
    <w:rsid w:val="00995438"/>
    <w:rsid w:val="00995BE1"/>
    <w:rsid w:val="009A2793"/>
    <w:rsid w:val="009A3BB1"/>
    <w:rsid w:val="009A43B4"/>
    <w:rsid w:val="009A50E9"/>
    <w:rsid w:val="009A5A35"/>
    <w:rsid w:val="009A6695"/>
    <w:rsid w:val="009B17BE"/>
    <w:rsid w:val="009B21F1"/>
    <w:rsid w:val="009B3309"/>
    <w:rsid w:val="009B3837"/>
    <w:rsid w:val="009B5307"/>
    <w:rsid w:val="009C0548"/>
    <w:rsid w:val="009C05FF"/>
    <w:rsid w:val="009C0FAE"/>
    <w:rsid w:val="009C129F"/>
    <w:rsid w:val="009C1603"/>
    <w:rsid w:val="009C1C43"/>
    <w:rsid w:val="009C1C5E"/>
    <w:rsid w:val="009C4240"/>
    <w:rsid w:val="009C5671"/>
    <w:rsid w:val="009C5ABC"/>
    <w:rsid w:val="009C633E"/>
    <w:rsid w:val="009C6632"/>
    <w:rsid w:val="009D1E80"/>
    <w:rsid w:val="009D20BB"/>
    <w:rsid w:val="009D2819"/>
    <w:rsid w:val="009D28F7"/>
    <w:rsid w:val="009D4270"/>
    <w:rsid w:val="009D506D"/>
    <w:rsid w:val="009D6E18"/>
    <w:rsid w:val="009D73E3"/>
    <w:rsid w:val="009D774E"/>
    <w:rsid w:val="009D78AA"/>
    <w:rsid w:val="009E1202"/>
    <w:rsid w:val="009E18F7"/>
    <w:rsid w:val="009E1DAD"/>
    <w:rsid w:val="009E3514"/>
    <w:rsid w:val="009E3D48"/>
    <w:rsid w:val="009E4015"/>
    <w:rsid w:val="009E4409"/>
    <w:rsid w:val="009E4BEF"/>
    <w:rsid w:val="009E4FD0"/>
    <w:rsid w:val="009E5EEC"/>
    <w:rsid w:val="009E63AA"/>
    <w:rsid w:val="009E6856"/>
    <w:rsid w:val="009E6B0D"/>
    <w:rsid w:val="009E778F"/>
    <w:rsid w:val="009F0F26"/>
    <w:rsid w:val="009F17EC"/>
    <w:rsid w:val="009F2D90"/>
    <w:rsid w:val="009F3052"/>
    <w:rsid w:val="009F38D3"/>
    <w:rsid w:val="009F44AC"/>
    <w:rsid w:val="009F4B4A"/>
    <w:rsid w:val="009F5E83"/>
    <w:rsid w:val="009F7CD9"/>
    <w:rsid w:val="00A00014"/>
    <w:rsid w:val="00A001EC"/>
    <w:rsid w:val="00A0069C"/>
    <w:rsid w:val="00A00934"/>
    <w:rsid w:val="00A02B92"/>
    <w:rsid w:val="00A04AA2"/>
    <w:rsid w:val="00A05884"/>
    <w:rsid w:val="00A05C98"/>
    <w:rsid w:val="00A06EC7"/>
    <w:rsid w:val="00A07610"/>
    <w:rsid w:val="00A1052E"/>
    <w:rsid w:val="00A11D3B"/>
    <w:rsid w:val="00A12DC6"/>
    <w:rsid w:val="00A130D4"/>
    <w:rsid w:val="00A14659"/>
    <w:rsid w:val="00A14A5C"/>
    <w:rsid w:val="00A14B62"/>
    <w:rsid w:val="00A157A0"/>
    <w:rsid w:val="00A159C8"/>
    <w:rsid w:val="00A17709"/>
    <w:rsid w:val="00A2003C"/>
    <w:rsid w:val="00A2092B"/>
    <w:rsid w:val="00A24369"/>
    <w:rsid w:val="00A24EE4"/>
    <w:rsid w:val="00A26780"/>
    <w:rsid w:val="00A26893"/>
    <w:rsid w:val="00A30091"/>
    <w:rsid w:val="00A302E6"/>
    <w:rsid w:val="00A309CF"/>
    <w:rsid w:val="00A30E84"/>
    <w:rsid w:val="00A32BBD"/>
    <w:rsid w:val="00A32EDD"/>
    <w:rsid w:val="00A33AB3"/>
    <w:rsid w:val="00A3411C"/>
    <w:rsid w:val="00A34640"/>
    <w:rsid w:val="00A35F65"/>
    <w:rsid w:val="00A401F5"/>
    <w:rsid w:val="00A404B9"/>
    <w:rsid w:val="00A431A5"/>
    <w:rsid w:val="00A4443C"/>
    <w:rsid w:val="00A47F58"/>
    <w:rsid w:val="00A50014"/>
    <w:rsid w:val="00A50089"/>
    <w:rsid w:val="00A511F1"/>
    <w:rsid w:val="00A51787"/>
    <w:rsid w:val="00A52EA6"/>
    <w:rsid w:val="00A534C3"/>
    <w:rsid w:val="00A53ACA"/>
    <w:rsid w:val="00A53AF7"/>
    <w:rsid w:val="00A53EA5"/>
    <w:rsid w:val="00A53F85"/>
    <w:rsid w:val="00A543B3"/>
    <w:rsid w:val="00A54BA6"/>
    <w:rsid w:val="00A56384"/>
    <w:rsid w:val="00A57B9A"/>
    <w:rsid w:val="00A57E37"/>
    <w:rsid w:val="00A609D8"/>
    <w:rsid w:val="00A60F7C"/>
    <w:rsid w:val="00A6161C"/>
    <w:rsid w:val="00A6182B"/>
    <w:rsid w:val="00A61B54"/>
    <w:rsid w:val="00A621F4"/>
    <w:rsid w:val="00A63535"/>
    <w:rsid w:val="00A641F3"/>
    <w:rsid w:val="00A64E82"/>
    <w:rsid w:val="00A656A6"/>
    <w:rsid w:val="00A65F3E"/>
    <w:rsid w:val="00A65FC7"/>
    <w:rsid w:val="00A67FAC"/>
    <w:rsid w:val="00A702DA"/>
    <w:rsid w:val="00A702F2"/>
    <w:rsid w:val="00A7296A"/>
    <w:rsid w:val="00A73075"/>
    <w:rsid w:val="00A739DA"/>
    <w:rsid w:val="00A742BE"/>
    <w:rsid w:val="00A74B3C"/>
    <w:rsid w:val="00A76515"/>
    <w:rsid w:val="00A77591"/>
    <w:rsid w:val="00A8208E"/>
    <w:rsid w:val="00A849C5"/>
    <w:rsid w:val="00A852EA"/>
    <w:rsid w:val="00A85E89"/>
    <w:rsid w:val="00A860B1"/>
    <w:rsid w:val="00A87074"/>
    <w:rsid w:val="00A876AE"/>
    <w:rsid w:val="00A90FA4"/>
    <w:rsid w:val="00A915E3"/>
    <w:rsid w:val="00A91D69"/>
    <w:rsid w:val="00A91E68"/>
    <w:rsid w:val="00A92F40"/>
    <w:rsid w:val="00A9354D"/>
    <w:rsid w:val="00A94470"/>
    <w:rsid w:val="00A9605D"/>
    <w:rsid w:val="00AA0260"/>
    <w:rsid w:val="00AA033F"/>
    <w:rsid w:val="00AA19E8"/>
    <w:rsid w:val="00AA332B"/>
    <w:rsid w:val="00AA3BDE"/>
    <w:rsid w:val="00AA3F05"/>
    <w:rsid w:val="00AA3F36"/>
    <w:rsid w:val="00AA44BE"/>
    <w:rsid w:val="00AA7588"/>
    <w:rsid w:val="00AA7E4C"/>
    <w:rsid w:val="00AB1448"/>
    <w:rsid w:val="00AB281D"/>
    <w:rsid w:val="00AB2C84"/>
    <w:rsid w:val="00AB2DF8"/>
    <w:rsid w:val="00AB53A1"/>
    <w:rsid w:val="00AB5882"/>
    <w:rsid w:val="00AB62E4"/>
    <w:rsid w:val="00AB6D5E"/>
    <w:rsid w:val="00AC0D35"/>
    <w:rsid w:val="00AC0F01"/>
    <w:rsid w:val="00AC3BA7"/>
    <w:rsid w:val="00AC3BFA"/>
    <w:rsid w:val="00AC3F2D"/>
    <w:rsid w:val="00AC50E5"/>
    <w:rsid w:val="00AC5E4B"/>
    <w:rsid w:val="00AC5FDA"/>
    <w:rsid w:val="00AC7100"/>
    <w:rsid w:val="00AC718D"/>
    <w:rsid w:val="00AC71EA"/>
    <w:rsid w:val="00AC7E05"/>
    <w:rsid w:val="00AC7F67"/>
    <w:rsid w:val="00AD0FC8"/>
    <w:rsid w:val="00AD1D80"/>
    <w:rsid w:val="00AD39CC"/>
    <w:rsid w:val="00AD4ED7"/>
    <w:rsid w:val="00AD54DF"/>
    <w:rsid w:val="00AD599A"/>
    <w:rsid w:val="00AD7BCE"/>
    <w:rsid w:val="00AE1A32"/>
    <w:rsid w:val="00AE1C01"/>
    <w:rsid w:val="00AE319C"/>
    <w:rsid w:val="00AE380F"/>
    <w:rsid w:val="00AE3C3A"/>
    <w:rsid w:val="00AE439C"/>
    <w:rsid w:val="00AE6003"/>
    <w:rsid w:val="00AE617C"/>
    <w:rsid w:val="00AF1011"/>
    <w:rsid w:val="00AF1DDC"/>
    <w:rsid w:val="00AF3A1C"/>
    <w:rsid w:val="00AF720C"/>
    <w:rsid w:val="00AF738E"/>
    <w:rsid w:val="00AF7B12"/>
    <w:rsid w:val="00AF7BC2"/>
    <w:rsid w:val="00AF7BDD"/>
    <w:rsid w:val="00B0050A"/>
    <w:rsid w:val="00B007E1"/>
    <w:rsid w:val="00B01A75"/>
    <w:rsid w:val="00B02044"/>
    <w:rsid w:val="00B027AD"/>
    <w:rsid w:val="00B03F06"/>
    <w:rsid w:val="00B0401D"/>
    <w:rsid w:val="00B04477"/>
    <w:rsid w:val="00B07197"/>
    <w:rsid w:val="00B1157C"/>
    <w:rsid w:val="00B14758"/>
    <w:rsid w:val="00B15065"/>
    <w:rsid w:val="00B15611"/>
    <w:rsid w:val="00B1677F"/>
    <w:rsid w:val="00B1697B"/>
    <w:rsid w:val="00B208A3"/>
    <w:rsid w:val="00B21074"/>
    <w:rsid w:val="00B2124A"/>
    <w:rsid w:val="00B21B7B"/>
    <w:rsid w:val="00B2659D"/>
    <w:rsid w:val="00B269A3"/>
    <w:rsid w:val="00B27055"/>
    <w:rsid w:val="00B30866"/>
    <w:rsid w:val="00B30A12"/>
    <w:rsid w:val="00B30B08"/>
    <w:rsid w:val="00B311A3"/>
    <w:rsid w:val="00B333B1"/>
    <w:rsid w:val="00B33AAC"/>
    <w:rsid w:val="00B34BBE"/>
    <w:rsid w:val="00B354E2"/>
    <w:rsid w:val="00B367D3"/>
    <w:rsid w:val="00B36A8E"/>
    <w:rsid w:val="00B37BFB"/>
    <w:rsid w:val="00B41527"/>
    <w:rsid w:val="00B41A0F"/>
    <w:rsid w:val="00B4236C"/>
    <w:rsid w:val="00B43485"/>
    <w:rsid w:val="00B44A30"/>
    <w:rsid w:val="00B44F52"/>
    <w:rsid w:val="00B45CA0"/>
    <w:rsid w:val="00B45DA4"/>
    <w:rsid w:val="00B476B8"/>
    <w:rsid w:val="00B50A0B"/>
    <w:rsid w:val="00B51CA2"/>
    <w:rsid w:val="00B51E6B"/>
    <w:rsid w:val="00B51FA8"/>
    <w:rsid w:val="00B53510"/>
    <w:rsid w:val="00B536A2"/>
    <w:rsid w:val="00B545FC"/>
    <w:rsid w:val="00B55270"/>
    <w:rsid w:val="00B555BE"/>
    <w:rsid w:val="00B55BFF"/>
    <w:rsid w:val="00B5635D"/>
    <w:rsid w:val="00B56B9F"/>
    <w:rsid w:val="00B57350"/>
    <w:rsid w:val="00B60540"/>
    <w:rsid w:val="00B644B1"/>
    <w:rsid w:val="00B64D0E"/>
    <w:rsid w:val="00B6506E"/>
    <w:rsid w:val="00B65ABF"/>
    <w:rsid w:val="00B67FB5"/>
    <w:rsid w:val="00B7018B"/>
    <w:rsid w:val="00B71022"/>
    <w:rsid w:val="00B71CAF"/>
    <w:rsid w:val="00B752C1"/>
    <w:rsid w:val="00B765B7"/>
    <w:rsid w:val="00B76749"/>
    <w:rsid w:val="00B77887"/>
    <w:rsid w:val="00B800E5"/>
    <w:rsid w:val="00B80FD0"/>
    <w:rsid w:val="00B81BB7"/>
    <w:rsid w:val="00B81F96"/>
    <w:rsid w:val="00B82027"/>
    <w:rsid w:val="00B8266F"/>
    <w:rsid w:val="00B829AA"/>
    <w:rsid w:val="00B8337E"/>
    <w:rsid w:val="00B836EA"/>
    <w:rsid w:val="00B84857"/>
    <w:rsid w:val="00B85923"/>
    <w:rsid w:val="00B87DDF"/>
    <w:rsid w:val="00B91287"/>
    <w:rsid w:val="00B915E6"/>
    <w:rsid w:val="00B92874"/>
    <w:rsid w:val="00B932E0"/>
    <w:rsid w:val="00B93790"/>
    <w:rsid w:val="00B94BC9"/>
    <w:rsid w:val="00B9532A"/>
    <w:rsid w:val="00B957F7"/>
    <w:rsid w:val="00B95D32"/>
    <w:rsid w:val="00B96606"/>
    <w:rsid w:val="00B969AF"/>
    <w:rsid w:val="00B96FF3"/>
    <w:rsid w:val="00BA0E38"/>
    <w:rsid w:val="00BA1725"/>
    <w:rsid w:val="00BA1957"/>
    <w:rsid w:val="00BA2509"/>
    <w:rsid w:val="00BA253A"/>
    <w:rsid w:val="00BA26E5"/>
    <w:rsid w:val="00BA2DEF"/>
    <w:rsid w:val="00BA3DF3"/>
    <w:rsid w:val="00BA5E9E"/>
    <w:rsid w:val="00BA680D"/>
    <w:rsid w:val="00BA7158"/>
    <w:rsid w:val="00BA71DC"/>
    <w:rsid w:val="00BA7542"/>
    <w:rsid w:val="00BB07A2"/>
    <w:rsid w:val="00BB0A58"/>
    <w:rsid w:val="00BB0C48"/>
    <w:rsid w:val="00BB10C8"/>
    <w:rsid w:val="00BB20C9"/>
    <w:rsid w:val="00BB24ED"/>
    <w:rsid w:val="00BB2626"/>
    <w:rsid w:val="00BB2667"/>
    <w:rsid w:val="00BB4295"/>
    <w:rsid w:val="00BB44CC"/>
    <w:rsid w:val="00BB6390"/>
    <w:rsid w:val="00BC0BEB"/>
    <w:rsid w:val="00BC11F4"/>
    <w:rsid w:val="00BC14D1"/>
    <w:rsid w:val="00BC16EB"/>
    <w:rsid w:val="00BC29B0"/>
    <w:rsid w:val="00BC3133"/>
    <w:rsid w:val="00BC3A33"/>
    <w:rsid w:val="00BC47EF"/>
    <w:rsid w:val="00BC4BDF"/>
    <w:rsid w:val="00BC6DF6"/>
    <w:rsid w:val="00BC729C"/>
    <w:rsid w:val="00BD34DB"/>
    <w:rsid w:val="00BD3882"/>
    <w:rsid w:val="00BD38BE"/>
    <w:rsid w:val="00BD42F7"/>
    <w:rsid w:val="00BD473A"/>
    <w:rsid w:val="00BD63F0"/>
    <w:rsid w:val="00BD7A66"/>
    <w:rsid w:val="00BE0C59"/>
    <w:rsid w:val="00BE0DBC"/>
    <w:rsid w:val="00BE382A"/>
    <w:rsid w:val="00BE4C94"/>
    <w:rsid w:val="00BE568A"/>
    <w:rsid w:val="00BE5742"/>
    <w:rsid w:val="00BE6DCA"/>
    <w:rsid w:val="00BE6E5B"/>
    <w:rsid w:val="00BF10B5"/>
    <w:rsid w:val="00BF168B"/>
    <w:rsid w:val="00BF2D4E"/>
    <w:rsid w:val="00BF449B"/>
    <w:rsid w:val="00BF4796"/>
    <w:rsid w:val="00BF56B2"/>
    <w:rsid w:val="00BF673D"/>
    <w:rsid w:val="00BF6AD6"/>
    <w:rsid w:val="00BF76EB"/>
    <w:rsid w:val="00C01D23"/>
    <w:rsid w:val="00C03895"/>
    <w:rsid w:val="00C03A48"/>
    <w:rsid w:val="00C058E7"/>
    <w:rsid w:val="00C105A0"/>
    <w:rsid w:val="00C11754"/>
    <w:rsid w:val="00C12634"/>
    <w:rsid w:val="00C13049"/>
    <w:rsid w:val="00C1463C"/>
    <w:rsid w:val="00C14FC8"/>
    <w:rsid w:val="00C1591C"/>
    <w:rsid w:val="00C15D16"/>
    <w:rsid w:val="00C16CE7"/>
    <w:rsid w:val="00C16DA6"/>
    <w:rsid w:val="00C1754D"/>
    <w:rsid w:val="00C200DB"/>
    <w:rsid w:val="00C20237"/>
    <w:rsid w:val="00C20A52"/>
    <w:rsid w:val="00C21295"/>
    <w:rsid w:val="00C22507"/>
    <w:rsid w:val="00C22671"/>
    <w:rsid w:val="00C23C35"/>
    <w:rsid w:val="00C25117"/>
    <w:rsid w:val="00C25710"/>
    <w:rsid w:val="00C25883"/>
    <w:rsid w:val="00C27FBA"/>
    <w:rsid w:val="00C305B8"/>
    <w:rsid w:val="00C30DF8"/>
    <w:rsid w:val="00C31BF3"/>
    <w:rsid w:val="00C3314D"/>
    <w:rsid w:val="00C34D57"/>
    <w:rsid w:val="00C35470"/>
    <w:rsid w:val="00C357AD"/>
    <w:rsid w:val="00C35B0F"/>
    <w:rsid w:val="00C35B16"/>
    <w:rsid w:val="00C36708"/>
    <w:rsid w:val="00C37D9D"/>
    <w:rsid w:val="00C37F59"/>
    <w:rsid w:val="00C40661"/>
    <w:rsid w:val="00C4264A"/>
    <w:rsid w:val="00C428E6"/>
    <w:rsid w:val="00C42B63"/>
    <w:rsid w:val="00C43913"/>
    <w:rsid w:val="00C443B6"/>
    <w:rsid w:val="00C454C7"/>
    <w:rsid w:val="00C46988"/>
    <w:rsid w:val="00C50836"/>
    <w:rsid w:val="00C5148D"/>
    <w:rsid w:val="00C51983"/>
    <w:rsid w:val="00C51DDA"/>
    <w:rsid w:val="00C520F4"/>
    <w:rsid w:val="00C52C6F"/>
    <w:rsid w:val="00C56DBD"/>
    <w:rsid w:val="00C57B0F"/>
    <w:rsid w:val="00C6077F"/>
    <w:rsid w:val="00C608C4"/>
    <w:rsid w:val="00C624EF"/>
    <w:rsid w:val="00C62EBD"/>
    <w:rsid w:val="00C63903"/>
    <w:rsid w:val="00C63B1F"/>
    <w:rsid w:val="00C63FA0"/>
    <w:rsid w:val="00C66927"/>
    <w:rsid w:val="00C66DC6"/>
    <w:rsid w:val="00C676F9"/>
    <w:rsid w:val="00C677A9"/>
    <w:rsid w:val="00C67C09"/>
    <w:rsid w:val="00C67E4C"/>
    <w:rsid w:val="00C708A1"/>
    <w:rsid w:val="00C71DD5"/>
    <w:rsid w:val="00C71EBE"/>
    <w:rsid w:val="00C72EE5"/>
    <w:rsid w:val="00C735B0"/>
    <w:rsid w:val="00C752AE"/>
    <w:rsid w:val="00C75754"/>
    <w:rsid w:val="00C75C50"/>
    <w:rsid w:val="00C75F16"/>
    <w:rsid w:val="00C7602F"/>
    <w:rsid w:val="00C77096"/>
    <w:rsid w:val="00C773BB"/>
    <w:rsid w:val="00C77D0D"/>
    <w:rsid w:val="00C77DA8"/>
    <w:rsid w:val="00C80819"/>
    <w:rsid w:val="00C80C71"/>
    <w:rsid w:val="00C81463"/>
    <w:rsid w:val="00C8359A"/>
    <w:rsid w:val="00C8391E"/>
    <w:rsid w:val="00C8492B"/>
    <w:rsid w:val="00C85770"/>
    <w:rsid w:val="00C857E4"/>
    <w:rsid w:val="00C86471"/>
    <w:rsid w:val="00C8688E"/>
    <w:rsid w:val="00C86C7B"/>
    <w:rsid w:val="00C87D6F"/>
    <w:rsid w:val="00C87ED3"/>
    <w:rsid w:val="00C90F27"/>
    <w:rsid w:val="00C9202D"/>
    <w:rsid w:val="00C92052"/>
    <w:rsid w:val="00C923B1"/>
    <w:rsid w:val="00C945CB"/>
    <w:rsid w:val="00C95009"/>
    <w:rsid w:val="00C95C53"/>
    <w:rsid w:val="00C967CC"/>
    <w:rsid w:val="00C96C83"/>
    <w:rsid w:val="00C97905"/>
    <w:rsid w:val="00C97AA7"/>
    <w:rsid w:val="00C97B42"/>
    <w:rsid w:val="00CA0F95"/>
    <w:rsid w:val="00CA210D"/>
    <w:rsid w:val="00CA345D"/>
    <w:rsid w:val="00CA6BDD"/>
    <w:rsid w:val="00CB0173"/>
    <w:rsid w:val="00CB05A2"/>
    <w:rsid w:val="00CB28E6"/>
    <w:rsid w:val="00CB2E8A"/>
    <w:rsid w:val="00CB3589"/>
    <w:rsid w:val="00CB3A64"/>
    <w:rsid w:val="00CB3F64"/>
    <w:rsid w:val="00CB47E3"/>
    <w:rsid w:val="00CB5A66"/>
    <w:rsid w:val="00CB6C74"/>
    <w:rsid w:val="00CB6CF3"/>
    <w:rsid w:val="00CB7495"/>
    <w:rsid w:val="00CB75B3"/>
    <w:rsid w:val="00CC0023"/>
    <w:rsid w:val="00CC0FF7"/>
    <w:rsid w:val="00CC3A71"/>
    <w:rsid w:val="00CC4943"/>
    <w:rsid w:val="00CC57FA"/>
    <w:rsid w:val="00CC5BD8"/>
    <w:rsid w:val="00CC644C"/>
    <w:rsid w:val="00CC7092"/>
    <w:rsid w:val="00CC7DC6"/>
    <w:rsid w:val="00CC7F33"/>
    <w:rsid w:val="00CD0876"/>
    <w:rsid w:val="00CD2264"/>
    <w:rsid w:val="00CD27FB"/>
    <w:rsid w:val="00CD2FA1"/>
    <w:rsid w:val="00CD4105"/>
    <w:rsid w:val="00CD6B50"/>
    <w:rsid w:val="00CD7F73"/>
    <w:rsid w:val="00CE02AD"/>
    <w:rsid w:val="00CE24E4"/>
    <w:rsid w:val="00CE255B"/>
    <w:rsid w:val="00CE3094"/>
    <w:rsid w:val="00CE3791"/>
    <w:rsid w:val="00CE3C09"/>
    <w:rsid w:val="00CE4864"/>
    <w:rsid w:val="00CE49FA"/>
    <w:rsid w:val="00CE4CEC"/>
    <w:rsid w:val="00CE58F7"/>
    <w:rsid w:val="00CE59BE"/>
    <w:rsid w:val="00CE5A9C"/>
    <w:rsid w:val="00CE5BE6"/>
    <w:rsid w:val="00CE6247"/>
    <w:rsid w:val="00CE6727"/>
    <w:rsid w:val="00CF035D"/>
    <w:rsid w:val="00CF0CB7"/>
    <w:rsid w:val="00CF26C2"/>
    <w:rsid w:val="00CF2810"/>
    <w:rsid w:val="00CF3812"/>
    <w:rsid w:val="00CF6986"/>
    <w:rsid w:val="00CF7577"/>
    <w:rsid w:val="00D00F9E"/>
    <w:rsid w:val="00D03818"/>
    <w:rsid w:val="00D04008"/>
    <w:rsid w:val="00D04029"/>
    <w:rsid w:val="00D04ED4"/>
    <w:rsid w:val="00D04F08"/>
    <w:rsid w:val="00D065FB"/>
    <w:rsid w:val="00D06CCD"/>
    <w:rsid w:val="00D06DBF"/>
    <w:rsid w:val="00D07464"/>
    <w:rsid w:val="00D1077B"/>
    <w:rsid w:val="00D10DBD"/>
    <w:rsid w:val="00D11149"/>
    <w:rsid w:val="00D113F5"/>
    <w:rsid w:val="00D120C6"/>
    <w:rsid w:val="00D121B0"/>
    <w:rsid w:val="00D12238"/>
    <w:rsid w:val="00D1241B"/>
    <w:rsid w:val="00D13844"/>
    <w:rsid w:val="00D13C4C"/>
    <w:rsid w:val="00D149C2"/>
    <w:rsid w:val="00D14E39"/>
    <w:rsid w:val="00D16131"/>
    <w:rsid w:val="00D1736F"/>
    <w:rsid w:val="00D17881"/>
    <w:rsid w:val="00D2036A"/>
    <w:rsid w:val="00D205E1"/>
    <w:rsid w:val="00D215B4"/>
    <w:rsid w:val="00D216C9"/>
    <w:rsid w:val="00D221D9"/>
    <w:rsid w:val="00D2274B"/>
    <w:rsid w:val="00D2304D"/>
    <w:rsid w:val="00D231C2"/>
    <w:rsid w:val="00D236F0"/>
    <w:rsid w:val="00D2420B"/>
    <w:rsid w:val="00D24E26"/>
    <w:rsid w:val="00D2531C"/>
    <w:rsid w:val="00D26A3E"/>
    <w:rsid w:val="00D27BBA"/>
    <w:rsid w:val="00D3182E"/>
    <w:rsid w:val="00D326B6"/>
    <w:rsid w:val="00D340DA"/>
    <w:rsid w:val="00D351E2"/>
    <w:rsid w:val="00D360A9"/>
    <w:rsid w:val="00D37153"/>
    <w:rsid w:val="00D37349"/>
    <w:rsid w:val="00D37371"/>
    <w:rsid w:val="00D37B40"/>
    <w:rsid w:val="00D4190C"/>
    <w:rsid w:val="00D420DB"/>
    <w:rsid w:val="00D427E2"/>
    <w:rsid w:val="00D44FAB"/>
    <w:rsid w:val="00D468AC"/>
    <w:rsid w:val="00D47E16"/>
    <w:rsid w:val="00D51EB8"/>
    <w:rsid w:val="00D53115"/>
    <w:rsid w:val="00D53262"/>
    <w:rsid w:val="00D54337"/>
    <w:rsid w:val="00D54944"/>
    <w:rsid w:val="00D5540A"/>
    <w:rsid w:val="00D57C60"/>
    <w:rsid w:val="00D60617"/>
    <w:rsid w:val="00D61441"/>
    <w:rsid w:val="00D61781"/>
    <w:rsid w:val="00D6296A"/>
    <w:rsid w:val="00D62D68"/>
    <w:rsid w:val="00D62EAC"/>
    <w:rsid w:val="00D639B3"/>
    <w:rsid w:val="00D640DD"/>
    <w:rsid w:val="00D64833"/>
    <w:rsid w:val="00D653E5"/>
    <w:rsid w:val="00D6696F"/>
    <w:rsid w:val="00D6741E"/>
    <w:rsid w:val="00D674E9"/>
    <w:rsid w:val="00D7000F"/>
    <w:rsid w:val="00D70900"/>
    <w:rsid w:val="00D70E07"/>
    <w:rsid w:val="00D71FF1"/>
    <w:rsid w:val="00D72F2D"/>
    <w:rsid w:val="00D73A0E"/>
    <w:rsid w:val="00D73D9C"/>
    <w:rsid w:val="00D740AC"/>
    <w:rsid w:val="00D74510"/>
    <w:rsid w:val="00D74736"/>
    <w:rsid w:val="00D75DA2"/>
    <w:rsid w:val="00D76EAE"/>
    <w:rsid w:val="00D774C0"/>
    <w:rsid w:val="00D77581"/>
    <w:rsid w:val="00D77D33"/>
    <w:rsid w:val="00D80438"/>
    <w:rsid w:val="00D813D3"/>
    <w:rsid w:val="00D8182A"/>
    <w:rsid w:val="00D8213F"/>
    <w:rsid w:val="00D825E1"/>
    <w:rsid w:val="00D83B72"/>
    <w:rsid w:val="00D8551E"/>
    <w:rsid w:val="00D857AD"/>
    <w:rsid w:val="00D85E2C"/>
    <w:rsid w:val="00D861C2"/>
    <w:rsid w:val="00D9340D"/>
    <w:rsid w:val="00D937E8"/>
    <w:rsid w:val="00D94220"/>
    <w:rsid w:val="00D96E2B"/>
    <w:rsid w:val="00DA0642"/>
    <w:rsid w:val="00DA13AE"/>
    <w:rsid w:val="00DA2AF8"/>
    <w:rsid w:val="00DA2C9F"/>
    <w:rsid w:val="00DA2EDC"/>
    <w:rsid w:val="00DA3101"/>
    <w:rsid w:val="00DA3359"/>
    <w:rsid w:val="00DA5BDA"/>
    <w:rsid w:val="00DA6B7F"/>
    <w:rsid w:val="00DA7343"/>
    <w:rsid w:val="00DA7922"/>
    <w:rsid w:val="00DA7B0B"/>
    <w:rsid w:val="00DA7D3F"/>
    <w:rsid w:val="00DB0A28"/>
    <w:rsid w:val="00DB0BE6"/>
    <w:rsid w:val="00DB132E"/>
    <w:rsid w:val="00DB1565"/>
    <w:rsid w:val="00DB1573"/>
    <w:rsid w:val="00DB2690"/>
    <w:rsid w:val="00DB379A"/>
    <w:rsid w:val="00DB563D"/>
    <w:rsid w:val="00DB67DA"/>
    <w:rsid w:val="00DC16E3"/>
    <w:rsid w:val="00DC1ACE"/>
    <w:rsid w:val="00DC28B0"/>
    <w:rsid w:val="00DC6201"/>
    <w:rsid w:val="00DC6854"/>
    <w:rsid w:val="00DC76E6"/>
    <w:rsid w:val="00DC7916"/>
    <w:rsid w:val="00DC7D2C"/>
    <w:rsid w:val="00DD03AE"/>
    <w:rsid w:val="00DD04B6"/>
    <w:rsid w:val="00DD06FA"/>
    <w:rsid w:val="00DD0A66"/>
    <w:rsid w:val="00DD0ABE"/>
    <w:rsid w:val="00DD2567"/>
    <w:rsid w:val="00DD2EAD"/>
    <w:rsid w:val="00DD4B20"/>
    <w:rsid w:val="00DD4EDD"/>
    <w:rsid w:val="00DD50AE"/>
    <w:rsid w:val="00DD60D2"/>
    <w:rsid w:val="00DD7C24"/>
    <w:rsid w:val="00DD7DFB"/>
    <w:rsid w:val="00DE0034"/>
    <w:rsid w:val="00DE12A5"/>
    <w:rsid w:val="00DE130E"/>
    <w:rsid w:val="00DE1F11"/>
    <w:rsid w:val="00DE4BA8"/>
    <w:rsid w:val="00DE540B"/>
    <w:rsid w:val="00DE55DC"/>
    <w:rsid w:val="00DE69C7"/>
    <w:rsid w:val="00DE6BB8"/>
    <w:rsid w:val="00DE6EB6"/>
    <w:rsid w:val="00DE7289"/>
    <w:rsid w:val="00DF079B"/>
    <w:rsid w:val="00DF1EAF"/>
    <w:rsid w:val="00DF24C8"/>
    <w:rsid w:val="00DF2A2E"/>
    <w:rsid w:val="00DF2C91"/>
    <w:rsid w:val="00DF304F"/>
    <w:rsid w:val="00DF5410"/>
    <w:rsid w:val="00DF5521"/>
    <w:rsid w:val="00DF59A1"/>
    <w:rsid w:val="00DF5B4E"/>
    <w:rsid w:val="00DF655C"/>
    <w:rsid w:val="00DF6703"/>
    <w:rsid w:val="00DF697A"/>
    <w:rsid w:val="00DF7154"/>
    <w:rsid w:val="00DF79AC"/>
    <w:rsid w:val="00E01891"/>
    <w:rsid w:val="00E01F69"/>
    <w:rsid w:val="00E02510"/>
    <w:rsid w:val="00E02E9E"/>
    <w:rsid w:val="00E04312"/>
    <w:rsid w:val="00E05209"/>
    <w:rsid w:val="00E05CE4"/>
    <w:rsid w:val="00E060A0"/>
    <w:rsid w:val="00E0610A"/>
    <w:rsid w:val="00E074E5"/>
    <w:rsid w:val="00E12E83"/>
    <w:rsid w:val="00E1328A"/>
    <w:rsid w:val="00E15B19"/>
    <w:rsid w:val="00E15F92"/>
    <w:rsid w:val="00E1618B"/>
    <w:rsid w:val="00E16221"/>
    <w:rsid w:val="00E20104"/>
    <w:rsid w:val="00E202EF"/>
    <w:rsid w:val="00E20358"/>
    <w:rsid w:val="00E20EFC"/>
    <w:rsid w:val="00E22AAB"/>
    <w:rsid w:val="00E24139"/>
    <w:rsid w:val="00E2468A"/>
    <w:rsid w:val="00E25904"/>
    <w:rsid w:val="00E26D14"/>
    <w:rsid w:val="00E27C61"/>
    <w:rsid w:val="00E310AF"/>
    <w:rsid w:val="00E3183D"/>
    <w:rsid w:val="00E339C0"/>
    <w:rsid w:val="00E349F7"/>
    <w:rsid w:val="00E3615A"/>
    <w:rsid w:val="00E36F98"/>
    <w:rsid w:val="00E37E76"/>
    <w:rsid w:val="00E41C65"/>
    <w:rsid w:val="00E41E32"/>
    <w:rsid w:val="00E41E93"/>
    <w:rsid w:val="00E42949"/>
    <w:rsid w:val="00E42ABF"/>
    <w:rsid w:val="00E45381"/>
    <w:rsid w:val="00E45F54"/>
    <w:rsid w:val="00E5008D"/>
    <w:rsid w:val="00E5019A"/>
    <w:rsid w:val="00E5159D"/>
    <w:rsid w:val="00E55563"/>
    <w:rsid w:val="00E555FA"/>
    <w:rsid w:val="00E556F1"/>
    <w:rsid w:val="00E60976"/>
    <w:rsid w:val="00E60A37"/>
    <w:rsid w:val="00E652AF"/>
    <w:rsid w:val="00E672BC"/>
    <w:rsid w:val="00E7107A"/>
    <w:rsid w:val="00E714AA"/>
    <w:rsid w:val="00E714D9"/>
    <w:rsid w:val="00E71F68"/>
    <w:rsid w:val="00E72443"/>
    <w:rsid w:val="00E727A4"/>
    <w:rsid w:val="00E738F0"/>
    <w:rsid w:val="00E745E2"/>
    <w:rsid w:val="00E749AC"/>
    <w:rsid w:val="00E751B4"/>
    <w:rsid w:val="00E75585"/>
    <w:rsid w:val="00E75C33"/>
    <w:rsid w:val="00E76033"/>
    <w:rsid w:val="00E8140E"/>
    <w:rsid w:val="00E81ACE"/>
    <w:rsid w:val="00E84EF0"/>
    <w:rsid w:val="00E85C14"/>
    <w:rsid w:val="00E85EFD"/>
    <w:rsid w:val="00E866F1"/>
    <w:rsid w:val="00E87C6A"/>
    <w:rsid w:val="00E90030"/>
    <w:rsid w:val="00E92437"/>
    <w:rsid w:val="00E92BD0"/>
    <w:rsid w:val="00E92F88"/>
    <w:rsid w:val="00E93730"/>
    <w:rsid w:val="00E94B25"/>
    <w:rsid w:val="00E94B49"/>
    <w:rsid w:val="00E95DE8"/>
    <w:rsid w:val="00E96CC8"/>
    <w:rsid w:val="00E96DEB"/>
    <w:rsid w:val="00E96E54"/>
    <w:rsid w:val="00E97BC9"/>
    <w:rsid w:val="00EA0721"/>
    <w:rsid w:val="00EA0A48"/>
    <w:rsid w:val="00EA3FB1"/>
    <w:rsid w:val="00EA4E51"/>
    <w:rsid w:val="00EA6530"/>
    <w:rsid w:val="00EA75AC"/>
    <w:rsid w:val="00EA7B20"/>
    <w:rsid w:val="00EB0A93"/>
    <w:rsid w:val="00EB0DBB"/>
    <w:rsid w:val="00EB214F"/>
    <w:rsid w:val="00EB3FD1"/>
    <w:rsid w:val="00EB4406"/>
    <w:rsid w:val="00EB5050"/>
    <w:rsid w:val="00EB60E4"/>
    <w:rsid w:val="00EB732A"/>
    <w:rsid w:val="00EB7BA5"/>
    <w:rsid w:val="00EC04CB"/>
    <w:rsid w:val="00EC09FB"/>
    <w:rsid w:val="00EC1C19"/>
    <w:rsid w:val="00EC2B5D"/>
    <w:rsid w:val="00EC480C"/>
    <w:rsid w:val="00EC4FE9"/>
    <w:rsid w:val="00EC7403"/>
    <w:rsid w:val="00ED00E3"/>
    <w:rsid w:val="00ED27D7"/>
    <w:rsid w:val="00ED3068"/>
    <w:rsid w:val="00ED451E"/>
    <w:rsid w:val="00ED5BD2"/>
    <w:rsid w:val="00ED7339"/>
    <w:rsid w:val="00ED7741"/>
    <w:rsid w:val="00ED7798"/>
    <w:rsid w:val="00EE0397"/>
    <w:rsid w:val="00EE03D7"/>
    <w:rsid w:val="00EE05EB"/>
    <w:rsid w:val="00EE08FE"/>
    <w:rsid w:val="00EE0C65"/>
    <w:rsid w:val="00EE1929"/>
    <w:rsid w:val="00EE2F71"/>
    <w:rsid w:val="00EE4946"/>
    <w:rsid w:val="00EE73CE"/>
    <w:rsid w:val="00EE75D5"/>
    <w:rsid w:val="00EE7654"/>
    <w:rsid w:val="00EE7F88"/>
    <w:rsid w:val="00EF258B"/>
    <w:rsid w:val="00EF326B"/>
    <w:rsid w:val="00EF54C1"/>
    <w:rsid w:val="00EF63EA"/>
    <w:rsid w:val="00EF6590"/>
    <w:rsid w:val="00EF6A3D"/>
    <w:rsid w:val="00EF7392"/>
    <w:rsid w:val="00EF73A6"/>
    <w:rsid w:val="00EF7BEB"/>
    <w:rsid w:val="00EF7C45"/>
    <w:rsid w:val="00EF7DBF"/>
    <w:rsid w:val="00F00DB5"/>
    <w:rsid w:val="00F00DEE"/>
    <w:rsid w:val="00F0204E"/>
    <w:rsid w:val="00F0239D"/>
    <w:rsid w:val="00F023FC"/>
    <w:rsid w:val="00F03627"/>
    <w:rsid w:val="00F037A4"/>
    <w:rsid w:val="00F0540C"/>
    <w:rsid w:val="00F06997"/>
    <w:rsid w:val="00F07071"/>
    <w:rsid w:val="00F074F8"/>
    <w:rsid w:val="00F07BF2"/>
    <w:rsid w:val="00F114B5"/>
    <w:rsid w:val="00F1595C"/>
    <w:rsid w:val="00F164BB"/>
    <w:rsid w:val="00F1664D"/>
    <w:rsid w:val="00F16BC3"/>
    <w:rsid w:val="00F16CCC"/>
    <w:rsid w:val="00F17CAD"/>
    <w:rsid w:val="00F20866"/>
    <w:rsid w:val="00F221A7"/>
    <w:rsid w:val="00F2223D"/>
    <w:rsid w:val="00F22539"/>
    <w:rsid w:val="00F234FB"/>
    <w:rsid w:val="00F25A50"/>
    <w:rsid w:val="00F25DC3"/>
    <w:rsid w:val="00F265A0"/>
    <w:rsid w:val="00F26AF9"/>
    <w:rsid w:val="00F32087"/>
    <w:rsid w:val="00F330CB"/>
    <w:rsid w:val="00F34A76"/>
    <w:rsid w:val="00F35CB5"/>
    <w:rsid w:val="00F3611E"/>
    <w:rsid w:val="00F40E7F"/>
    <w:rsid w:val="00F41841"/>
    <w:rsid w:val="00F422C8"/>
    <w:rsid w:val="00F4541C"/>
    <w:rsid w:val="00F4599F"/>
    <w:rsid w:val="00F46A0D"/>
    <w:rsid w:val="00F47FDB"/>
    <w:rsid w:val="00F51D38"/>
    <w:rsid w:val="00F52263"/>
    <w:rsid w:val="00F52CDE"/>
    <w:rsid w:val="00F539B7"/>
    <w:rsid w:val="00F5429F"/>
    <w:rsid w:val="00F54A60"/>
    <w:rsid w:val="00F55B8A"/>
    <w:rsid w:val="00F55EB1"/>
    <w:rsid w:val="00F56156"/>
    <w:rsid w:val="00F56A4B"/>
    <w:rsid w:val="00F56BCB"/>
    <w:rsid w:val="00F6006F"/>
    <w:rsid w:val="00F601CD"/>
    <w:rsid w:val="00F60E49"/>
    <w:rsid w:val="00F6374C"/>
    <w:rsid w:val="00F6383C"/>
    <w:rsid w:val="00F63A63"/>
    <w:rsid w:val="00F64E85"/>
    <w:rsid w:val="00F659F4"/>
    <w:rsid w:val="00F6642C"/>
    <w:rsid w:val="00F66D7C"/>
    <w:rsid w:val="00F70183"/>
    <w:rsid w:val="00F70234"/>
    <w:rsid w:val="00F709D1"/>
    <w:rsid w:val="00F711B3"/>
    <w:rsid w:val="00F718EE"/>
    <w:rsid w:val="00F72319"/>
    <w:rsid w:val="00F73A60"/>
    <w:rsid w:val="00F76F51"/>
    <w:rsid w:val="00F77007"/>
    <w:rsid w:val="00F77545"/>
    <w:rsid w:val="00F80170"/>
    <w:rsid w:val="00F81214"/>
    <w:rsid w:val="00F830D2"/>
    <w:rsid w:val="00F835BA"/>
    <w:rsid w:val="00F83CD2"/>
    <w:rsid w:val="00F8593A"/>
    <w:rsid w:val="00F85BB5"/>
    <w:rsid w:val="00F86A8E"/>
    <w:rsid w:val="00F86BC4"/>
    <w:rsid w:val="00F8762D"/>
    <w:rsid w:val="00F909D5"/>
    <w:rsid w:val="00F90B5F"/>
    <w:rsid w:val="00F91A9C"/>
    <w:rsid w:val="00F91B77"/>
    <w:rsid w:val="00F92254"/>
    <w:rsid w:val="00F933E3"/>
    <w:rsid w:val="00F9359D"/>
    <w:rsid w:val="00F94569"/>
    <w:rsid w:val="00F945F1"/>
    <w:rsid w:val="00F9664E"/>
    <w:rsid w:val="00F968C3"/>
    <w:rsid w:val="00F97327"/>
    <w:rsid w:val="00F97C62"/>
    <w:rsid w:val="00FA0041"/>
    <w:rsid w:val="00FA00A3"/>
    <w:rsid w:val="00FA07D5"/>
    <w:rsid w:val="00FA11EA"/>
    <w:rsid w:val="00FA18AD"/>
    <w:rsid w:val="00FA2E9E"/>
    <w:rsid w:val="00FA3AE5"/>
    <w:rsid w:val="00FB004F"/>
    <w:rsid w:val="00FB011F"/>
    <w:rsid w:val="00FB1BA6"/>
    <w:rsid w:val="00FB35AC"/>
    <w:rsid w:val="00FB4C96"/>
    <w:rsid w:val="00FB66C9"/>
    <w:rsid w:val="00FB6B09"/>
    <w:rsid w:val="00FB7FE7"/>
    <w:rsid w:val="00FC0802"/>
    <w:rsid w:val="00FC0939"/>
    <w:rsid w:val="00FC09D2"/>
    <w:rsid w:val="00FC141B"/>
    <w:rsid w:val="00FC34C1"/>
    <w:rsid w:val="00FC45E9"/>
    <w:rsid w:val="00FC491B"/>
    <w:rsid w:val="00FC64C4"/>
    <w:rsid w:val="00FC69F0"/>
    <w:rsid w:val="00FC7173"/>
    <w:rsid w:val="00FD03C8"/>
    <w:rsid w:val="00FD14AA"/>
    <w:rsid w:val="00FD2B48"/>
    <w:rsid w:val="00FD3FA0"/>
    <w:rsid w:val="00FD472F"/>
    <w:rsid w:val="00FD4766"/>
    <w:rsid w:val="00FE0401"/>
    <w:rsid w:val="00FE0F99"/>
    <w:rsid w:val="00FE1A89"/>
    <w:rsid w:val="00FE1C95"/>
    <w:rsid w:val="00FE34BB"/>
    <w:rsid w:val="00FE369C"/>
    <w:rsid w:val="00FE44C0"/>
    <w:rsid w:val="00FE4827"/>
    <w:rsid w:val="00FE57B1"/>
    <w:rsid w:val="00FE5A23"/>
    <w:rsid w:val="00FE6089"/>
    <w:rsid w:val="00FE6B9F"/>
    <w:rsid w:val="00FE6CD6"/>
    <w:rsid w:val="00FE74F0"/>
    <w:rsid w:val="00FF072B"/>
    <w:rsid w:val="00FF42D4"/>
    <w:rsid w:val="00FF546F"/>
    <w:rsid w:val="00FF54E4"/>
    <w:rsid w:val="00FF5B05"/>
    <w:rsid w:val="00FF5D72"/>
    <w:rsid w:val="00FF659B"/>
    <w:rsid w:val="00FF6BEC"/>
    <w:rsid w:val="00FF6E4E"/>
    <w:rsid w:val="00FF7292"/>
    <w:rsid w:val="00FF72F3"/>
    <w:rsid w:val="00FF74A1"/>
    <w:rsid w:val="00FF7A3C"/>
    <w:rsid w:val="00FF7DC4"/>
    <w:rsid w:val="64B6B94E"/>
    <w:rsid w:val="78EBE7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C15E1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5"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136"/>
    <w:rPr>
      <w:lang w:val="de-DE" w:eastAsia="en-US"/>
    </w:rPr>
  </w:style>
  <w:style w:type="paragraph" w:styleId="Heading1">
    <w:name w:val="heading 1"/>
    <w:basedOn w:val="Normal"/>
    <w:next w:val="Normal"/>
    <w:qFormat/>
    <w:pPr>
      <w:keepNext/>
      <w:numPr>
        <w:numId w:val="17"/>
      </w:numPr>
      <w:spacing w:line="260" w:lineRule="exact"/>
      <w:jc w:val="both"/>
      <w:outlineLvl w:val="0"/>
    </w:pPr>
    <w:rPr>
      <w:b/>
      <w:sz w:val="22"/>
    </w:rPr>
  </w:style>
  <w:style w:type="paragraph" w:styleId="Heading2">
    <w:name w:val="heading 2"/>
    <w:basedOn w:val="Normal"/>
    <w:next w:val="Normal"/>
    <w:qFormat/>
    <w:pPr>
      <w:keepNext/>
      <w:numPr>
        <w:ilvl w:val="1"/>
        <w:numId w:val="17"/>
      </w:numPr>
      <w:tabs>
        <w:tab w:val="left" w:pos="567"/>
      </w:tabs>
      <w:outlineLvl w:val="1"/>
    </w:pPr>
    <w:rPr>
      <w:b/>
      <w:sz w:val="22"/>
    </w:rPr>
  </w:style>
  <w:style w:type="paragraph" w:styleId="Heading3">
    <w:name w:val="heading 3"/>
    <w:basedOn w:val="Normal"/>
    <w:next w:val="Normal"/>
    <w:link w:val="Heading3Char"/>
    <w:qFormat/>
    <w:pPr>
      <w:keepNext/>
      <w:numPr>
        <w:ilvl w:val="2"/>
        <w:numId w:val="17"/>
      </w:numPr>
      <w:spacing w:line="260" w:lineRule="exact"/>
      <w:jc w:val="both"/>
      <w:outlineLvl w:val="2"/>
    </w:pPr>
    <w:rPr>
      <w:sz w:val="22"/>
    </w:rPr>
  </w:style>
  <w:style w:type="paragraph" w:styleId="Heading4">
    <w:name w:val="heading 4"/>
    <w:basedOn w:val="Normal"/>
    <w:next w:val="Normal"/>
    <w:qFormat/>
    <w:pPr>
      <w:keepNext/>
      <w:numPr>
        <w:ilvl w:val="3"/>
        <w:numId w:val="17"/>
      </w:numPr>
      <w:tabs>
        <w:tab w:val="left" w:pos="567"/>
      </w:tabs>
      <w:spacing w:line="260" w:lineRule="exact"/>
      <w:jc w:val="both"/>
      <w:outlineLvl w:val="3"/>
    </w:pPr>
    <w:rPr>
      <w:b/>
      <w:noProof/>
      <w:sz w:val="22"/>
    </w:rPr>
  </w:style>
  <w:style w:type="paragraph" w:styleId="Heading5">
    <w:name w:val="heading 5"/>
    <w:basedOn w:val="Normal"/>
    <w:next w:val="Normal"/>
    <w:qFormat/>
    <w:pPr>
      <w:keepNext/>
      <w:numPr>
        <w:ilvl w:val="4"/>
        <w:numId w:val="17"/>
      </w:numPr>
      <w:jc w:val="center"/>
      <w:outlineLvl w:val="4"/>
    </w:pPr>
    <w:rPr>
      <w:b/>
      <w:sz w:val="22"/>
    </w:rPr>
  </w:style>
  <w:style w:type="paragraph" w:styleId="Heading6">
    <w:name w:val="heading 6"/>
    <w:basedOn w:val="Normal"/>
    <w:next w:val="Normal"/>
    <w:link w:val="Heading6Char"/>
    <w:qFormat/>
    <w:pPr>
      <w:keepNext/>
      <w:numPr>
        <w:ilvl w:val="5"/>
        <w:numId w:val="17"/>
      </w:numPr>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pPr>
      <w:keepNext/>
      <w:numPr>
        <w:ilvl w:val="6"/>
        <w:numId w:val="17"/>
      </w:numPr>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qFormat/>
    <w:pPr>
      <w:keepNext/>
      <w:numPr>
        <w:ilvl w:val="7"/>
        <w:numId w:val="17"/>
      </w:numPr>
      <w:outlineLvl w:val="7"/>
    </w:pPr>
    <w:rPr>
      <w:b/>
      <w:sz w:val="22"/>
    </w:rPr>
  </w:style>
  <w:style w:type="paragraph" w:styleId="Heading9">
    <w:name w:val="heading 9"/>
    <w:basedOn w:val="Normal"/>
    <w:next w:val="Normal"/>
    <w:qFormat/>
    <w:pPr>
      <w:keepNext/>
      <w:numPr>
        <w:ilvl w:val="8"/>
        <w:numId w:val="17"/>
      </w:numPr>
      <w:shd w:val="pct25" w:color="000000" w:fill="FFFFFF"/>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5"/>
    <w:pPr>
      <w:tabs>
        <w:tab w:val="center" w:pos="4320"/>
        <w:tab w:val="right" w:pos="8640"/>
      </w:tabs>
    </w:pPr>
    <w:rPr>
      <w:sz w:val="22"/>
    </w:rPr>
  </w:style>
  <w:style w:type="paragraph" w:styleId="EndnoteText">
    <w:name w:val="endnote text"/>
    <w:basedOn w:val="Normal"/>
    <w:link w:val="EndnoteTextChar"/>
    <w:semiHidden/>
    <w:rPr>
      <w:sz w:val="18"/>
      <w:lang w:val="es-ES_tradnl"/>
    </w:rPr>
  </w:style>
  <w:style w:type="paragraph" w:styleId="BodyText2">
    <w:name w:val="Body Text 2"/>
    <w:basedOn w:val="Normal"/>
    <w:pPr>
      <w:ind w:left="567" w:hanging="567"/>
    </w:pPr>
    <w:rPr>
      <w:b/>
      <w:sz w:val="22"/>
      <w:lang w:val="en-GB"/>
    </w:rPr>
  </w:style>
  <w:style w:type="paragraph" w:styleId="BodyText">
    <w:name w:val="Body Text"/>
    <w:basedOn w:val="Normal"/>
    <w:pPr>
      <w:keepNext/>
      <w:spacing w:line="260" w:lineRule="exact"/>
      <w:jc w:val="both"/>
    </w:pPr>
    <w:rPr>
      <w:sz w:val="22"/>
    </w:rPr>
  </w:style>
  <w:style w:type="paragraph" w:styleId="Footer">
    <w:name w:val="footer"/>
    <w:basedOn w:val="Normal"/>
    <w:pPr>
      <w:tabs>
        <w:tab w:val="center" w:pos="4536"/>
        <w:tab w:val="center" w:pos="8930"/>
      </w:tabs>
    </w:pPr>
    <w:rPr>
      <w:rFonts w:ascii="Helvetica" w:hAnsi="Helvetica"/>
      <w:sz w:val="16"/>
      <w:lang w:val="es-ES_tradnl"/>
    </w:rPr>
  </w:style>
  <w:style w:type="character" w:styleId="CommentReference">
    <w:name w:val="annotation reference"/>
    <w:rPr>
      <w:sz w:val="16"/>
    </w:rPr>
  </w:style>
  <w:style w:type="paragraph" w:styleId="CommentText">
    <w:name w:val="annotation text"/>
    <w:aliases w:val="Comment Text Char1 Char,Comment Text Char Char Char,Comment Text Char1,Char"/>
    <w:basedOn w:val="Normal"/>
    <w:link w:val="CommentTextChar"/>
    <w:pPr>
      <w:tabs>
        <w:tab w:val="left" w:pos="567"/>
      </w:tabs>
      <w:spacing w:line="260" w:lineRule="exact"/>
    </w:pPr>
    <w:rPr>
      <w:lang w:val="en-GB"/>
    </w:rPr>
  </w:style>
  <w:style w:type="paragraph" w:styleId="BlockText">
    <w:name w:val="Block Text"/>
    <w:basedOn w:val="Normal"/>
    <w:pPr>
      <w:tabs>
        <w:tab w:val="left" w:pos="2657"/>
      </w:tabs>
      <w:spacing w:before="120"/>
      <w:ind w:left="-37" w:right="-28"/>
    </w:pPr>
    <w:rPr>
      <w:sz w:val="22"/>
      <w:lang w:val="en-GB"/>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Pr>
      <w:sz w:val="22"/>
    </w:rPr>
  </w:style>
  <w:style w:type="paragraph" w:styleId="BodyTextIndent">
    <w:name w:val="Body Text Indent"/>
    <w:basedOn w:val="Normal"/>
    <w:pPr>
      <w:shd w:val="pct25" w:color="000000" w:fill="FFFFFF"/>
      <w:ind w:left="567" w:hanging="567"/>
    </w:pPr>
    <w:rPr>
      <w:b/>
      <w:sz w:val="22"/>
    </w:rPr>
  </w:style>
  <w:style w:type="paragraph" w:styleId="BodyTextIndent3">
    <w:name w:val="Body Text Indent 3"/>
    <w:basedOn w:val="Normal"/>
    <w:pPr>
      <w:widowControl w:val="0"/>
      <w:ind w:left="567"/>
    </w:pPr>
    <w:rPr>
      <w:rFonts w:ascii="Arial" w:hAnsi="Arial"/>
      <w:sz w:val="22"/>
    </w:rPr>
  </w:style>
  <w:style w:type="character" w:styleId="EndnoteReference">
    <w:name w:val="endnote reference"/>
    <w:semiHidden/>
    <w:rPr>
      <w:sz w:val="20"/>
      <w:vertAlign w:val="superscript"/>
    </w:rPr>
  </w:style>
  <w:style w:type="paragraph" w:customStyle="1" w:styleId="Text">
    <w:name w:val="Text"/>
    <w:basedOn w:val="Normal"/>
    <w:link w:val="TextChar"/>
    <w:pPr>
      <w:spacing w:before="120"/>
      <w:jc w:val="both"/>
    </w:pPr>
    <w:rPr>
      <w:sz w:val="24"/>
      <w:lang w:val="en-GB"/>
    </w:rPr>
  </w:style>
  <w:style w:type="paragraph" w:styleId="BodyTextIndent2">
    <w:name w:val="Body Text Indent 2"/>
    <w:basedOn w:val="Normal"/>
    <w:link w:val="BodyTextIndent2Char"/>
    <w:pPr>
      <w:widowControl w:val="0"/>
      <w:ind w:firstLine="3"/>
    </w:pPr>
    <w:rPr>
      <w:sz w:val="22"/>
      <w:lang w:eastAsia="x-none"/>
    </w:rPr>
  </w:style>
  <w:style w:type="paragraph" w:styleId="BalloonText">
    <w:name w:val="Balloon Text"/>
    <w:basedOn w:val="Normal"/>
    <w:semiHidden/>
    <w:rsid w:val="0025297E"/>
    <w:rPr>
      <w:rFonts w:ascii="Tahoma" w:hAnsi="Tahoma" w:cs="Tahoma"/>
      <w:sz w:val="16"/>
      <w:szCs w:val="16"/>
    </w:rPr>
  </w:style>
  <w:style w:type="paragraph" w:styleId="CommentSubject">
    <w:name w:val="annotation subject"/>
    <w:basedOn w:val="CommentText"/>
    <w:next w:val="CommentText"/>
    <w:semiHidden/>
    <w:rsid w:val="002757F8"/>
    <w:pPr>
      <w:tabs>
        <w:tab w:val="clear" w:pos="567"/>
      </w:tabs>
      <w:spacing w:line="240" w:lineRule="auto"/>
    </w:pPr>
    <w:rPr>
      <w:b/>
      <w:bCs/>
      <w:lang w:val="de-DE"/>
    </w:rPr>
  </w:style>
  <w:style w:type="table" w:styleId="TableGrid">
    <w:name w:val="Table Grid"/>
    <w:basedOn w:val="TableNormal"/>
    <w:rsid w:val="00B44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rsid w:val="002C0958"/>
    <w:pPr>
      <w:keepNext/>
      <w:keepLines/>
      <w:tabs>
        <w:tab w:val="left" w:pos="284"/>
      </w:tabs>
      <w:spacing w:before="40" w:after="20"/>
    </w:pPr>
    <w:rPr>
      <w:rFonts w:ascii="Arial" w:hAnsi="Arial"/>
      <w:lang w:val="en-US"/>
    </w:rPr>
  </w:style>
  <w:style w:type="character" w:customStyle="1" w:styleId="TableChar">
    <w:name w:val="Table Char"/>
    <w:link w:val="Table"/>
    <w:rsid w:val="002C0958"/>
    <w:rPr>
      <w:rFonts w:ascii="Arial" w:hAnsi="Arial"/>
      <w:lang w:val="en-US" w:eastAsia="en-US" w:bidi="ar-SA"/>
    </w:rPr>
  </w:style>
  <w:style w:type="character" w:customStyle="1" w:styleId="TextChar">
    <w:name w:val="Text Char"/>
    <w:link w:val="Text"/>
    <w:rsid w:val="00EF54C1"/>
    <w:rPr>
      <w:sz w:val="24"/>
      <w:lang w:val="en-GB" w:eastAsia="en-US" w:bidi="ar-SA"/>
    </w:rPr>
  </w:style>
  <w:style w:type="character" w:customStyle="1" w:styleId="EndnoteTextChar">
    <w:name w:val="Endnote Text Char"/>
    <w:link w:val="EndnoteText"/>
    <w:rsid w:val="00C75F16"/>
    <w:rPr>
      <w:sz w:val="18"/>
      <w:lang w:val="es-ES_tradnl" w:eastAsia="en-US" w:bidi="ar-SA"/>
    </w:rPr>
  </w:style>
  <w:style w:type="paragraph" w:customStyle="1" w:styleId="Nottoc-headings">
    <w:name w:val="Not toc-headings"/>
    <w:basedOn w:val="Normal"/>
    <w:next w:val="Text"/>
    <w:link w:val="Nottoc-headingsChar"/>
    <w:rsid w:val="0089502E"/>
    <w:pPr>
      <w:keepNext/>
      <w:keepLines/>
      <w:spacing w:before="240" w:after="60"/>
      <w:ind w:left="1701" w:hanging="1701"/>
    </w:pPr>
    <w:rPr>
      <w:rFonts w:ascii="Arial" w:hAnsi="Arial"/>
      <w:b/>
      <w:sz w:val="24"/>
      <w:lang w:val="en-US"/>
    </w:rPr>
  </w:style>
  <w:style w:type="table" w:customStyle="1" w:styleId="TableGrid1">
    <w:name w:val="Table Grid1"/>
    <w:basedOn w:val="TableNormal"/>
    <w:next w:val="TableGrid"/>
    <w:rsid w:val="0089502E"/>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toc-headingsChar">
    <w:name w:val="Not toc-headings Char"/>
    <w:link w:val="Nottoc-headings"/>
    <w:rsid w:val="0089502E"/>
    <w:rPr>
      <w:rFonts w:ascii="Arial" w:hAnsi="Arial"/>
      <w:b/>
      <w:sz w:val="24"/>
      <w:lang w:val="en-US" w:eastAsia="en-US" w:bidi="ar-SA"/>
    </w:rPr>
  </w:style>
  <w:style w:type="paragraph" w:customStyle="1" w:styleId="Style">
    <w:name w:val="Style"/>
    <w:basedOn w:val="Normal"/>
    <w:rsid w:val="0089502E"/>
    <w:pPr>
      <w:spacing w:after="160" w:line="240" w:lineRule="exact"/>
    </w:pPr>
    <w:rPr>
      <w:rFonts w:ascii="Verdana" w:hAnsi="Verdana" w:cs="Verdana"/>
      <w:lang w:val="en-GB"/>
    </w:rPr>
  </w:style>
  <w:style w:type="paragraph" w:customStyle="1" w:styleId="Listlevel2">
    <w:name w:val="List level 2"/>
    <w:basedOn w:val="Normal"/>
    <w:rsid w:val="00DA0642"/>
    <w:pPr>
      <w:spacing w:before="40" w:after="20"/>
      <w:ind w:left="850" w:hanging="425"/>
    </w:pPr>
    <w:rPr>
      <w:sz w:val="24"/>
      <w:lang w:val="en-US"/>
    </w:rPr>
  </w:style>
  <w:style w:type="character" w:styleId="Hyperlink">
    <w:name w:val="Hyperlink"/>
    <w:uiPriority w:val="99"/>
    <w:rsid w:val="00E92437"/>
    <w:rPr>
      <w:color w:val="0000FF"/>
      <w:u w:val="single"/>
    </w:rPr>
  </w:style>
  <w:style w:type="character" w:styleId="FollowedHyperlink">
    <w:name w:val="FollowedHyperlink"/>
    <w:rsid w:val="005024B7"/>
    <w:rPr>
      <w:color w:val="606420"/>
      <w:u w:val="single"/>
    </w:rPr>
  </w:style>
  <w:style w:type="paragraph" w:customStyle="1" w:styleId="CharCharCharCharCharCharCharCharChar">
    <w:name w:val="Char Char Char Char Char Char Char Char Char"/>
    <w:basedOn w:val="Normal"/>
    <w:rsid w:val="00D54337"/>
    <w:pPr>
      <w:spacing w:after="160" w:line="240" w:lineRule="exact"/>
    </w:pPr>
    <w:rPr>
      <w:rFonts w:ascii="Verdana" w:hAnsi="Verdana" w:cs="Verdana"/>
      <w:lang w:val="en-US"/>
    </w:rPr>
  </w:style>
  <w:style w:type="character" w:customStyle="1" w:styleId="BodyTextIndent2Char">
    <w:name w:val="Body Text Indent 2 Char"/>
    <w:link w:val="BodyTextIndent2"/>
    <w:rsid w:val="00AF1DDC"/>
    <w:rPr>
      <w:sz w:val="22"/>
      <w:lang w:val="de-DE"/>
    </w:rPr>
  </w:style>
  <w:style w:type="paragraph" w:styleId="Revision">
    <w:name w:val="Revision"/>
    <w:hidden/>
    <w:uiPriority w:val="99"/>
    <w:semiHidden/>
    <w:rsid w:val="00AB6D5E"/>
    <w:rPr>
      <w:lang w:val="de-DE" w:eastAsia="en-US"/>
    </w:rPr>
  </w:style>
  <w:style w:type="character" w:customStyle="1" w:styleId="CommentTextChar">
    <w:name w:val="Comment Text Char"/>
    <w:aliases w:val="Comment Text Char1 Char Char,Comment Text Char Char Char Char,Comment Text Char1 Char1,Char Char"/>
    <w:link w:val="CommentText"/>
    <w:rsid w:val="008B4F36"/>
    <w:rPr>
      <w:lang w:val="en-GB"/>
    </w:rPr>
  </w:style>
  <w:style w:type="character" w:customStyle="1" w:styleId="TextChar1">
    <w:name w:val="Text Char1"/>
    <w:locked/>
    <w:rsid w:val="007A247D"/>
    <w:rPr>
      <w:rFonts w:ascii="MS Mincho" w:eastAsia="MS Mincho" w:hAnsi="MS Mincho"/>
      <w:sz w:val="24"/>
      <w:lang w:val="de-DE" w:eastAsia="de-DE"/>
    </w:rPr>
  </w:style>
  <w:style w:type="paragraph" w:customStyle="1" w:styleId="Default">
    <w:name w:val="Default"/>
    <w:rsid w:val="002333C7"/>
    <w:pPr>
      <w:autoSpaceDE w:val="0"/>
      <w:autoSpaceDN w:val="0"/>
      <w:adjustRightInd w:val="0"/>
    </w:pPr>
    <w:rPr>
      <w:rFonts w:ascii="Verdana" w:hAnsi="Verdana" w:cs="Verdana"/>
      <w:color w:val="000000"/>
      <w:sz w:val="24"/>
      <w:szCs w:val="24"/>
      <w:lang w:val="de-DE" w:eastAsia="de-DE"/>
    </w:rPr>
  </w:style>
  <w:style w:type="character" w:customStyle="1" w:styleId="KommentartextZchn1">
    <w:name w:val="Kommentartext Zchn1"/>
    <w:semiHidden/>
    <w:rsid w:val="00EC04CB"/>
    <w:rPr>
      <w:sz w:val="24"/>
      <w:szCs w:val="24"/>
      <w:lang w:val="en-GB" w:eastAsia="en-US" w:bidi="ar-SA"/>
    </w:rPr>
  </w:style>
  <w:style w:type="character" w:customStyle="1" w:styleId="Heading6Char">
    <w:name w:val="Heading 6 Char"/>
    <w:link w:val="Heading6"/>
    <w:rsid w:val="00547136"/>
    <w:rPr>
      <w:i/>
      <w:sz w:val="22"/>
      <w:lang w:val="en-GB"/>
    </w:rPr>
  </w:style>
  <w:style w:type="paragraph" w:customStyle="1" w:styleId="BodytextAgency">
    <w:name w:val="Body text (Agency)"/>
    <w:basedOn w:val="Normal"/>
    <w:link w:val="BodytextAgencyChar"/>
    <w:qFormat/>
    <w:rsid w:val="000D7ADA"/>
    <w:pPr>
      <w:spacing w:after="140" w:line="280" w:lineRule="atLeast"/>
    </w:pPr>
    <w:rPr>
      <w:rFonts w:ascii="Verdana" w:eastAsia="Verdana" w:hAnsi="Verdana"/>
      <w:sz w:val="18"/>
      <w:szCs w:val="18"/>
      <w:lang w:eastAsia="de-DE" w:bidi="de-DE"/>
    </w:rPr>
  </w:style>
  <w:style w:type="paragraph" w:customStyle="1" w:styleId="DraftingNotesAgency">
    <w:name w:val="Drafting Notes (Agency)"/>
    <w:basedOn w:val="Normal"/>
    <w:next w:val="BodytextAgency"/>
    <w:link w:val="DraftingNotesAgencyChar"/>
    <w:rsid w:val="000D7ADA"/>
    <w:pPr>
      <w:spacing w:after="140" w:line="280" w:lineRule="atLeast"/>
    </w:pPr>
    <w:rPr>
      <w:rFonts w:ascii="Courier New" w:eastAsia="Verdana" w:hAnsi="Courier New"/>
      <w:i/>
      <w:color w:val="339966"/>
      <w:sz w:val="22"/>
      <w:szCs w:val="18"/>
      <w:lang w:eastAsia="de-DE" w:bidi="de-DE"/>
    </w:rPr>
  </w:style>
  <w:style w:type="paragraph" w:customStyle="1" w:styleId="No-numheading3Agency">
    <w:name w:val="No-num heading 3 (Agency)"/>
    <w:basedOn w:val="Normal"/>
    <w:next w:val="BodytextAgency"/>
    <w:link w:val="No-numheading3AgencyChar"/>
    <w:rsid w:val="000D7ADA"/>
    <w:pPr>
      <w:keepNext/>
      <w:spacing w:before="280" w:after="220"/>
      <w:outlineLvl w:val="2"/>
    </w:pPr>
    <w:rPr>
      <w:rFonts w:ascii="Verdana" w:eastAsia="Verdana" w:hAnsi="Verdana"/>
      <w:b/>
      <w:bCs/>
      <w:kern w:val="32"/>
      <w:sz w:val="22"/>
      <w:szCs w:val="22"/>
      <w:lang w:eastAsia="de-DE" w:bidi="de-DE"/>
    </w:rPr>
  </w:style>
  <w:style w:type="character" w:customStyle="1" w:styleId="DraftingNotesAgencyChar">
    <w:name w:val="Drafting Notes (Agency) Char"/>
    <w:link w:val="DraftingNotesAgency"/>
    <w:rsid w:val="000D7ADA"/>
    <w:rPr>
      <w:rFonts w:ascii="Courier New" w:eastAsia="Verdana" w:hAnsi="Courier New"/>
      <w:i/>
      <w:color w:val="339966"/>
      <w:sz w:val="22"/>
      <w:szCs w:val="18"/>
      <w:lang w:val="de-DE" w:eastAsia="de-DE" w:bidi="de-DE"/>
    </w:rPr>
  </w:style>
  <w:style w:type="character" w:customStyle="1" w:styleId="BodytextAgencyChar">
    <w:name w:val="Body text (Agency) Char"/>
    <w:link w:val="BodytextAgency"/>
    <w:rsid w:val="000D7ADA"/>
    <w:rPr>
      <w:rFonts w:ascii="Verdana" w:eastAsia="Verdana" w:hAnsi="Verdana"/>
      <w:sz w:val="18"/>
      <w:szCs w:val="18"/>
      <w:lang w:val="de-DE" w:eastAsia="de-DE" w:bidi="de-DE"/>
    </w:rPr>
  </w:style>
  <w:style w:type="character" w:customStyle="1" w:styleId="No-numheading3AgencyChar">
    <w:name w:val="No-num heading 3 (Agency) Char"/>
    <w:link w:val="No-numheading3Agency"/>
    <w:rsid w:val="000D7ADA"/>
    <w:rPr>
      <w:rFonts w:ascii="Verdana" w:eastAsia="Verdana" w:hAnsi="Verdana"/>
      <w:b/>
      <w:bCs/>
      <w:kern w:val="32"/>
      <w:sz w:val="22"/>
      <w:szCs w:val="22"/>
      <w:lang w:val="de-DE" w:eastAsia="de-DE" w:bidi="de-DE"/>
    </w:rPr>
  </w:style>
  <w:style w:type="character" w:customStyle="1" w:styleId="UnresolvedMention1">
    <w:name w:val="Unresolved Mention1"/>
    <w:basedOn w:val="DefaultParagraphFont"/>
    <w:uiPriority w:val="99"/>
    <w:semiHidden/>
    <w:unhideWhenUsed/>
    <w:rsid w:val="001B662D"/>
    <w:rPr>
      <w:color w:val="605E5C"/>
      <w:shd w:val="clear" w:color="auto" w:fill="E1DFDD"/>
    </w:rPr>
  </w:style>
  <w:style w:type="paragraph" w:styleId="ListParagraph">
    <w:name w:val="List Paragraph"/>
    <w:basedOn w:val="Normal"/>
    <w:uiPriority w:val="34"/>
    <w:qFormat/>
    <w:rsid w:val="00E20EFC"/>
    <w:pPr>
      <w:ind w:left="720"/>
      <w:contextualSpacing/>
    </w:pPr>
  </w:style>
  <w:style w:type="character" w:customStyle="1" w:styleId="Heading3Char">
    <w:name w:val="Heading 3 Char"/>
    <w:basedOn w:val="DefaultParagraphFont"/>
    <w:link w:val="Heading3"/>
    <w:rsid w:val="00D861C2"/>
    <w:rPr>
      <w:sz w:val="22"/>
      <w:lang w:val="de-DE" w:eastAsia="en-US"/>
    </w:rPr>
  </w:style>
  <w:style w:type="character" w:styleId="UnresolvedMention">
    <w:name w:val="Unresolved Mention"/>
    <w:basedOn w:val="DefaultParagraphFont"/>
    <w:uiPriority w:val="99"/>
    <w:semiHidden/>
    <w:unhideWhenUsed/>
    <w:rsid w:val="00E96CC8"/>
    <w:rPr>
      <w:color w:val="605E5C"/>
      <w:shd w:val="clear" w:color="auto" w:fill="E1DFDD"/>
    </w:rPr>
  </w:style>
  <w:style w:type="character" w:styleId="Mention">
    <w:name w:val="Mention"/>
    <w:basedOn w:val="DefaultParagraphFont"/>
    <w:uiPriority w:val="99"/>
    <w:unhideWhenUsed/>
    <w:rsid w:val="00E8140E"/>
    <w:rPr>
      <w:color w:val="2B579A"/>
      <w:shd w:val="clear" w:color="auto" w:fill="E1DFDD"/>
    </w:rPr>
  </w:style>
  <w:style w:type="character" w:customStyle="1" w:styleId="HeaderChar">
    <w:name w:val="Header Char"/>
    <w:basedOn w:val="DefaultParagraphFont"/>
    <w:link w:val="Header"/>
    <w:uiPriority w:val="5"/>
    <w:rsid w:val="00C16CE7"/>
    <w:rPr>
      <w:sz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8599">
      <w:bodyDiv w:val="1"/>
      <w:marLeft w:val="0"/>
      <w:marRight w:val="0"/>
      <w:marTop w:val="0"/>
      <w:marBottom w:val="0"/>
      <w:divBdr>
        <w:top w:val="none" w:sz="0" w:space="0" w:color="auto"/>
        <w:left w:val="none" w:sz="0" w:space="0" w:color="auto"/>
        <w:bottom w:val="none" w:sz="0" w:space="0" w:color="auto"/>
        <w:right w:val="none" w:sz="0" w:space="0" w:color="auto"/>
      </w:divBdr>
    </w:div>
    <w:div w:id="68314711">
      <w:bodyDiv w:val="1"/>
      <w:marLeft w:val="0"/>
      <w:marRight w:val="0"/>
      <w:marTop w:val="0"/>
      <w:marBottom w:val="0"/>
      <w:divBdr>
        <w:top w:val="none" w:sz="0" w:space="0" w:color="auto"/>
        <w:left w:val="none" w:sz="0" w:space="0" w:color="auto"/>
        <w:bottom w:val="none" w:sz="0" w:space="0" w:color="auto"/>
        <w:right w:val="none" w:sz="0" w:space="0" w:color="auto"/>
      </w:divBdr>
      <w:divsChild>
        <w:div w:id="814181971">
          <w:marLeft w:val="0"/>
          <w:marRight w:val="0"/>
          <w:marTop w:val="0"/>
          <w:marBottom w:val="0"/>
          <w:divBdr>
            <w:top w:val="none" w:sz="0" w:space="0" w:color="auto"/>
            <w:left w:val="none" w:sz="0" w:space="0" w:color="auto"/>
            <w:bottom w:val="none" w:sz="0" w:space="0" w:color="auto"/>
            <w:right w:val="none" w:sz="0" w:space="0" w:color="auto"/>
          </w:divBdr>
        </w:div>
      </w:divsChild>
    </w:div>
    <w:div w:id="70464903">
      <w:bodyDiv w:val="1"/>
      <w:marLeft w:val="0"/>
      <w:marRight w:val="0"/>
      <w:marTop w:val="0"/>
      <w:marBottom w:val="0"/>
      <w:divBdr>
        <w:top w:val="none" w:sz="0" w:space="0" w:color="auto"/>
        <w:left w:val="none" w:sz="0" w:space="0" w:color="auto"/>
        <w:bottom w:val="none" w:sz="0" w:space="0" w:color="auto"/>
        <w:right w:val="none" w:sz="0" w:space="0" w:color="auto"/>
      </w:divBdr>
    </w:div>
    <w:div w:id="442657198">
      <w:bodyDiv w:val="1"/>
      <w:marLeft w:val="0"/>
      <w:marRight w:val="0"/>
      <w:marTop w:val="0"/>
      <w:marBottom w:val="0"/>
      <w:divBdr>
        <w:top w:val="none" w:sz="0" w:space="0" w:color="auto"/>
        <w:left w:val="none" w:sz="0" w:space="0" w:color="auto"/>
        <w:bottom w:val="none" w:sz="0" w:space="0" w:color="auto"/>
        <w:right w:val="none" w:sz="0" w:space="0" w:color="auto"/>
      </w:divBdr>
    </w:div>
    <w:div w:id="1051611552">
      <w:bodyDiv w:val="1"/>
      <w:marLeft w:val="0"/>
      <w:marRight w:val="0"/>
      <w:marTop w:val="0"/>
      <w:marBottom w:val="0"/>
      <w:divBdr>
        <w:top w:val="none" w:sz="0" w:space="0" w:color="auto"/>
        <w:left w:val="none" w:sz="0" w:space="0" w:color="auto"/>
        <w:bottom w:val="none" w:sz="0" w:space="0" w:color="auto"/>
        <w:right w:val="none" w:sz="0" w:space="0" w:color="auto"/>
      </w:divBdr>
    </w:div>
    <w:div w:id="1538082135">
      <w:bodyDiv w:val="1"/>
      <w:marLeft w:val="0"/>
      <w:marRight w:val="0"/>
      <w:marTop w:val="0"/>
      <w:marBottom w:val="0"/>
      <w:divBdr>
        <w:top w:val="none" w:sz="0" w:space="0" w:color="auto"/>
        <w:left w:val="none" w:sz="0" w:space="0" w:color="auto"/>
        <w:bottom w:val="none" w:sz="0" w:space="0" w:color="auto"/>
        <w:right w:val="none" w:sz="0" w:space="0" w:color="auto"/>
      </w:divBdr>
    </w:div>
    <w:div w:id="1553074490">
      <w:bodyDiv w:val="1"/>
      <w:marLeft w:val="0"/>
      <w:marRight w:val="0"/>
      <w:marTop w:val="0"/>
      <w:marBottom w:val="0"/>
      <w:divBdr>
        <w:top w:val="none" w:sz="0" w:space="0" w:color="auto"/>
        <w:left w:val="none" w:sz="0" w:space="0" w:color="auto"/>
        <w:bottom w:val="none" w:sz="0" w:space="0" w:color="auto"/>
        <w:right w:val="none" w:sz="0" w:space="0" w:color="auto"/>
      </w:divBdr>
    </w:div>
    <w:div w:id="1591161094">
      <w:bodyDiv w:val="1"/>
      <w:marLeft w:val="0"/>
      <w:marRight w:val="0"/>
      <w:marTop w:val="0"/>
      <w:marBottom w:val="0"/>
      <w:divBdr>
        <w:top w:val="none" w:sz="0" w:space="0" w:color="auto"/>
        <w:left w:val="none" w:sz="0" w:space="0" w:color="auto"/>
        <w:bottom w:val="none" w:sz="0" w:space="0" w:color="auto"/>
        <w:right w:val="none" w:sz="0" w:space="0" w:color="auto"/>
      </w:divBdr>
    </w:div>
    <w:div w:id="1641571107">
      <w:bodyDiv w:val="1"/>
      <w:marLeft w:val="0"/>
      <w:marRight w:val="0"/>
      <w:marTop w:val="0"/>
      <w:marBottom w:val="0"/>
      <w:divBdr>
        <w:top w:val="none" w:sz="0" w:space="0" w:color="auto"/>
        <w:left w:val="none" w:sz="0" w:space="0" w:color="auto"/>
        <w:bottom w:val="none" w:sz="0" w:space="0" w:color="auto"/>
        <w:right w:val="none" w:sz="0" w:space="0" w:color="auto"/>
      </w:divBdr>
    </w:div>
    <w:div w:id="1753501295">
      <w:bodyDiv w:val="1"/>
      <w:marLeft w:val="0"/>
      <w:marRight w:val="0"/>
      <w:marTop w:val="0"/>
      <w:marBottom w:val="0"/>
      <w:divBdr>
        <w:top w:val="none" w:sz="0" w:space="0" w:color="auto"/>
        <w:left w:val="none" w:sz="0" w:space="0" w:color="auto"/>
        <w:bottom w:val="none" w:sz="0" w:space="0" w:color="auto"/>
        <w:right w:val="none" w:sz="0" w:space="0" w:color="auto"/>
      </w:divBdr>
    </w:div>
    <w:div w:id="180777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glive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EMADOC-1700519818-2619266</_dlc_DocId>
    <_dlc_DocIdUrl xmlns="a034c160-bfb7-45f5-8632-2eb7e0508071">
      <Url>https://euema.sharepoint.com/sites/CRM/_layouts/15/DocIdRedir.aspx?ID=EMADOC-1700519818-2619266</Url>
      <Description>EMADOC-1700519818-2619266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457F25-CD11-48AE-A292-CE3C857DEBE8}">
  <ds:schemaRefs>
    <ds:schemaRef ds:uri="http://schemas.openxmlformats.org/officeDocument/2006/bibliography"/>
  </ds:schemaRefs>
</ds:datastoreItem>
</file>

<file path=customXml/itemProps2.xml><?xml version="1.0" encoding="utf-8"?>
<ds:datastoreItem xmlns:ds="http://schemas.openxmlformats.org/officeDocument/2006/customXml" ds:itemID="{5D57E585-F37C-42BC-BE46-041DBBD7F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863A1C-AD0E-4BD7-90ED-A79C083C404A}">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4.xml><?xml version="1.0" encoding="utf-8"?>
<ds:datastoreItem xmlns:ds="http://schemas.openxmlformats.org/officeDocument/2006/customXml" ds:itemID="{FB83B585-C177-4A74-A325-2356CDBC5F37}">
  <ds:schemaRefs>
    <ds:schemaRef ds:uri="http://schemas.microsoft.com/sharepoint/v3/contenttype/forms"/>
  </ds:schemaRefs>
</ds:datastoreItem>
</file>

<file path=customXml/itemProps5.xml><?xml version="1.0" encoding="utf-8"?>
<ds:datastoreItem xmlns:ds="http://schemas.openxmlformats.org/officeDocument/2006/customXml" ds:itemID="{B62464B7-1A41-43FB-B87A-5BD3EC87BB8A}">
  <ds:schemaRefs>
    <ds:schemaRef ds:uri="http://schemas.microsoft.com/sharepoint/events"/>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23636</Words>
  <Characters>134728</Characters>
  <Application>Microsoft Office Word</Application>
  <DocSecurity>0</DocSecurity>
  <Lines>1122</Lines>
  <Paragraphs>316</Paragraphs>
  <ScaleCrop>false</ScaleCrop>
  <Company/>
  <LinksUpToDate>false</LinksUpToDate>
  <CharactersWithSpaces>158048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Irndorfer Hilke</cp:lastModifiedBy>
  <cp:revision>2</cp:revision>
  <dcterms:created xsi:type="dcterms:W3CDTF">2025-11-12T13:38:00Z</dcterms:created>
  <dcterms:modified xsi:type="dcterms:W3CDTF">2025-11-12T13:38:00Z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3738a8fb-5841-4219-9ca1-9f11f3a5d69a</vt:lpwstr>
  </property>
  <property fmtid="{D5CDD505-2E9C-101B-9397-08002B2CF9AE}" pid="4" name="MediaServiceImageTags">
    <vt:lpwstr/>
  </property>
  <property fmtid="{D5CDD505-2E9C-101B-9397-08002B2CF9AE}" pid="5" name="MSIP_Label_0eea11ca-d417-4147-80ed-01a58412c458_Enabled">
    <vt:lpwstr>true</vt:lpwstr>
  </property>
  <property fmtid="{D5CDD505-2E9C-101B-9397-08002B2CF9AE}" pid="6" name="MSIP_Label_0eea11ca-d417-4147-80ed-01a58412c458_SetDate">
    <vt:lpwstr>2025-11-12T13:38:40Z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5769ff86-b38a-4912-a981-4907bb0f8d09</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