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432D0" w:rsidRPr="0049187C" w14:paraId="131FEECB" w14:textId="77777777" w:rsidTr="004D6B88">
        <w:tc>
          <w:tcPr>
            <w:tcW w:w="9289" w:type="dxa"/>
            <w:shd w:val="clear" w:color="auto" w:fill="auto"/>
          </w:tcPr>
          <w:p w14:paraId="1DB2FC1B" w14:textId="77777777" w:rsidR="00C432D0" w:rsidRPr="0049187C" w:rsidRDefault="00C432D0" w:rsidP="0049187C">
            <w:pPr>
              <w:widowControl w:val="0"/>
              <w:spacing w:after="0" w:line="240" w:lineRule="auto"/>
              <w:ind w:left="0" w:firstLine="0"/>
              <w:rPr>
                <w:lang w:val="de-DE"/>
              </w:rPr>
            </w:pPr>
            <w:r w:rsidRPr="0049187C">
              <w:rPr>
                <w:lang w:val="de-DE"/>
              </w:rPr>
              <w:t xml:space="preserve">Bei diesem Dokument handelt es sich um die genehmigte Produktinformation für </w:t>
            </w:r>
            <w:r w:rsidR="00286BE1" w:rsidRPr="0049187C">
              <w:rPr>
                <w:lang w:val="de-DE"/>
              </w:rPr>
              <w:t>Jubbonti</w:t>
            </w:r>
            <w:r w:rsidRPr="0049187C">
              <w:rPr>
                <w:lang w:val="de-DE"/>
              </w:rPr>
              <w:t>, wobei die Änderungen seit dem vorherigen Verfahren, die sich auf die Produktinformation (EMEA/H/C/00</w:t>
            </w:r>
            <w:r w:rsidR="00286BE1" w:rsidRPr="0049187C">
              <w:rPr>
                <w:lang w:val="de-DE"/>
              </w:rPr>
              <w:t>5964</w:t>
            </w:r>
            <w:r w:rsidRPr="0049187C">
              <w:rPr>
                <w:lang w:val="de-DE"/>
              </w:rPr>
              <w:t>/</w:t>
            </w:r>
            <w:r w:rsidR="00286BE1" w:rsidRPr="0049187C">
              <w:rPr>
                <w:lang w:val="de-DE"/>
              </w:rPr>
              <w:t>N</w:t>
            </w:r>
            <w:r w:rsidRPr="0049187C">
              <w:rPr>
                <w:lang w:val="de-DE"/>
              </w:rPr>
              <w:t>/006) auswirken, unterstrichen sind.</w:t>
            </w:r>
          </w:p>
          <w:p w14:paraId="767E5CBD" w14:textId="77777777" w:rsidR="00C432D0" w:rsidRPr="0049187C" w:rsidRDefault="00C432D0" w:rsidP="0049187C">
            <w:pPr>
              <w:widowControl w:val="0"/>
              <w:spacing w:after="0" w:line="240" w:lineRule="auto"/>
              <w:ind w:left="0" w:firstLine="0"/>
              <w:rPr>
                <w:lang w:val="de-DE"/>
              </w:rPr>
            </w:pPr>
          </w:p>
          <w:p w14:paraId="68B8C30E" w14:textId="77777777" w:rsidR="00C432D0" w:rsidRPr="0049187C" w:rsidRDefault="00C432D0" w:rsidP="0049187C">
            <w:pPr>
              <w:spacing w:after="0" w:line="240" w:lineRule="auto"/>
              <w:ind w:left="0" w:firstLine="0"/>
              <w:rPr>
                <w:lang w:val="de-DE"/>
              </w:rPr>
            </w:pPr>
            <w:r w:rsidRPr="0049187C">
              <w:rPr>
                <w:lang w:val="de-DE"/>
              </w:rPr>
              <w:t xml:space="preserve">Weitere Informationen finden Sie auf der Website der Europäischen Arzneimittel-Agentur: </w:t>
            </w:r>
            <w:hyperlink r:id="rId8" w:history="1">
              <w:r w:rsidR="007E0D73" w:rsidRPr="0049187C">
                <w:rPr>
                  <w:rStyle w:val="Hyperlink"/>
                  <w:lang w:val="de-DE"/>
                </w:rPr>
                <w:t>https://www.ema.europa.eu/en/medicines/human/EPAR/jubbonti</w:t>
              </w:r>
            </w:hyperlink>
          </w:p>
        </w:tc>
      </w:tr>
    </w:tbl>
    <w:p w14:paraId="4B189B24" w14:textId="77777777" w:rsidR="00C432D0" w:rsidRPr="0049187C" w:rsidRDefault="00C432D0" w:rsidP="0049187C">
      <w:pPr>
        <w:spacing w:after="0" w:line="240" w:lineRule="auto"/>
        <w:ind w:left="0" w:firstLine="0"/>
        <w:jc w:val="center"/>
        <w:rPr>
          <w:lang w:val="de-DE"/>
        </w:rPr>
      </w:pPr>
    </w:p>
    <w:p w14:paraId="0A04932A" w14:textId="77777777" w:rsidR="00C432D0" w:rsidRPr="0049187C" w:rsidRDefault="00C432D0" w:rsidP="0049187C">
      <w:pPr>
        <w:spacing w:after="0" w:line="240" w:lineRule="auto"/>
        <w:ind w:left="0" w:firstLine="0"/>
        <w:jc w:val="center"/>
        <w:rPr>
          <w:lang w:val="de-DE"/>
        </w:rPr>
      </w:pPr>
    </w:p>
    <w:p w14:paraId="6C8E78FD" w14:textId="77777777" w:rsidR="00C432D0" w:rsidRPr="0049187C" w:rsidRDefault="00C432D0" w:rsidP="0049187C">
      <w:pPr>
        <w:spacing w:after="0" w:line="240" w:lineRule="auto"/>
        <w:ind w:left="0" w:firstLine="0"/>
        <w:jc w:val="center"/>
        <w:rPr>
          <w:lang w:val="de-DE"/>
        </w:rPr>
      </w:pPr>
    </w:p>
    <w:p w14:paraId="30C46DBC" w14:textId="77777777" w:rsidR="00C432D0" w:rsidRPr="0049187C" w:rsidRDefault="00C432D0" w:rsidP="0049187C">
      <w:pPr>
        <w:spacing w:after="0" w:line="240" w:lineRule="auto"/>
        <w:ind w:left="0" w:firstLine="0"/>
        <w:jc w:val="center"/>
        <w:rPr>
          <w:lang w:val="de-DE"/>
        </w:rPr>
      </w:pPr>
    </w:p>
    <w:p w14:paraId="7AB28775" w14:textId="77777777" w:rsidR="00C432D0" w:rsidRPr="0049187C" w:rsidRDefault="00C432D0" w:rsidP="0049187C">
      <w:pPr>
        <w:spacing w:after="0" w:line="240" w:lineRule="auto"/>
        <w:ind w:left="0" w:firstLine="0"/>
        <w:jc w:val="center"/>
        <w:rPr>
          <w:lang w:val="de-DE"/>
        </w:rPr>
      </w:pPr>
    </w:p>
    <w:p w14:paraId="2E037C41" w14:textId="77777777" w:rsidR="00C432D0" w:rsidRPr="0049187C" w:rsidRDefault="00C432D0" w:rsidP="0049187C">
      <w:pPr>
        <w:spacing w:after="0" w:line="240" w:lineRule="auto"/>
        <w:ind w:left="0" w:firstLine="0"/>
        <w:jc w:val="center"/>
        <w:rPr>
          <w:lang w:val="de-DE"/>
        </w:rPr>
      </w:pPr>
    </w:p>
    <w:p w14:paraId="56C2A10E" w14:textId="77777777" w:rsidR="00C432D0" w:rsidRPr="0049187C" w:rsidRDefault="00C432D0" w:rsidP="0049187C">
      <w:pPr>
        <w:spacing w:after="0" w:line="240" w:lineRule="auto"/>
        <w:ind w:left="0" w:firstLine="0"/>
        <w:jc w:val="center"/>
        <w:rPr>
          <w:bCs/>
          <w:lang w:val="de-DE"/>
        </w:rPr>
      </w:pPr>
    </w:p>
    <w:p w14:paraId="03A96EF4" w14:textId="77777777" w:rsidR="00C432D0" w:rsidRPr="0049187C" w:rsidRDefault="00C432D0" w:rsidP="0049187C">
      <w:pPr>
        <w:spacing w:after="0" w:line="240" w:lineRule="auto"/>
        <w:ind w:left="0" w:firstLine="0"/>
        <w:jc w:val="center"/>
        <w:rPr>
          <w:bCs/>
          <w:lang w:val="de-DE"/>
        </w:rPr>
      </w:pPr>
    </w:p>
    <w:p w14:paraId="16124A74" w14:textId="77777777" w:rsidR="00C432D0" w:rsidRPr="0049187C" w:rsidRDefault="00C432D0" w:rsidP="0049187C">
      <w:pPr>
        <w:spacing w:after="0" w:line="240" w:lineRule="auto"/>
        <w:ind w:left="0" w:firstLine="0"/>
        <w:jc w:val="center"/>
        <w:rPr>
          <w:bCs/>
          <w:lang w:val="de-DE"/>
        </w:rPr>
      </w:pPr>
    </w:p>
    <w:p w14:paraId="56BF0660" w14:textId="77777777" w:rsidR="00C432D0" w:rsidRPr="0049187C" w:rsidRDefault="00C432D0" w:rsidP="0049187C">
      <w:pPr>
        <w:spacing w:after="0" w:line="240" w:lineRule="auto"/>
        <w:ind w:left="0" w:firstLine="0"/>
        <w:jc w:val="center"/>
        <w:rPr>
          <w:bCs/>
          <w:lang w:val="de-DE"/>
        </w:rPr>
      </w:pPr>
    </w:p>
    <w:p w14:paraId="79648097" w14:textId="77777777" w:rsidR="00C432D0" w:rsidRPr="0049187C" w:rsidRDefault="00C432D0" w:rsidP="0049187C">
      <w:pPr>
        <w:spacing w:after="0" w:line="240" w:lineRule="auto"/>
        <w:ind w:left="0" w:firstLine="0"/>
        <w:jc w:val="center"/>
        <w:rPr>
          <w:bCs/>
          <w:lang w:val="de-DE"/>
        </w:rPr>
      </w:pPr>
    </w:p>
    <w:p w14:paraId="1FA61A64" w14:textId="77777777" w:rsidR="00C432D0" w:rsidRPr="0049187C" w:rsidRDefault="00C432D0" w:rsidP="0049187C">
      <w:pPr>
        <w:spacing w:after="0" w:line="240" w:lineRule="auto"/>
        <w:ind w:left="0" w:firstLine="0"/>
        <w:jc w:val="center"/>
        <w:rPr>
          <w:bCs/>
          <w:lang w:val="de-DE"/>
        </w:rPr>
      </w:pPr>
    </w:p>
    <w:p w14:paraId="424F39C8" w14:textId="77777777" w:rsidR="00C432D0" w:rsidRPr="0049187C" w:rsidRDefault="00C432D0" w:rsidP="0049187C">
      <w:pPr>
        <w:spacing w:after="0" w:line="240" w:lineRule="auto"/>
        <w:ind w:left="0" w:firstLine="0"/>
        <w:jc w:val="center"/>
        <w:rPr>
          <w:bCs/>
          <w:lang w:val="de-DE"/>
        </w:rPr>
      </w:pPr>
    </w:p>
    <w:p w14:paraId="7468841F" w14:textId="77777777" w:rsidR="00C432D0" w:rsidRPr="0049187C" w:rsidRDefault="00C432D0" w:rsidP="0049187C">
      <w:pPr>
        <w:spacing w:after="0" w:line="240" w:lineRule="auto"/>
        <w:ind w:left="0" w:firstLine="0"/>
        <w:jc w:val="center"/>
        <w:rPr>
          <w:bCs/>
          <w:lang w:val="de-DE"/>
        </w:rPr>
      </w:pPr>
    </w:p>
    <w:p w14:paraId="68A18AA0" w14:textId="77777777" w:rsidR="00C432D0" w:rsidRPr="0049187C" w:rsidRDefault="00C432D0" w:rsidP="0049187C">
      <w:pPr>
        <w:spacing w:after="0" w:line="240" w:lineRule="auto"/>
        <w:ind w:left="0" w:firstLine="0"/>
        <w:jc w:val="center"/>
        <w:rPr>
          <w:bCs/>
          <w:lang w:val="de-DE"/>
        </w:rPr>
      </w:pPr>
    </w:p>
    <w:p w14:paraId="18501596" w14:textId="77777777" w:rsidR="00C432D0" w:rsidRPr="0049187C" w:rsidRDefault="00C432D0" w:rsidP="0049187C">
      <w:pPr>
        <w:spacing w:after="0" w:line="240" w:lineRule="auto"/>
        <w:ind w:left="0" w:firstLine="0"/>
        <w:jc w:val="center"/>
        <w:rPr>
          <w:bCs/>
          <w:lang w:val="de-DE"/>
        </w:rPr>
      </w:pPr>
    </w:p>
    <w:p w14:paraId="5358DFD3" w14:textId="77777777" w:rsidR="00C432D0" w:rsidRPr="0049187C" w:rsidRDefault="00C432D0" w:rsidP="0049187C">
      <w:pPr>
        <w:spacing w:after="0" w:line="240" w:lineRule="auto"/>
        <w:ind w:left="0" w:firstLine="0"/>
        <w:jc w:val="center"/>
        <w:rPr>
          <w:bCs/>
          <w:lang w:val="de-DE"/>
        </w:rPr>
      </w:pPr>
    </w:p>
    <w:p w14:paraId="138F94AC" w14:textId="77777777" w:rsidR="00C432D0" w:rsidRPr="0049187C" w:rsidRDefault="00C432D0" w:rsidP="0049187C">
      <w:pPr>
        <w:spacing w:after="0" w:line="240" w:lineRule="auto"/>
        <w:ind w:left="0" w:firstLine="0"/>
        <w:jc w:val="center"/>
        <w:rPr>
          <w:b/>
          <w:bCs/>
          <w:lang w:val="de-DE"/>
        </w:rPr>
      </w:pPr>
      <w:r w:rsidRPr="0049187C">
        <w:rPr>
          <w:b/>
          <w:lang w:val="de-DE"/>
        </w:rPr>
        <w:t>ANHANG I</w:t>
      </w:r>
    </w:p>
    <w:p w14:paraId="064736FF" w14:textId="77777777" w:rsidR="00C432D0" w:rsidRPr="0049187C" w:rsidRDefault="00C432D0" w:rsidP="0049187C">
      <w:pPr>
        <w:spacing w:after="0" w:line="240" w:lineRule="auto"/>
        <w:ind w:left="0" w:firstLine="0"/>
        <w:jc w:val="center"/>
        <w:rPr>
          <w:bCs/>
          <w:lang w:val="de-DE"/>
        </w:rPr>
      </w:pPr>
    </w:p>
    <w:p w14:paraId="75158410" w14:textId="77777777" w:rsidR="00A27378" w:rsidRPr="0049187C" w:rsidRDefault="00B00716" w:rsidP="0049187C">
      <w:pPr>
        <w:pStyle w:val="Heading1"/>
        <w:spacing w:after="0" w:line="240" w:lineRule="auto"/>
        <w:ind w:left="0" w:firstLine="0"/>
        <w:jc w:val="center"/>
        <w:rPr>
          <w:lang w:val="de-DE"/>
        </w:rPr>
      </w:pPr>
      <w:r w:rsidRPr="0049187C">
        <w:rPr>
          <w:lang w:val="de-DE"/>
        </w:rPr>
        <w:t xml:space="preserve">ZUSAMMENFASSUNG DER MERKMALE DES ARZNEIMITTELS </w:t>
      </w:r>
    </w:p>
    <w:p w14:paraId="55785931" w14:textId="77777777" w:rsidR="00F83928" w:rsidRPr="0049187C" w:rsidRDefault="00B00716" w:rsidP="0049187C">
      <w:pPr>
        <w:spacing w:after="0" w:line="240" w:lineRule="auto"/>
        <w:ind w:left="0" w:firstLine="0"/>
        <w:jc w:val="center"/>
        <w:rPr>
          <w:lang w:val="de-DE"/>
        </w:rPr>
      </w:pPr>
      <w:r w:rsidRPr="0049187C">
        <w:rPr>
          <w:lang w:val="de-DE"/>
        </w:rPr>
        <w:br w:type="page"/>
      </w:r>
    </w:p>
    <w:p w14:paraId="05027E8D" w14:textId="77777777" w:rsidR="00394D82" w:rsidRPr="0049187C" w:rsidRDefault="0049187C" w:rsidP="0049187C">
      <w:pPr>
        <w:keepNext/>
        <w:keepLines/>
        <w:tabs>
          <w:tab w:val="left" w:pos="567"/>
        </w:tabs>
        <w:spacing w:after="0" w:line="240" w:lineRule="auto"/>
        <w:ind w:left="0" w:firstLine="0"/>
        <w:rPr>
          <w:lang w:val="de-DE" w:bidi="de-DE"/>
        </w:rPr>
      </w:pPr>
      <w:r w:rsidRPr="0049187C">
        <w:rPr>
          <w:lang w:val="de-DE"/>
        </w:rPr>
        <w:lastRenderedPageBreak/>
        <w:pict w14:anchorId="2DB3D110">
          <v:shape id="_x0000_i1025" type="#_x0000_t75" alt="BT_1000x858px" style="width:14.25pt;height:12.25pt;visibility:visible;mso-wrap-style:square">
            <v:imagedata r:id="rId9" o:title="BT_1000x858px"/>
          </v:shape>
        </w:pict>
      </w:r>
      <w:r w:rsidR="00706A49" w:rsidRPr="0049187C">
        <w:rPr>
          <w:lang w:val="de-DE" w:bidi="de-DE"/>
        </w:rPr>
        <w:t>Dieses Arzneimittel unterliegt einer zusätzlichen Überwachung. Dies ermöglicht eine schnelle Identifizierung neuer Erkenntnisse über die Sicherheit. Angehörige von Gesundheitsberufen sind aufgefordert, jeden Verdachtsfall einer Nebenwirkung zu melden. Hinweise zur Meldung von Nebenwirkungen, siehe Abschnitt</w:t>
      </w:r>
      <w:r w:rsidR="006C7E60" w:rsidRPr="0049187C">
        <w:rPr>
          <w:lang w:val="de-DE" w:bidi="de-DE"/>
        </w:rPr>
        <w:t> </w:t>
      </w:r>
      <w:r w:rsidR="00706A49" w:rsidRPr="0049187C">
        <w:rPr>
          <w:lang w:val="de-DE" w:bidi="de-DE"/>
        </w:rPr>
        <w:t>4.8.</w:t>
      </w:r>
    </w:p>
    <w:p w14:paraId="4BBDA137" w14:textId="77777777" w:rsidR="006C7E60" w:rsidRPr="0049187C" w:rsidRDefault="006C7E60" w:rsidP="0049187C">
      <w:pPr>
        <w:keepNext/>
        <w:keepLines/>
        <w:tabs>
          <w:tab w:val="left" w:pos="567"/>
        </w:tabs>
        <w:spacing w:after="0" w:line="240" w:lineRule="auto"/>
        <w:ind w:left="0" w:firstLine="0"/>
        <w:rPr>
          <w:lang w:val="de-DE"/>
        </w:rPr>
      </w:pPr>
    </w:p>
    <w:p w14:paraId="44DEAB73" w14:textId="77777777" w:rsidR="00394D82" w:rsidRPr="0049187C" w:rsidRDefault="00394D82" w:rsidP="0049187C">
      <w:pPr>
        <w:keepNext/>
        <w:keepLines/>
        <w:tabs>
          <w:tab w:val="left" w:pos="567"/>
        </w:tabs>
        <w:spacing w:after="0" w:line="240" w:lineRule="auto"/>
        <w:ind w:left="0" w:firstLine="0"/>
        <w:rPr>
          <w:b/>
          <w:lang w:val="de-DE"/>
        </w:rPr>
      </w:pPr>
    </w:p>
    <w:p w14:paraId="2D6426E8" w14:textId="77777777" w:rsidR="00261AC3" w:rsidRPr="0049187C" w:rsidRDefault="00B00716" w:rsidP="0049187C">
      <w:pPr>
        <w:keepNext/>
        <w:keepLines/>
        <w:tabs>
          <w:tab w:val="left" w:pos="567"/>
        </w:tabs>
        <w:spacing w:after="0" w:line="240" w:lineRule="auto"/>
        <w:ind w:left="0" w:firstLine="0"/>
        <w:rPr>
          <w:lang w:val="de-DE"/>
        </w:rPr>
      </w:pPr>
      <w:r w:rsidRPr="0049187C">
        <w:rPr>
          <w:b/>
          <w:lang w:val="de-DE"/>
        </w:rPr>
        <w:t>1.</w:t>
      </w:r>
      <w:r w:rsidRPr="0049187C">
        <w:rPr>
          <w:b/>
          <w:lang w:val="de-DE"/>
        </w:rPr>
        <w:tab/>
        <w:t>BEZEICHNUNG DES ARZNEIMITTELS</w:t>
      </w:r>
    </w:p>
    <w:p w14:paraId="76355ABC" w14:textId="77777777" w:rsidR="00F83928" w:rsidRPr="0049187C" w:rsidRDefault="00F83928" w:rsidP="0049187C">
      <w:pPr>
        <w:keepNext/>
        <w:keepLines/>
        <w:spacing w:after="0" w:line="240" w:lineRule="auto"/>
        <w:ind w:left="0" w:firstLine="0"/>
        <w:rPr>
          <w:lang w:val="de-DE"/>
        </w:rPr>
      </w:pPr>
    </w:p>
    <w:p w14:paraId="77E6D0EF" w14:textId="77777777" w:rsidR="00261AC3" w:rsidRPr="0049187C" w:rsidRDefault="00B00716" w:rsidP="0049187C">
      <w:pPr>
        <w:spacing w:after="0" w:line="240" w:lineRule="auto"/>
        <w:ind w:left="0" w:firstLine="0"/>
        <w:rPr>
          <w:lang w:val="de-DE"/>
        </w:rPr>
      </w:pPr>
      <w:r w:rsidRPr="0049187C">
        <w:rPr>
          <w:lang w:val="de-DE"/>
        </w:rPr>
        <w:t>Jubbonti</w:t>
      </w:r>
      <w:r w:rsidR="006C7E60" w:rsidRPr="0049187C">
        <w:rPr>
          <w:lang w:val="de-DE"/>
        </w:rPr>
        <w:t xml:space="preserve"> </w:t>
      </w:r>
      <w:r w:rsidRPr="0049187C">
        <w:rPr>
          <w:lang w:val="de-DE"/>
        </w:rPr>
        <w:t>60 </w:t>
      </w:r>
      <w:r w:rsidR="00FD7DFF" w:rsidRPr="0049187C">
        <w:rPr>
          <w:lang w:val="de-DE"/>
        </w:rPr>
        <w:t>mg Injektionslösung in einer Fertigspritze</w:t>
      </w:r>
    </w:p>
    <w:p w14:paraId="6CEA5DBA" w14:textId="77777777" w:rsidR="00261AC3" w:rsidRPr="0049187C" w:rsidRDefault="00261AC3" w:rsidP="0049187C">
      <w:pPr>
        <w:spacing w:after="0" w:line="240" w:lineRule="auto"/>
        <w:ind w:left="0" w:firstLine="0"/>
        <w:rPr>
          <w:lang w:val="de-DE"/>
        </w:rPr>
      </w:pPr>
    </w:p>
    <w:p w14:paraId="761AA0FA" w14:textId="77777777" w:rsidR="00F83928" w:rsidRPr="0049187C" w:rsidRDefault="00F83928" w:rsidP="0049187C">
      <w:pPr>
        <w:spacing w:after="0" w:line="240" w:lineRule="auto"/>
        <w:ind w:left="0" w:firstLine="0"/>
        <w:rPr>
          <w:lang w:val="de-DE"/>
        </w:rPr>
      </w:pPr>
    </w:p>
    <w:p w14:paraId="769E9320" w14:textId="77777777" w:rsidR="00261AC3" w:rsidRPr="0049187C" w:rsidRDefault="00B00716" w:rsidP="0049187C">
      <w:pPr>
        <w:keepNext/>
        <w:keepLines/>
        <w:tabs>
          <w:tab w:val="left" w:pos="567"/>
        </w:tabs>
        <w:spacing w:after="0" w:line="240" w:lineRule="auto"/>
        <w:ind w:left="0" w:firstLine="0"/>
        <w:rPr>
          <w:b/>
          <w:lang w:val="de-DE"/>
        </w:rPr>
      </w:pPr>
      <w:r w:rsidRPr="0049187C">
        <w:rPr>
          <w:b/>
          <w:lang w:val="de-DE"/>
        </w:rPr>
        <w:t>2.</w:t>
      </w:r>
      <w:r w:rsidRPr="0049187C">
        <w:rPr>
          <w:b/>
          <w:lang w:val="de-DE"/>
        </w:rPr>
        <w:tab/>
        <w:t>QUALITATIVE UND QUANTITATIVE ZUSAMMENSETZUNG</w:t>
      </w:r>
    </w:p>
    <w:p w14:paraId="3C7F19A7" w14:textId="77777777" w:rsidR="00F83928" w:rsidRPr="0049187C" w:rsidRDefault="00F83928" w:rsidP="0049187C">
      <w:pPr>
        <w:keepNext/>
        <w:keepLines/>
        <w:spacing w:after="0" w:line="240" w:lineRule="auto"/>
        <w:ind w:left="0" w:firstLine="0"/>
        <w:rPr>
          <w:lang w:val="de-DE"/>
        </w:rPr>
      </w:pPr>
    </w:p>
    <w:p w14:paraId="7307EC37" w14:textId="77777777" w:rsidR="00261AC3" w:rsidRPr="0049187C" w:rsidRDefault="00B00716" w:rsidP="0049187C">
      <w:pPr>
        <w:spacing w:after="0" w:line="240" w:lineRule="auto"/>
        <w:ind w:left="0" w:firstLine="0"/>
        <w:rPr>
          <w:lang w:val="de-DE"/>
        </w:rPr>
      </w:pPr>
      <w:r w:rsidRPr="0049187C">
        <w:rPr>
          <w:lang w:val="de-DE"/>
        </w:rPr>
        <w:t>Jede Fertigspritze enthält</w:t>
      </w:r>
      <w:r w:rsidR="00265C56" w:rsidRPr="0049187C">
        <w:rPr>
          <w:lang w:val="de-DE"/>
        </w:rPr>
        <w:t xml:space="preserve"> </w:t>
      </w:r>
      <w:r w:rsidRPr="0049187C">
        <w:rPr>
          <w:lang w:val="de-DE"/>
        </w:rPr>
        <w:t xml:space="preserve">60 mg Denosumab </w:t>
      </w:r>
      <w:r w:rsidR="0097480B" w:rsidRPr="0049187C">
        <w:rPr>
          <w:lang w:val="de-DE"/>
        </w:rPr>
        <w:t xml:space="preserve">(denosumab) </w:t>
      </w:r>
      <w:r w:rsidRPr="0049187C">
        <w:rPr>
          <w:lang w:val="de-DE"/>
        </w:rPr>
        <w:t>in</w:t>
      </w:r>
      <w:r w:rsidR="00265C56" w:rsidRPr="0049187C">
        <w:rPr>
          <w:lang w:val="de-DE"/>
        </w:rPr>
        <w:t xml:space="preserve"> </w:t>
      </w:r>
      <w:r w:rsidRPr="0049187C">
        <w:rPr>
          <w:lang w:val="de-DE"/>
        </w:rPr>
        <w:t>1 ml Lösung (60 mg/ml).</w:t>
      </w:r>
    </w:p>
    <w:p w14:paraId="11FDDDF0" w14:textId="77777777" w:rsidR="00F83928" w:rsidRPr="0049187C" w:rsidRDefault="00F83928" w:rsidP="0049187C">
      <w:pPr>
        <w:spacing w:after="0" w:line="240" w:lineRule="auto"/>
        <w:ind w:left="0" w:firstLine="0"/>
        <w:rPr>
          <w:lang w:val="de-DE"/>
        </w:rPr>
      </w:pPr>
    </w:p>
    <w:p w14:paraId="5337FFA7" w14:textId="77777777" w:rsidR="00F83928" w:rsidRPr="0049187C" w:rsidRDefault="00B00716" w:rsidP="0049187C">
      <w:pPr>
        <w:spacing w:after="0" w:line="240" w:lineRule="auto"/>
        <w:ind w:left="0" w:firstLine="0"/>
        <w:rPr>
          <w:lang w:val="de-DE"/>
        </w:rPr>
      </w:pPr>
      <w:r w:rsidRPr="0049187C">
        <w:rPr>
          <w:lang w:val="de-DE"/>
        </w:rPr>
        <w:t>Denosumab ist ein humaner monoklonaler IgG2</w:t>
      </w:r>
      <w:r w:rsidR="00261AC3" w:rsidRPr="0049187C">
        <w:rPr>
          <w:lang w:val="de-DE"/>
        </w:rPr>
        <w:noBreakHyphen/>
      </w:r>
      <w:r w:rsidRPr="0049187C">
        <w:rPr>
          <w:lang w:val="de-DE"/>
        </w:rPr>
        <w:t>Antikörper, der mittels rekombinanter DN</w:t>
      </w:r>
      <w:r w:rsidR="000C4552" w:rsidRPr="0049187C">
        <w:rPr>
          <w:lang w:val="de-DE"/>
        </w:rPr>
        <w:t>S</w:t>
      </w:r>
      <w:r w:rsidR="00261AC3" w:rsidRPr="0049187C">
        <w:rPr>
          <w:lang w:val="de-DE"/>
        </w:rPr>
        <w:noBreakHyphen/>
      </w:r>
    </w:p>
    <w:p w14:paraId="26577DBD" w14:textId="77777777" w:rsidR="00261AC3" w:rsidRPr="0049187C" w:rsidRDefault="00B00716" w:rsidP="0049187C">
      <w:pPr>
        <w:spacing w:after="0" w:line="240" w:lineRule="auto"/>
        <w:ind w:left="0" w:firstLine="0"/>
        <w:rPr>
          <w:lang w:val="de-DE"/>
        </w:rPr>
      </w:pPr>
      <w:r w:rsidRPr="0049187C">
        <w:rPr>
          <w:lang w:val="de-DE"/>
        </w:rPr>
        <w:t>Technologie in einer Säugetierzelllinie (Ovarialzellen des Chinesischen Hamsters) hergestellt wird.</w:t>
      </w:r>
    </w:p>
    <w:p w14:paraId="057F8DDC" w14:textId="77777777" w:rsidR="00F83928" w:rsidRPr="0049187C" w:rsidRDefault="00F83928" w:rsidP="0049187C">
      <w:pPr>
        <w:spacing w:after="0" w:line="240" w:lineRule="auto"/>
        <w:ind w:left="0" w:firstLine="0"/>
        <w:rPr>
          <w:lang w:val="de-DE"/>
        </w:rPr>
      </w:pPr>
    </w:p>
    <w:p w14:paraId="0971EE5E" w14:textId="77777777" w:rsidR="00261AC3" w:rsidRPr="0049187C" w:rsidRDefault="00B00716" w:rsidP="0049187C">
      <w:pPr>
        <w:spacing w:after="0" w:line="240" w:lineRule="auto"/>
        <w:ind w:left="0" w:firstLine="0"/>
        <w:rPr>
          <w:u w:val="single"/>
          <w:lang w:val="de-DE"/>
        </w:rPr>
      </w:pPr>
      <w:r w:rsidRPr="0049187C">
        <w:rPr>
          <w:u w:val="single"/>
          <w:lang w:val="de-DE"/>
        </w:rPr>
        <w:t>Sonstige</w:t>
      </w:r>
      <w:r w:rsidR="00C85044" w:rsidRPr="0049187C">
        <w:rPr>
          <w:u w:val="single"/>
          <w:lang w:val="de-DE"/>
        </w:rPr>
        <w:t>r</w:t>
      </w:r>
      <w:r w:rsidRPr="0049187C">
        <w:rPr>
          <w:u w:val="single"/>
          <w:lang w:val="de-DE"/>
        </w:rPr>
        <w:t xml:space="preserve"> Bestandteil mit bekannter Wirkung</w:t>
      </w:r>
    </w:p>
    <w:p w14:paraId="72D23D86" w14:textId="77777777" w:rsidR="00F83928" w:rsidRPr="0049187C" w:rsidRDefault="00F83928" w:rsidP="0049187C">
      <w:pPr>
        <w:spacing w:after="0" w:line="240" w:lineRule="auto"/>
        <w:ind w:left="0" w:firstLine="0"/>
        <w:rPr>
          <w:lang w:val="de-DE"/>
        </w:rPr>
      </w:pPr>
    </w:p>
    <w:p w14:paraId="068F326C" w14:textId="77777777" w:rsidR="00261AC3" w:rsidRPr="0049187C" w:rsidRDefault="00B00716" w:rsidP="0049187C">
      <w:pPr>
        <w:spacing w:after="0" w:line="240" w:lineRule="auto"/>
        <w:ind w:left="0" w:firstLine="0"/>
        <w:rPr>
          <w:lang w:val="de-DE"/>
        </w:rPr>
      </w:pPr>
      <w:r w:rsidRPr="0049187C">
        <w:rPr>
          <w:lang w:val="de-DE"/>
        </w:rPr>
        <w:t>Dieses Arzneimittel enthält</w:t>
      </w:r>
      <w:r w:rsidR="00265C56" w:rsidRPr="0049187C">
        <w:rPr>
          <w:lang w:val="de-DE"/>
        </w:rPr>
        <w:t xml:space="preserve"> </w:t>
      </w:r>
      <w:r w:rsidRPr="0049187C">
        <w:rPr>
          <w:lang w:val="de-DE"/>
        </w:rPr>
        <w:t xml:space="preserve">47 mg Sorbitol </w:t>
      </w:r>
      <w:r w:rsidR="000A0CCD" w:rsidRPr="0049187C">
        <w:rPr>
          <w:lang w:val="de-DE"/>
        </w:rPr>
        <w:t>pro</w:t>
      </w:r>
      <w:r w:rsidRPr="0049187C">
        <w:rPr>
          <w:lang w:val="de-DE"/>
        </w:rPr>
        <w:t xml:space="preserve"> ml Lösung.</w:t>
      </w:r>
    </w:p>
    <w:p w14:paraId="3E8E0CB6" w14:textId="77777777" w:rsidR="00F83928" w:rsidRPr="0049187C" w:rsidRDefault="00F83928" w:rsidP="0049187C">
      <w:pPr>
        <w:spacing w:after="0" w:line="240" w:lineRule="auto"/>
        <w:ind w:left="0" w:firstLine="0"/>
        <w:rPr>
          <w:lang w:val="de-DE"/>
        </w:rPr>
      </w:pPr>
    </w:p>
    <w:p w14:paraId="6A8A73C9" w14:textId="77777777" w:rsidR="00261AC3" w:rsidRPr="0049187C" w:rsidRDefault="00B00716" w:rsidP="0049187C">
      <w:pPr>
        <w:spacing w:after="0" w:line="240" w:lineRule="auto"/>
        <w:ind w:left="0" w:firstLine="0"/>
        <w:rPr>
          <w:lang w:val="de-DE"/>
        </w:rPr>
      </w:pPr>
      <w:r w:rsidRPr="0049187C">
        <w:rPr>
          <w:lang w:val="de-DE"/>
        </w:rPr>
        <w:t>Vollständige Auflistung der sonstigen Bestandteile, siehe Abschnitt 6.1.</w:t>
      </w:r>
    </w:p>
    <w:p w14:paraId="5C88E5C5" w14:textId="77777777" w:rsidR="00261AC3" w:rsidRPr="0049187C" w:rsidRDefault="00261AC3" w:rsidP="0049187C">
      <w:pPr>
        <w:spacing w:after="0" w:line="240" w:lineRule="auto"/>
        <w:ind w:left="0" w:firstLine="0"/>
        <w:rPr>
          <w:lang w:val="de-DE"/>
        </w:rPr>
      </w:pPr>
    </w:p>
    <w:p w14:paraId="0AE3AB29" w14:textId="77777777" w:rsidR="00F83928" w:rsidRPr="0049187C" w:rsidRDefault="00F83928" w:rsidP="0049187C">
      <w:pPr>
        <w:spacing w:after="0" w:line="240" w:lineRule="auto"/>
        <w:ind w:left="0" w:firstLine="0"/>
        <w:rPr>
          <w:lang w:val="de-DE"/>
        </w:rPr>
      </w:pPr>
    </w:p>
    <w:p w14:paraId="5B29E948" w14:textId="77777777" w:rsidR="00261AC3" w:rsidRPr="0049187C" w:rsidRDefault="00B00716" w:rsidP="0049187C">
      <w:pPr>
        <w:keepNext/>
        <w:keepLines/>
        <w:tabs>
          <w:tab w:val="left" w:pos="567"/>
        </w:tabs>
        <w:spacing w:after="0" w:line="240" w:lineRule="auto"/>
        <w:ind w:left="0" w:firstLine="0"/>
        <w:rPr>
          <w:b/>
          <w:lang w:val="de-DE"/>
        </w:rPr>
      </w:pPr>
      <w:r w:rsidRPr="0049187C">
        <w:rPr>
          <w:b/>
          <w:lang w:val="de-DE"/>
        </w:rPr>
        <w:t>3.</w:t>
      </w:r>
      <w:r w:rsidRPr="0049187C">
        <w:rPr>
          <w:b/>
          <w:lang w:val="de-DE"/>
        </w:rPr>
        <w:tab/>
        <w:t>DARREICHUNGSFORM</w:t>
      </w:r>
    </w:p>
    <w:p w14:paraId="71E7617E" w14:textId="77777777" w:rsidR="00F83928" w:rsidRPr="0049187C" w:rsidRDefault="00F83928" w:rsidP="0049187C">
      <w:pPr>
        <w:keepNext/>
        <w:keepLines/>
        <w:spacing w:after="0" w:line="240" w:lineRule="auto"/>
        <w:ind w:left="0" w:firstLine="0"/>
        <w:rPr>
          <w:lang w:val="de-DE"/>
        </w:rPr>
      </w:pPr>
    </w:p>
    <w:p w14:paraId="54942605" w14:textId="77777777" w:rsidR="00261AC3" w:rsidRPr="0049187C" w:rsidRDefault="00B00716" w:rsidP="0049187C">
      <w:pPr>
        <w:spacing w:after="0" w:line="240" w:lineRule="auto"/>
        <w:ind w:left="0" w:firstLine="0"/>
        <w:rPr>
          <w:lang w:val="de-DE"/>
        </w:rPr>
      </w:pPr>
      <w:r w:rsidRPr="0049187C">
        <w:rPr>
          <w:lang w:val="de-DE"/>
        </w:rPr>
        <w:t>Injektionslösung (Injektion).</w:t>
      </w:r>
    </w:p>
    <w:p w14:paraId="52836269" w14:textId="77777777" w:rsidR="00F83928" w:rsidRPr="0049187C" w:rsidRDefault="00F83928" w:rsidP="0049187C">
      <w:pPr>
        <w:spacing w:after="0" w:line="240" w:lineRule="auto"/>
        <w:ind w:left="0" w:firstLine="0"/>
        <w:rPr>
          <w:lang w:val="de-DE"/>
        </w:rPr>
      </w:pPr>
    </w:p>
    <w:p w14:paraId="156332C2" w14:textId="77777777" w:rsidR="00261AC3" w:rsidRPr="0049187C" w:rsidRDefault="00B00716" w:rsidP="0049187C">
      <w:pPr>
        <w:spacing w:after="0" w:line="240" w:lineRule="auto"/>
        <w:ind w:left="0" w:firstLine="0"/>
        <w:rPr>
          <w:lang w:val="de-DE"/>
        </w:rPr>
      </w:pPr>
      <w:r w:rsidRPr="0049187C">
        <w:rPr>
          <w:lang w:val="de-DE"/>
        </w:rPr>
        <w:t>Klare</w:t>
      </w:r>
      <w:r w:rsidR="00706A49" w:rsidRPr="0049187C">
        <w:rPr>
          <w:lang w:val="de-DE"/>
        </w:rPr>
        <w:t xml:space="preserve"> bis leicht opaleszente</w:t>
      </w:r>
      <w:r w:rsidRPr="0049187C">
        <w:rPr>
          <w:lang w:val="de-DE"/>
        </w:rPr>
        <w:t>, farblose bis leicht gelb</w:t>
      </w:r>
      <w:r w:rsidR="00706A49" w:rsidRPr="0049187C">
        <w:rPr>
          <w:lang w:val="de-DE"/>
        </w:rPr>
        <w:t>lich</w:t>
      </w:r>
      <w:r w:rsidRPr="0049187C">
        <w:rPr>
          <w:lang w:val="de-DE"/>
        </w:rPr>
        <w:t>e</w:t>
      </w:r>
      <w:r w:rsidR="00706A49" w:rsidRPr="0049187C">
        <w:rPr>
          <w:lang w:val="de-DE"/>
        </w:rPr>
        <w:t xml:space="preserve"> oder leicht bräunliche </w:t>
      </w:r>
      <w:r w:rsidRPr="0049187C">
        <w:rPr>
          <w:lang w:val="de-DE"/>
        </w:rPr>
        <w:t>Lösung</w:t>
      </w:r>
      <w:r w:rsidR="00706A49" w:rsidRPr="0049187C">
        <w:rPr>
          <w:lang w:val="de-DE"/>
        </w:rPr>
        <w:t xml:space="preserve"> mit pH zwischen 4,9 und 5,5 und einer Osmolalität von 245–345 mOsmol/kg</w:t>
      </w:r>
      <w:r w:rsidRPr="0049187C">
        <w:rPr>
          <w:lang w:val="de-DE"/>
        </w:rPr>
        <w:t>.</w:t>
      </w:r>
    </w:p>
    <w:p w14:paraId="199F0370" w14:textId="77777777" w:rsidR="00261AC3" w:rsidRPr="0049187C" w:rsidRDefault="00261AC3" w:rsidP="0049187C">
      <w:pPr>
        <w:spacing w:after="0" w:line="240" w:lineRule="auto"/>
        <w:ind w:left="0" w:firstLine="0"/>
        <w:rPr>
          <w:lang w:val="de-DE"/>
        </w:rPr>
      </w:pPr>
    </w:p>
    <w:p w14:paraId="045393B1" w14:textId="77777777" w:rsidR="00F83928" w:rsidRPr="0049187C" w:rsidRDefault="00F83928" w:rsidP="0049187C">
      <w:pPr>
        <w:spacing w:after="0" w:line="240" w:lineRule="auto"/>
        <w:ind w:left="0" w:firstLine="0"/>
        <w:rPr>
          <w:lang w:val="de-DE"/>
        </w:rPr>
      </w:pPr>
    </w:p>
    <w:p w14:paraId="1555A307" w14:textId="77777777" w:rsidR="00261AC3" w:rsidRPr="0049187C" w:rsidRDefault="00B00716" w:rsidP="0049187C">
      <w:pPr>
        <w:keepNext/>
        <w:keepLines/>
        <w:tabs>
          <w:tab w:val="left" w:pos="567"/>
        </w:tabs>
        <w:spacing w:after="0" w:line="240" w:lineRule="auto"/>
        <w:ind w:left="0" w:firstLine="0"/>
        <w:rPr>
          <w:b/>
          <w:lang w:val="de-DE"/>
        </w:rPr>
      </w:pPr>
      <w:r w:rsidRPr="0049187C">
        <w:rPr>
          <w:b/>
          <w:lang w:val="de-DE"/>
        </w:rPr>
        <w:t>4.</w:t>
      </w:r>
      <w:r w:rsidRPr="0049187C">
        <w:rPr>
          <w:b/>
          <w:lang w:val="de-DE"/>
        </w:rPr>
        <w:tab/>
        <w:t>KLINISCHE ANGABEN</w:t>
      </w:r>
    </w:p>
    <w:p w14:paraId="115C0017" w14:textId="77777777" w:rsidR="00F83928" w:rsidRPr="0049187C" w:rsidRDefault="00F83928" w:rsidP="0049187C">
      <w:pPr>
        <w:keepNext/>
        <w:keepLines/>
        <w:spacing w:after="0" w:line="240" w:lineRule="auto"/>
        <w:ind w:left="0" w:firstLine="0"/>
        <w:rPr>
          <w:lang w:val="de-DE"/>
        </w:rPr>
      </w:pPr>
    </w:p>
    <w:p w14:paraId="117C1CD8" w14:textId="77777777" w:rsidR="00261AC3" w:rsidRPr="0049187C" w:rsidRDefault="00B00716" w:rsidP="0049187C">
      <w:pPr>
        <w:keepNext/>
        <w:keepLines/>
        <w:tabs>
          <w:tab w:val="left" w:pos="567"/>
        </w:tabs>
        <w:spacing w:after="0" w:line="240" w:lineRule="auto"/>
        <w:ind w:left="0" w:firstLine="0"/>
        <w:rPr>
          <w:b/>
          <w:lang w:val="de-DE"/>
        </w:rPr>
      </w:pPr>
      <w:r w:rsidRPr="0049187C">
        <w:rPr>
          <w:b/>
          <w:lang w:val="de-DE"/>
        </w:rPr>
        <w:t>4.1</w:t>
      </w:r>
      <w:r w:rsidRPr="0049187C">
        <w:rPr>
          <w:b/>
          <w:lang w:val="de-DE"/>
        </w:rPr>
        <w:tab/>
        <w:t>Anwendungsgebiete</w:t>
      </w:r>
    </w:p>
    <w:p w14:paraId="616B3D91" w14:textId="77777777" w:rsidR="00F83928" w:rsidRPr="0049187C" w:rsidRDefault="00F83928" w:rsidP="0049187C">
      <w:pPr>
        <w:keepNext/>
        <w:keepLines/>
        <w:spacing w:after="0" w:line="240" w:lineRule="auto"/>
        <w:ind w:left="0" w:firstLine="0"/>
        <w:rPr>
          <w:lang w:val="de-DE"/>
        </w:rPr>
      </w:pPr>
    </w:p>
    <w:p w14:paraId="6A25DF3B" w14:textId="77777777" w:rsidR="00261AC3" w:rsidRPr="0049187C" w:rsidRDefault="00B00716" w:rsidP="0049187C">
      <w:pPr>
        <w:spacing w:after="0" w:line="240" w:lineRule="auto"/>
        <w:ind w:left="0" w:firstLine="0"/>
        <w:rPr>
          <w:lang w:val="de-DE"/>
        </w:rPr>
      </w:pPr>
      <w:r w:rsidRPr="0049187C">
        <w:rPr>
          <w:lang w:val="de-DE"/>
        </w:rPr>
        <w:t xml:space="preserve">Behandlung der Osteoporose bei postmenopausalen Frauen und bei Männern mit erhöhtem Frakturrisiko. Bei postmenopausalen Frauen vermindert </w:t>
      </w:r>
      <w:r w:rsidR="00706A49" w:rsidRPr="0049187C">
        <w:rPr>
          <w:lang w:val="de-DE"/>
        </w:rPr>
        <w:t xml:space="preserve">Denosumab </w:t>
      </w:r>
      <w:r w:rsidRPr="0049187C">
        <w:rPr>
          <w:lang w:val="de-DE"/>
        </w:rPr>
        <w:t>signifikant das Risiko für vertebrale, nicht</w:t>
      </w:r>
      <w:r w:rsidRPr="0049187C">
        <w:rPr>
          <w:lang w:val="de-DE"/>
        </w:rPr>
        <w:noBreakHyphen/>
        <w:t>vertebrale und Hüftfrakturen.</w:t>
      </w:r>
    </w:p>
    <w:p w14:paraId="49F1C86E" w14:textId="77777777" w:rsidR="00F83928" w:rsidRPr="0049187C" w:rsidRDefault="00F83928" w:rsidP="0049187C">
      <w:pPr>
        <w:spacing w:after="0" w:line="240" w:lineRule="auto"/>
        <w:ind w:left="0" w:firstLine="0"/>
        <w:rPr>
          <w:lang w:val="de-DE"/>
        </w:rPr>
      </w:pPr>
    </w:p>
    <w:p w14:paraId="5BA2F050" w14:textId="77777777" w:rsidR="00261AC3" w:rsidRPr="0049187C" w:rsidRDefault="00B00716" w:rsidP="0049187C">
      <w:pPr>
        <w:spacing w:after="0" w:line="240" w:lineRule="auto"/>
        <w:ind w:left="0" w:firstLine="0"/>
        <w:rPr>
          <w:lang w:val="de-DE"/>
        </w:rPr>
      </w:pPr>
      <w:r w:rsidRPr="0049187C">
        <w:rPr>
          <w:lang w:val="de-DE"/>
        </w:rPr>
        <w:t xml:space="preserve">Behandlung von Knochenschwund im Zusammenhang mit Hormonablation bei Männern mit Prostatakarzinom mit erhöhtem Frakturrisiko (siehe Abschnitt 5.1). </w:t>
      </w:r>
      <w:r w:rsidR="00706A49" w:rsidRPr="0049187C">
        <w:rPr>
          <w:lang w:val="de-DE"/>
        </w:rPr>
        <w:t xml:space="preserve">Denosumab </w:t>
      </w:r>
      <w:r w:rsidRPr="0049187C">
        <w:rPr>
          <w:lang w:val="de-DE"/>
        </w:rPr>
        <w:t>vermindert bei Männern mit Prostatakarzinom unter Hormonablationstherapie signifikant das Risiko für vertebrale Frakturen.</w:t>
      </w:r>
    </w:p>
    <w:p w14:paraId="14EA0A6D" w14:textId="77777777" w:rsidR="00F83928" w:rsidRPr="0049187C" w:rsidRDefault="00F83928" w:rsidP="0049187C">
      <w:pPr>
        <w:spacing w:after="0" w:line="240" w:lineRule="auto"/>
        <w:ind w:left="0" w:firstLine="0"/>
        <w:rPr>
          <w:lang w:val="de-DE"/>
        </w:rPr>
      </w:pPr>
    </w:p>
    <w:p w14:paraId="719EB782" w14:textId="77777777" w:rsidR="00261AC3" w:rsidRPr="0049187C" w:rsidRDefault="00B00716" w:rsidP="0049187C">
      <w:pPr>
        <w:spacing w:after="0" w:line="240" w:lineRule="auto"/>
        <w:ind w:left="0" w:firstLine="0"/>
        <w:rPr>
          <w:lang w:val="de-DE"/>
        </w:rPr>
      </w:pPr>
      <w:r w:rsidRPr="0049187C">
        <w:rPr>
          <w:lang w:val="de-DE"/>
        </w:rPr>
        <w:t>Behandlung von Knochenschwund im Zusammenhang mit systemischer Glucocorticoid</w:t>
      </w:r>
      <w:r w:rsidR="00442C76" w:rsidRPr="0049187C">
        <w:rPr>
          <w:lang w:val="de-DE"/>
        </w:rPr>
        <w:t xml:space="preserve">- </w:t>
      </w:r>
      <w:r w:rsidRPr="0049187C">
        <w:rPr>
          <w:lang w:val="de-DE"/>
        </w:rPr>
        <w:t>Langzeittherapie bei erwachsenen Patienten mit erhöhtem Frakturrisiko (siehe Abschnitt 5.1).</w:t>
      </w:r>
    </w:p>
    <w:p w14:paraId="70F2F41A" w14:textId="77777777" w:rsidR="00F83928" w:rsidRPr="0049187C" w:rsidRDefault="00F83928" w:rsidP="0049187C">
      <w:pPr>
        <w:spacing w:after="0" w:line="240" w:lineRule="auto"/>
        <w:ind w:left="0" w:firstLine="0"/>
        <w:rPr>
          <w:lang w:val="de-DE"/>
        </w:rPr>
      </w:pPr>
    </w:p>
    <w:p w14:paraId="338B8FA5" w14:textId="77777777" w:rsidR="00261AC3" w:rsidRPr="0049187C" w:rsidRDefault="00B00716" w:rsidP="0049187C">
      <w:pPr>
        <w:keepNext/>
        <w:keepLines/>
        <w:tabs>
          <w:tab w:val="left" w:pos="567"/>
        </w:tabs>
        <w:spacing w:after="0" w:line="240" w:lineRule="auto"/>
        <w:ind w:left="0" w:firstLine="0"/>
        <w:rPr>
          <w:lang w:val="de-DE"/>
        </w:rPr>
      </w:pPr>
      <w:r w:rsidRPr="0049187C">
        <w:rPr>
          <w:b/>
          <w:lang w:val="de-DE"/>
        </w:rPr>
        <w:t>4.2</w:t>
      </w:r>
      <w:r w:rsidRPr="0049187C">
        <w:rPr>
          <w:b/>
          <w:lang w:val="de-DE"/>
        </w:rPr>
        <w:tab/>
        <w:t>Dosierung und Art der Anwendung</w:t>
      </w:r>
    </w:p>
    <w:p w14:paraId="0C126CB5" w14:textId="77777777" w:rsidR="00F83928" w:rsidRPr="0049187C" w:rsidRDefault="00F83928" w:rsidP="0049187C">
      <w:pPr>
        <w:keepNext/>
        <w:keepLines/>
        <w:spacing w:after="0" w:line="240" w:lineRule="auto"/>
        <w:ind w:left="0" w:firstLine="0"/>
        <w:rPr>
          <w:lang w:val="de-DE"/>
        </w:rPr>
      </w:pPr>
    </w:p>
    <w:p w14:paraId="39E12556" w14:textId="77777777" w:rsidR="00261AC3" w:rsidRPr="0049187C" w:rsidRDefault="00B00716" w:rsidP="0049187C">
      <w:pPr>
        <w:spacing w:after="0" w:line="240" w:lineRule="auto"/>
        <w:ind w:left="0" w:firstLine="0"/>
        <w:rPr>
          <w:u w:val="single"/>
          <w:lang w:val="de-DE"/>
        </w:rPr>
      </w:pPr>
      <w:r w:rsidRPr="0049187C">
        <w:rPr>
          <w:u w:val="single"/>
          <w:lang w:val="de-DE"/>
        </w:rPr>
        <w:t>Dosierung</w:t>
      </w:r>
    </w:p>
    <w:p w14:paraId="0D6215F5" w14:textId="77777777" w:rsidR="00F83928" w:rsidRPr="0049187C" w:rsidRDefault="00F83928" w:rsidP="0049187C">
      <w:pPr>
        <w:spacing w:after="0" w:line="240" w:lineRule="auto"/>
        <w:ind w:left="0" w:firstLine="0"/>
        <w:rPr>
          <w:lang w:val="de-DE"/>
        </w:rPr>
      </w:pPr>
    </w:p>
    <w:p w14:paraId="06F116F3" w14:textId="77777777" w:rsidR="00261AC3" w:rsidRPr="0049187C" w:rsidRDefault="00B00716" w:rsidP="0049187C">
      <w:pPr>
        <w:spacing w:after="0" w:line="240" w:lineRule="auto"/>
        <w:ind w:left="0" w:firstLine="0"/>
        <w:rPr>
          <w:lang w:val="de-DE"/>
        </w:rPr>
      </w:pPr>
      <w:r w:rsidRPr="0049187C">
        <w:rPr>
          <w:lang w:val="de-DE"/>
        </w:rPr>
        <w:t xml:space="preserve">Die empfohlene Dosis beträgt 60 mg Denosumab. Diese wird einmal alle 6 Monate als einzelne subkutane Injektion in den Oberschenkel, die Bauchregion oder den Oberarm </w:t>
      </w:r>
      <w:r w:rsidR="006C1749" w:rsidRPr="0049187C">
        <w:rPr>
          <w:lang w:val="de-DE"/>
        </w:rPr>
        <w:t>injiziert</w:t>
      </w:r>
      <w:r w:rsidRPr="0049187C">
        <w:rPr>
          <w:lang w:val="de-DE"/>
        </w:rPr>
        <w:t>.</w:t>
      </w:r>
    </w:p>
    <w:p w14:paraId="6A0A0B91" w14:textId="77777777" w:rsidR="00F83928" w:rsidRPr="0049187C" w:rsidRDefault="00F83928" w:rsidP="0049187C">
      <w:pPr>
        <w:spacing w:after="0" w:line="240" w:lineRule="auto"/>
        <w:ind w:left="0" w:firstLine="0"/>
        <w:rPr>
          <w:lang w:val="de-DE"/>
        </w:rPr>
      </w:pPr>
    </w:p>
    <w:p w14:paraId="1E6AA8B9" w14:textId="77777777" w:rsidR="00261AC3" w:rsidRPr="0049187C" w:rsidRDefault="00B00716" w:rsidP="0049187C">
      <w:pPr>
        <w:spacing w:after="0" w:line="240" w:lineRule="auto"/>
        <w:ind w:left="0" w:firstLine="0"/>
        <w:rPr>
          <w:lang w:val="de-DE"/>
        </w:rPr>
      </w:pPr>
      <w:r w:rsidRPr="0049187C">
        <w:rPr>
          <w:lang w:val="de-DE"/>
        </w:rPr>
        <w:t>Zusätzlich müssen die Patienten angemessen mit Calcium und Vitamin D versorgt werden (siehe</w:t>
      </w:r>
      <w:r w:rsidR="00442C76" w:rsidRPr="0049187C">
        <w:rPr>
          <w:lang w:val="de-DE"/>
        </w:rPr>
        <w:t> </w:t>
      </w:r>
      <w:r w:rsidRPr="0049187C">
        <w:rPr>
          <w:lang w:val="de-DE"/>
        </w:rPr>
        <w:t>Abschnitt 4.4).</w:t>
      </w:r>
    </w:p>
    <w:p w14:paraId="7CD77C06" w14:textId="77777777" w:rsidR="00F83928" w:rsidRPr="0049187C" w:rsidRDefault="00F83928" w:rsidP="0049187C">
      <w:pPr>
        <w:spacing w:after="0" w:line="240" w:lineRule="auto"/>
        <w:ind w:left="0" w:firstLine="0"/>
        <w:rPr>
          <w:lang w:val="de-DE"/>
        </w:rPr>
      </w:pPr>
    </w:p>
    <w:p w14:paraId="71BDE292" w14:textId="77777777" w:rsidR="00261AC3" w:rsidRPr="0049187C" w:rsidRDefault="00B00716" w:rsidP="0049187C">
      <w:pPr>
        <w:spacing w:after="0" w:line="240" w:lineRule="auto"/>
        <w:ind w:left="0" w:firstLine="0"/>
        <w:rPr>
          <w:lang w:val="de-DE"/>
        </w:rPr>
      </w:pPr>
      <w:r w:rsidRPr="0049187C">
        <w:rPr>
          <w:lang w:val="de-DE"/>
        </w:rPr>
        <w:t xml:space="preserve">Patienten, die mit </w:t>
      </w:r>
      <w:r w:rsidR="00706A49" w:rsidRPr="0049187C">
        <w:rPr>
          <w:lang w:val="de-DE"/>
        </w:rPr>
        <w:t xml:space="preserve">Jubbonti </w:t>
      </w:r>
      <w:r w:rsidRPr="0049187C">
        <w:rPr>
          <w:lang w:val="de-DE"/>
        </w:rPr>
        <w:t xml:space="preserve">behandelt werden, </w:t>
      </w:r>
      <w:r w:rsidR="007E3DB0" w:rsidRPr="0049187C">
        <w:rPr>
          <w:lang w:val="de-DE"/>
        </w:rPr>
        <w:t>müssen</w:t>
      </w:r>
      <w:r w:rsidRPr="0049187C">
        <w:rPr>
          <w:lang w:val="de-DE"/>
        </w:rPr>
        <w:t xml:space="preserve"> die Packungsbeilage und die Patientenerinnerungskarte ausgehändigt bekommen.</w:t>
      </w:r>
    </w:p>
    <w:p w14:paraId="1CA9E690" w14:textId="77777777" w:rsidR="00F83928" w:rsidRPr="0049187C" w:rsidRDefault="00F83928" w:rsidP="0049187C">
      <w:pPr>
        <w:spacing w:after="0" w:line="240" w:lineRule="auto"/>
        <w:ind w:left="0" w:firstLine="0"/>
        <w:rPr>
          <w:lang w:val="de-DE"/>
        </w:rPr>
      </w:pPr>
    </w:p>
    <w:p w14:paraId="3CFEEEF7" w14:textId="77777777" w:rsidR="00261AC3" w:rsidRPr="0049187C" w:rsidRDefault="00B00716" w:rsidP="0049187C">
      <w:pPr>
        <w:spacing w:after="0" w:line="240" w:lineRule="auto"/>
        <w:ind w:left="0" w:firstLine="0"/>
        <w:rPr>
          <w:lang w:val="de-DE"/>
        </w:rPr>
      </w:pPr>
      <w:r w:rsidRPr="0049187C">
        <w:rPr>
          <w:lang w:val="de-DE"/>
        </w:rPr>
        <w:t>Die optimale Gesamtdauer einer antiresorptiven Behandlung der Osteoporose (einschließlich</w:t>
      </w:r>
      <w:r w:rsidR="00210286" w:rsidRPr="0049187C">
        <w:rPr>
          <w:lang w:val="de-DE"/>
        </w:rPr>
        <w:t xml:space="preserve"> </w:t>
      </w:r>
      <w:r w:rsidRPr="0049187C">
        <w:rPr>
          <w:lang w:val="de-DE"/>
        </w:rPr>
        <w:t>Denosumab und Bisphosphonate) wurde nicht ermittelt. Die Notwendigkeit einer kontinuierlichen</w:t>
      </w:r>
      <w:r w:rsidR="00210286" w:rsidRPr="0049187C">
        <w:rPr>
          <w:lang w:val="de-DE"/>
        </w:rPr>
        <w:t xml:space="preserve"> </w:t>
      </w:r>
      <w:r w:rsidRPr="0049187C">
        <w:rPr>
          <w:lang w:val="de-DE"/>
        </w:rPr>
        <w:t xml:space="preserve">Behandlung </w:t>
      </w:r>
      <w:r w:rsidR="007E3DB0" w:rsidRPr="0049187C">
        <w:rPr>
          <w:lang w:val="de-DE"/>
        </w:rPr>
        <w:t>muss</w:t>
      </w:r>
      <w:r w:rsidRPr="0049187C">
        <w:rPr>
          <w:lang w:val="de-DE"/>
        </w:rPr>
        <w:t>, basierend auf dem patientenindividuellen Nutzen und den möglichen Risiken von Denosumab, insbesondere nach 5 oder mehr Jahren der Anwendung, regelmäßig neu bewertet werden (siehe Abschnitt 4.4).</w:t>
      </w:r>
    </w:p>
    <w:p w14:paraId="1B224C9B" w14:textId="77777777" w:rsidR="00F83928" w:rsidRPr="0049187C" w:rsidRDefault="00F83928" w:rsidP="0049187C">
      <w:pPr>
        <w:spacing w:after="0" w:line="240" w:lineRule="auto"/>
        <w:ind w:left="0" w:firstLine="0"/>
        <w:rPr>
          <w:lang w:val="de-DE"/>
        </w:rPr>
      </w:pPr>
    </w:p>
    <w:p w14:paraId="0DE185BE" w14:textId="77777777" w:rsidR="00261AC3" w:rsidRPr="0049187C" w:rsidRDefault="00B00716" w:rsidP="0049187C">
      <w:pPr>
        <w:spacing w:after="0" w:line="240" w:lineRule="auto"/>
        <w:ind w:left="0" w:firstLine="0"/>
        <w:rPr>
          <w:i/>
          <w:iCs/>
          <w:lang w:val="de-DE"/>
        </w:rPr>
      </w:pPr>
      <w:r w:rsidRPr="0049187C">
        <w:rPr>
          <w:i/>
          <w:iCs/>
          <w:lang w:val="de-DE"/>
        </w:rPr>
        <w:t>Ältere Patienten (≥ 65 Jahre)</w:t>
      </w:r>
    </w:p>
    <w:p w14:paraId="1FD47CAD" w14:textId="77777777" w:rsidR="00261AC3" w:rsidRPr="0049187C" w:rsidRDefault="00B00716" w:rsidP="0049187C">
      <w:pPr>
        <w:spacing w:after="0" w:line="240" w:lineRule="auto"/>
        <w:ind w:left="0" w:firstLine="0"/>
        <w:rPr>
          <w:lang w:val="de-DE"/>
        </w:rPr>
      </w:pPr>
      <w:r w:rsidRPr="0049187C">
        <w:rPr>
          <w:lang w:val="de-DE"/>
        </w:rPr>
        <w:t>Bei älteren Patienten ist keine Dosisanpassung erforderlich.</w:t>
      </w:r>
    </w:p>
    <w:p w14:paraId="35BFCA98" w14:textId="77777777" w:rsidR="00F83928" w:rsidRPr="0049187C" w:rsidRDefault="00F83928" w:rsidP="0049187C">
      <w:pPr>
        <w:spacing w:after="0" w:line="240" w:lineRule="auto"/>
        <w:ind w:left="0" w:firstLine="0"/>
        <w:rPr>
          <w:lang w:val="de-DE"/>
        </w:rPr>
      </w:pPr>
    </w:p>
    <w:p w14:paraId="19CC0994" w14:textId="77777777" w:rsidR="0063757E" w:rsidRPr="0049187C" w:rsidRDefault="0063757E" w:rsidP="0049187C">
      <w:pPr>
        <w:keepNext/>
        <w:spacing w:after="0" w:line="240" w:lineRule="auto"/>
        <w:ind w:left="0" w:firstLine="0"/>
        <w:rPr>
          <w:i/>
          <w:iCs/>
          <w:lang w:val="de-DE"/>
        </w:rPr>
      </w:pPr>
      <w:r w:rsidRPr="0049187C">
        <w:rPr>
          <w:i/>
          <w:lang w:val="de-DE"/>
        </w:rPr>
        <w:t>Nierenfunktions</w:t>
      </w:r>
      <w:ins w:id="0" w:author="Author">
        <w:r w:rsidRPr="0049187C">
          <w:rPr>
            <w:i/>
            <w:lang w:val="de-DE"/>
          </w:rPr>
          <w:t>beeinträchtigung</w:t>
        </w:r>
      </w:ins>
      <w:del w:id="1" w:author="Author">
        <w:r w:rsidRPr="0049187C" w:rsidDel="008839AA">
          <w:rPr>
            <w:i/>
            <w:lang w:val="de-DE"/>
          </w:rPr>
          <w:delText>störung</w:delText>
        </w:r>
      </w:del>
    </w:p>
    <w:p w14:paraId="43983CDF" w14:textId="77777777" w:rsidR="0063757E" w:rsidRPr="0049187C" w:rsidRDefault="0063757E" w:rsidP="0049187C">
      <w:pPr>
        <w:spacing w:after="0" w:line="240" w:lineRule="auto"/>
        <w:ind w:left="0" w:firstLine="0"/>
        <w:rPr>
          <w:lang w:val="de-DE"/>
        </w:rPr>
      </w:pPr>
      <w:r w:rsidRPr="0049187C">
        <w:rPr>
          <w:lang w:val="de-DE"/>
        </w:rPr>
        <w:t xml:space="preserve">Bei Patienten mit </w:t>
      </w:r>
      <w:del w:id="2" w:author="Lionbridge" w:date="2025-06-17T19:27:00Z" w16du:dateUtc="2025-06-17T13:57:00Z">
        <w:r w:rsidRPr="0049187C" w:rsidDel="009943A9">
          <w:rPr>
            <w:lang w:val="de-DE"/>
          </w:rPr>
          <w:delText>Nierenfunktionsstörung</w:delText>
        </w:r>
      </w:del>
      <w:ins w:id="3" w:author="Lionbridge" w:date="2025-06-17T19:27:00Z" w16du:dateUtc="2025-06-17T13:57:00Z">
        <w:r w:rsidR="009943A9" w:rsidRPr="0049187C">
          <w:rPr>
            <w:lang w:val="de-DE"/>
          </w:rPr>
          <w:t>Nierenfunktionsbeeinträchtigung</w:t>
        </w:r>
      </w:ins>
      <w:r w:rsidR="00A5080A" w:rsidRPr="0049187C">
        <w:rPr>
          <w:lang w:val="de-DE"/>
        </w:rPr>
        <w:t xml:space="preserve"> </w:t>
      </w:r>
      <w:r w:rsidRPr="0049187C">
        <w:rPr>
          <w:lang w:val="de-DE"/>
        </w:rPr>
        <w:t>ist keine Dosisanpassung erforderlich (siehe Abschnitt 4.4 für Empfehlungen bezüglich der Überwachung von Calcium).</w:t>
      </w:r>
    </w:p>
    <w:p w14:paraId="42640324" w14:textId="77777777" w:rsidR="0063757E" w:rsidRPr="0049187C" w:rsidRDefault="0063757E" w:rsidP="0049187C">
      <w:pPr>
        <w:spacing w:after="0" w:line="240" w:lineRule="auto"/>
        <w:ind w:left="0" w:firstLine="0"/>
        <w:rPr>
          <w:lang w:val="de-DE"/>
        </w:rPr>
      </w:pPr>
    </w:p>
    <w:p w14:paraId="11D94489" w14:textId="77777777" w:rsidR="0063757E" w:rsidRPr="0049187C" w:rsidRDefault="0063757E" w:rsidP="0049187C">
      <w:pPr>
        <w:spacing w:after="0" w:line="240" w:lineRule="auto"/>
        <w:ind w:left="0" w:firstLine="0"/>
        <w:rPr>
          <w:lang w:val="de-DE"/>
        </w:rPr>
      </w:pPr>
      <w:r w:rsidRPr="0049187C">
        <w:rPr>
          <w:lang w:val="de-DE"/>
        </w:rPr>
        <w:t xml:space="preserve">Es liegen keine Daten für Patienten mit systemischer Glucocorticoid-Langzeittherapie und schwerer </w:t>
      </w:r>
      <w:del w:id="4" w:author="Lionbridge" w:date="2025-06-17T19:27:00Z" w16du:dateUtc="2025-06-17T13:57:00Z">
        <w:r w:rsidRPr="0049187C" w:rsidDel="009943A9">
          <w:rPr>
            <w:lang w:val="de-DE"/>
          </w:rPr>
          <w:delText>Nierenfunktionsstörung</w:delText>
        </w:r>
      </w:del>
      <w:ins w:id="5" w:author="Lionbridge" w:date="2025-06-17T19:27:00Z" w16du:dateUtc="2025-06-17T13:57:00Z">
        <w:r w:rsidR="009943A9" w:rsidRPr="0049187C">
          <w:rPr>
            <w:lang w:val="de-DE"/>
          </w:rPr>
          <w:t>Nierenfunktionsbeeinträchtigung</w:t>
        </w:r>
      </w:ins>
      <w:r w:rsidR="00A5080A" w:rsidRPr="0049187C">
        <w:rPr>
          <w:lang w:val="de-DE"/>
        </w:rPr>
        <w:t xml:space="preserve"> </w:t>
      </w:r>
      <w:r w:rsidRPr="0049187C">
        <w:rPr>
          <w:lang w:val="de-DE"/>
        </w:rPr>
        <w:t>(glomeruläre Filtrationsrate, GFR &lt; 30 ml/min) vor.</w:t>
      </w:r>
    </w:p>
    <w:p w14:paraId="5727080C" w14:textId="77777777" w:rsidR="0063757E" w:rsidRPr="0049187C" w:rsidRDefault="0063757E" w:rsidP="0049187C">
      <w:pPr>
        <w:spacing w:after="0" w:line="240" w:lineRule="auto"/>
        <w:ind w:left="0" w:firstLine="0"/>
        <w:rPr>
          <w:lang w:val="de-DE"/>
        </w:rPr>
      </w:pPr>
    </w:p>
    <w:p w14:paraId="0F6C8AC1" w14:textId="77777777" w:rsidR="0063757E" w:rsidRPr="0049187C" w:rsidRDefault="0063757E" w:rsidP="0049187C">
      <w:pPr>
        <w:keepNext/>
        <w:spacing w:after="0" w:line="240" w:lineRule="auto"/>
        <w:ind w:left="0" w:firstLine="0"/>
        <w:rPr>
          <w:i/>
          <w:iCs/>
          <w:lang w:val="de-DE"/>
        </w:rPr>
      </w:pPr>
      <w:del w:id="6" w:author="Lionbridge" w:date="2025-06-17T19:33:00Z" w16du:dateUtc="2025-06-17T14:03:00Z">
        <w:r w:rsidRPr="0049187C" w:rsidDel="007C0C23">
          <w:rPr>
            <w:i/>
            <w:lang w:val="de-DE"/>
          </w:rPr>
          <w:delText>Leberfunktionsstörung</w:delText>
        </w:r>
      </w:del>
      <w:ins w:id="7" w:author="Lionbridge" w:date="2025-06-17T19:33:00Z" w16du:dateUtc="2025-06-17T14:03:00Z">
        <w:r w:rsidR="007C0C23" w:rsidRPr="0049187C">
          <w:rPr>
            <w:i/>
            <w:lang w:val="de-DE"/>
          </w:rPr>
          <w:t>Beeinträchtigung der Leber</w:t>
        </w:r>
      </w:ins>
    </w:p>
    <w:p w14:paraId="5213D226" w14:textId="77777777" w:rsidR="00261AC3" w:rsidRPr="0049187C" w:rsidRDefault="0063757E" w:rsidP="0049187C">
      <w:pPr>
        <w:spacing w:after="0" w:line="240" w:lineRule="auto"/>
        <w:ind w:left="0" w:firstLine="0"/>
        <w:rPr>
          <w:lang w:val="de-DE"/>
        </w:rPr>
      </w:pPr>
      <w:r w:rsidRPr="0049187C">
        <w:rPr>
          <w:lang w:val="de-DE"/>
        </w:rPr>
        <w:t xml:space="preserve">Die Sicherheit und Wirksamkeit von Denosumab wurden bei Patienten mit </w:t>
      </w:r>
      <w:del w:id="8" w:author="Lionbridge" w:date="2025-06-17T19:33:00Z" w16du:dateUtc="2025-06-17T14:03:00Z">
        <w:r w:rsidRPr="0049187C" w:rsidDel="007C0C23">
          <w:rPr>
            <w:lang w:val="de-DE"/>
          </w:rPr>
          <w:delText>Leberfunktionsstörung</w:delText>
        </w:r>
      </w:del>
      <w:ins w:id="9" w:author="Lionbridge" w:date="2025-06-17T19:33:00Z" w16du:dateUtc="2025-06-17T14:03:00Z">
        <w:r w:rsidR="007C0C23" w:rsidRPr="0049187C">
          <w:rPr>
            <w:lang w:val="de-DE"/>
          </w:rPr>
          <w:t>Beeinträchtigung der Leber</w:t>
        </w:r>
      </w:ins>
      <w:r w:rsidR="001411F5" w:rsidRPr="0049187C">
        <w:rPr>
          <w:lang w:val="de-DE"/>
        </w:rPr>
        <w:t xml:space="preserve"> </w:t>
      </w:r>
      <w:r w:rsidRPr="0049187C">
        <w:rPr>
          <w:lang w:val="de-DE"/>
        </w:rPr>
        <w:t>nicht untersucht (siehe Abschnitt 5.2).</w:t>
      </w:r>
    </w:p>
    <w:p w14:paraId="5D71D2F2" w14:textId="77777777" w:rsidR="00F83928" w:rsidRPr="0049187C" w:rsidRDefault="00F83928" w:rsidP="0049187C">
      <w:pPr>
        <w:spacing w:after="0" w:line="240" w:lineRule="auto"/>
        <w:ind w:left="0" w:firstLine="0"/>
        <w:rPr>
          <w:lang w:val="de-DE"/>
        </w:rPr>
      </w:pPr>
    </w:p>
    <w:p w14:paraId="72B67144" w14:textId="77777777" w:rsidR="00261AC3" w:rsidRPr="0049187C" w:rsidRDefault="00B00716" w:rsidP="0049187C">
      <w:pPr>
        <w:spacing w:after="0" w:line="240" w:lineRule="auto"/>
        <w:ind w:left="0" w:firstLine="0"/>
        <w:rPr>
          <w:i/>
          <w:iCs/>
          <w:lang w:val="de-DE"/>
        </w:rPr>
      </w:pPr>
      <w:r w:rsidRPr="0049187C">
        <w:rPr>
          <w:i/>
          <w:iCs/>
          <w:lang w:val="de-DE"/>
        </w:rPr>
        <w:t>Kinder und Jugendliche</w:t>
      </w:r>
    </w:p>
    <w:p w14:paraId="5C24385C" w14:textId="77777777" w:rsidR="00261AC3" w:rsidRPr="0049187C" w:rsidRDefault="00B00716" w:rsidP="0049187C">
      <w:pPr>
        <w:spacing w:after="0" w:line="240" w:lineRule="auto"/>
        <w:ind w:left="0" w:firstLine="0"/>
        <w:rPr>
          <w:lang w:val="de-DE"/>
        </w:rPr>
      </w:pPr>
      <w:r w:rsidRPr="0049187C">
        <w:rPr>
          <w:lang w:val="de-DE"/>
        </w:rPr>
        <w:t xml:space="preserve">Jubbonti </w:t>
      </w:r>
      <w:r w:rsidR="00FD7DFF" w:rsidRPr="0049187C">
        <w:rPr>
          <w:lang w:val="de-DE"/>
        </w:rPr>
        <w:t>darf bei Kindern und Jugendlichen im Alter von &lt;</w:t>
      </w:r>
      <w:r w:rsidRPr="0049187C">
        <w:rPr>
          <w:lang w:val="de-DE"/>
        </w:rPr>
        <w:t> 18 </w:t>
      </w:r>
      <w:r w:rsidR="00FD7DFF" w:rsidRPr="0049187C">
        <w:rPr>
          <w:lang w:val="de-DE"/>
        </w:rPr>
        <w:t xml:space="preserve">Jahren </w:t>
      </w:r>
      <w:r w:rsidR="00CF6909" w:rsidRPr="0049187C">
        <w:rPr>
          <w:lang w:val="de-DE"/>
        </w:rPr>
        <w:t xml:space="preserve">nicht </w:t>
      </w:r>
      <w:r w:rsidR="00FD7DFF" w:rsidRPr="0049187C">
        <w:rPr>
          <w:lang w:val="de-DE"/>
        </w:rPr>
        <w:t xml:space="preserve">angewendet werden, </w:t>
      </w:r>
      <w:r w:rsidR="00CF6909" w:rsidRPr="0049187C">
        <w:rPr>
          <w:lang w:val="de-DE"/>
        </w:rPr>
        <w:t>da Bedenken hinsichtlich der</w:t>
      </w:r>
      <w:r w:rsidR="00FD7DFF" w:rsidRPr="0049187C">
        <w:rPr>
          <w:lang w:val="de-DE"/>
        </w:rPr>
        <w:t xml:space="preserve"> Sicherheit </w:t>
      </w:r>
      <w:r w:rsidR="00CF6909" w:rsidRPr="0049187C">
        <w:rPr>
          <w:lang w:val="de-DE"/>
        </w:rPr>
        <w:t xml:space="preserve">aufgrund </w:t>
      </w:r>
      <w:r w:rsidR="00FD7DFF" w:rsidRPr="0049187C">
        <w:rPr>
          <w:lang w:val="de-DE"/>
        </w:rPr>
        <w:t>schwerer Hyperkalzämie und aufgrund einer möglichen Inhibition des Knochenwachstums und des Zahndurchbruches (siehe Abschnitte</w:t>
      </w:r>
      <w:r w:rsidR="00252F44" w:rsidRPr="0049187C">
        <w:rPr>
          <w:lang w:val="de-DE"/>
        </w:rPr>
        <w:t xml:space="preserve"> </w:t>
      </w:r>
      <w:r w:rsidRPr="0049187C">
        <w:rPr>
          <w:lang w:val="de-DE"/>
        </w:rPr>
        <w:t>4</w:t>
      </w:r>
      <w:r w:rsidR="00FD7DFF" w:rsidRPr="0049187C">
        <w:rPr>
          <w:lang w:val="de-DE"/>
        </w:rPr>
        <w:t>.</w:t>
      </w:r>
      <w:r w:rsidRPr="0049187C">
        <w:rPr>
          <w:lang w:val="de-DE"/>
        </w:rPr>
        <w:t>4</w:t>
      </w:r>
      <w:r w:rsidR="00D059C0" w:rsidRPr="0049187C">
        <w:rPr>
          <w:lang w:val="de-DE"/>
        </w:rPr>
        <w:t xml:space="preserve"> </w:t>
      </w:r>
      <w:r w:rsidR="00FD7DFF" w:rsidRPr="0049187C">
        <w:rPr>
          <w:lang w:val="de-DE"/>
        </w:rPr>
        <w:t>und</w:t>
      </w:r>
      <w:r w:rsidRPr="0049187C">
        <w:rPr>
          <w:lang w:val="de-DE"/>
        </w:rPr>
        <w:t> 5</w:t>
      </w:r>
      <w:r w:rsidR="00FD7DFF" w:rsidRPr="0049187C">
        <w:rPr>
          <w:lang w:val="de-DE"/>
        </w:rPr>
        <w:t>.3)</w:t>
      </w:r>
      <w:r w:rsidR="00CF6909" w:rsidRPr="0049187C">
        <w:rPr>
          <w:lang w:val="de-DE"/>
        </w:rPr>
        <w:t xml:space="preserve"> bestehen</w:t>
      </w:r>
      <w:r w:rsidR="00FD7DFF" w:rsidRPr="0049187C">
        <w:rPr>
          <w:lang w:val="de-DE"/>
        </w:rPr>
        <w:t>. Zurzeit vorliegende Daten für Kinder im Alter von</w:t>
      </w:r>
      <w:r w:rsidRPr="0049187C">
        <w:rPr>
          <w:lang w:val="de-DE"/>
        </w:rPr>
        <w:t> 2 </w:t>
      </w:r>
      <w:r w:rsidR="00FD7DFF" w:rsidRPr="0049187C">
        <w:rPr>
          <w:lang w:val="de-DE"/>
        </w:rPr>
        <w:t>bis</w:t>
      </w:r>
      <w:r w:rsidRPr="0049187C">
        <w:rPr>
          <w:lang w:val="de-DE"/>
        </w:rPr>
        <w:t> 17 </w:t>
      </w:r>
      <w:r w:rsidR="00FD7DFF" w:rsidRPr="0049187C">
        <w:rPr>
          <w:lang w:val="de-DE"/>
        </w:rPr>
        <w:t>Jahren werden in den Abschnitten</w:t>
      </w:r>
      <w:r w:rsidRPr="0049187C">
        <w:rPr>
          <w:lang w:val="de-DE"/>
        </w:rPr>
        <w:t> 5</w:t>
      </w:r>
      <w:r w:rsidR="00FD7DFF" w:rsidRPr="0049187C">
        <w:rPr>
          <w:lang w:val="de-DE"/>
        </w:rPr>
        <w:t>.</w:t>
      </w:r>
      <w:r w:rsidRPr="0049187C">
        <w:rPr>
          <w:lang w:val="de-DE"/>
        </w:rPr>
        <w:t>1 </w:t>
      </w:r>
      <w:r w:rsidR="00FD7DFF" w:rsidRPr="0049187C">
        <w:rPr>
          <w:lang w:val="de-DE"/>
        </w:rPr>
        <w:t>und</w:t>
      </w:r>
      <w:r w:rsidRPr="0049187C">
        <w:rPr>
          <w:lang w:val="de-DE"/>
        </w:rPr>
        <w:t> 5</w:t>
      </w:r>
      <w:r w:rsidR="00FD7DFF" w:rsidRPr="0049187C">
        <w:rPr>
          <w:lang w:val="de-DE"/>
        </w:rPr>
        <w:t>.</w:t>
      </w:r>
      <w:r w:rsidRPr="0049187C">
        <w:rPr>
          <w:lang w:val="de-DE"/>
        </w:rPr>
        <w:t>2 </w:t>
      </w:r>
      <w:r w:rsidR="00FD7DFF" w:rsidRPr="0049187C">
        <w:rPr>
          <w:lang w:val="de-DE"/>
        </w:rPr>
        <w:t>beschrieben.</w:t>
      </w:r>
    </w:p>
    <w:p w14:paraId="74930898" w14:textId="77777777" w:rsidR="00F83928" w:rsidRPr="0049187C" w:rsidRDefault="00F83928" w:rsidP="0049187C">
      <w:pPr>
        <w:spacing w:after="0" w:line="240" w:lineRule="auto"/>
        <w:ind w:left="0" w:firstLine="0"/>
        <w:rPr>
          <w:lang w:val="de-DE"/>
        </w:rPr>
      </w:pPr>
    </w:p>
    <w:p w14:paraId="47BDB3FE" w14:textId="77777777" w:rsidR="00261AC3" w:rsidRPr="0049187C" w:rsidRDefault="00B00716" w:rsidP="0049187C">
      <w:pPr>
        <w:spacing w:after="0" w:line="240" w:lineRule="auto"/>
        <w:ind w:left="0" w:firstLine="0"/>
        <w:rPr>
          <w:u w:val="single"/>
          <w:lang w:val="de-DE"/>
        </w:rPr>
      </w:pPr>
      <w:r w:rsidRPr="0049187C">
        <w:rPr>
          <w:u w:val="single"/>
          <w:lang w:val="de-DE"/>
        </w:rPr>
        <w:t>Art der Anwendung</w:t>
      </w:r>
    </w:p>
    <w:p w14:paraId="53AEEC04" w14:textId="77777777" w:rsidR="00F83928" w:rsidRPr="0049187C" w:rsidRDefault="00F83928" w:rsidP="0049187C">
      <w:pPr>
        <w:spacing w:after="0" w:line="240" w:lineRule="auto"/>
        <w:ind w:left="0" w:firstLine="0"/>
        <w:rPr>
          <w:lang w:val="de-DE"/>
        </w:rPr>
      </w:pPr>
    </w:p>
    <w:p w14:paraId="78A13FFF" w14:textId="77777777" w:rsidR="00261AC3" w:rsidRPr="0049187C" w:rsidRDefault="00B00716" w:rsidP="0049187C">
      <w:pPr>
        <w:spacing w:after="0" w:line="240" w:lineRule="auto"/>
        <w:ind w:left="0" w:firstLine="0"/>
        <w:rPr>
          <w:lang w:val="de-DE"/>
        </w:rPr>
      </w:pPr>
      <w:r w:rsidRPr="0049187C">
        <w:rPr>
          <w:lang w:val="de-DE"/>
        </w:rPr>
        <w:t>Zur subkutanen Anwendung.</w:t>
      </w:r>
    </w:p>
    <w:p w14:paraId="5D212514" w14:textId="77777777" w:rsidR="00F83928" w:rsidRPr="0049187C" w:rsidRDefault="00F83928" w:rsidP="0049187C">
      <w:pPr>
        <w:spacing w:after="0" w:line="240" w:lineRule="auto"/>
        <w:ind w:left="0" w:firstLine="0"/>
        <w:rPr>
          <w:lang w:val="de-DE"/>
        </w:rPr>
      </w:pPr>
    </w:p>
    <w:p w14:paraId="5B984B74" w14:textId="77777777" w:rsidR="00261AC3" w:rsidRPr="0049187C" w:rsidRDefault="00B00716" w:rsidP="0049187C">
      <w:pPr>
        <w:spacing w:after="0" w:line="240" w:lineRule="auto"/>
        <w:ind w:left="0" w:firstLine="0"/>
        <w:rPr>
          <w:lang w:val="de-DE"/>
        </w:rPr>
      </w:pPr>
      <w:r w:rsidRPr="0049187C">
        <w:rPr>
          <w:lang w:val="de-DE"/>
        </w:rPr>
        <w:t>Die Anwendung ist durch eine Person durchzuführen, die in Injektionstechniken angemessen geschult wurde.</w:t>
      </w:r>
    </w:p>
    <w:p w14:paraId="7C937D26" w14:textId="77777777" w:rsidR="00F83928" w:rsidRPr="0049187C" w:rsidRDefault="00F83928" w:rsidP="0049187C">
      <w:pPr>
        <w:spacing w:after="0" w:line="240" w:lineRule="auto"/>
        <w:ind w:left="0" w:firstLine="0"/>
        <w:rPr>
          <w:lang w:val="de-DE"/>
        </w:rPr>
      </w:pPr>
    </w:p>
    <w:p w14:paraId="41351D1B" w14:textId="77777777" w:rsidR="00261AC3" w:rsidRPr="0049187C" w:rsidRDefault="00B00716" w:rsidP="0049187C">
      <w:pPr>
        <w:spacing w:after="0" w:line="240" w:lineRule="auto"/>
        <w:ind w:left="0" w:firstLine="0"/>
        <w:rPr>
          <w:lang w:val="de-DE"/>
        </w:rPr>
      </w:pPr>
      <w:r w:rsidRPr="0049187C">
        <w:rPr>
          <w:lang w:val="de-DE"/>
        </w:rPr>
        <w:t>Die Anleitung für die Anwendung, Handhabung und Entsorgung ist in Abschnitt 6.6 zu finden.</w:t>
      </w:r>
    </w:p>
    <w:p w14:paraId="2DAA69DB" w14:textId="77777777" w:rsidR="00F83928" w:rsidRPr="0049187C" w:rsidRDefault="00F83928" w:rsidP="0049187C">
      <w:pPr>
        <w:spacing w:after="0" w:line="240" w:lineRule="auto"/>
        <w:ind w:left="0" w:firstLine="0"/>
        <w:rPr>
          <w:lang w:val="de-DE"/>
        </w:rPr>
      </w:pPr>
    </w:p>
    <w:p w14:paraId="7DABB040" w14:textId="77777777" w:rsidR="00261AC3" w:rsidRPr="0049187C" w:rsidRDefault="00B00716" w:rsidP="0049187C">
      <w:pPr>
        <w:keepNext/>
        <w:keepLines/>
        <w:tabs>
          <w:tab w:val="left" w:pos="567"/>
        </w:tabs>
        <w:spacing w:after="0" w:line="240" w:lineRule="auto"/>
        <w:ind w:left="0" w:firstLine="0"/>
        <w:rPr>
          <w:b/>
          <w:lang w:val="de-DE"/>
        </w:rPr>
      </w:pPr>
      <w:r w:rsidRPr="0049187C">
        <w:rPr>
          <w:b/>
          <w:lang w:val="de-DE"/>
        </w:rPr>
        <w:t>4.3</w:t>
      </w:r>
      <w:r w:rsidRPr="0049187C">
        <w:rPr>
          <w:b/>
          <w:lang w:val="de-DE"/>
        </w:rPr>
        <w:tab/>
        <w:t>Gegenanzeigen</w:t>
      </w:r>
    </w:p>
    <w:p w14:paraId="3E958235" w14:textId="77777777" w:rsidR="00F83928" w:rsidRPr="0049187C" w:rsidRDefault="00F83928" w:rsidP="0049187C">
      <w:pPr>
        <w:keepNext/>
        <w:keepLines/>
        <w:spacing w:after="0" w:line="240" w:lineRule="auto"/>
        <w:ind w:left="0" w:firstLine="0"/>
        <w:rPr>
          <w:lang w:val="de-DE"/>
        </w:rPr>
      </w:pPr>
    </w:p>
    <w:p w14:paraId="08B107F2" w14:textId="77777777" w:rsidR="00261AC3" w:rsidRPr="0049187C" w:rsidRDefault="00B00716" w:rsidP="0049187C">
      <w:pPr>
        <w:spacing w:after="0" w:line="240" w:lineRule="auto"/>
        <w:ind w:left="0" w:firstLine="0"/>
        <w:rPr>
          <w:lang w:val="de-DE"/>
        </w:rPr>
      </w:pPr>
      <w:r w:rsidRPr="0049187C">
        <w:rPr>
          <w:lang w:val="de-DE"/>
        </w:rPr>
        <w:t>Überempfindlichkeit gegen den Wirkstoff oder einen der in Abschnitt 6.1 genannten sonstigen Bestandteile.</w:t>
      </w:r>
    </w:p>
    <w:p w14:paraId="0A8A767B" w14:textId="77777777" w:rsidR="00F83928" w:rsidRPr="0049187C" w:rsidRDefault="00F83928" w:rsidP="0049187C">
      <w:pPr>
        <w:spacing w:after="0" w:line="240" w:lineRule="auto"/>
        <w:ind w:left="0" w:firstLine="0"/>
        <w:rPr>
          <w:lang w:val="de-DE"/>
        </w:rPr>
      </w:pPr>
    </w:p>
    <w:p w14:paraId="7CEFFC8F" w14:textId="77777777" w:rsidR="00261AC3" w:rsidRPr="0049187C" w:rsidRDefault="00B00716" w:rsidP="0049187C">
      <w:pPr>
        <w:spacing w:after="0" w:line="240" w:lineRule="auto"/>
        <w:ind w:left="0" w:firstLine="0"/>
        <w:rPr>
          <w:lang w:val="de-DE"/>
        </w:rPr>
      </w:pPr>
      <w:r w:rsidRPr="0049187C">
        <w:rPr>
          <w:lang w:val="de-DE"/>
        </w:rPr>
        <w:t>Hypokalzämie (siehe Abschnitt 4.4).</w:t>
      </w:r>
    </w:p>
    <w:p w14:paraId="1DB8FCC7" w14:textId="77777777" w:rsidR="00F83928" w:rsidRPr="0049187C" w:rsidRDefault="00F83928" w:rsidP="0049187C">
      <w:pPr>
        <w:spacing w:after="0" w:line="240" w:lineRule="auto"/>
        <w:ind w:left="0" w:firstLine="0"/>
        <w:rPr>
          <w:lang w:val="de-DE"/>
        </w:rPr>
      </w:pPr>
    </w:p>
    <w:p w14:paraId="5CC61776" w14:textId="77777777" w:rsidR="00261AC3" w:rsidRPr="0049187C" w:rsidRDefault="00B00716" w:rsidP="0049187C">
      <w:pPr>
        <w:keepNext/>
        <w:keepLines/>
        <w:tabs>
          <w:tab w:val="left" w:pos="567"/>
        </w:tabs>
        <w:spacing w:after="0" w:line="240" w:lineRule="auto"/>
        <w:ind w:left="0" w:firstLine="0"/>
        <w:rPr>
          <w:lang w:val="de-DE"/>
        </w:rPr>
      </w:pPr>
      <w:r w:rsidRPr="0049187C">
        <w:rPr>
          <w:b/>
          <w:lang w:val="de-DE"/>
        </w:rPr>
        <w:t>4.4</w:t>
      </w:r>
      <w:r w:rsidRPr="0049187C">
        <w:rPr>
          <w:b/>
          <w:lang w:val="de-DE"/>
        </w:rPr>
        <w:tab/>
        <w:t>Besondere Warnhinweise und Vorsichtsmaßnahmen für die Anwendung</w:t>
      </w:r>
    </w:p>
    <w:p w14:paraId="367EFA69" w14:textId="77777777" w:rsidR="00F83928" w:rsidRPr="0049187C" w:rsidRDefault="00F83928" w:rsidP="0049187C">
      <w:pPr>
        <w:keepNext/>
        <w:keepLines/>
        <w:spacing w:after="0" w:line="240" w:lineRule="auto"/>
        <w:ind w:left="0" w:firstLine="0"/>
        <w:rPr>
          <w:lang w:val="de-DE"/>
        </w:rPr>
      </w:pPr>
    </w:p>
    <w:p w14:paraId="4059613E" w14:textId="77777777" w:rsidR="00261AC3" w:rsidRPr="0049187C" w:rsidRDefault="00B00716" w:rsidP="0049187C">
      <w:pPr>
        <w:keepNext/>
        <w:keepLines/>
        <w:spacing w:after="0" w:line="240" w:lineRule="auto"/>
        <w:ind w:left="0" w:firstLine="0"/>
        <w:rPr>
          <w:u w:val="single"/>
          <w:lang w:val="de-DE"/>
        </w:rPr>
      </w:pPr>
      <w:r w:rsidRPr="0049187C">
        <w:rPr>
          <w:u w:val="single"/>
          <w:lang w:val="de-DE"/>
        </w:rPr>
        <w:t>Rückverfolgbarkeit</w:t>
      </w:r>
    </w:p>
    <w:p w14:paraId="3FF44BDC" w14:textId="77777777" w:rsidR="00F83928" w:rsidRPr="0049187C" w:rsidRDefault="00F83928" w:rsidP="0049187C">
      <w:pPr>
        <w:spacing w:after="0" w:line="240" w:lineRule="auto"/>
        <w:ind w:left="0" w:firstLine="0"/>
        <w:rPr>
          <w:lang w:val="de-DE"/>
        </w:rPr>
      </w:pPr>
    </w:p>
    <w:p w14:paraId="1A0F0393" w14:textId="77777777" w:rsidR="00261AC3" w:rsidRPr="0049187C" w:rsidRDefault="00B00716" w:rsidP="0049187C">
      <w:pPr>
        <w:spacing w:after="0" w:line="240" w:lineRule="auto"/>
        <w:ind w:left="0" w:firstLine="0"/>
        <w:rPr>
          <w:lang w:val="de-DE"/>
        </w:rPr>
      </w:pPr>
      <w:r w:rsidRPr="0049187C">
        <w:rPr>
          <w:lang w:val="de-DE"/>
        </w:rPr>
        <w:t>Um die Rückverfolgbarkeit biologischer Arzneimittel zu verbessern, müssen die Bezeichnung des Arzneimittels und die Chargenbezeichnung des angewendeten Arzneimittels eindeutig dokumentiert werden.</w:t>
      </w:r>
    </w:p>
    <w:p w14:paraId="4D08F146" w14:textId="77777777" w:rsidR="00F83928" w:rsidRPr="0049187C" w:rsidRDefault="00F83928" w:rsidP="0049187C">
      <w:pPr>
        <w:spacing w:after="0" w:line="240" w:lineRule="auto"/>
        <w:ind w:left="0" w:firstLine="0"/>
        <w:rPr>
          <w:lang w:val="de-DE"/>
        </w:rPr>
      </w:pPr>
    </w:p>
    <w:p w14:paraId="6B1CE038" w14:textId="77777777" w:rsidR="00261AC3" w:rsidRPr="0049187C" w:rsidRDefault="00B00716" w:rsidP="0049187C">
      <w:pPr>
        <w:spacing w:after="0" w:line="240" w:lineRule="auto"/>
        <w:ind w:left="0" w:firstLine="0"/>
        <w:rPr>
          <w:lang w:val="de-DE"/>
        </w:rPr>
      </w:pPr>
      <w:r w:rsidRPr="0049187C">
        <w:rPr>
          <w:u w:val="single" w:color="000000"/>
          <w:lang w:val="de-DE"/>
        </w:rPr>
        <w:t>Ergänzung mit Calcium und Vitamin D</w:t>
      </w:r>
    </w:p>
    <w:p w14:paraId="4DD2C3B9" w14:textId="77777777" w:rsidR="00F83928" w:rsidRPr="0049187C" w:rsidRDefault="00F83928" w:rsidP="0049187C">
      <w:pPr>
        <w:spacing w:after="0" w:line="240" w:lineRule="auto"/>
        <w:ind w:left="0" w:firstLine="0"/>
        <w:rPr>
          <w:lang w:val="de-DE"/>
        </w:rPr>
      </w:pPr>
    </w:p>
    <w:p w14:paraId="29AB61F5" w14:textId="77777777" w:rsidR="00261AC3" w:rsidRPr="0049187C" w:rsidRDefault="00B00716" w:rsidP="0049187C">
      <w:pPr>
        <w:spacing w:after="0" w:line="240" w:lineRule="auto"/>
        <w:ind w:left="0" w:firstLine="0"/>
        <w:rPr>
          <w:lang w:val="de-DE"/>
        </w:rPr>
      </w:pPr>
      <w:r w:rsidRPr="0049187C">
        <w:rPr>
          <w:lang w:val="de-DE"/>
        </w:rPr>
        <w:t>Eine ausreichende Versorgung mit Calcium und Vitamin D ist bei allen Patienten wichtig.</w:t>
      </w:r>
    </w:p>
    <w:p w14:paraId="2ED9AE00" w14:textId="77777777" w:rsidR="00F83928" w:rsidRPr="0049187C" w:rsidRDefault="00F83928" w:rsidP="0049187C">
      <w:pPr>
        <w:spacing w:after="0" w:line="240" w:lineRule="auto"/>
        <w:ind w:left="0" w:firstLine="0"/>
        <w:rPr>
          <w:lang w:val="de-DE"/>
        </w:rPr>
      </w:pPr>
    </w:p>
    <w:p w14:paraId="6FF5001A" w14:textId="77777777" w:rsidR="00261AC3" w:rsidRPr="0049187C" w:rsidRDefault="00B00716" w:rsidP="0049187C">
      <w:pPr>
        <w:keepNext/>
        <w:keepLines/>
        <w:spacing w:after="0" w:line="240" w:lineRule="auto"/>
        <w:ind w:left="0" w:firstLine="0"/>
        <w:rPr>
          <w:u w:val="single"/>
          <w:lang w:val="de-DE"/>
        </w:rPr>
      </w:pPr>
      <w:r w:rsidRPr="0049187C">
        <w:rPr>
          <w:u w:val="single"/>
          <w:lang w:val="de-DE"/>
        </w:rPr>
        <w:t>Vorsichtsmaßnahmen für die Anwendung</w:t>
      </w:r>
    </w:p>
    <w:p w14:paraId="2511D7F0" w14:textId="77777777" w:rsidR="00F83928" w:rsidRPr="0049187C" w:rsidRDefault="00F83928" w:rsidP="0049187C">
      <w:pPr>
        <w:spacing w:after="0" w:line="240" w:lineRule="auto"/>
        <w:ind w:left="0" w:firstLine="0"/>
        <w:rPr>
          <w:lang w:val="de-DE"/>
        </w:rPr>
      </w:pPr>
    </w:p>
    <w:p w14:paraId="3895DAA5" w14:textId="77777777" w:rsidR="00261AC3" w:rsidRPr="0049187C" w:rsidRDefault="00B00716" w:rsidP="0049187C">
      <w:pPr>
        <w:spacing w:after="0" w:line="240" w:lineRule="auto"/>
        <w:ind w:left="0" w:firstLine="0"/>
        <w:rPr>
          <w:i/>
          <w:iCs/>
          <w:lang w:val="de-DE"/>
        </w:rPr>
      </w:pPr>
      <w:r w:rsidRPr="0049187C">
        <w:rPr>
          <w:i/>
          <w:iCs/>
          <w:lang w:val="de-DE"/>
        </w:rPr>
        <w:t>Hypokalzämie</w:t>
      </w:r>
    </w:p>
    <w:p w14:paraId="67F1B837" w14:textId="77777777" w:rsidR="00261AC3" w:rsidRPr="0049187C" w:rsidRDefault="00B00716" w:rsidP="0049187C">
      <w:pPr>
        <w:spacing w:after="0" w:line="240" w:lineRule="auto"/>
        <w:ind w:left="0" w:firstLine="0"/>
        <w:rPr>
          <w:lang w:val="de-DE"/>
        </w:rPr>
      </w:pPr>
      <w:r w:rsidRPr="0049187C">
        <w:rPr>
          <w:lang w:val="de-DE"/>
        </w:rPr>
        <w:t>Es ist wichtig, Patienten mit Hypokalzämie</w:t>
      </w:r>
      <w:r w:rsidRPr="0049187C">
        <w:rPr>
          <w:lang w:val="de-DE"/>
        </w:rPr>
        <w:noBreakHyphen/>
        <w:t xml:space="preserve">Risiko zu erkennen. Bevor mit der Therapie begonnen wird, muss eine Hypokalzämie durch eine ausreichende Zufuhr an Calcium und Vitamin D korrigiert werden. Vor jeder Anwendung wird eine klinische Kontrolle der Calciumspiegel empfohlen sowie bei Patienten mit einer Prädisposition für eine Hypokalzämie innerhalb von zwei Wochen nach der Anfangsdosis. Wenn ein Patient während der Therapie verdächtige Symptome einer Hypokalzämie zeigt, müssen die Calciumspiegel gemessen werden (siehe Abschnitt 4.8 bezüglich Symptome). Patienten </w:t>
      </w:r>
      <w:r w:rsidR="007E3DB0" w:rsidRPr="0049187C">
        <w:rPr>
          <w:lang w:val="de-DE"/>
        </w:rPr>
        <w:t xml:space="preserve">müssen </w:t>
      </w:r>
      <w:r w:rsidRPr="0049187C">
        <w:rPr>
          <w:lang w:val="de-DE"/>
        </w:rPr>
        <w:t>dazu aufgefordert werden, Symptome, die auf eine Hypokalzämie hinweisen, zu berichten.</w:t>
      </w:r>
    </w:p>
    <w:p w14:paraId="3F3512BD" w14:textId="77777777" w:rsidR="00CE0E30" w:rsidRPr="0049187C" w:rsidRDefault="00CE0E30" w:rsidP="0049187C">
      <w:pPr>
        <w:spacing w:after="0" w:line="240" w:lineRule="auto"/>
        <w:ind w:left="0" w:firstLine="0"/>
        <w:rPr>
          <w:lang w:val="de-DE"/>
        </w:rPr>
      </w:pPr>
    </w:p>
    <w:p w14:paraId="721CA0B1" w14:textId="77777777" w:rsidR="00CE0E30" w:rsidRPr="0049187C" w:rsidRDefault="00B00716" w:rsidP="0049187C">
      <w:pPr>
        <w:spacing w:after="0" w:line="240" w:lineRule="auto"/>
        <w:ind w:left="0" w:firstLine="0"/>
        <w:rPr>
          <w:lang w:val="de-DE"/>
        </w:rPr>
      </w:pPr>
      <w:r w:rsidRPr="0049187C">
        <w:rPr>
          <w:lang w:val="de-DE"/>
        </w:rPr>
        <w:t>Nach Markteinführung wurde über schwere symptomatische Hypokalzämie (die mit Hospitalisierung, lebensbedrohlichen Ereignissen und Fällen mit tödlichem Ausgang einherging) berichtet. Zwar traten die meisten Fälle in den ersten Wochen nach Therapiebeginn auf, aber diese sind auch später aufgetreten.</w:t>
      </w:r>
    </w:p>
    <w:p w14:paraId="4F4DA3CE" w14:textId="77777777" w:rsidR="00F83928" w:rsidRPr="0049187C" w:rsidRDefault="00F83928" w:rsidP="0049187C">
      <w:pPr>
        <w:spacing w:after="0" w:line="240" w:lineRule="auto"/>
        <w:ind w:left="0" w:firstLine="0"/>
        <w:rPr>
          <w:lang w:val="de-DE"/>
        </w:rPr>
      </w:pPr>
    </w:p>
    <w:p w14:paraId="7091F943" w14:textId="77777777" w:rsidR="00261AC3" w:rsidRPr="0049187C" w:rsidRDefault="00B00716" w:rsidP="0049187C">
      <w:pPr>
        <w:spacing w:after="0" w:line="240" w:lineRule="auto"/>
        <w:ind w:left="0" w:firstLine="0"/>
        <w:rPr>
          <w:lang w:val="de-DE"/>
        </w:rPr>
      </w:pPr>
      <w:r w:rsidRPr="0049187C">
        <w:rPr>
          <w:lang w:val="de-DE"/>
        </w:rPr>
        <w:t>Eine gleichzeitige Glucocorticoid</w:t>
      </w:r>
      <w:r w:rsidRPr="0049187C">
        <w:rPr>
          <w:lang w:val="de-DE"/>
        </w:rPr>
        <w:noBreakHyphen/>
        <w:t>Therapie stellt ein zusätzliches Risiko für Hypokalzämie dar.</w:t>
      </w:r>
    </w:p>
    <w:p w14:paraId="2B1480F8" w14:textId="77777777" w:rsidR="00F83928" w:rsidRPr="0049187C" w:rsidRDefault="00F83928" w:rsidP="0049187C">
      <w:pPr>
        <w:spacing w:after="0" w:line="240" w:lineRule="auto"/>
        <w:ind w:left="0" w:firstLine="0"/>
        <w:rPr>
          <w:lang w:val="de-DE"/>
        </w:rPr>
      </w:pPr>
    </w:p>
    <w:p w14:paraId="4CA466DC" w14:textId="77777777" w:rsidR="00261AC3" w:rsidRPr="0049187C" w:rsidRDefault="00B00716" w:rsidP="0049187C">
      <w:pPr>
        <w:keepNext/>
        <w:keepLines/>
        <w:spacing w:after="0" w:line="240" w:lineRule="auto"/>
        <w:ind w:left="0" w:firstLine="0"/>
        <w:rPr>
          <w:i/>
          <w:iCs/>
          <w:lang w:val="de-DE"/>
        </w:rPr>
      </w:pPr>
      <w:del w:id="10" w:author="Lionbridge" w:date="2025-06-17T19:27:00Z" w16du:dateUtc="2025-06-17T13:57:00Z">
        <w:r w:rsidRPr="0049187C" w:rsidDel="009943A9">
          <w:rPr>
            <w:i/>
            <w:iCs/>
            <w:lang w:val="de-DE"/>
          </w:rPr>
          <w:delText>Nierenfunktionsstörung</w:delText>
        </w:r>
      </w:del>
      <w:ins w:id="11" w:author="Lionbridge" w:date="2025-06-17T19:27:00Z" w16du:dateUtc="2025-06-17T13:57:00Z">
        <w:r w:rsidR="009943A9" w:rsidRPr="0049187C">
          <w:rPr>
            <w:i/>
            <w:iCs/>
            <w:lang w:val="de-DE"/>
          </w:rPr>
          <w:t>Nierenfunktionsbeeinträchtigung</w:t>
        </w:r>
      </w:ins>
    </w:p>
    <w:p w14:paraId="5A0AEBAC" w14:textId="77777777" w:rsidR="00261AC3" w:rsidRPr="0049187C" w:rsidRDefault="00B00716" w:rsidP="0049187C">
      <w:pPr>
        <w:spacing w:after="0" w:line="240" w:lineRule="auto"/>
        <w:ind w:left="0" w:firstLine="0"/>
        <w:rPr>
          <w:lang w:val="de-DE"/>
        </w:rPr>
      </w:pPr>
      <w:r w:rsidRPr="0049187C">
        <w:rPr>
          <w:lang w:val="de-DE"/>
        </w:rPr>
        <w:t xml:space="preserve">Bei Patienten mit schwerer </w:t>
      </w:r>
      <w:del w:id="12" w:author="Lionbridge" w:date="2025-06-17T19:27:00Z" w16du:dateUtc="2025-06-17T13:57:00Z">
        <w:r w:rsidRPr="0049187C" w:rsidDel="009943A9">
          <w:rPr>
            <w:lang w:val="de-DE"/>
          </w:rPr>
          <w:delText>Nierenfunktionsstörung</w:delText>
        </w:r>
      </w:del>
      <w:ins w:id="13" w:author="Lionbridge" w:date="2025-06-17T19:27:00Z" w16du:dateUtc="2025-06-17T13:57:00Z">
        <w:r w:rsidR="009943A9" w:rsidRPr="0049187C">
          <w:rPr>
            <w:lang w:val="de-DE"/>
          </w:rPr>
          <w:t>Nierenfunktionsbeeinträchtigung</w:t>
        </w:r>
      </w:ins>
      <w:r w:rsidRPr="0049187C">
        <w:rPr>
          <w:lang w:val="de-DE"/>
        </w:rPr>
        <w:t xml:space="preserve"> (Kreatinin</w:t>
      </w:r>
      <w:r w:rsidRPr="0049187C">
        <w:rPr>
          <w:lang w:val="de-DE"/>
        </w:rPr>
        <w:noBreakHyphen/>
        <w:t>Clearance &lt; 30 ml/min) oder bei dialysepflichtigen Patienten besteht ein höheres Risiko, dass sie eine Hypokalzämie entwickeln. Das Risiko, eine Hypokalzämie und einen begleitenden Parathormon</w:t>
      </w:r>
      <w:r w:rsidRPr="0049187C">
        <w:rPr>
          <w:lang w:val="de-DE"/>
        </w:rPr>
        <w:noBreakHyphen/>
        <w:t xml:space="preserve">Anstieg zu entwickeln, erhöht sich mit steigendem Grad der </w:t>
      </w:r>
      <w:del w:id="14" w:author="Lionbridge" w:date="2025-06-17T19:27:00Z" w16du:dateUtc="2025-06-17T13:57:00Z">
        <w:r w:rsidRPr="0049187C" w:rsidDel="009943A9">
          <w:rPr>
            <w:lang w:val="de-DE"/>
          </w:rPr>
          <w:delText>Nierenfunktionsstörung</w:delText>
        </w:r>
      </w:del>
      <w:ins w:id="15" w:author="Lionbridge" w:date="2025-06-17T19:27:00Z" w16du:dateUtc="2025-06-17T13:57:00Z">
        <w:r w:rsidR="009943A9" w:rsidRPr="0049187C">
          <w:rPr>
            <w:lang w:val="de-DE"/>
          </w:rPr>
          <w:t>Nierenfunktionsbeeinträchtigung</w:t>
        </w:r>
      </w:ins>
      <w:r w:rsidRPr="0049187C">
        <w:rPr>
          <w:lang w:val="de-DE"/>
        </w:rPr>
        <w:t xml:space="preserve">. </w:t>
      </w:r>
      <w:r w:rsidR="00CE0E30" w:rsidRPr="0049187C">
        <w:rPr>
          <w:lang w:val="de-DE"/>
        </w:rPr>
        <w:t xml:space="preserve">Über schwere und tödlich verlaufende Fälle wurde berichtet. </w:t>
      </w:r>
      <w:r w:rsidRPr="0049187C">
        <w:rPr>
          <w:lang w:val="de-DE"/>
        </w:rPr>
        <w:t xml:space="preserve">Bei diesen Patienten sind eine adäquate Einnahme von Calcium und Vitamin D sowie eine regelmäßige Überwachung </w:t>
      </w:r>
      <w:r w:rsidR="007E3DB0" w:rsidRPr="0049187C">
        <w:rPr>
          <w:lang w:val="de-DE"/>
        </w:rPr>
        <w:t>des Calciumspiegels</w:t>
      </w:r>
      <w:r w:rsidRPr="0049187C">
        <w:rPr>
          <w:lang w:val="de-DE"/>
        </w:rPr>
        <w:t xml:space="preserve"> besonders wichtig, siehe oben.</w:t>
      </w:r>
    </w:p>
    <w:p w14:paraId="700018F2" w14:textId="77777777" w:rsidR="00F83928" w:rsidRPr="0049187C" w:rsidRDefault="00F83928" w:rsidP="0049187C">
      <w:pPr>
        <w:spacing w:after="0" w:line="240" w:lineRule="auto"/>
        <w:ind w:left="0" w:firstLine="0"/>
        <w:rPr>
          <w:lang w:val="de-DE"/>
        </w:rPr>
      </w:pPr>
    </w:p>
    <w:p w14:paraId="4EC9F898" w14:textId="77777777" w:rsidR="00261AC3" w:rsidRPr="0049187C" w:rsidRDefault="00B00716" w:rsidP="0049187C">
      <w:pPr>
        <w:keepNext/>
        <w:keepLines/>
        <w:spacing w:after="0" w:line="240" w:lineRule="auto"/>
        <w:ind w:left="0" w:firstLine="0"/>
        <w:rPr>
          <w:i/>
          <w:iCs/>
          <w:lang w:val="de-DE"/>
        </w:rPr>
      </w:pPr>
      <w:r w:rsidRPr="0049187C">
        <w:rPr>
          <w:i/>
          <w:iCs/>
          <w:lang w:val="de-DE"/>
        </w:rPr>
        <w:t>Hautinfektionen</w:t>
      </w:r>
    </w:p>
    <w:p w14:paraId="3552C2A6" w14:textId="77777777" w:rsidR="00261AC3" w:rsidRPr="0049187C" w:rsidRDefault="00B00716" w:rsidP="0049187C">
      <w:pPr>
        <w:spacing w:after="0" w:line="240" w:lineRule="auto"/>
        <w:ind w:left="0" w:firstLine="0"/>
        <w:rPr>
          <w:lang w:val="de-DE"/>
        </w:rPr>
      </w:pPr>
      <w:r w:rsidRPr="0049187C">
        <w:rPr>
          <w:lang w:val="de-DE"/>
        </w:rPr>
        <w:t xml:space="preserve">Patienten, die Denosumab erhalten, können Hautinfektionen entwickeln (hauptsächlich </w:t>
      </w:r>
      <w:r w:rsidR="00336FFE" w:rsidRPr="0049187C">
        <w:rPr>
          <w:lang w:val="de-DE"/>
        </w:rPr>
        <w:t>Zellulitis</w:t>
      </w:r>
      <w:r w:rsidRPr="0049187C">
        <w:rPr>
          <w:lang w:val="de-DE"/>
        </w:rPr>
        <w:t>), die zu einer Hospitalisierung führen können (siehe</w:t>
      </w:r>
      <w:r w:rsidR="004A0E08" w:rsidRPr="0049187C">
        <w:rPr>
          <w:lang w:val="de-DE"/>
        </w:rPr>
        <w:t xml:space="preserve"> </w:t>
      </w:r>
      <w:r w:rsidRPr="0049187C">
        <w:rPr>
          <w:lang w:val="de-DE"/>
        </w:rPr>
        <w:t xml:space="preserve">Abschnitt 4.8). Patienten </w:t>
      </w:r>
      <w:r w:rsidR="007E3DB0" w:rsidRPr="0049187C">
        <w:rPr>
          <w:lang w:val="de-DE"/>
        </w:rPr>
        <w:t xml:space="preserve">müssen </w:t>
      </w:r>
      <w:r w:rsidRPr="0049187C">
        <w:rPr>
          <w:lang w:val="de-DE"/>
        </w:rPr>
        <w:t xml:space="preserve">angewiesen werden, sofort einen Arzt aufzusuchen, falls sie Anzeichen oder Symptome einer </w:t>
      </w:r>
      <w:r w:rsidR="00336FFE" w:rsidRPr="0049187C">
        <w:rPr>
          <w:lang w:val="de-DE"/>
        </w:rPr>
        <w:t>Zellulitis</w:t>
      </w:r>
      <w:r w:rsidRPr="0049187C">
        <w:rPr>
          <w:lang w:val="de-DE"/>
        </w:rPr>
        <w:t xml:space="preserve"> entwickeln.</w:t>
      </w:r>
    </w:p>
    <w:p w14:paraId="43023591" w14:textId="77777777" w:rsidR="00F83928" w:rsidRPr="0049187C" w:rsidRDefault="00F83928" w:rsidP="0049187C">
      <w:pPr>
        <w:spacing w:after="0" w:line="240" w:lineRule="auto"/>
        <w:ind w:left="0" w:firstLine="0"/>
        <w:rPr>
          <w:lang w:val="de-DE"/>
        </w:rPr>
      </w:pPr>
    </w:p>
    <w:p w14:paraId="46CDDEA8" w14:textId="77777777" w:rsidR="00261AC3" w:rsidRPr="0049187C" w:rsidRDefault="00B00716" w:rsidP="0049187C">
      <w:pPr>
        <w:keepNext/>
        <w:keepLines/>
        <w:spacing w:after="0" w:line="240" w:lineRule="auto"/>
        <w:ind w:left="0" w:firstLine="0"/>
        <w:rPr>
          <w:i/>
          <w:iCs/>
        </w:rPr>
      </w:pPr>
      <w:r w:rsidRPr="0049187C">
        <w:rPr>
          <w:i/>
          <w:iCs/>
        </w:rPr>
        <w:t xml:space="preserve">Osteonekrose des Kiefers </w:t>
      </w:r>
      <w:r w:rsidR="00FD7DFF" w:rsidRPr="0049187C">
        <w:rPr>
          <w:i/>
          <w:iCs/>
        </w:rPr>
        <w:t>(osteonecrosis of the jaw, ONJ)</w:t>
      </w:r>
    </w:p>
    <w:p w14:paraId="62E3AAD8" w14:textId="77777777" w:rsidR="00261AC3" w:rsidRPr="0049187C" w:rsidRDefault="00B00716" w:rsidP="0049187C">
      <w:pPr>
        <w:spacing w:after="0" w:line="240" w:lineRule="auto"/>
        <w:ind w:left="0" w:firstLine="0"/>
        <w:rPr>
          <w:lang w:val="de-DE"/>
        </w:rPr>
      </w:pPr>
      <w:r w:rsidRPr="0049187C">
        <w:rPr>
          <w:lang w:val="de-DE"/>
        </w:rPr>
        <w:t xml:space="preserve">ONJ wurde selten bei Patienten berichtet, die mit </w:t>
      </w:r>
      <w:r w:rsidR="00706A49" w:rsidRPr="0049187C">
        <w:rPr>
          <w:lang w:val="de-DE"/>
        </w:rPr>
        <w:t xml:space="preserve">Denosumab </w:t>
      </w:r>
      <w:r w:rsidRPr="0049187C">
        <w:rPr>
          <w:lang w:val="de-DE"/>
        </w:rPr>
        <w:t>gegen Osteoporose behandelt wurden (siehe</w:t>
      </w:r>
      <w:r w:rsidR="004A0E08" w:rsidRPr="0049187C">
        <w:rPr>
          <w:lang w:val="de-DE"/>
        </w:rPr>
        <w:t> </w:t>
      </w:r>
      <w:r w:rsidRPr="0049187C">
        <w:rPr>
          <w:lang w:val="de-DE"/>
        </w:rPr>
        <w:t>Abschnitt 4.8).</w:t>
      </w:r>
    </w:p>
    <w:p w14:paraId="531E1C2D" w14:textId="77777777" w:rsidR="00F83928" w:rsidRPr="0049187C" w:rsidRDefault="00F83928" w:rsidP="0049187C">
      <w:pPr>
        <w:spacing w:after="0" w:line="240" w:lineRule="auto"/>
        <w:ind w:left="0" w:firstLine="0"/>
        <w:rPr>
          <w:lang w:val="de-DE"/>
        </w:rPr>
      </w:pPr>
    </w:p>
    <w:p w14:paraId="452BBFEA" w14:textId="77777777" w:rsidR="00261AC3" w:rsidRPr="0049187C" w:rsidRDefault="00B00716" w:rsidP="0049187C">
      <w:pPr>
        <w:spacing w:after="0" w:line="240" w:lineRule="auto"/>
        <w:ind w:left="0" w:firstLine="0"/>
        <w:rPr>
          <w:lang w:val="de-DE"/>
        </w:rPr>
      </w:pPr>
      <w:r w:rsidRPr="0049187C">
        <w:rPr>
          <w:lang w:val="de-DE"/>
        </w:rPr>
        <w:t xml:space="preserve">Der Beginn der Behandlung/eines neuen Behandlungszyklus </w:t>
      </w:r>
      <w:r w:rsidR="007E3DB0" w:rsidRPr="0049187C">
        <w:rPr>
          <w:lang w:val="de-DE"/>
        </w:rPr>
        <w:t xml:space="preserve">muss </w:t>
      </w:r>
      <w:r w:rsidRPr="0049187C">
        <w:rPr>
          <w:lang w:val="de-DE"/>
        </w:rPr>
        <w:t>bei Patienten mit nicht verheilten offenen Weichteilläsionen im Mundraum verschoben werden. Eine zahnärztliche Untersuchung mit präventiver Zahnbehandlung und einer individuellen Nutzen</w:t>
      </w:r>
      <w:r w:rsidRPr="0049187C">
        <w:rPr>
          <w:lang w:val="de-DE"/>
        </w:rPr>
        <w:noBreakHyphen/>
        <w:t>Risiko</w:t>
      </w:r>
      <w:r w:rsidRPr="0049187C">
        <w:rPr>
          <w:lang w:val="de-DE"/>
        </w:rPr>
        <w:noBreakHyphen/>
        <w:t>Bewertung wird vor der Behandlung mit Denosumab bei Patienten mit begleitenden Risikofaktoren empfohlen.</w:t>
      </w:r>
    </w:p>
    <w:p w14:paraId="3A6E5E7B" w14:textId="77777777" w:rsidR="00F83928" w:rsidRPr="0049187C" w:rsidRDefault="00F83928" w:rsidP="0049187C">
      <w:pPr>
        <w:spacing w:after="0" w:line="240" w:lineRule="auto"/>
        <w:ind w:left="0" w:firstLine="0"/>
        <w:rPr>
          <w:lang w:val="de-DE"/>
        </w:rPr>
      </w:pPr>
    </w:p>
    <w:p w14:paraId="372B72CB" w14:textId="77777777" w:rsidR="00261AC3" w:rsidRPr="0049187C" w:rsidRDefault="00B00716" w:rsidP="0049187C">
      <w:pPr>
        <w:spacing w:after="0" w:line="240" w:lineRule="auto"/>
        <w:ind w:left="0" w:firstLine="0"/>
        <w:rPr>
          <w:lang w:val="de-DE"/>
        </w:rPr>
      </w:pPr>
      <w:r w:rsidRPr="0049187C">
        <w:rPr>
          <w:lang w:val="de-DE"/>
        </w:rPr>
        <w:t xml:space="preserve">Die folgenden Risikofaktoren </w:t>
      </w:r>
      <w:r w:rsidR="007E3DB0" w:rsidRPr="0049187C">
        <w:rPr>
          <w:lang w:val="de-DE"/>
        </w:rPr>
        <w:t xml:space="preserve">müssen </w:t>
      </w:r>
      <w:r w:rsidRPr="0049187C">
        <w:rPr>
          <w:lang w:val="de-DE"/>
        </w:rPr>
        <w:t>bei der Einschätzung des Risikos des Patienten für die Entwicklung von ONJ berücksichtigt werden:</w:t>
      </w:r>
    </w:p>
    <w:p w14:paraId="18DFB4FC" w14:textId="77777777" w:rsidR="00261AC3" w:rsidRPr="0049187C" w:rsidRDefault="00B00716" w:rsidP="0049187C">
      <w:pPr>
        <w:numPr>
          <w:ilvl w:val="0"/>
          <w:numId w:val="1"/>
        </w:numPr>
        <w:tabs>
          <w:tab w:val="left" w:pos="567"/>
        </w:tabs>
        <w:spacing w:after="0" w:line="240" w:lineRule="auto"/>
        <w:ind w:left="0" w:firstLine="0"/>
        <w:rPr>
          <w:lang w:val="de-DE"/>
        </w:rPr>
      </w:pPr>
      <w:r w:rsidRPr="0049187C">
        <w:rPr>
          <w:lang w:val="de-DE"/>
        </w:rPr>
        <w:t>Wirksamkeit des Arzneimittels, welches die Knochenresorption inhibiert (höheres Risiko bei hochwirksamen Präparaten), Art der Anwendung (höheres Risiko für parenterale Anwendung) und kumulative Dosis einer Therapie zur Behandlung der Knochenresorption.</w:t>
      </w:r>
    </w:p>
    <w:p w14:paraId="592ED5DA" w14:textId="77777777" w:rsidR="00261AC3" w:rsidRPr="0049187C" w:rsidRDefault="00B00716" w:rsidP="0049187C">
      <w:pPr>
        <w:numPr>
          <w:ilvl w:val="0"/>
          <w:numId w:val="1"/>
        </w:numPr>
        <w:tabs>
          <w:tab w:val="left" w:pos="567"/>
        </w:tabs>
        <w:spacing w:after="0" w:line="240" w:lineRule="auto"/>
        <w:ind w:left="0" w:firstLine="0"/>
        <w:rPr>
          <w:lang w:val="de-DE"/>
        </w:rPr>
      </w:pPr>
      <w:r w:rsidRPr="0049187C">
        <w:rPr>
          <w:lang w:val="de-DE"/>
        </w:rPr>
        <w:t>Krebs, Begleiterkrankungen (z. B. Anämie, Koagulopathien, Infektionen), Rauchen.</w:t>
      </w:r>
    </w:p>
    <w:p w14:paraId="74CEEFC6" w14:textId="77777777" w:rsidR="00261AC3" w:rsidRPr="0049187C" w:rsidRDefault="00B00716" w:rsidP="0049187C">
      <w:pPr>
        <w:numPr>
          <w:ilvl w:val="0"/>
          <w:numId w:val="1"/>
        </w:numPr>
        <w:tabs>
          <w:tab w:val="left" w:pos="567"/>
        </w:tabs>
        <w:spacing w:after="0" w:line="240" w:lineRule="auto"/>
        <w:ind w:left="0" w:firstLine="0"/>
        <w:rPr>
          <w:lang w:val="de-DE"/>
        </w:rPr>
      </w:pPr>
      <w:r w:rsidRPr="0049187C">
        <w:rPr>
          <w:lang w:val="de-DE"/>
        </w:rPr>
        <w:t>Begleittherapien: Kortikosteroide, Chemotherapie, Angiogeneseinhibitoren, Radiotherapie im Kopf</w:t>
      </w:r>
      <w:r w:rsidRPr="0049187C">
        <w:rPr>
          <w:lang w:val="de-DE"/>
        </w:rPr>
        <w:noBreakHyphen/>
        <w:t>Hals</w:t>
      </w:r>
      <w:r w:rsidRPr="0049187C">
        <w:rPr>
          <w:lang w:val="de-DE"/>
        </w:rPr>
        <w:noBreakHyphen/>
        <w:t>Bereich.</w:t>
      </w:r>
    </w:p>
    <w:p w14:paraId="41D16821" w14:textId="77777777" w:rsidR="00261AC3" w:rsidRPr="0049187C" w:rsidRDefault="00B00716" w:rsidP="0049187C">
      <w:pPr>
        <w:numPr>
          <w:ilvl w:val="0"/>
          <w:numId w:val="1"/>
        </w:numPr>
        <w:tabs>
          <w:tab w:val="left" w:pos="567"/>
        </w:tabs>
        <w:spacing w:after="0" w:line="240" w:lineRule="auto"/>
        <w:ind w:left="0" w:firstLine="0"/>
        <w:rPr>
          <w:lang w:val="de-DE"/>
        </w:rPr>
      </w:pPr>
      <w:r w:rsidRPr="0049187C">
        <w:rPr>
          <w:lang w:val="de-DE"/>
        </w:rPr>
        <w:t>Schlechte Mundhygiene, Erkrankung des Zahnfleisches, schlecht passende Zahnprothesen, vorbestehende Zahnerkrankung, invasive Zahnbehandlungen (z. B. Zahnextraktionen).</w:t>
      </w:r>
    </w:p>
    <w:p w14:paraId="199494BB" w14:textId="77777777" w:rsidR="00F83928" w:rsidRPr="0049187C" w:rsidRDefault="00F83928" w:rsidP="0049187C">
      <w:pPr>
        <w:spacing w:after="0" w:line="240" w:lineRule="auto"/>
        <w:ind w:left="0" w:firstLine="0"/>
        <w:rPr>
          <w:lang w:val="de-DE"/>
        </w:rPr>
      </w:pPr>
    </w:p>
    <w:p w14:paraId="741A7C22" w14:textId="77777777" w:rsidR="00261AC3" w:rsidRPr="0049187C" w:rsidRDefault="00B00716" w:rsidP="0049187C">
      <w:pPr>
        <w:keepNext/>
        <w:keepLines/>
        <w:spacing w:after="0" w:line="240" w:lineRule="auto"/>
        <w:ind w:left="0" w:firstLine="0"/>
        <w:rPr>
          <w:lang w:val="de-DE"/>
        </w:rPr>
      </w:pPr>
      <w:r w:rsidRPr="0049187C">
        <w:rPr>
          <w:lang w:val="de-DE"/>
        </w:rPr>
        <w:t xml:space="preserve">Alle Patienten </w:t>
      </w:r>
      <w:r w:rsidR="007E3DB0" w:rsidRPr="0049187C">
        <w:rPr>
          <w:lang w:val="de-DE"/>
        </w:rPr>
        <w:t>müssen</w:t>
      </w:r>
      <w:r w:rsidRPr="0049187C">
        <w:rPr>
          <w:lang w:val="de-DE"/>
        </w:rPr>
        <w:t xml:space="preserve"> dazu angehalten werden, eine gute Mundhygiene einzuhalten, zahnärztliche Routineuntersuchungen durchführen zu lassen und unverzüglich jegliche Symptome im Mundraum wie bewegliche Zähne, Schmerzen oder Schwellungen oder nicht heilende wunde Stellen oder Ausfluss während der Behandlung mit Denosumab zu berichten. Während der Behandlung </w:t>
      </w:r>
      <w:r w:rsidR="009C3A4A" w:rsidRPr="0049187C">
        <w:rPr>
          <w:lang w:val="de-DE"/>
        </w:rPr>
        <w:t>dürfe</w:t>
      </w:r>
      <w:r w:rsidR="007E3DB0" w:rsidRPr="0049187C">
        <w:rPr>
          <w:lang w:val="de-DE"/>
        </w:rPr>
        <w:t>n</w:t>
      </w:r>
      <w:r w:rsidRPr="0049187C">
        <w:rPr>
          <w:lang w:val="de-DE"/>
        </w:rPr>
        <w:t xml:space="preserve"> invasive zahnärztliche Eingriffe nur nach sorgfältiger Abwägung und nicht zeitnah zur Denosumab</w:t>
      </w:r>
      <w:r w:rsidR="00D059C0" w:rsidRPr="0049187C">
        <w:rPr>
          <w:lang w:val="de-DE"/>
        </w:rPr>
        <w:t xml:space="preserve"> </w:t>
      </w:r>
      <w:r w:rsidRPr="0049187C">
        <w:rPr>
          <w:lang w:val="de-DE"/>
        </w:rPr>
        <w:t>Anwendung durchgeführt werden.</w:t>
      </w:r>
    </w:p>
    <w:p w14:paraId="37191904" w14:textId="77777777" w:rsidR="00F83928" w:rsidRPr="0049187C" w:rsidRDefault="00F83928" w:rsidP="0049187C">
      <w:pPr>
        <w:spacing w:after="0" w:line="240" w:lineRule="auto"/>
        <w:ind w:left="0" w:firstLine="0"/>
        <w:rPr>
          <w:lang w:val="de-DE"/>
        </w:rPr>
      </w:pPr>
    </w:p>
    <w:p w14:paraId="58E1813F" w14:textId="77777777" w:rsidR="00261AC3" w:rsidRPr="0049187C" w:rsidRDefault="00B00716" w:rsidP="0049187C">
      <w:pPr>
        <w:keepNext/>
        <w:keepLines/>
        <w:spacing w:after="0" w:line="240" w:lineRule="auto"/>
        <w:ind w:left="0" w:firstLine="0"/>
        <w:rPr>
          <w:lang w:val="de-DE"/>
        </w:rPr>
      </w:pPr>
      <w:r w:rsidRPr="0049187C">
        <w:rPr>
          <w:lang w:val="de-DE"/>
        </w:rPr>
        <w:t xml:space="preserve">Der Behandlungsplan der Patienten, die ONJ entwickeln, </w:t>
      </w:r>
      <w:r w:rsidR="007E3DB0" w:rsidRPr="0049187C">
        <w:rPr>
          <w:lang w:val="de-DE"/>
        </w:rPr>
        <w:t xml:space="preserve">muss </w:t>
      </w:r>
      <w:r w:rsidRPr="0049187C">
        <w:rPr>
          <w:lang w:val="de-DE"/>
        </w:rPr>
        <w:t>in enger Zusammenarbeit zwischen dem behandelnden Arzt und einem ONJ</w:t>
      </w:r>
      <w:r w:rsidRPr="0049187C">
        <w:rPr>
          <w:lang w:val="de-DE"/>
        </w:rPr>
        <w:noBreakHyphen/>
        <w:t>erfahrenen Zahnarzt oder Kieferchirurgen erstellt werden.</w:t>
      </w:r>
      <w:r w:rsidR="004A0E08" w:rsidRPr="0049187C">
        <w:rPr>
          <w:lang w:val="de-DE"/>
        </w:rPr>
        <w:t xml:space="preserve"> </w:t>
      </w:r>
      <w:r w:rsidRPr="0049187C">
        <w:rPr>
          <w:lang w:val="de-DE"/>
        </w:rPr>
        <w:t xml:space="preserve">Eine vorübergehende Unterbrechung der Behandlung </w:t>
      </w:r>
      <w:r w:rsidR="007E3DB0" w:rsidRPr="0049187C">
        <w:rPr>
          <w:lang w:val="de-DE"/>
        </w:rPr>
        <w:t xml:space="preserve">muss </w:t>
      </w:r>
      <w:r w:rsidRPr="0049187C">
        <w:rPr>
          <w:lang w:val="de-DE"/>
        </w:rPr>
        <w:t>erwogen werden, bis sich der Zustand zurückentwickelt hat und sich die Risikofaktoren nach Möglichkeit abgeschwächt haben.</w:t>
      </w:r>
    </w:p>
    <w:p w14:paraId="5E284313" w14:textId="77777777" w:rsidR="00F83928" w:rsidRPr="0049187C" w:rsidRDefault="00F83928" w:rsidP="0049187C">
      <w:pPr>
        <w:spacing w:after="0" w:line="240" w:lineRule="auto"/>
        <w:ind w:left="0" w:firstLine="0"/>
        <w:rPr>
          <w:lang w:val="de-DE"/>
        </w:rPr>
      </w:pPr>
    </w:p>
    <w:p w14:paraId="49A20D0A" w14:textId="77777777" w:rsidR="00261AC3" w:rsidRPr="0049187C" w:rsidRDefault="00B00716" w:rsidP="0049187C">
      <w:pPr>
        <w:keepNext/>
        <w:keepLines/>
        <w:spacing w:after="0" w:line="240" w:lineRule="auto"/>
        <w:ind w:left="0" w:firstLine="0"/>
        <w:rPr>
          <w:i/>
          <w:iCs/>
          <w:lang w:val="de-DE"/>
        </w:rPr>
      </w:pPr>
      <w:r w:rsidRPr="0049187C">
        <w:rPr>
          <w:i/>
          <w:iCs/>
          <w:lang w:val="de-DE"/>
        </w:rPr>
        <w:t>Osteonekrose des äußeren Gehörgangs</w:t>
      </w:r>
    </w:p>
    <w:p w14:paraId="68DB0A01" w14:textId="77777777" w:rsidR="00261AC3" w:rsidRPr="0049187C" w:rsidRDefault="00B00716" w:rsidP="0049187C">
      <w:pPr>
        <w:spacing w:after="0" w:line="240" w:lineRule="auto"/>
        <w:ind w:left="0" w:firstLine="0"/>
        <w:rPr>
          <w:lang w:val="de-DE"/>
        </w:rPr>
      </w:pPr>
      <w:r w:rsidRPr="0049187C">
        <w:rPr>
          <w:lang w:val="de-DE"/>
        </w:rPr>
        <w:t xml:space="preserve">Bei der Anwendung von Denosumab wurde über Osteonekrose des äußeren Gehörgangs berichtet. Zu den möglichen Risikofaktoren für eine Osteonekrose des äußeren Gehörgangs zählen die Anwendung von Steroiden und Chemotherapie und/oder lokale Risikofaktoren wie z. B. Infektionen oder Traumata. Die Möglichkeit einer Osteonekrose des äußeren Gehörgangs </w:t>
      </w:r>
      <w:r w:rsidR="007E3DB0" w:rsidRPr="0049187C">
        <w:rPr>
          <w:lang w:val="de-DE"/>
        </w:rPr>
        <w:t xml:space="preserve">muss </w:t>
      </w:r>
      <w:r w:rsidRPr="0049187C">
        <w:rPr>
          <w:lang w:val="de-DE"/>
        </w:rPr>
        <w:t>bei Patienten in Betracht gezogen werden, die Denosumab erhalten und mit Ohrsymptomen, einschließlich chronischer Ohrinfektionen, vorstellig werden.</w:t>
      </w:r>
    </w:p>
    <w:p w14:paraId="361BAC3E" w14:textId="77777777" w:rsidR="00F83928" w:rsidRPr="0049187C" w:rsidRDefault="00F83928" w:rsidP="0049187C">
      <w:pPr>
        <w:spacing w:after="0" w:line="240" w:lineRule="auto"/>
        <w:ind w:left="0" w:firstLine="0"/>
        <w:rPr>
          <w:lang w:val="de-DE"/>
        </w:rPr>
      </w:pPr>
    </w:p>
    <w:p w14:paraId="5EABA53B" w14:textId="77777777" w:rsidR="00261AC3" w:rsidRPr="0049187C" w:rsidRDefault="00B00716" w:rsidP="0049187C">
      <w:pPr>
        <w:keepNext/>
        <w:keepLines/>
        <w:spacing w:after="0" w:line="240" w:lineRule="auto"/>
        <w:ind w:left="0" w:firstLine="0"/>
        <w:rPr>
          <w:i/>
          <w:iCs/>
          <w:lang w:val="de-DE"/>
        </w:rPr>
      </w:pPr>
      <w:r w:rsidRPr="0049187C">
        <w:rPr>
          <w:i/>
          <w:iCs/>
          <w:lang w:val="de-DE"/>
        </w:rPr>
        <w:t xml:space="preserve">Atypische </w:t>
      </w:r>
      <w:r w:rsidR="00B46D10" w:rsidRPr="0049187C">
        <w:rPr>
          <w:i/>
          <w:iCs/>
          <w:lang w:val="de-DE"/>
        </w:rPr>
        <w:t>Oberschenkelfraktur</w:t>
      </w:r>
      <w:r w:rsidRPr="0049187C">
        <w:rPr>
          <w:i/>
          <w:iCs/>
          <w:lang w:val="de-DE"/>
        </w:rPr>
        <w:t>en</w:t>
      </w:r>
    </w:p>
    <w:p w14:paraId="79EEB90C" w14:textId="77777777" w:rsidR="00261AC3" w:rsidRPr="0049187C" w:rsidRDefault="00B00716" w:rsidP="0049187C">
      <w:pPr>
        <w:spacing w:after="0" w:line="240" w:lineRule="auto"/>
        <w:ind w:left="0" w:firstLine="0"/>
        <w:rPr>
          <w:lang w:val="de-DE"/>
        </w:rPr>
      </w:pPr>
      <w:r w:rsidRPr="0049187C">
        <w:rPr>
          <w:lang w:val="de-DE"/>
        </w:rPr>
        <w:t xml:space="preserve">Über atypische </w:t>
      </w:r>
      <w:r w:rsidR="00B46D10" w:rsidRPr="0049187C">
        <w:rPr>
          <w:lang w:val="de-DE"/>
        </w:rPr>
        <w:t>Oberschenkelfraktur</w:t>
      </w:r>
      <w:r w:rsidRPr="0049187C">
        <w:rPr>
          <w:lang w:val="de-DE"/>
        </w:rPr>
        <w:t>en wurde bei Patienten berichtet, die Denosumab erhielten (siehe</w:t>
      </w:r>
      <w:r w:rsidR="004A0E08" w:rsidRPr="0049187C">
        <w:rPr>
          <w:lang w:val="de-DE"/>
        </w:rPr>
        <w:t xml:space="preserve"> </w:t>
      </w:r>
      <w:r w:rsidRPr="0049187C">
        <w:rPr>
          <w:lang w:val="de-DE"/>
        </w:rPr>
        <w:t xml:space="preserve">Abschnitt 4.8). Atypische </w:t>
      </w:r>
      <w:r w:rsidR="00B46D10" w:rsidRPr="0049187C">
        <w:rPr>
          <w:lang w:val="de-DE"/>
        </w:rPr>
        <w:t>Oberschenkelfraktur</w:t>
      </w:r>
      <w:r w:rsidRPr="0049187C">
        <w:rPr>
          <w:lang w:val="de-DE"/>
        </w:rPr>
        <w:t xml:space="preserve">en können in subtrochantären und diaphysären Bereichen des Femurs nach geringem oder ohne Trauma auftreten. Bestimmte radiologische Befunde kennzeichnen diese Ereignisse. Über atypische </w:t>
      </w:r>
      <w:r w:rsidR="00B46D10" w:rsidRPr="0049187C">
        <w:rPr>
          <w:lang w:val="de-DE"/>
        </w:rPr>
        <w:t>Oberschenkelfraktur</w:t>
      </w:r>
      <w:r w:rsidRPr="0049187C">
        <w:rPr>
          <w:lang w:val="de-DE"/>
        </w:rPr>
        <w:t>en wurde ebenfalls bei Patienten mit bestimmten Begleiterkrankungen (z. B. Vitamin D</w:t>
      </w:r>
      <w:r w:rsidRPr="0049187C">
        <w:rPr>
          <w:lang w:val="de-DE"/>
        </w:rPr>
        <w:noBreakHyphen/>
        <w:t>Mangel, Rheumatoide Arthritis, Hypophosphatasie) und bei der</w:t>
      </w:r>
      <w:r w:rsidR="004A0E08" w:rsidRPr="0049187C">
        <w:rPr>
          <w:lang w:val="de-DE"/>
        </w:rPr>
        <w:t xml:space="preserve"> </w:t>
      </w:r>
      <w:r w:rsidRPr="0049187C">
        <w:rPr>
          <w:lang w:val="de-DE"/>
        </w:rPr>
        <w:t>Anwendung bestimmter Arzneimittel (z. B. Bisphosphonate, Glucocorticoide, Protonenpumpen</w:t>
      </w:r>
      <w:r w:rsidR="004A0E08" w:rsidRPr="0049187C">
        <w:rPr>
          <w:lang w:val="de-DE"/>
        </w:rPr>
        <w:t xml:space="preserve">- </w:t>
      </w:r>
      <w:r w:rsidRPr="0049187C">
        <w:rPr>
          <w:lang w:val="de-DE"/>
        </w:rPr>
        <w:t xml:space="preserve">Inhibitoren) berichtet. Diese Ereignisse traten auch ohne antiresorptive Therapie auf. Vergleichbare Frakturen, über die im Zusammenhang mit Bisphosphonaten berichtet wurde, waren häufig bilateral; daher </w:t>
      </w:r>
      <w:r w:rsidR="007E3DB0" w:rsidRPr="0049187C">
        <w:rPr>
          <w:lang w:val="de-DE"/>
        </w:rPr>
        <w:t xml:space="preserve">muss </w:t>
      </w:r>
      <w:r w:rsidRPr="0049187C">
        <w:rPr>
          <w:lang w:val="de-DE"/>
        </w:rPr>
        <w:t>bei Patienten, die unter Behandlung mit Denosumab eine Femurschaftfraktur erlitten haben, auch das kontralaterale Femur untersucht werden. Auf der Grundlage einer individuellen Nutzen</w:t>
      </w:r>
      <w:r w:rsidRPr="0049187C">
        <w:rPr>
          <w:lang w:val="de-DE"/>
        </w:rPr>
        <w:noBreakHyphen/>
        <w:t>Risiko</w:t>
      </w:r>
      <w:r w:rsidRPr="0049187C">
        <w:rPr>
          <w:lang w:val="de-DE"/>
        </w:rPr>
        <w:noBreakHyphen/>
        <w:t xml:space="preserve">Einschätzung </w:t>
      </w:r>
      <w:r w:rsidR="007E3DB0" w:rsidRPr="0049187C">
        <w:rPr>
          <w:lang w:val="de-DE"/>
        </w:rPr>
        <w:t xml:space="preserve">muss </w:t>
      </w:r>
      <w:r w:rsidRPr="0049187C">
        <w:rPr>
          <w:lang w:val="de-DE"/>
        </w:rPr>
        <w:t xml:space="preserve">bei Patienten mit Verdacht auf eine atypische </w:t>
      </w:r>
      <w:r w:rsidR="00B46D10" w:rsidRPr="0049187C">
        <w:rPr>
          <w:lang w:val="de-DE"/>
        </w:rPr>
        <w:t>Oberschenkelfraktur</w:t>
      </w:r>
      <w:r w:rsidRPr="0049187C">
        <w:rPr>
          <w:lang w:val="de-DE"/>
        </w:rPr>
        <w:t xml:space="preserve"> ein Abbruch der Denosumab</w:t>
      </w:r>
      <w:r w:rsidRPr="0049187C">
        <w:rPr>
          <w:lang w:val="de-DE"/>
        </w:rPr>
        <w:noBreakHyphen/>
        <w:t xml:space="preserve">Therapie erwogen werden. Während der Behandlung mit Denosumab </w:t>
      </w:r>
      <w:r w:rsidR="007E3DB0" w:rsidRPr="0049187C">
        <w:rPr>
          <w:lang w:val="de-DE"/>
        </w:rPr>
        <w:t xml:space="preserve">müssen </w:t>
      </w:r>
      <w:r w:rsidRPr="0049187C">
        <w:rPr>
          <w:lang w:val="de-DE"/>
        </w:rPr>
        <w:t>die Patienten angewiesen werden, neu auftretende oder ungewöhnliche Oberschenkel</w:t>
      </w:r>
      <w:r w:rsidRPr="0049187C">
        <w:rPr>
          <w:lang w:val="de-DE"/>
        </w:rPr>
        <w:noBreakHyphen/>
        <w:t>, Hüft</w:t>
      </w:r>
      <w:r w:rsidRPr="0049187C">
        <w:rPr>
          <w:lang w:val="de-DE"/>
        </w:rPr>
        <w:noBreakHyphen/>
        <w:t xml:space="preserve"> oder Leistenschmerzen zu berichten. Patienten mit solchen Symptomen </w:t>
      </w:r>
      <w:r w:rsidR="007E3DB0" w:rsidRPr="0049187C">
        <w:rPr>
          <w:lang w:val="de-DE"/>
        </w:rPr>
        <w:t xml:space="preserve">müssen </w:t>
      </w:r>
      <w:r w:rsidRPr="0049187C">
        <w:rPr>
          <w:lang w:val="de-DE"/>
        </w:rPr>
        <w:t xml:space="preserve">auf eine unvollständige </w:t>
      </w:r>
      <w:r w:rsidR="00B46D10" w:rsidRPr="0049187C">
        <w:rPr>
          <w:lang w:val="de-DE"/>
        </w:rPr>
        <w:t>Oberschenkelfraktur</w:t>
      </w:r>
      <w:r w:rsidRPr="0049187C">
        <w:rPr>
          <w:lang w:val="de-DE"/>
        </w:rPr>
        <w:t xml:space="preserve"> hin untersucht werden.</w:t>
      </w:r>
    </w:p>
    <w:p w14:paraId="563E01C9" w14:textId="77777777" w:rsidR="00F83928" w:rsidRPr="0049187C" w:rsidRDefault="00F83928" w:rsidP="0049187C">
      <w:pPr>
        <w:spacing w:after="0" w:line="240" w:lineRule="auto"/>
        <w:ind w:left="0" w:firstLine="0"/>
        <w:rPr>
          <w:lang w:val="de-DE"/>
        </w:rPr>
      </w:pPr>
    </w:p>
    <w:p w14:paraId="23D762C0" w14:textId="77777777" w:rsidR="00261AC3" w:rsidRPr="0049187C" w:rsidRDefault="00B00716" w:rsidP="0049187C">
      <w:pPr>
        <w:keepNext/>
        <w:keepLines/>
        <w:spacing w:after="0" w:line="240" w:lineRule="auto"/>
        <w:ind w:left="0" w:firstLine="0"/>
        <w:rPr>
          <w:i/>
          <w:iCs/>
          <w:lang w:val="de-DE"/>
        </w:rPr>
      </w:pPr>
      <w:r w:rsidRPr="0049187C">
        <w:rPr>
          <w:i/>
          <w:iCs/>
          <w:lang w:val="de-DE"/>
        </w:rPr>
        <w:t>Langzeitbehandlung mit Antiresorptiva</w:t>
      </w:r>
    </w:p>
    <w:p w14:paraId="18F4145A" w14:textId="77777777" w:rsidR="00261AC3" w:rsidRPr="0049187C" w:rsidRDefault="00B00716" w:rsidP="0049187C">
      <w:pPr>
        <w:spacing w:after="0" w:line="240" w:lineRule="auto"/>
        <w:ind w:left="0" w:firstLine="0"/>
        <w:rPr>
          <w:lang w:val="de-DE"/>
        </w:rPr>
      </w:pPr>
      <w:r w:rsidRPr="0049187C">
        <w:rPr>
          <w:lang w:val="de-DE"/>
        </w:rPr>
        <w:t xml:space="preserve">Die Langzeitbehandlung mit Antiresorptiva (einschließlich Denosumab und Bisphosphonate) kann aufgrund von signifikanter Suppression des Knochenumbaus zu einem erhöhten Risiko von unerwünschten Folgen wie beispielsweise </w:t>
      </w:r>
      <w:r w:rsidR="00336FFE" w:rsidRPr="0049187C">
        <w:rPr>
          <w:iCs/>
          <w:lang w:val="de-DE"/>
        </w:rPr>
        <w:t>Osteonekrosen des Kiefers</w:t>
      </w:r>
      <w:r w:rsidR="00336FFE" w:rsidRPr="0049187C">
        <w:rPr>
          <w:i/>
          <w:iCs/>
          <w:lang w:val="de-DE"/>
        </w:rPr>
        <w:t xml:space="preserve"> </w:t>
      </w:r>
      <w:r w:rsidRPr="0049187C">
        <w:rPr>
          <w:lang w:val="de-DE"/>
        </w:rPr>
        <w:t xml:space="preserve">und atypischen </w:t>
      </w:r>
      <w:r w:rsidR="00B46D10" w:rsidRPr="0049187C">
        <w:rPr>
          <w:lang w:val="de-DE"/>
        </w:rPr>
        <w:t>Oberschenkelfraktur</w:t>
      </w:r>
      <w:r w:rsidRPr="0049187C">
        <w:rPr>
          <w:lang w:val="de-DE"/>
        </w:rPr>
        <w:t>en beitragen (siehe Abschnitt 4.2).</w:t>
      </w:r>
    </w:p>
    <w:p w14:paraId="66BD87CD" w14:textId="77777777" w:rsidR="007768C5" w:rsidRPr="0049187C" w:rsidRDefault="007768C5" w:rsidP="0049187C">
      <w:pPr>
        <w:spacing w:after="0" w:line="240" w:lineRule="auto"/>
        <w:ind w:left="0" w:firstLine="0"/>
        <w:rPr>
          <w:ins w:id="16" w:author="Lionbridge" w:date="2025-06-17T19:28:00Z" w16du:dateUtc="2025-06-17T13:58:00Z"/>
          <w:lang w:val="de-DE"/>
          <w:rPrChange w:id="17" w:author="Lionbridge" w:date="2025-06-17T20:00:00Z" w16du:dateUtc="2025-06-17T14:30:00Z">
            <w:rPr>
              <w:ins w:id="18" w:author="Lionbridge" w:date="2025-06-17T19:28:00Z" w16du:dateUtc="2025-06-17T13:58:00Z"/>
            </w:rPr>
          </w:rPrChange>
        </w:rPr>
      </w:pPr>
    </w:p>
    <w:p w14:paraId="100FABC7" w14:textId="77777777" w:rsidR="00F83928" w:rsidRPr="0049187C" w:rsidRDefault="007768C5" w:rsidP="0049187C">
      <w:pPr>
        <w:spacing w:after="0" w:line="240" w:lineRule="auto"/>
        <w:ind w:left="0" w:firstLine="0"/>
        <w:rPr>
          <w:ins w:id="19" w:author="Lionbridge" w:date="2025-06-17T19:28:00Z" w16du:dateUtc="2025-06-17T13:58:00Z"/>
          <w:lang w:val="de-DE"/>
        </w:rPr>
      </w:pPr>
      <w:ins w:id="20" w:author="Lionbridge" w:date="2025-06-17T19:28:00Z" w16du:dateUtc="2025-06-17T13:58:00Z">
        <w:r w:rsidRPr="0049187C">
          <w:rPr>
            <w:i/>
            <w:iCs/>
            <w:lang w:val="de-DE"/>
          </w:rPr>
          <w:t>Behandlungsabbruch</w:t>
        </w:r>
        <w:r w:rsidRPr="0049187C">
          <w:rPr>
            <w:i/>
            <w:iCs/>
            <w:lang w:val="de-DE"/>
          </w:rPr>
          <w:br/>
        </w:r>
        <w:r w:rsidRPr="0049187C">
          <w:rPr>
            <w:lang w:val="de-DE"/>
          </w:rPr>
          <w:t>Nach dem Absetzen von Denosumab ist mit einer Abnahme der Knochendichte (BMD) zu rechnen (siehe Abschnitt 5.1), was zu einem erhöhten Frakturrisiko führen kann. Daher wird eine Überwachung der Knochendichte empfohlen</w:t>
        </w:r>
        <w:del w:id="21" w:author="Author">
          <w:r w:rsidRPr="0049187C" w:rsidDel="000D5B10">
            <w:rPr>
              <w:lang w:val="de-DE"/>
            </w:rPr>
            <w:delText>,</w:delText>
          </w:r>
        </w:del>
        <w:r w:rsidRPr="0049187C">
          <w:rPr>
            <w:lang w:val="de-DE"/>
          </w:rPr>
          <w:t xml:space="preserve"> und eine alternative Behandlung sollte gemäß den klinischen Leitlinien in Betracht gezogen werden.</w:t>
        </w:r>
      </w:ins>
    </w:p>
    <w:p w14:paraId="443D9EC6" w14:textId="77777777" w:rsidR="007768C5" w:rsidRPr="0049187C" w:rsidRDefault="007768C5" w:rsidP="0049187C">
      <w:pPr>
        <w:spacing w:after="0" w:line="240" w:lineRule="auto"/>
        <w:ind w:left="0" w:firstLine="0"/>
        <w:rPr>
          <w:lang w:val="de-DE"/>
        </w:rPr>
      </w:pPr>
    </w:p>
    <w:p w14:paraId="0B00F596" w14:textId="77777777" w:rsidR="00261AC3" w:rsidRPr="0049187C" w:rsidRDefault="00B00716" w:rsidP="0049187C">
      <w:pPr>
        <w:keepNext/>
        <w:keepLines/>
        <w:spacing w:after="0" w:line="240" w:lineRule="auto"/>
        <w:ind w:left="0" w:firstLine="0"/>
        <w:rPr>
          <w:i/>
          <w:iCs/>
          <w:lang w:val="de-DE"/>
        </w:rPr>
      </w:pPr>
      <w:r w:rsidRPr="0049187C">
        <w:rPr>
          <w:i/>
          <w:iCs/>
          <w:lang w:val="de-DE"/>
        </w:rPr>
        <w:t>Gleichzeitige Behandlung mit anderen Denosumab</w:t>
      </w:r>
      <w:r w:rsidRPr="0049187C">
        <w:rPr>
          <w:i/>
          <w:iCs/>
          <w:lang w:val="de-DE"/>
        </w:rPr>
        <w:noBreakHyphen/>
        <w:t>enthaltenden Arzneimitteln</w:t>
      </w:r>
    </w:p>
    <w:p w14:paraId="3EDA454C" w14:textId="77777777" w:rsidR="00261AC3" w:rsidRPr="0049187C" w:rsidRDefault="00B00716" w:rsidP="0049187C">
      <w:pPr>
        <w:spacing w:after="0" w:line="240" w:lineRule="auto"/>
        <w:ind w:left="0" w:firstLine="0"/>
        <w:rPr>
          <w:lang w:val="de-DE"/>
        </w:rPr>
      </w:pPr>
      <w:r w:rsidRPr="0049187C">
        <w:rPr>
          <w:lang w:val="de-DE"/>
        </w:rPr>
        <w:t xml:space="preserve">Patienten, die mit </w:t>
      </w:r>
      <w:r w:rsidR="00706A49" w:rsidRPr="0049187C">
        <w:rPr>
          <w:lang w:val="de-DE"/>
        </w:rPr>
        <w:t xml:space="preserve">Jubbonti </w:t>
      </w:r>
      <w:r w:rsidRPr="0049187C">
        <w:rPr>
          <w:lang w:val="de-DE"/>
        </w:rPr>
        <w:t xml:space="preserve">behandelt werden, </w:t>
      </w:r>
      <w:r w:rsidR="007E3DB0" w:rsidRPr="0049187C">
        <w:rPr>
          <w:lang w:val="de-DE"/>
        </w:rPr>
        <w:t xml:space="preserve">dürfen </w:t>
      </w:r>
      <w:r w:rsidRPr="0049187C">
        <w:rPr>
          <w:lang w:val="de-DE"/>
        </w:rPr>
        <w:t>nicht gleichzeitig mit anderen</w:t>
      </w:r>
    </w:p>
    <w:p w14:paraId="56A14B3A" w14:textId="77777777" w:rsidR="00261AC3" w:rsidRPr="0049187C" w:rsidRDefault="00B00716" w:rsidP="0049187C">
      <w:pPr>
        <w:spacing w:after="0" w:line="240" w:lineRule="auto"/>
        <w:ind w:left="0" w:firstLine="0"/>
        <w:rPr>
          <w:lang w:val="de-DE"/>
        </w:rPr>
      </w:pPr>
      <w:r w:rsidRPr="0049187C">
        <w:rPr>
          <w:lang w:val="de-DE"/>
        </w:rPr>
        <w:t>Denosumab</w:t>
      </w:r>
      <w:r w:rsidRPr="0049187C">
        <w:rPr>
          <w:lang w:val="de-DE"/>
        </w:rPr>
        <w:noBreakHyphen/>
        <w:t>enthaltenden Arzneimitteln (zur Prävention von skelettbezogenen Komplikationen bei Erwachsenen mit Knochenmetastasen aufgrund solider Tumoren) behandelt werden.</w:t>
      </w:r>
    </w:p>
    <w:p w14:paraId="04CFC904" w14:textId="77777777" w:rsidR="00F83928" w:rsidRPr="0049187C" w:rsidRDefault="00F83928" w:rsidP="0049187C">
      <w:pPr>
        <w:spacing w:after="0" w:line="240" w:lineRule="auto"/>
        <w:ind w:left="0" w:firstLine="0"/>
        <w:rPr>
          <w:lang w:val="de-DE"/>
        </w:rPr>
      </w:pPr>
    </w:p>
    <w:p w14:paraId="325F42DF" w14:textId="77777777" w:rsidR="00261AC3" w:rsidRPr="0049187C" w:rsidRDefault="00B00716" w:rsidP="0049187C">
      <w:pPr>
        <w:keepNext/>
        <w:keepLines/>
        <w:spacing w:after="0" w:line="240" w:lineRule="auto"/>
        <w:ind w:left="0" w:firstLine="0"/>
        <w:rPr>
          <w:i/>
          <w:iCs/>
          <w:lang w:val="de-DE"/>
        </w:rPr>
      </w:pPr>
      <w:r w:rsidRPr="0049187C">
        <w:rPr>
          <w:i/>
          <w:iCs/>
          <w:lang w:val="de-DE"/>
        </w:rPr>
        <w:t>Hyperkalzämie bei Kindern und Jugendlichen</w:t>
      </w:r>
    </w:p>
    <w:p w14:paraId="0B952321" w14:textId="77777777" w:rsidR="00261AC3" w:rsidRPr="0049187C" w:rsidRDefault="00B00716" w:rsidP="0049187C">
      <w:pPr>
        <w:spacing w:after="0" w:line="240" w:lineRule="auto"/>
        <w:ind w:left="0" w:firstLine="0"/>
        <w:rPr>
          <w:lang w:val="de-DE"/>
        </w:rPr>
      </w:pPr>
      <w:r w:rsidRPr="0049187C">
        <w:rPr>
          <w:lang w:val="de-DE"/>
        </w:rPr>
        <w:t xml:space="preserve">Jubbonti </w:t>
      </w:r>
      <w:r w:rsidR="00FD7DFF" w:rsidRPr="0049187C">
        <w:rPr>
          <w:lang w:val="de-DE"/>
        </w:rPr>
        <w:t>darf nicht bei Kindern und Jugendlichen (&lt;</w:t>
      </w:r>
      <w:r w:rsidRPr="0049187C">
        <w:rPr>
          <w:lang w:val="de-DE"/>
        </w:rPr>
        <w:t> 18 </w:t>
      </w:r>
      <w:r w:rsidR="00FD7DFF" w:rsidRPr="0049187C">
        <w:rPr>
          <w:lang w:val="de-DE"/>
        </w:rPr>
        <w:t>Jahre) angewendet werden. Es wurde über schwere Hyperkalzämie berichtet. Einige Fälle in klinischen Studien hatten akutes Nierenversagen als Komplikation.</w:t>
      </w:r>
    </w:p>
    <w:p w14:paraId="737172B7" w14:textId="77777777" w:rsidR="00F83928" w:rsidRPr="0049187C" w:rsidRDefault="00F83928" w:rsidP="0049187C">
      <w:pPr>
        <w:spacing w:after="0" w:line="240" w:lineRule="auto"/>
        <w:ind w:left="0" w:firstLine="0"/>
        <w:rPr>
          <w:lang w:val="de-DE"/>
        </w:rPr>
      </w:pPr>
    </w:p>
    <w:p w14:paraId="624ACC7E" w14:textId="77777777" w:rsidR="00261AC3" w:rsidRPr="0049187C" w:rsidRDefault="00B00716" w:rsidP="0049187C">
      <w:pPr>
        <w:keepNext/>
        <w:keepLines/>
        <w:spacing w:after="0" w:line="240" w:lineRule="auto"/>
        <w:ind w:left="0" w:firstLine="0"/>
        <w:rPr>
          <w:i/>
          <w:iCs/>
          <w:lang w:val="de-DE"/>
        </w:rPr>
      </w:pPr>
      <w:r w:rsidRPr="0049187C">
        <w:rPr>
          <w:i/>
          <w:iCs/>
          <w:lang w:val="de-DE"/>
        </w:rPr>
        <w:t>S</w:t>
      </w:r>
      <w:r w:rsidR="00FD7DFF" w:rsidRPr="0049187C">
        <w:rPr>
          <w:i/>
          <w:iCs/>
          <w:lang w:val="de-DE"/>
        </w:rPr>
        <w:t>onstige Bestandteile</w:t>
      </w:r>
    </w:p>
    <w:p w14:paraId="6A93DAE8" w14:textId="77777777" w:rsidR="00261AC3" w:rsidRPr="0049187C" w:rsidRDefault="00B00716" w:rsidP="0049187C">
      <w:pPr>
        <w:spacing w:after="0" w:line="240" w:lineRule="auto"/>
        <w:ind w:left="0" w:firstLine="0"/>
        <w:rPr>
          <w:lang w:val="de-DE"/>
        </w:rPr>
      </w:pPr>
      <w:r w:rsidRPr="0049187C">
        <w:rPr>
          <w:lang w:val="de-DE"/>
        </w:rPr>
        <w:t>Dieses Arzneimittel enthält</w:t>
      </w:r>
      <w:r w:rsidR="00DC28A8" w:rsidRPr="0049187C">
        <w:rPr>
          <w:lang w:val="de-DE"/>
        </w:rPr>
        <w:t xml:space="preserve"> </w:t>
      </w:r>
      <w:r w:rsidRPr="0049187C">
        <w:rPr>
          <w:lang w:val="de-DE"/>
        </w:rPr>
        <w:t xml:space="preserve">47 mg Sorbitol </w:t>
      </w:r>
      <w:r w:rsidR="00DC28A8" w:rsidRPr="0049187C">
        <w:rPr>
          <w:lang w:val="de-DE"/>
        </w:rPr>
        <w:t>pro</w:t>
      </w:r>
      <w:r w:rsidRPr="0049187C">
        <w:rPr>
          <w:lang w:val="de-DE"/>
        </w:rPr>
        <w:t xml:space="preserve"> ml Lösung. Die additive Wirkung gleichzeitig angewendeter Sorbitol (oder Fructose) </w:t>
      </w:r>
      <w:r w:rsidRPr="0049187C">
        <w:rPr>
          <w:lang w:val="de-DE"/>
        </w:rPr>
        <w:noBreakHyphen/>
        <w:t>haltiger Arzneimittel und die Einnahme von Sorbitol (oder Fructose) über die Nahrung ist zu berücksichtigen.</w:t>
      </w:r>
    </w:p>
    <w:p w14:paraId="4541EE04" w14:textId="77777777" w:rsidR="00F83928" w:rsidRPr="0049187C" w:rsidRDefault="00F83928" w:rsidP="0049187C">
      <w:pPr>
        <w:spacing w:after="0" w:line="240" w:lineRule="auto"/>
        <w:ind w:left="0" w:firstLine="0"/>
        <w:rPr>
          <w:lang w:val="de-DE"/>
        </w:rPr>
      </w:pPr>
    </w:p>
    <w:p w14:paraId="0D54F356" w14:textId="77777777" w:rsidR="00261AC3" w:rsidRPr="0049187C" w:rsidRDefault="00B00716" w:rsidP="0049187C">
      <w:pPr>
        <w:spacing w:after="0" w:line="240" w:lineRule="auto"/>
        <w:ind w:left="0" w:firstLine="0"/>
        <w:rPr>
          <w:lang w:val="de-DE"/>
        </w:rPr>
      </w:pPr>
      <w:r w:rsidRPr="0049187C">
        <w:rPr>
          <w:lang w:val="de-DE"/>
        </w:rPr>
        <w:t>Dieses Arzneimittel enthält weniger als</w:t>
      </w:r>
      <w:r w:rsidR="00DC28A8" w:rsidRPr="0049187C">
        <w:rPr>
          <w:lang w:val="de-DE"/>
        </w:rPr>
        <w:t xml:space="preserve"> </w:t>
      </w:r>
      <w:r w:rsidRPr="0049187C">
        <w:rPr>
          <w:lang w:val="de-DE"/>
        </w:rPr>
        <w:t xml:space="preserve">1 mmol Natrium </w:t>
      </w:r>
      <w:r w:rsidR="003F3C52" w:rsidRPr="0049187C">
        <w:rPr>
          <w:lang w:val="de-DE"/>
        </w:rPr>
        <w:t xml:space="preserve">(23 mg) </w:t>
      </w:r>
      <w:r w:rsidRPr="0049187C">
        <w:rPr>
          <w:lang w:val="de-DE"/>
        </w:rPr>
        <w:t>pro</w:t>
      </w:r>
      <w:r w:rsidR="00DC28A8" w:rsidRPr="0049187C">
        <w:rPr>
          <w:lang w:val="de-DE"/>
        </w:rPr>
        <w:t xml:space="preserve"> </w:t>
      </w:r>
      <w:r w:rsidR="00706A49" w:rsidRPr="0049187C">
        <w:rPr>
          <w:lang w:val="de-DE"/>
        </w:rPr>
        <w:t>ml Lösung</w:t>
      </w:r>
      <w:r w:rsidRPr="0049187C">
        <w:rPr>
          <w:lang w:val="de-DE"/>
        </w:rPr>
        <w:t>, d. h. es ist nahezu</w:t>
      </w:r>
      <w:r w:rsidR="00706A49" w:rsidRPr="0049187C">
        <w:rPr>
          <w:lang w:val="de-DE"/>
        </w:rPr>
        <w:t xml:space="preserve"> </w:t>
      </w:r>
      <w:r w:rsidRPr="0049187C">
        <w:rPr>
          <w:lang w:val="de-DE"/>
        </w:rPr>
        <w:t>„natriumfrei“.</w:t>
      </w:r>
    </w:p>
    <w:p w14:paraId="0F07E297" w14:textId="77777777" w:rsidR="00F83928" w:rsidRPr="0049187C" w:rsidRDefault="00F83928" w:rsidP="0049187C">
      <w:pPr>
        <w:spacing w:after="0" w:line="240" w:lineRule="auto"/>
        <w:ind w:left="0" w:firstLine="0"/>
        <w:rPr>
          <w:lang w:val="de-DE"/>
        </w:rPr>
      </w:pPr>
    </w:p>
    <w:p w14:paraId="3C8C851C" w14:textId="77777777" w:rsidR="00261AC3" w:rsidRPr="0049187C" w:rsidRDefault="00B00716" w:rsidP="0049187C">
      <w:pPr>
        <w:keepNext/>
        <w:keepLines/>
        <w:tabs>
          <w:tab w:val="left" w:pos="567"/>
        </w:tabs>
        <w:spacing w:after="0" w:line="240" w:lineRule="auto"/>
        <w:ind w:left="0" w:firstLine="0"/>
        <w:rPr>
          <w:b/>
          <w:lang w:val="de-DE"/>
        </w:rPr>
      </w:pPr>
      <w:r w:rsidRPr="0049187C">
        <w:rPr>
          <w:b/>
          <w:lang w:val="de-DE"/>
        </w:rPr>
        <w:t>4.5</w:t>
      </w:r>
      <w:r w:rsidRPr="0049187C">
        <w:rPr>
          <w:b/>
          <w:lang w:val="de-DE"/>
        </w:rPr>
        <w:tab/>
        <w:t>Wechselwirkungen mit anderen Arzneimitteln und sonstige Wechselwirkungen</w:t>
      </w:r>
    </w:p>
    <w:p w14:paraId="75DB5D3C" w14:textId="77777777" w:rsidR="00F83928" w:rsidRPr="0049187C" w:rsidRDefault="00F83928" w:rsidP="0049187C">
      <w:pPr>
        <w:keepNext/>
        <w:keepLines/>
        <w:spacing w:after="0" w:line="240" w:lineRule="auto"/>
        <w:ind w:left="0" w:firstLine="0"/>
        <w:rPr>
          <w:lang w:val="de-DE"/>
        </w:rPr>
      </w:pPr>
    </w:p>
    <w:p w14:paraId="7B94AD5F" w14:textId="77777777" w:rsidR="00261AC3" w:rsidRPr="0049187C" w:rsidRDefault="00B00716" w:rsidP="0049187C">
      <w:pPr>
        <w:keepNext/>
        <w:keepLines/>
        <w:spacing w:after="0" w:line="240" w:lineRule="auto"/>
        <w:ind w:left="0" w:firstLine="0"/>
        <w:rPr>
          <w:lang w:val="de-DE"/>
        </w:rPr>
      </w:pPr>
      <w:r w:rsidRPr="0049187C">
        <w:rPr>
          <w:lang w:val="de-DE"/>
        </w:rPr>
        <w:t>In einer Studie zur Erfassung von Wechselwirkungen wurde die Pharmakokinetik von Midazolam, das durch Cytochrom P450 3A4 (CYP3A4) metabolisiert wird, durch Denosumab nicht beeinflusst. Dies weist darauf hin, dass Denosumab die Pharmakokinetik von Arzneimitteln, die durch CYP3A4 metabolisiert werden, nicht beeinflussen sollte.</w:t>
      </w:r>
    </w:p>
    <w:p w14:paraId="11CC08FB" w14:textId="77777777" w:rsidR="00F83928" w:rsidRPr="0049187C" w:rsidRDefault="00F83928" w:rsidP="0049187C">
      <w:pPr>
        <w:spacing w:after="0" w:line="240" w:lineRule="auto"/>
        <w:ind w:left="0" w:firstLine="0"/>
        <w:rPr>
          <w:lang w:val="de-DE"/>
        </w:rPr>
      </w:pPr>
    </w:p>
    <w:p w14:paraId="5B813536" w14:textId="77777777" w:rsidR="00261AC3" w:rsidRPr="0049187C" w:rsidRDefault="00B00716" w:rsidP="0049187C">
      <w:pPr>
        <w:spacing w:after="0" w:line="240" w:lineRule="auto"/>
        <w:ind w:left="0" w:firstLine="0"/>
        <w:rPr>
          <w:lang w:val="de-DE"/>
        </w:rPr>
      </w:pPr>
      <w:r w:rsidRPr="0049187C">
        <w:rPr>
          <w:lang w:val="de-DE"/>
        </w:rPr>
        <w:t>Es existieren keine klinischen Daten zur gleichzeitigen Anwendung von Denosumab und einer Hormonersatztherapie (Östrogene). Das Potenzial für eine pharmakodynamische Wechselwirkung wird jedoch als gering eingeschätzt.</w:t>
      </w:r>
    </w:p>
    <w:p w14:paraId="06E34305" w14:textId="77777777" w:rsidR="00F83928" w:rsidRPr="0049187C" w:rsidRDefault="00F83928" w:rsidP="0049187C">
      <w:pPr>
        <w:spacing w:after="0" w:line="240" w:lineRule="auto"/>
        <w:ind w:left="0" w:firstLine="0"/>
        <w:rPr>
          <w:lang w:val="de-DE"/>
        </w:rPr>
      </w:pPr>
    </w:p>
    <w:p w14:paraId="578EC798" w14:textId="77777777" w:rsidR="00261AC3" w:rsidRPr="0049187C" w:rsidRDefault="00B00716" w:rsidP="0049187C">
      <w:pPr>
        <w:spacing w:after="0" w:line="240" w:lineRule="auto"/>
        <w:ind w:left="0" w:firstLine="0"/>
        <w:rPr>
          <w:lang w:val="de-DE"/>
        </w:rPr>
      </w:pPr>
      <w:r w:rsidRPr="0049187C">
        <w:rPr>
          <w:lang w:val="de-DE"/>
        </w:rPr>
        <w:t>Basierend auf den Daten einer Therapiewechselstudie (von Alendronsäure zu Denosumab) wurden die Pharmakokinetik und Pharmakodynamik von Denosumab bei postmenopausalen Frauen mit Osteoporose durch eine vorherige Alendronsäure</w:t>
      </w:r>
      <w:r w:rsidRPr="0049187C">
        <w:rPr>
          <w:lang w:val="de-DE"/>
        </w:rPr>
        <w:noBreakHyphen/>
        <w:t>Therapie nicht verändert.</w:t>
      </w:r>
    </w:p>
    <w:p w14:paraId="1B8BF594" w14:textId="77777777" w:rsidR="00F83928" w:rsidRPr="0049187C" w:rsidRDefault="00F83928" w:rsidP="0049187C">
      <w:pPr>
        <w:spacing w:after="0" w:line="240" w:lineRule="auto"/>
        <w:ind w:left="0" w:firstLine="0"/>
        <w:rPr>
          <w:lang w:val="de-DE"/>
        </w:rPr>
      </w:pPr>
    </w:p>
    <w:p w14:paraId="6358DCB2" w14:textId="77777777" w:rsidR="00261AC3" w:rsidRPr="0049187C" w:rsidRDefault="00B00716" w:rsidP="0049187C">
      <w:pPr>
        <w:keepNext/>
        <w:keepLines/>
        <w:tabs>
          <w:tab w:val="left" w:pos="567"/>
        </w:tabs>
        <w:spacing w:after="0" w:line="240" w:lineRule="auto"/>
        <w:ind w:left="0" w:firstLine="0"/>
        <w:rPr>
          <w:lang w:val="de-DE"/>
        </w:rPr>
      </w:pPr>
      <w:r w:rsidRPr="0049187C">
        <w:rPr>
          <w:b/>
          <w:lang w:val="de-DE"/>
        </w:rPr>
        <w:t>4.6</w:t>
      </w:r>
      <w:r w:rsidRPr="0049187C">
        <w:rPr>
          <w:b/>
          <w:lang w:val="de-DE"/>
        </w:rPr>
        <w:tab/>
        <w:t>Fertilität, Schwangerschaft und Stillzeit</w:t>
      </w:r>
    </w:p>
    <w:p w14:paraId="63177FC3" w14:textId="77777777" w:rsidR="00F83928" w:rsidRPr="0049187C" w:rsidRDefault="00F83928" w:rsidP="0049187C">
      <w:pPr>
        <w:keepNext/>
        <w:keepLines/>
        <w:spacing w:after="0" w:line="240" w:lineRule="auto"/>
        <w:ind w:left="0" w:firstLine="0"/>
        <w:rPr>
          <w:lang w:val="de-DE"/>
        </w:rPr>
      </w:pPr>
    </w:p>
    <w:p w14:paraId="178D59A6" w14:textId="77777777" w:rsidR="00261AC3" w:rsidRPr="0049187C" w:rsidRDefault="00B00716" w:rsidP="0049187C">
      <w:pPr>
        <w:keepNext/>
        <w:keepLines/>
        <w:spacing w:after="0" w:line="240" w:lineRule="auto"/>
        <w:ind w:left="0" w:firstLine="0"/>
        <w:rPr>
          <w:u w:val="single"/>
          <w:lang w:val="de-DE"/>
        </w:rPr>
      </w:pPr>
      <w:r w:rsidRPr="0049187C">
        <w:rPr>
          <w:u w:val="single"/>
          <w:lang w:val="de-DE"/>
        </w:rPr>
        <w:t>Schwangerschaft</w:t>
      </w:r>
    </w:p>
    <w:p w14:paraId="24B4E7CF" w14:textId="77777777" w:rsidR="00F83928" w:rsidRPr="0049187C" w:rsidRDefault="00F83928" w:rsidP="0049187C">
      <w:pPr>
        <w:spacing w:after="0" w:line="240" w:lineRule="auto"/>
        <w:ind w:left="0" w:firstLine="0"/>
        <w:rPr>
          <w:lang w:val="de-DE"/>
        </w:rPr>
      </w:pPr>
    </w:p>
    <w:p w14:paraId="4B2DB402" w14:textId="77777777" w:rsidR="00261AC3" w:rsidRPr="0049187C" w:rsidRDefault="00B00716" w:rsidP="0049187C">
      <w:pPr>
        <w:spacing w:after="0" w:line="240" w:lineRule="auto"/>
        <w:ind w:left="0" w:firstLine="0"/>
        <w:rPr>
          <w:lang w:val="de-DE"/>
        </w:rPr>
      </w:pPr>
      <w:r w:rsidRPr="0049187C">
        <w:rPr>
          <w:lang w:val="de-DE"/>
        </w:rPr>
        <w:t xml:space="preserve">Bisher liegen keine oder nur sehr begrenzte Erfahrungen </w:t>
      </w:r>
      <w:r w:rsidRPr="0049187C">
        <w:rPr>
          <w:noProof/>
          <w:lang w:val="de-DE"/>
        </w:rPr>
        <w:t xml:space="preserve">mit der Anwendung von </w:t>
      </w:r>
      <w:r w:rsidR="00FD7DFF" w:rsidRPr="0049187C">
        <w:rPr>
          <w:lang w:val="de-DE"/>
        </w:rPr>
        <w:t>Denosumab bei Schwangeren vor. Tierexperimentelle Studien zeigten eine Reproduktionstoxizität (siehe Abschnitt</w:t>
      </w:r>
      <w:r w:rsidRPr="0049187C">
        <w:rPr>
          <w:lang w:val="de-DE"/>
        </w:rPr>
        <w:t> 5</w:t>
      </w:r>
      <w:r w:rsidR="00FD7DFF" w:rsidRPr="0049187C">
        <w:rPr>
          <w:lang w:val="de-DE"/>
        </w:rPr>
        <w:t>.3).</w:t>
      </w:r>
    </w:p>
    <w:p w14:paraId="335F9954" w14:textId="77777777" w:rsidR="00F83928" w:rsidRPr="0049187C" w:rsidRDefault="00F83928" w:rsidP="0049187C">
      <w:pPr>
        <w:spacing w:after="0" w:line="240" w:lineRule="auto"/>
        <w:ind w:left="0" w:firstLine="0"/>
        <w:rPr>
          <w:lang w:val="de-DE"/>
        </w:rPr>
      </w:pPr>
    </w:p>
    <w:p w14:paraId="7589F4DE" w14:textId="77777777" w:rsidR="00261AC3" w:rsidRPr="0049187C" w:rsidRDefault="00B00716" w:rsidP="0049187C">
      <w:pPr>
        <w:spacing w:after="0" w:line="240" w:lineRule="auto"/>
        <w:ind w:left="0" w:firstLine="0"/>
        <w:rPr>
          <w:lang w:val="de-DE"/>
        </w:rPr>
      </w:pPr>
      <w:r w:rsidRPr="0049187C">
        <w:rPr>
          <w:lang w:val="de-DE"/>
        </w:rPr>
        <w:t xml:space="preserve">Die Anwendung von </w:t>
      </w:r>
      <w:r w:rsidR="00F311FC" w:rsidRPr="0049187C">
        <w:rPr>
          <w:lang w:val="de-DE"/>
        </w:rPr>
        <w:t xml:space="preserve">Jubbonti </w:t>
      </w:r>
      <w:r w:rsidRPr="0049187C">
        <w:rPr>
          <w:lang w:val="de-DE"/>
        </w:rPr>
        <w:t xml:space="preserve">während der Schwangerschaft und bei Frauen im gebärfähigen Alter, </w:t>
      </w:r>
      <w:r w:rsidR="003F3C52" w:rsidRPr="0049187C">
        <w:rPr>
          <w:noProof/>
          <w:lang w:val="de-DE"/>
        </w:rPr>
        <w:t>die nicht verhüten, wird nicht empfohlen</w:t>
      </w:r>
      <w:r w:rsidRPr="0049187C">
        <w:rPr>
          <w:lang w:val="de-DE"/>
        </w:rPr>
        <w:t xml:space="preserve">. Frauen sollten darauf hingewiesen werden, während und für mindestens 5 Monate nach der </w:t>
      </w:r>
      <w:r w:rsidR="00FE2EAC" w:rsidRPr="0049187C">
        <w:rPr>
          <w:lang w:val="de-DE"/>
        </w:rPr>
        <w:t>Jubbonti</w:t>
      </w:r>
      <w:r w:rsidRPr="0049187C">
        <w:rPr>
          <w:lang w:val="de-DE"/>
        </w:rPr>
        <w:noBreakHyphen/>
        <w:t xml:space="preserve">Behandlung nicht schwanger zu werden. Jegliche Wirkung von </w:t>
      </w:r>
      <w:r w:rsidR="00FE2EAC" w:rsidRPr="0049187C">
        <w:rPr>
          <w:lang w:val="de-DE"/>
        </w:rPr>
        <w:t xml:space="preserve">Jubbonti </w:t>
      </w:r>
      <w:r w:rsidRPr="0049187C">
        <w:rPr>
          <w:lang w:val="de-DE"/>
        </w:rPr>
        <w:t>ist während des zweiten und dritten Trimesters der Schwangerschaft wahrscheinlich größer, da monoklonale Antikörper  linear</w:t>
      </w:r>
      <w:r w:rsidR="0002073E" w:rsidRPr="0049187C">
        <w:rPr>
          <w:lang w:val="de-DE"/>
        </w:rPr>
        <w:t xml:space="preserve"> über</w:t>
      </w:r>
      <w:r w:rsidRPr="0049187C">
        <w:rPr>
          <w:lang w:val="de-DE"/>
        </w:rPr>
        <w:t xml:space="preserve"> die Plazenta transportiert werden, während die Schwangerschaft fortschreitet. Die </w:t>
      </w:r>
      <w:r w:rsidR="0002073E" w:rsidRPr="0049187C">
        <w:rPr>
          <w:lang w:val="de-DE"/>
        </w:rPr>
        <w:t xml:space="preserve">größte </w:t>
      </w:r>
      <w:r w:rsidRPr="0049187C">
        <w:rPr>
          <w:lang w:val="de-DE"/>
        </w:rPr>
        <w:t>Menge wird während des dritten Trimesters transferiert.</w:t>
      </w:r>
    </w:p>
    <w:p w14:paraId="4883E22F" w14:textId="77777777" w:rsidR="00F83928" w:rsidRPr="0049187C" w:rsidRDefault="00F83928" w:rsidP="0049187C">
      <w:pPr>
        <w:spacing w:after="0" w:line="240" w:lineRule="auto"/>
        <w:ind w:left="0" w:firstLine="0"/>
        <w:rPr>
          <w:lang w:val="de-DE"/>
        </w:rPr>
      </w:pPr>
    </w:p>
    <w:p w14:paraId="0688F088" w14:textId="77777777" w:rsidR="00261AC3" w:rsidRPr="0049187C" w:rsidRDefault="00B00716" w:rsidP="0049187C">
      <w:pPr>
        <w:keepNext/>
        <w:keepLines/>
        <w:spacing w:after="0" w:line="240" w:lineRule="auto"/>
        <w:ind w:left="0" w:firstLine="0"/>
        <w:rPr>
          <w:u w:val="single"/>
          <w:lang w:val="de-DE"/>
        </w:rPr>
      </w:pPr>
      <w:r w:rsidRPr="0049187C">
        <w:rPr>
          <w:u w:val="single"/>
          <w:lang w:val="de-DE"/>
        </w:rPr>
        <w:t>Stillzeit</w:t>
      </w:r>
    </w:p>
    <w:p w14:paraId="4E804182" w14:textId="77777777" w:rsidR="00F83928" w:rsidRPr="0049187C" w:rsidRDefault="00F83928" w:rsidP="0049187C">
      <w:pPr>
        <w:spacing w:after="0" w:line="240" w:lineRule="auto"/>
        <w:ind w:left="0" w:firstLine="0"/>
        <w:rPr>
          <w:lang w:val="de-DE"/>
        </w:rPr>
      </w:pPr>
    </w:p>
    <w:p w14:paraId="295E0998" w14:textId="77777777" w:rsidR="00261AC3" w:rsidRPr="0049187C" w:rsidRDefault="00B00716" w:rsidP="0049187C">
      <w:pPr>
        <w:spacing w:after="0" w:line="240" w:lineRule="auto"/>
        <w:ind w:left="0" w:firstLine="0"/>
        <w:rPr>
          <w:lang w:val="de-DE"/>
        </w:rPr>
      </w:pPr>
      <w:r w:rsidRPr="0049187C">
        <w:rPr>
          <w:lang w:val="de-DE"/>
        </w:rPr>
        <w:t xml:space="preserve">Es ist nicht bekannt, ob Denosumab in die Muttermilch </w:t>
      </w:r>
      <w:r w:rsidR="00695DB2" w:rsidRPr="0049187C">
        <w:rPr>
          <w:lang w:val="de-DE"/>
        </w:rPr>
        <w:t>übergeh</w:t>
      </w:r>
      <w:r w:rsidR="00F741F7" w:rsidRPr="0049187C">
        <w:rPr>
          <w:lang w:val="de-DE"/>
        </w:rPr>
        <w:t>t</w:t>
      </w:r>
      <w:r w:rsidRPr="0049187C">
        <w:rPr>
          <w:lang w:val="de-DE"/>
        </w:rPr>
        <w:t xml:space="preserve">. Bei genetisch manipulierten Mäusen, bei denen RANKL </w:t>
      </w:r>
      <w:r w:rsidR="00FE2EAC" w:rsidRPr="0049187C">
        <w:rPr>
          <w:lang w:val="de-DE"/>
        </w:rPr>
        <w:t>(</w:t>
      </w:r>
      <w:r w:rsidR="00FE2EAC" w:rsidRPr="0049187C">
        <w:rPr>
          <w:i/>
          <w:noProof/>
          <w:lang w:val="de-DE"/>
        </w:rPr>
        <w:t>receptor activator of nuclear factor-κB ligand</w:t>
      </w:r>
      <w:r w:rsidR="00FE2EAC" w:rsidRPr="0049187C">
        <w:rPr>
          <w:noProof/>
          <w:lang w:val="de-DE"/>
        </w:rPr>
        <w:t xml:space="preserve">) </w:t>
      </w:r>
      <w:r w:rsidRPr="0049187C">
        <w:rPr>
          <w:lang w:val="de-DE"/>
        </w:rPr>
        <w:t>durch Gendeletion ausgeschaltet wurde („Knockout</w:t>
      </w:r>
      <w:r w:rsidRPr="0049187C">
        <w:rPr>
          <w:lang w:val="de-DE"/>
        </w:rPr>
        <w:noBreakHyphen/>
        <w:t>Maus“), weisen</w:t>
      </w:r>
      <w:r w:rsidR="001E5A56" w:rsidRPr="0049187C">
        <w:rPr>
          <w:lang w:val="de-DE"/>
        </w:rPr>
        <w:t xml:space="preserve"> </w:t>
      </w:r>
      <w:r w:rsidRPr="0049187C">
        <w:rPr>
          <w:lang w:val="de-DE"/>
        </w:rPr>
        <w:t>Studien darauf hin, dass das Fehlen von RANKL (das Zielmolekül von Denosumab, siehe</w:t>
      </w:r>
      <w:r w:rsidR="001E5A56" w:rsidRPr="0049187C">
        <w:rPr>
          <w:lang w:val="de-DE"/>
        </w:rPr>
        <w:t xml:space="preserve"> </w:t>
      </w:r>
      <w:r w:rsidRPr="0049187C">
        <w:rPr>
          <w:lang w:val="de-DE"/>
        </w:rPr>
        <w:t>Abschnitt 5.1) während der Schwangerschaft die Reifung der Brustdrüsen und damit die</w:t>
      </w:r>
      <w:r w:rsidR="001E5A56" w:rsidRPr="0049187C">
        <w:rPr>
          <w:lang w:val="de-DE"/>
        </w:rPr>
        <w:t xml:space="preserve"> </w:t>
      </w:r>
      <w:r w:rsidRPr="0049187C">
        <w:rPr>
          <w:lang w:val="de-DE"/>
        </w:rPr>
        <w:t>Milchproduktion nach der Geburt beeinträchtigen kann (siehe Abschnitt 5.3). Es muss eine</w:t>
      </w:r>
      <w:r w:rsidR="001E5A56" w:rsidRPr="0049187C">
        <w:rPr>
          <w:lang w:val="de-DE"/>
        </w:rPr>
        <w:t xml:space="preserve"> </w:t>
      </w:r>
      <w:r w:rsidRPr="0049187C">
        <w:rPr>
          <w:lang w:val="de-DE"/>
        </w:rPr>
        <w:t xml:space="preserve">Entscheidung darüber getroffen werden, ob das Stillen zu unterbrechen ist oder ob auf die Behandlung </w:t>
      </w:r>
      <w:r w:rsidR="00580BD0" w:rsidRPr="0049187C">
        <w:rPr>
          <w:lang w:val="de-DE"/>
        </w:rPr>
        <w:t xml:space="preserve">mit Jubbonti </w:t>
      </w:r>
      <w:r w:rsidRPr="0049187C">
        <w:rPr>
          <w:lang w:val="de-DE"/>
        </w:rPr>
        <w:t>verzichtet werden soll. Dabei sollen sowohl der Nutzen des Stillens für das Kind als auch der Nutzen der Therapie für die Frau berücksichtigt werden.</w:t>
      </w:r>
    </w:p>
    <w:p w14:paraId="17A2DF3E" w14:textId="77777777" w:rsidR="00F83928" w:rsidRPr="0049187C" w:rsidRDefault="00F83928" w:rsidP="0049187C">
      <w:pPr>
        <w:spacing w:after="0" w:line="240" w:lineRule="auto"/>
        <w:ind w:left="0" w:firstLine="0"/>
        <w:rPr>
          <w:lang w:val="de-DE"/>
        </w:rPr>
      </w:pPr>
    </w:p>
    <w:p w14:paraId="5E5B0AE3" w14:textId="77777777" w:rsidR="00261AC3" w:rsidRPr="0049187C" w:rsidRDefault="00B00716" w:rsidP="0049187C">
      <w:pPr>
        <w:keepNext/>
        <w:keepLines/>
        <w:spacing w:after="0" w:line="240" w:lineRule="auto"/>
        <w:ind w:left="0" w:firstLine="0"/>
        <w:rPr>
          <w:u w:val="single"/>
          <w:lang w:val="de-DE"/>
        </w:rPr>
      </w:pPr>
      <w:r w:rsidRPr="0049187C">
        <w:rPr>
          <w:u w:val="single"/>
          <w:lang w:val="de-DE"/>
        </w:rPr>
        <w:t>Fertilität</w:t>
      </w:r>
    </w:p>
    <w:p w14:paraId="65BD9D99" w14:textId="77777777" w:rsidR="00F83928" w:rsidRPr="0049187C" w:rsidRDefault="00F83928" w:rsidP="0049187C">
      <w:pPr>
        <w:spacing w:after="0" w:line="240" w:lineRule="auto"/>
        <w:ind w:left="0" w:firstLine="0"/>
        <w:rPr>
          <w:lang w:val="de-DE"/>
        </w:rPr>
      </w:pPr>
    </w:p>
    <w:p w14:paraId="3653EF71" w14:textId="77777777" w:rsidR="00261AC3" w:rsidRPr="0049187C" w:rsidRDefault="00B00716" w:rsidP="0049187C">
      <w:pPr>
        <w:spacing w:after="0" w:line="240" w:lineRule="auto"/>
        <w:ind w:left="0" w:firstLine="0"/>
        <w:rPr>
          <w:lang w:val="de-DE"/>
        </w:rPr>
      </w:pPr>
      <w:r w:rsidRPr="0049187C">
        <w:rPr>
          <w:lang w:val="de-DE"/>
        </w:rPr>
        <w:t xml:space="preserve">Es liegen keine Daten zur Wirkung von Denosumab auf die Fortpflanzungsfähigkeit des Menschen vor. </w:t>
      </w:r>
      <w:r w:rsidR="008A7375" w:rsidRPr="0049187C">
        <w:rPr>
          <w:lang w:val="de-DE"/>
        </w:rPr>
        <w:t xml:space="preserve">Tierexperimentelle Studien ergaben keine Hinweise auf direkte oder indirekte gesundheitsschädliche Wirkungen in Bezug auf </w:t>
      </w:r>
      <w:r w:rsidR="004D1239" w:rsidRPr="0049187C">
        <w:rPr>
          <w:lang w:val="de-DE"/>
        </w:rPr>
        <w:t>die Fortpflanzungsfähigkeit</w:t>
      </w:r>
      <w:r w:rsidR="008A7375" w:rsidRPr="0049187C">
        <w:rPr>
          <w:lang w:val="de-DE"/>
        </w:rPr>
        <w:t xml:space="preserve"> </w:t>
      </w:r>
      <w:r w:rsidRPr="0049187C">
        <w:rPr>
          <w:lang w:val="de-DE"/>
        </w:rPr>
        <w:t>(siehe Abschnitt 5.3).</w:t>
      </w:r>
    </w:p>
    <w:p w14:paraId="4D159B5D" w14:textId="77777777" w:rsidR="00F83928" w:rsidRPr="0049187C" w:rsidRDefault="00F83928" w:rsidP="0049187C">
      <w:pPr>
        <w:spacing w:after="0" w:line="240" w:lineRule="auto"/>
        <w:ind w:left="0" w:firstLine="0"/>
        <w:rPr>
          <w:lang w:val="de-DE"/>
        </w:rPr>
      </w:pPr>
    </w:p>
    <w:p w14:paraId="50F62C68" w14:textId="77777777" w:rsidR="00261AC3" w:rsidRPr="0049187C" w:rsidRDefault="00B00716" w:rsidP="0049187C">
      <w:pPr>
        <w:keepNext/>
        <w:keepLines/>
        <w:tabs>
          <w:tab w:val="left" w:pos="567"/>
        </w:tabs>
        <w:spacing w:after="0" w:line="240" w:lineRule="auto"/>
        <w:ind w:left="0" w:firstLine="0"/>
        <w:rPr>
          <w:b/>
          <w:lang w:val="de-DE"/>
        </w:rPr>
      </w:pPr>
      <w:r w:rsidRPr="0049187C">
        <w:rPr>
          <w:b/>
          <w:lang w:val="de-DE"/>
        </w:rPr>
        <w:t>4.7</w:t>
      </w:r>
      <w:r w:rsidRPr="0049187C">
        <w:rPr>
          <w:b/>
          <w:lang w:val="de-DE"/>
        </w:rPr>
        <w:tab/>
        <w:t>Auswirkungen auf die Verkehrstüchtigkeit und die Fähigkeit zum Bedienen von Maschinen</w:t>
      </w:r>
    </w:p>
    <w:p w14:paraId="0F1261A8" w14:textId="77777777" w:rsidR="00F83928" w:rsidRPr="0049187C" w:rsidRDefault="00F83928" w:rsidP="0049187C">
      <w:pPr>
        <w:keepNext/>
        <w:keepLines/>
        <w:spacing w:after="0" w:line="240" w:lineRule="auto"/>
        <w:ind w:left="0" w:firstLine="0"/>
        <w:rPr>
          <w:lang w:val="de-DE"/>
        </w:rPr>
      </w:pPr>
    </w:p>
    <w:p w14:paraId="4F3935A2" w14:textId="77777777" w:rsidR="00261AC3" w:rsidRPr="0049187C" w:rsidRDefault="00B00716" w:rsidP="0049187C">
      <w:pPr>
        <w:spacing w:after="0" w:line="240" w:lineRule="auto"/>
        <w:ind w:left="0" w:firstLine="0"/>
        <w:rPr>
          <w:lang w:val="de-DE"/>
        </w:rPr>
      </w:pPr>
      <w:r w:rsidRPr="0049187C">
        <w:rPr>
          <w:lang w:val="de-DE"/>
        </w:rPr>
        <w:t xml:space="preserve">Jubbonti </w:t>
      </w:r>
      <w:r w:rsidR="00FD7DFF" w:rsidRPr="0049187C">
        <w:rPr>
          <w:lang w:val="de-DE"/>
        </w:rPr>
        <w:t>hat keinen oder einen zu vernachlässigenden Einfluss auf die Verkehrstüchtigkeit und die Fähigkeit zum Bedienen von Maschinen.</w:t>
      </w:r>
    </w:p>
    <w:p w14:paraId="60CB6C41" w14:textId="77777777" w:rsidR="00F83928" w:rsidRPr="0049187C" w:rsidRDefault="00F83928" w:rsidP="0049187C">
      <w:pPr>
        <w:spacing w:after="0" w:line="240" w:lineRule="auto"/>
        <w:ind w:left="0" w:firstLine="0"/>
        <w:rPr>
          <w:lang w:val="de-DE"/>
        </w:rPr>
      </w:pPr>
    </w:p>
    <w:p w14:paraId="7704E2BC" w14:textId="77777777" w:rsidR="00261AC3" w:rsidRPr="0049187C" w:rsidRDefault="00B00716" w:rsidP="0049187C">
      <w:pPr>
        <w:keepNext/>
        <w:keepLines/>
        <w:tabs>
          <w:tab w:val="left" w:pos="567"/>
        </w:tabs>
        <w:spacing w:after="0" w:line="240" w:lineRule="auto"/>
        <w:ind w:left="0" w:firstLine="0"/>
        <w:rPr>
          <w:b/>
          <w:lang w:val="de-DE"/>
        </w:rPr>
      </w:pPr>
      <w:r w:rsidRPr="0049187C">
        <w:rPr>
          <w:b/>
          <w:lang w:val="de-DE"/>
        </w:rPr>
        <w:t>4.8</w:t>
      </w:r>
      <w:r w:rsidRPr="0049187C">
        <w:rPr>
          <w:b/>
          <w:lang w:val="de-DE"/>
        </w:rPr>
        <w:tab/>
        <w:t>Nebenwirkungen</w:t>
      </w:r>
    </w:p>
    <w:p w14:paraId="117B406F" w14:textId="77777777" w:rsidR="00F83928" w:rsidRPr="0049187C" w:rsidRDefault="00F83928" w:rsidP="0049187C">
      <w:pPr>
        <w:keepNext/>
        <w:keepLines/>
        <w:spacing w:after="0" w:line="240" w:lineRule="auto"/>
        <w:ind w:left="0" w:firstLine="0"/>
        <w:rPr>
          <w:lang w:val="de-DE"/>
        </w:rPr>
      </w:pPr>
    </w:p>
    <w:p w14:paraId="406398CC" w14:textId="77777777" w:rsidR="00261AC3" w:rsidRPr="0049187C" w:rsidRDefault="00B00716" w:rsidP="0049187C">
      <w:pPr>
        <w:keepNext/>
        <w:keepLines/>
        <w:spacing w:after="0" w:line="240" w:lineRule="auto"/>
        <w:ind w:left="0" w:firstLine="0"/>
        <w:rPr>
          <w:u w:val="single"/>
          <w:lang w:val="de-DE"/>
        </w:rPr>
      </w:pPr>
      <w:r w:rsidRPr="0049187C">
        <w:rPr>
          <w:u w:val="single"/>
          <w:lang w:val="de-DE"/>
        </w:rPr>
        <w:t>Zusammenfassung des Sicherheitsprofils</w:t>
      </w:r>
    </w:p>
    <w:p w14:paraId="47E9A5F9" w14:textId="77777777" w:rsidR="00F83928" w:rsidRPr="0049187C" w:rsidRDefault="00F83928" w:rsidP="0049187C">
      <w:pPr>
        <w:spacing w:after="0" w:line="240" w:lineRule="auto"/>
        <w:ind w:left="0" w:firstLine="0"/>
        <w:rPr>
          <w:lang w:val="de-DE"/>
        </w:rPr>
      </w:pPr>
    </w:p>
    <w:p w14:paraId="69910F75" w14:textId="77777777" w:rsidR="00261AC3" w:rsidRPr="0049187C" w:rsidRDefault="00B00716" w:rsidP="0049187C">
      <w:pPr>
        <w:spacing w:after="0" w:line="240" w:lineRule="auto"/>
        <w:ind w:left="0" w:firstLine="0"/>
        <w:rPr>
          <w:lang w:val="de-DE"/>
        </w:rPr>
      </w:pPr>
      <w:r w:rsidRPr="0049187C">
        <w:rPr>
          <w:lang w:val="de-DE"/>
        </w:rPr>
        <w:t xml:space="preserve">Die häufigsten </w:t>
      </w:r>
      <w:r w:rsidR="00E47D7D" w:rsidRPr="0049187C">
        <w:rPr>
          <w:lang w:val="de-DE"/>
        </w:rPr>
        <w:t>Nebenwirkungen</w:t>
      </w:r>
      <w:r w:rsidR="00FE2EAC" w:rsidRPr="0049187C">
        <w:rPr>
          <w:lang w:val="de-DE"/>
        </w:rPr>
        <w:t xml:space="preserve"> bei </w:t>
      </w:r>
      <w:r w:rsidRPr="0049187C">
        <w:rPr>
          <w:lang w:val="de-DE"/>
        </w:rPr>
        <w:t xml:space="preserve">Denosumab (bei mehr als einem von zehn Patienten beobachtet) sind </w:t>
      </w:r>
      <w:r w:rsidR="00336FFE" w:rsidRPr="0049187C">
        <w:rPr>
          <w:lang w:val="de-DE"/>
        </w:rPr>
        <w:t>Schmerzen des Muskel- und Skelettsystems</w:t>
      </w:r>
      <w:r w:rsidRPr="0049187C">
        <w:rPr>
          <w:lang w:val="de-DE"/>
        </w:rPr>
        <w:t xml:space="preserve"> und Schmerzen in den Extremitäten. Gelegentliche Fälle von </w:t>
      </w:r>
      <w:r w:rsidR="00336FFE" w:rsidRPr="0049187C">
        <w:rPr>
          <w:lang w:val="de-DE"/>
        </w:rPr>
        <w:t>Zellulitis</w:t>
      </w:r>
      <w:r w:rsidRPr="0049187C">
        <w:rPr>
          <w:lang w:val="de-DE"/>
        </w:rPr>
        <w:t xml:space="preserve">, seltene Fälle von Hypokalzämie, Überempfindlichkeit, </w:t>
      </w:r>
      <w:r w:rsidR="00336FFE" w:rsidRPr="0049187C">
        <w:rPr>
          <w:iCs/>
          <w:lang w:val="de-DE"/>
        </w:rPr>
        <w:t>Osteonekrosen des Kiefers</w:t>
      </w:r>
      <w:r w:rsidRPr="0049187C">
        <w:rPr>
          <w:lang w:val="de-DE"/>
        </w:rPr>
        <w:t xml:space="preserve"> und atypischen </w:t>
      </w:r>
      <w:r w:rsidR="00B46D10" w:rsidRPr="0049187C">
        <w:rPr>
          <w:lang w:val="de-DE"/>
        </w:rPr>
        <w:t>Oberschenkelfraktur</w:t>
      </w:r>
      <w:r w:rsidRPr="0049187C">
        <w:rPr>
          <w:lang w:val="de-DE"/>
        </w:rPr>
        <w:t>en (siehe Abschnitte</w:t>
      </w:r>
      <w:r w:rsidR="00252F44" w:rsidRPr="0049187C">
        <w:rPr>
          <w:lang w:val="de-DE"/>
        </w:rPr>
        <w:t xml:space="preserve"> </w:t>
      </w:r>
      <w:r w:rsidRPr="0049187C">
        <w:rPr>
          <w:lang w:val="de-DE"/>
        </w:rPr>
        <w:t>4.4 und 4.8 – Beschreibung ausgewählter Nebenwirkungen) wurden bei mit Denosumab behandelten Patienten beobachtet.</w:t>
      </w:r>
    </w:p>
    <w:p w14:paraId="7D0AD8B6" w14:textId="77777777" w:rsidR="00F83928" w:rsidRPr="0049187C" w:rsidRDefault="00F83928" w:rsidP="0049187C">
      <w:pPr>
        <w:spacing w:after="0" w:line="240" w:lineRule="auto"/>
        <w:ind w:left="0" w:firstLine="0"/>
        <w:rPr>
          <w:lang w:val="de-DE"/>
        </w:rPr>
      </w:pPr>
    </w:p>
    <w:p w14:paraId="2428BCD3" w14:textId="77777777" w:rsidR="00261AC3" w:rsidRPr="0049187C" w:rsidRDefault="00B00716" w:rsidP="0049187C">
      <w:pPr>
        <w:keepNext/>
        <w:keepLines/>
        <w:spacing w:after="0" w:line="240" w:lineRule="auto"/>
        <w:ind w:left="0" w:firstLine="0"/>
        <w:rPr>
          <w:u w:val="single"/>
          <w:lang w:val="de-DE"/>
        </w:rPr>
      </w:pPr>
      <w:r w:rsidRPr="0049187C">
        <w:rPr>
          <w:u w:val="single"/>
          <w:lang w:val="de-DE"/>
        </w:rPr>
        <w:t>Liste der Nebenwirkungen in Tabellenform</w:t>
      </w:r>
    </w:p>
    <w:p w14:paraId="49E0A41F" w14:textId="77777777" w:rsidR="00F83928" w:rsidRPr="0049187C" w:rsidRDefault="00F83928" w:rsidP="0049187C">
      <w:pPr>
        <w:spacing w:after="0" w:line="240" w:lineRule="auto"/>
        <w:ind w:left="0" w:firstLine="0"/>
        <w:rPr>
          <w:lang w:val="de-DE"/>
        </w:rPr>
      </w:pPr>
    </w:p>
    <w:p w14:paraId="4A051F50" w14:textId="77777777" w:rsidR="00261AC3" w:rsidRPr="0049187C" w:rsidRDefault="00B00716" w:rsidP="0049187C">
      <w:pPr>
        <w:spacing w:after="0" w:line="240" w:lineRule="auto"/>
        <w:ind w:left="0" w:firstLine="0"/>
        <w:rPr>
          <w:lang w:val="de-DE"/>
        </w:rPr>
      </w:pPr>
      <w:r w:rsidRPr="0049187C">
        <w:rPr>
          <w:lang w:val="de-DE"/>
        </w:rPr>
        <w:t>Die Daten in untenstehender Tabelle 1 beschreiben Nebenwirkungen, die aus klinischen Studien der Phase II und III bei Patienten mit Osteoporose und Patienten mit Mamma</w:t>
      </w:r>
      <w:r w:rsidRPr="0049187C">
        <w:rPr>
          <w:lang w:val="de-DE"/>
        </w:rPr>
        <w:noBreakHyphen/>
        <w:t xml:space="preserve"> oder Prostatakarzinom, die Hormonablation erhielten, und/oder aus dem Spontanberichtswesen stammen.</w:t>
      </w:r>
    </w:p>
    <w:p w14:paraId="418F290A" w14:textId="77777777" w:rsidR="00F83928" w:rsidRPr="0049187C" w:rsidRDefault="00F83928" w:rsidP="0049187C">
      <w:pPr>
        <w:spacing w:after="0" w:line="240" w:lineRule="auto"/>
        <w:ind w:left="0" w:firstLine="0"/>
        <w:rPr>
          <w:lang w:val="de-DE"/>
        </w:rPr>
      </w:pPr>
    </w:p>
    <w:p w14:paraId="2C262A78" w14:textId="77777777" w:rsidR="00261AC3" w:rsidRPr="0049187C" w:rsidRDefault="00B00716" w:rsidP="0049187C">
      <w:pPr>
        <w:spacing w:after="0" w:line="240" w:lineRule="auto"/>
        <w:ind w:left="0" w:firstLine="0"/>
        <w:rPr>
          <w:lang w:val="de-DE"/>
        </w:rPr>
      </w:pPr>
      <w:r w:rsidRPr="0049187C">
        <w:rPr>
          <w:lang w:val="de-DE"/>
        </w:rPr>
        <w:t>Die folgende Konvention wurde für die Klassifikation von Nebenwirkungen verwendet (siehe Tabelle 1): sehr häufig (≥ 1/10), häufig (≥ 1/100, &lt; 1/10), gelegentlich (≥ 1/1 000, &lt; 1/100), selten (≥ 1/10 000, &lt; 1/1 000), sehr selten (&lt; 1/10 000) und nicht bekannt (Häufigkeit auf Grundlage der verfügbaren Daten nicht abschätzbar). Innerhalb jeder Häufigkeitsgruppe und Systemorganklasse werden die Nebenwirkungen nach abnehmendem Schweregrad aufgeführt.</w:t>
      </w:r>
    </w:p>
    <w:p w14:paraId="4F37FC29" w14:textId="77777777" w:rsidR="00F83928" w:rsidRPr="0049187C" w:rsidRDefault="00F83928" w:rsidP="0049187C">
      <w:pPr>
        <w:spacing w:after="0" w:line="240" w:lineRule="auto"/>
        <w:ind w:left="0" w:firstLine="0"/>
        <w:rPr>
          <w:lang w:val="de-DE"/>
        </w:rPr>
      </w:pPr>
    </w:p>
    <w:p w14:paraId="31D17E12" w14:textId="77777777" w:rsidR="00261AC3" w:rsidRPr="0049187C" w:rsidRDefault="00B00716" w:rsidP="0049187C">
      <w:pPr>
        <w:keepNext/>
        <w:keepLines/>
        <w:spacing w:after="0" w:line="240" w:lineRule="auto"/>
        <w:ind w:left="0" w:firstLine="0"/>
        <w:rPr>
          <w:b/>
          <w:bCs/>
          <w:lang w:val="de-DE"/>
        </w:rPr>
      </w:pPr>
      <w:r w:rsidRPr="0049187C">
        <w:rPr>
          <w:b/>
          <w:bCs/>
          <w:lang w:val="de-DE"/>
        </w:rPr>
        <w:t>Tabelle 1: Nebenwirkungen, die bei Patienten mit Osteoporose und bei Patienten mit Mamma</w:t>
      </w:r>
      <w:r w:rsidRPr="0049187C">
        <w:rPr>
          <w:b/>
          <w:bCs/>
          <w:lang w:val="de-DE"/>
        </w:rPr>
        <w:noBreakHyphen/>
        <w:t xml:space="preserve"> oder Prostatakarzinom unter Hormonablationstherapie berichtet wurden</w:t>
      </w:r>
    </w:p>
    <w:p w14:paraId="4CDE55D3" w14:textId="77777777" w:rsidR="00F83928" w:rsidRPr="0049187C" w:rsidRDefault="00F83928" w:rsidP="0049187C">
      <w:pPr>
        <w:spacing w:after="0" w:line="240" w:lineRule="auto"/>
        <w:ind w:left="0" w:firstLine="0"/>
        <w:rPr>
          <w:lang w:val="de-DE"/>
        </w:rPr>
      </w:pPr>
    </w:p>
    <w:tbl>
      <w:tblPr>
        <w:tblStyle w:val="TableGrid"/>
        <w:tblW w:w="10093" w:type="dxa"/>
        <w:tblInd w:w="-89" w:type="dxa"/>
        <w:tblLayout w:type="fixed"/>
        <w:tblCellMar>
          <w:left w:w="108" w:type="dxa"/>
          <w:right w:w="108" w:type="dxa"/>
        </w:tblCellMar>
        <w:tblLook w:val="04A0" w:firstRow="1" w:lastRow="0" w:firstColumn="1" w:lastColumn="0" w:noHBand="0" w:noVBand="1"/>
      </w:tblPr>
      <w:tblGrid>
        <w:gridCol w:w="3850"/>
        <w:gridCol w:w="2141"/>
        <w:gridCol w:w="4102"/>
      </w:tblGrid>
      <w:tr w:rsidR="00A67796" w:rsidRPr="0049187C" w14:paraId="1A814A04" w14:textId="77777777" w:rsidTr="005232C9">
        <w:trPr>
          <w:trHeight w:val="516"/>
        </w:trPr>
        <w:tc>
          <w:tcPr>
            <w:tcW w:w="3850" w:type="dxa"/>
            <w:tcBorders>
              <w:top w:val="single" w:sz="4" w:space="0" w:color="000000"/>
              <w:left w:val="single" w:sz="4" w:space="0" w:color="000000"/>
              <w:bottom w:val="single" w:sz="4" w:space="0" w:color="000000"/>
              <w:right w:val="single" w:sz="4" w:space="0" w:color="000000"/>
            </w:tcBorders>
            <w:shd w:val="clear" w:color="auto" w:fill="auto"/>
          </w:tcPr>
          <w:p w14:paraId="088F5EF7" w14:textId="77777777" w:rsidR="00F83928" w:rsidRPr="0049187C" w:rsidRDefault="00B00716" w:rsidP="0049187C">
            <w:pPr>
              <w:spacing w:after="0" w:line="240" w:lineRule="auto"/>
              <w:ind w:left="0" w:firstLine="0"/>
              <w:rPr>
                <w:lang w:val="de-DE"/>
              </w:rPr>
            </w:pPr>
            <w:r w:rsidRPr="0049187C">
              <w:rPr>
                <w:b/>
                <w:lang w:val="de-DE"/>
              </w:rPr>
              <w:t>Systemorganklassen gemäß</w:t>
            </w:r>
            <w:r w:rsidR="007B5264" w:rsidRPr="0049187C">
              <w:rPr>
                <w:b/>
                <w:lang w:val="de-DE"/>
              </w:rPr>
              <w:t xml:space="preserve"> </w:t>
            </w:r>
            <w:r w:rsidRPr="0049187C">
              <w:rPr>
                <w:b/>
                <w:lang w:val="de-DE"/>
              </w:rPr>
              <w:t xml:space="preserve">MedDRA </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14:paraId="7F3ADF00" w14:textId="77777777" w:rsidR="00F83928" w:rsidRPr="0049187C" w:rsidRDefault="00B00716" w:rsidP="0049187C">
            <w:pPr>
              <w:spacing w:after="0" w:line="240" w:lineRule="auto"/>
              <w:ind w:left="0" w:firstLine="0"/>
              <w:rPr>
                <w:lang w:val="de-DE"/>
              </w:rPr>
            </w:pPr>
            <w:r w:rsidRPr="0049187C">
              <w:rPr>
                <w:b/>
                <w:lang w:val="de-DE"/>
              </w:rPr>
              <w:t>Häufigkeit</w:t>
            </w:r>
            <w:r w:rsidRPr="0049187C">
              <w:rPr>
                <w:lang w:val="de-DE"/>
              </w:rPr>
              <w:t xml:space="preserve">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108A08D3" w14:textId="77777777" w:rsidR="00F83928" w:rsidRPr="0049187C" w:rsidRDefault="00B00716" w:rsidP="0049187C">
            <w:pPr>
              <w:spacing w:after="0" w:line="240" w:lineRule="auto"/>
              <w:ind w:left="0" w:firstLine="0"/>
              <w:rPr>
                <w:lang w:val="de-DE"/>
              </w:rPr>
            </w:pPr>
            <w:r w:rsidRPr="0049187C">
              <w:rPr>
                <w:b/>
                <w:lang w:val="de-DE"/>
              </w:rPr>
              <w:t xml:space="preserve">Nebenwirkungen </w:t>
            </w:r>
          </w:p>
        </w:tc>
      </w:tr>
      <w:tr w:rsidR="00A67796" w:rsidRPr="0049187C" w14:paraId="2119B2D6" w14:textId="77777777" w:rsidTr="005232C9">
        <w:trPr>
          <w:trHeight w:val="1343"/>
        </w:trPr>
        <w:tc>
          <w:tcPr>
            <w:tcW w:w="3850" w:type="dxa"/>
            <w:tcBorders>
              <w:top w:val="single" w:sz="4" w:space="0" w:color="000000"/>
              <w:left w:val="single" w:sz="4" w:space="0" w:color="000000"/>
              <w:right w:val="single" w:sz="4" w:space="0" w:color="000000"/>
            </w:tcBorders>
            <w:shd w:val="clear" w:color="auto" w:fill="auto"/>
          </w:tcPr>
          <w:p w14:paraId="6D013A3E" w14:textId="77777777" w:rsidR="00F8354D" w:rsidRPr="0049187C" w:rsidRDefault="00B00716" w:rsidP="0049187C">
            <w:pPr>
              <w:spacing w:after="0" w:line="240" w:lineRule="auto"/>
              <w:ind w:left="0" w:firstLine="0"/>
              <w:rPr>
                <w:lang w:val="de-DE"/>
              </w:rPr>
            </w:pPr>
            <w:r w:rsidRPr="0049187C">
              <w:rPr>
                <w:lang w:val="de-DE"/>
              </w:rPr>
              <w:t xml:space="preserve">Infektionen und parasitäre Erkrankungen </w:t>
            </w:r>
          </w:p>
        </w:tc>
        <w:tc>
          <w:tcPr>
            <w:tcW w:w="2141" w:type="dxa"/>
            <w:tcBorders>
              <w:top w:val="single" w:sz="4" w:space="0" w:color="000000"/>
              <w:left w:val="single" w:sz="4" w:space="0" w:color="000000"/>
              <w:right w:val="single" w:sz="4" w:space="0" w:color="000000"/>
            </w:tcBorders>
            <w:shd w:val="clear" w:color="auto" w:fill="auto"/>
          </w:tcPr>
          <w:p w14:paraId="63243E9A" w14:textId="77777777" w:rsidR="00F8354D" w:rsidRPr="0049187C" w:rsidRDefault="00B00716" w:rsidP="0049187C">
            <w:pPr>
              <w:spacing w:after="0" w:line="240" w:lineRule="auto"/>
              <w:ind w:left="0" w:firstLine="0"/>
              <w:rPr>
                <w:lang w:val="de-DE"/>
              </w:rPr>
            </w:pPr>
            <w:r w:rsidRPr="0049187C">
              <w:rPr>
                <w:lang w:val="de-DE"/>
              </w:rPr>
              <w:t>Häufig</w:t>
            </w:r>
          </w:p>
          <w:p w14:paraId="0082914F" w14:textId="77777777" w:rsidR="00F8354D" w:rsidRPr="0049187C" w:rsidRDefault="00B00716" w:rsidP="0049187C">
            <w:pPr>
              <w:spacing w:after="0" w:line="240" w:lineRule="auto"/>
              <w:ind w:left="0" w:firstLine="0"/>
              <w:rPr>
                <w:lang w:val="de-DE"/>
              </w:rPr>
            </w:pPr>
            <w:r w:rsidRPr="0049187C">
              <w:rPr>
                <w:lang w:val="de-DE"/>
              </w:rPr>
              <w:t>Häufig</w:t>
            </w:r>
          </w:p>
          <w:p w14:paraId="2C0D44BD" w14:textId="77777777" w:rsidR="00F8354D" w:rsidRPr="0049187C" w:rsidRDefault="00B00716" w:rsidP="0049187C">
            <w:pPr>
              <w:spacing w:after="0" w:line="240" w:lineRule="auto"/>
              <w:ind w:left="0" w:firstLine="0"/>
              <w:rPr>
                <w:lang w:val="de-DE"/>
              </w:rPr>
            </w:pPr>
            <w:r w:rsidRPr="0049187C">
              <w:rPr>
                <w:lang w:val="de-DE"/>
              </w:rPr>
              <w:t xml:space="preserve">Gelegentlich </w:t>
            </w:r>
          </w:p>
          <w:p w14:paraId="1412D39E" w14:textId="77777777" w:rsidR="00F8354D" w:rsidRPr="0049187C" w:rsidRDefault="00B00716" w:rsidP="0049187C">
            <w:pPr>
              <w:spacing w:after="0" w:line="240" w:lineRule="auto"/>
              <w:ind w:left="0" w:firstLine="0"/>
              <w:rPr>
                <w:lang w:val="de-DE"/>
              </w:rPr>
            </w:pPr>
            <w:r w:rsidRPr="0049187C">
              <w:rPr>
                <w:lang w:val="de-DE"/>
              </w:rPr>
              <w:t xml:space="preserve">Gelegentlich </w:t>
            </w:r>
          </w:p>
          <w:p w14:paraId="314D01EB" w14:textId="77777777" w:rsidR="00F8354D" w:rsidRPr="0049187C" w:rsidRDefault="00B00716" w:rsidP="0049187C">
            <w:pPr>
              <w:spacing w:after="0" w:line="240" w:lineRule="auto"/>
              <w:ind w:left="0" w:firstLine="0"/>
              <w:rPr>
                <w:lang w:val="de-DE"/>
              </w:rPr>
            </w:pPr>
            <w:r w:rsidRPr="0049187C">
              <w:rPr>
                <w:lang w:val="de-DE"/>
              </w:rPr>
              <w:t xml:space="preserve">Gelegentlich </w:t>
            </w:r>
          </w:p>
        </w:tc>
        <w:tc>
          <w:tcPr>
            <w:tcW w:w="4102" w:type="dxa"/>
            <w:tcBorders>
              <w:top w:val="single" w:sz="4" w:space="0" w:color="000000"/>
              <w:left w:val="single" w:sz="4" w:space="0" w:color="000000"/>
              <w:right w:val="single" w:sz="4" w:space="0" w:color="000000"/>
            </w:tcBorders>
            <w:shd w:val="clear" w:color="auto" w:fill="auto"/>
          </w:tcPr>
          <w:p w14:paraId="724F6853" w14:textId="77777777" w:rsidR="00F8354D" w:rsidRPr="0049187C" w:rsidRDefault="00B00716" w:rsidP="0049187C">
            <w:pPr>
              <w:spacing w:after="0" w:line="240" w:lineRule="auto"/>
              <w:ind w:left="0" w:firstLine="0"/>
              <w:rPr>
                <w:lang w:val="de-DE"/>
              </w:rPr>
            </w:pPr>
            <w:r w:rsidRPr="0049187C">
              <w:rPr>
                <w:lang w:val="de-DE"/>
              </w:rPr>
              <w:t>Harnwegsinfektion</w:t>
            </w:r>
          </w:p>
          <w:p w14:paraId="6B623970" w14:textId="77777777" w:rsidR="00F8354D" w:rsidRPr="0049187C" w:rsidRDefault="00B00716" w:rsidP="0049187C">
            <w:pPr>
              <w:spacing w:after="0" w:line="240" w:lineRule="auto"/>
              <w:ind w:left="0" w:firstLine="0"/>
              <w:rPr>
                <w:lang w:val="de-DE"/>
              </w:rPr>
            </w:pPr>
            <w:r w:rsidRPr="0049187C">
              <w:rPr>
                <w:lang w:val="de-DE"/>
              </w:rPr>
              <w:t xml:space="preserve">Infektion der oberen Atemwege </w:t>
            </w:r>
          </w:p>
          <w:p w14:paraId="32427AE5" w14:textId="77777777" w:rsidR="00F8354D" w:rsidRPr="0049187C" w:rsidRDefault="00B00716" w:rsidP="0049187C">
            <w:pPr>
              <w:spacing w:after="0" w:line="240" w:lineRule="auto"/>
              <w:ind w:left="0" w:firstLine="0"/>
              <w:rPr>
                <w:lang w:val="de-DE"/>
              </w:rPr>
            </w:pPr>
            <w:r w:rsidRPr="0049187C">
              <w:rPr>
                <w:lang w:val="de-DE"/>
              </w:rPr>
              <w:t>Divertikulitis</w:t>
            </w:r>
            <w:r w:rsidRPr="0049187C">
              <w:rPr>
                <w:vertAlign w:val="superscript"/>
                <w:lang w:val="de-DE"/>
              </w:rPr>
              <w:t>1 </w:t>
            </w:r>
          </w:p>
          <w:p w14:paraId="3B716AC0" w14:textId="77777777" w:rsidR="00F8354D" w:rsidRPr="0049187C" w:rsidRDefault="00B00716" w:rsidP="0049187C">
            <w:pPr>
              <w:spacing w:after="0" w:line="240" w:lineRule="auto"/>
              <w:ind w:left="0" w:firstLine="0"/>
              <w:rPr>
                <w:lang w:val="de-DE"/>
              </w:rPr>
            </w:pPr>
            <w:r w:rsidRPr="0049187C">
              <w:rPr>
                <w:lang w:val="de-DE"/>
              </w:rPr>
              <w:t>Zellulitis</w:t>
            </w:r>
            <w:r w:rsidR="00B46D10" w:rsidRPr="0049187C">
              <w:rPr>
                <w:vertAlign w:val="superscript"/>
                <w:lang w:val="de-DE"/>
              </w:rPr>
              <w:t>1</w:t>
            </w:r>
          </w:p>
          <w:p w14:paraId="09190D23" w14:textId="77777777" w:rsidR="00F8354D" w:rsidRPr="0049187C" w:rsidRDefault="00B00716" w:rsidP="0049187C">
            <w:pPr>
              <w:spacing w:after="0" w:line="240" w:lineRule="auto"/>
              <w:ind w:left="0" w:firstLine="0"/>
              <w:rPr>
                <w:lang w:val="de-DE"/>
              </w:rPr>
            </w:pPr>
            <w:r w:rsidRPr="0049187C">
              <w:rPr>
                <w:lang w:val="de-DE"/>
              </w:rPr>
              <w:t xml:space="preserve">Ohreninfektion </w:t>
            </w:r>
          </w:p>
        </w:tc>
      </w:tr>
      <w:tr w:rsidR="00A67796" w:rsidRPr="0049187C" w14:paraId="6F2A7FB7" w14:textId="77777777" w:rsidTr="005232C9">
        <w:trPr>
          <w:trHeight w:val="526"/>
        </w:trPr>
        <w:tc>
          <w:tcPr>
            <w:tcW w:w="3850" w:type="dxa"/>
            <w:tcBorders>
              <w:top w:val="single" w:sz="4" w:space="0" w:color="000000"/>
              <w:left w:val="single" w:sz="4" w:space="0" w:color="000000"/>
              <w:bottom w:val="single" w:sz="4" w:space="0" w:color="000000"/>
              <w:right w:val="single" w:sz="4" w:space="0" w:color="000000"/>
            </w:tcBorders>
            <w:shd w:val="clear" w:color="auto" w:fill="auto"/>
          </w:tcPr>
          <w:p w14:paraId="71EE7B47" w14:textId="77777777" w:rsidR="00F83928" w:rsidRPr="0049187C" w:rsidRDefault="00B00716" w:rsidP="0049187C">
            <w:pPr>
              <w:spacing w:after="0" w:line="240" w:lineRule="auto"/>
              <w:ind w:left="0" w:firstLine="0"/>
              <w:rPr>
                <w:lang w:val="de-DE"/>
              </w:rPr>
            </w:pPr>
            <w:r w:rsidRPr="0049187C">
              <w:rPr>
                <w:lang w:val="de-DE"/>
              </w:rPr>
              <w:t xml:space="preserve">Erkrankungen des Immunsystems </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14:paraId="64FC5431" w14:textId="77777777" w:rsidR="00261AC3" w:rsidRPr="0049187C" w:rsidRDefault="00B00716" w:rsidP="0049187C">
            <w:pPr>
              <w:spacing w:after="0" w:line="240" w:lineRule="auto"/>
              <w:ind w:left="0" w:firstLine="0"/>
              <w:rPr>
                <w:lang w:val="de-DE"/>
              </w:rPr>
            </w:pPr>
            <w:r w:rsidRPr="0049187C">
              <w:rPr>
                <w:lang w:val="de-DE"/>
              </w:rPr>
              <w:t>Selten</w:t>
            </w:r>
          </w:p>
          <w:p w14:paraId="3F36D051" w14:textId="77777777" w:rsidR="00F83928" w:rsidRPr="0049187C" w:rsidRDefault="00B00716" w:rsidP="0049187C">
            <w:pPr>
              <w:spacing w:after="0" w:line="240" w:lineRule="auto"/>
              <w:ind w:left="0" w:firstLine="0"/>
              <w:rPr>
                <w:lang w:val="de-DE"/>
              </w:rPr>
            </w:pPr>
            <w:r w:rsidRPr="0049187C">
              <w:rPr>
                <w:lang w:val="de-DE"/>
              </w:rPr>
              <w:t xml:space="preserve">Selten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34E27836" w14:textId="77777777" w:rsidR="00F83928" w:rsidRPr="0049187C" w:rsidRDefault="00B00716" w:rsidP="0049187C">
            <w:pPr>
              <w:spacing w:after="0" w:line="240" w:lineRule="auto"/>
              <w:ind w:left="0" w:firstLine="0"/>
              <w:rPr>
                <w:lang w:val="de-DE"/>
              </w:rPr>
            </w:pPr>
            <w:r w:rsidRPr="0049187C">
              <w:rPr>
                <w:lang w:val="de-DE"/>
              </w:rPr>
              <w:t>Arzneimittelüberempfindlichkeit</w:t>
            </w:r>
            <w:r w:rsidR="00261AC3" w:rsidRPr="0049187C">
              <w:rPr>
                <w:vertAlign w:val="superscript"/>
                <w:lang w:val="de-DE"/>
              </w:rPr>
              <w:t>1</w:t>
            </w:r>
            <w:r w:rsidR="00F8354D" w:rsidRPr="0049187C">
              <w:rPr>
                <w:vertAlign w:val="superscript"/>
                <w:lang w:val="de-DE"/>
              </w:rPr>
              <w:t xml:space="preserve"> </w:t>
            </w:r>
            <w:r w:rsidRPr="0049187C">
              <w:rPr>
                <w:lang w:val="de-DE"/>
              </w:rPr>
              <w:t>Anaphylaktische Reaktion</w:t>
            </w:r>
            <w:r w:rsidR="00261AC3" w:rsidRPr="0049187C">
              <w:rPr>
                <w:vertAlign w:val="superscript"/>
                <w:lang w:val="de-DE"/>
              </w:rPr>
              <w:t>1 </w:t>
            </w:r>
          </w:p>
        </w:tc>
      </w:tr>
      <w:tr w:rsidR="00A67796" w:rsidRPr="0049187C" w14:paraId="02CF3C41" w14:textId="77777777" w:rsidTr="005232C9">
        <w:trPr>
          <w:trHeight w:val="310"/>
        </w:trPr>
        <w:tc>
          <w:tcPr>
            <w:tcW w:w="3850" w:type="dxa"/>
            <w:tcBorders>
              <w:top w:val="single" w:sz="4" w:space="0" w:color="000000"/>
              <w:left w:val="single" w:sz="4" w:space="0" w:color="000000"/>
              <w:bottom w:val="single" w:sz="4" w:space="0" w:color="000000"/>
              <w:right w:val="single" w:sz="4" w:space="0" w:color="000000"/>
            </w:tcBorders>
            <w:shd w:val="clear" w:color="auto" w:fill="auto"/>
          </w:tcPr>
          <w:p w14:paraId="4C726FFD" w14:textId="77777777" w:rsidR="00F83928" w:rsidRPr="0049187C" w:rsidRDefault="00B00716" w:rsidP="0049187C">
            <w:pPr>
              <w:spacing w:after="0" w:line="240" w:lineRule="auto"/>
              <w:ind w:left="0" w:firstLine="0"/>
              <w:rPr>
                <w:lang w:val="de-DE"/>
              </w:rPr>
            </w:pPr>
            <w:r w:rsidRPr="0049187C">
              <w:rPr>
                <w:lang w:val="de-DE"/>
              </w:rPr>
              <w:t>Stoffwechsel</w:t>
            </w:r>
            <w:r w:rsidR="00261AC3" w:rsidRPr="0049187C">
              <w:rPr>
                <w:lang w:val="de-DE"/>
              </w:rPr>
              <w:noBreakHyphen/>
            </w:r>
            <w:r w:rsidRPr="0049187C">
              <w:rPr>
                <w:lang w:val="de-DE"/>
              </w:rPr>
              <w:t xml:space="preserve"> und</w:t>
            </w:r>
            <w:r w:rsidR="00252F44" w:rsidRPr="0049187C">
              <w:rPr>
                <w:lang w:val="de-DE"/>
              </w:rPr>
              <w:t xml:space="preserve"> </w:t>
            </w:r>
            <w:r w:rsidRPr="0049187C">
              <w:rPr>
                <w:lang w:val="de-DE"/>
              </w:rPr>
              <w:t xml:space="preserve">Ernährungsstörungen </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14:paraId="5D3F14F3" w14:textId="77777777" w:rsidR="00F83928" w:rsidRPr="0049187C" w:rsidRDefault="00B00716" w:rsidP="0049187C">
            <w:pPr>
              <w:spacing w:after="0" w:line="240" w:lineRule="auto"/>
              <w:ind w:left="0" w:firstLine="0"/>
              <w:rPr>
                <w:lang w:val="de-DE"/>
              </w:rPr>
            </w:pPr>
            <w:r w:rsidRPr="0049187C">
              <w:rPr>
                <w:lang w:val="de-DE"/>
              </w:rPr>
              <w:t xml:space="preserve">Selten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58139886" w14:textId="77777777" w:rsidR="00F83928" w:rsidRPr="0049187C" w:rsidRDefault="00B00716" w:rsidP="0049187C">
            <w:pPr>
              <w:spacing w:after="0" w:line="240" w:lineRule="auto"/>
              <w:ind w:left="0" w:firstLine="0"/>
              <w:rPr>
                <w:lang w:val="de-DE"/>
              </w:rPr>
            </w:pPr>
            <w:r w:rsidRPr="0049187C">
              <w:rPr>
                <w:lang w:val="de-DE"/>
              </w:rPr>
              <w:t>Hypokalzämie</w:t>
            </w:r>
            <w:r w:rsidR="00261AC3" w:rsidRPr="0049187C">
              <w:rPr>
                <w:vertAlign w:val="superscript"/>
                <w:lang w:val="de-DE"/>
              </w:rPr>
              <w:t>1 </w:t>
            </w:r>
          </w:p>
        </w:tc>
      </w:tr>
      <w:tr w:rsidR="00A67796" w:rsidRPr="0049187C" w14:paraId="54B8B596" w14:textId="77777777" w:rsidTr="005232C9">
        <w:trPr>
          <w:trHeight w:val="295"/>
        </w:trPr>
        <w:tc>
          <w:tcPr>
            <w:tcW w:w="3850" w:type="dxa"/>
            <w:tcBorders>
              <w:top w:val="single" w:sz="4" w:space="0" w:color="000000"/>
              <w:left w:val="single" w:sz="4" w:space="0" w:color="000000"/>
              <w:bottom w:val="single" w:sz="4" w:space="0" w:color="000000"/>
              <w:right w:val="single" w:sz="4" w:space="0" w:color="000000"/>
            </w:tcBorders>
            <w:shd w:val="clear" w:color="auto" w:fill="auto"/>
          </w:tcPr>
          <w:p w14:paraId="6347287B" w14:textId="77777777" w:rsidR="00F83928" w:rsidRPr="0049187C" w:rsidRDefault="00B00716" w:rsidP="0049187C">
            <w:pPr>
              <w:spacing w:after="0" w:line="240" w:lineRule="auto"/>
              <w:ind w:left="0" w:firstLine="0"/>
              <w:rPr>
                <w:lang w:val="de-DE"/>
              </w:rPr>
            </w:pPr>
            <w:r w:rsidRPr="0049187C">
              <w:rPr>
                <w:lang w:val="de-DE"/>
              </w:rPr>
              <w:t xml:space="preserve">Erkrankungen des Nervensystems </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14:paraId="3BE8F098" w14:textId="77777777" w:rsidR="00F83928" w:rsidRPr="0049187C" w:rsidRDefault="00B00716" w:rsidP="0049187C">
            <w:pPr>
              <w:spacing w:after="0" w:line="240" w:lineRule="auto"/>
              <w:ind w:left="0" w:firstLine="0"/>
              <w:rPr>
                <w:lang w:val="de-DE"/>
              </w:rPr>
            </w:pPr>
            <w:r w:rsidRPr="0049187C">
              <w:rPr>
                <w:lang w:val="de-DE"/>
              </w:rPr>
              <w:t xml:space="preserve">Häufig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7262D600" w14:textId="77777777" w:rsidR="00F83928" w:rsidRPr="0049187C" w:rsidRDefault="00B00716" w:rsidP="0049187C">
            <w:pPr>
              <w:spacing w:after="0" w:line="240" w:lineRule="auto"/>
              <w:ind w:left="0" w:firstLine="0"/>
              <w:rPr>
                <w:lang w:val="de-DE"/>
              </w:rPr>
            </w:pPr>
            <w:r w:rsidRPr="0049187C">
              <w:rPr>
                <w:lang w:val="de-DE"/>
              </w:rPr>
              <w:t>Ischialgie</w:t>
            </w:r>
          </w:p>
        </w:tc>
      </w:tr>
      <w:tr w:rsidR="00A67796" w:rsidRPr="0049187C" w14:paraId="03198991" w14:textId="77777777" w:rsidTr="005232C9">
        <w:trPr>
          <w:trHeight w:val="526"/>
        </w:trPr>
        <w:tc>
          <w:tcPr>
            <w:tcW w:w="3850" w:type="dxa"/>
            <w:tcBorders>
              <w:top w:val="single" w:sz="4" w:space="0" w:color="000000"/>
              <w:left w:val="single" w:sz="4" w:space="0" w:color="000000"/>
              <w:bottom w:val="single" w:sz="4" w:space="0" w:color="000000"/>
              <w:right w:val="single" w:sz="4" w:space="0" w:color="000000"/>
            </w:tcBorders>
            <w:shd w:val="clear" w:color="auto" w:fill="auto"/>
          </w:tcPr>
          <w:p w14:paraId="4D1B116F" w14:textId="77777777" w:rsidR="00F83928" w:rsidRPr="0049187C" w:rsidRDefault="00B00716" w:rsidP="0049187C">
            <w:pPr>
              <w:spacing w:after="0" w:line="240" w:lineRule="auto"/>
              <w:ind w:left="0" w:firstLine="0"/>
              <w:rPr>
                <w:lang w:val="de-DE"/>
              </w:rPr>
            </w:pPr>
            <w:r w:rsidRPr="0049187C">
              <w:rPr>
                <w:lang w:val="de-DE"/>
              </w:rPr>
              <w:t>Erkrankungen des</w:t>
            </w:r>
            <w:r w:rsidR="00252F44" w:rsidRPr="0049187C">
              <w:rPr>
                <w:lang w:val="de-DE"/>
              </w:rPr>
              <w:t xml:space="preserve"> </w:t>
            </w:r>
            <w:r w:rsidRPr="0049187C">
              <w:rPr>
                <w:lang w:val="de-DE"/>
              </w:rPr>
              <w:t xml:space="preserve">Gastrointestinaltrakts </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14:paraId="2278B647" w14:textId="77777777" w:rsidR="00261AC3" w:rsidRPr="0049187C" w:rsidRDefault="00B00716" w:rsidP="0049187C">
            <w:pPr>
              <w:spacing w:after="0" w:line="240" w:lineRule="auto"/>
              <w:ind w:left="0" w:firstLine="0"/>
              <w:rPr>
                <w:lang w:val="de-DE"/>
              </w:rPr>
            </w:pPr>
            <w:r w:rsidRPr="0049187C">
              <w:rPr>
                <w:lang w:val="de-DE"/>
              </w:rPr>
              <w:t>Häufig</w:t>
            </w:r>
          </w:p>
          <w:p w14:paraId="0BF58B4D" w14:textId="77777777" w:rsidR="00F83928" w:rsidRPr="0049187C" w:rsidRDefault="00B00716" w:rsidP="0049187C">
            <w:pPr>
              <w:spacing w:after="0" w:line="240" w:lineRule="auto"/>
              <w:ind w:left="0" w:firstLine="0"/>
              <w:rPr>
                <w:lang w:val="de-DE"/>
              </w:rPr>
            </w:pPr>
            <w:r w:rsidRPr="0049187C">
              <w:rPr>
                <w:lang w:val="de-DE"/>
              </w:rPr>
              <w:t xml:space="preserve">Häufig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65EDC3B7" w14:textId="77777777" w:rsidR="00261AC3" w:rsidRPr="0049187C" w:rsidRDefault="00B00716" w:rsidP="0049187C">
            <w:pPr>
              <w:spacing w:after="0" w:line="240" w:lineRule="auto"/>
              <w:ind w:left="0" w:firstLine="0"/>
              <w:rPr>
                <w:lang w:val="de-DE"/>
              </w:rPr>
            </w:pPr>
            <w:r w:rsidRPr="0049187C">
              <w:rPr>
                <w:lang w:val="de-DE"/>
              </w:rPr>
              <w:t>Obstipation</w:t>
            </w:r>
          </w:p>
          <w:p w14:paraId="6D7A2CE7" w14:textId="77777777" w:rsidR="00F83928" w:rsidRPr="0049187C" w:rsidRDefault="00B00716" w:rsidP="0049187C">
            <w:pPr>
              <w:spacing w:after="0" w:line="240" w:lineRule="auto"/>
              <w:ind w:left="0" w:firstLine="0"/>
              <w:rPr>
                <w:lang w:val="de-DE"/>
              </w:rPr>
            </w:pPr>
            <w:r w:rsidRPr="0049187C">
              <w:rPr>
                <w:lang w:val="de-DE"/>
              </w:rPr>
              <w:t xml:space="preserve">Abdominale Beschwerden </w:t>
            </w:r>
          </w:p>
        </w:tc>
      </w:tr>
      <w:tr w:rsidR="00A67796" w:rsidRPr="0049187C" w14:paraId="7D50FE8D" w14:textId="77777777" w:rsidTr="005232C9">
        <w:trPr>
          <w:trHeight w:val="1302"/>
        </w:trPr>
        <w:tc>
          <w:tcPr>
            <w:tcW w:w="3850" w:type="dxa"/>
            <w:tcBorders>
              <w:top w:val="single" w:sz="4" w:space="0" w:color="000000"/>
              <w:left w:val="single" w:sz="4" w:space="0" w:color="000000"/>
              <w:bottom w:val="single" w:sz="4" w:space="0" w:color="000000"/>
              <w:right w:val="single" w:sz="4" w:space="0" w:color="000000"/>
            </w:tcBorders>
            <w:shd w:val="clear" w:color="auto" w:fill="auto"/>
          </w:tcPr>
          <w:p w14:paraId="05BF25AB" w14:textId="77777777" w:rsidR="00F8354D" w:rsidRPr="0049187C" w:rsidRDefault="00B00716" w:rsidP="0049187C">
            <w:pPr>
              <w:spacing w:after="0" w:line="240" w:lineRule="auto"/>
              <w:ind w:left="0" w:firstLine="0"/>
              <w:rPr>
                <w:lang w:val="de-DE"/>
              </w:rPr>
            </w:pPr>
            <w:r w:rsidRPr="0049187C">
              <w:rPr>
                <w:lang w:val="de-DE"/>
              </w:rPr>
              <w:t xml:space="preserve">Erkrankungen der Haut und des Unterhautgewebes </w:t>
            </w:r>
          </w:p>
        </w:tc>
        <w:tc>
          <w:tcPr>
            <w:tcW w:w="2141" w:type="dxa"/>
            <w:tcBorders>
              <w:top w:val="single" w:sz="4" w:space="0" w:color="000000"/>
              <w:left w:val="single" w:sz="4" w:space="0" w:color="000000"/>
              <w:bottom w:val="single" w:sz="4" w:space="0" w:color="000000"/>
              <w:right w:val="single" w:sz="4" w:space="0" w:color="000000"/>
            </w:tcBorders>
            <w:shd w:val="clear" w:color="auto" w:fill="auto"/>
          </w:tcPr>
          <w:p w14:paraId="1114C820" w14:textId="77777777" w:rsidR="00F8354D" w:rsidRPr="0049187C" w:rsidRDefault="00B00716" w:rsidP="0049187C">
            <w:pPr>
              <w:spacing w:after="0" w:line="240" w:lineRule="auto"/>
              <w:ind w:left="0" w:firstLine="0"/>
              <w:rPr>
                <w:lang w:val="de-DE"/>
              </w:rPr>
            </w:pPr>
            <w:r w:rsidRPr="0049187C">
              <w:rPr>
                <w:lang w:val="de-DE"/>
              </w:rPr>
              <w:t>Häufig</w:t>
            </w:r>
          </w:p>
          <w:p w14:paraId="654E242B" w14:textId="77777777" w:rsidR="00F8354D" w:rsidRPr="0049187C" w:rsidRDefault="00B00716" w:rsidP="0049187C">
            <w:pPr>
              <w:spacing w:after="0" w:line="240" w:lineRule="auto"/>
              <w:ind w:left="0" w:firstLine="0"/>
              <w:rPr>
                <w:lang w:val="de-DE"/>
              </w:rPr>
            </w:pPr>
            <w:r w:rsidRPr="0049187C">
              <w:rPr>
                <w:lang w:val="de-DE"/>
              </w:rPr>
              <w:t xml:space="preserve">Häufig </w:t>
            </w:r>
          </w:p>
          <w:p w14:paraId="01CE6B31" w14:textId="77777777" w:rsidR="00F8354D" w:rsidRPr="0049187C" w:rsidRDefault="00B00716" w:rsidP="0049187C">
            <w:pPr>
              <w:spacing w:after="0" w:line="240" w:lineRule="auto"/>
              <w:ind w:left="0" w:firstLine="0"/>
              <w:rPr>
                <w:lang w:val="de-DE"/>
              </w:rPr>
            </w:pPr>
            <w:r w:rsidRPr="0049187C">
              <w:rPr>
                <w:lang w:val="de-DE"/>
              </w:rPr>
              <w:t xml:space="preserve">Häufig </w:t>
            </w:r>
          </w:p>
          <w:p w14:paraId="66F2DF43" w14:textId="77777777" w:rsidR="00F8354D" w:rsidRPr="0049187C" w:rsidRDefault="00B00716" w:rsidP="0049187C">
            <w:pPr>
              <w:spacing w:after="0" w:line="240" w:lineRule="auto"/>
              <w:ind w:left="0" w:firstLine="0"/>
              <w:rPr>
                <w:lang w:val="de-DE"/>
              </w:rPr>
            </w:pPr>
            <w:r w:rsidRPr="0049187C">
              <w:rPr>
                <w:lang w:val="de-DE"/>
              </w:rPr>
              <w:t xml:space="preserve">Gelegentlich </w:t>
            </w:r>
          </w:p>
          <w:p w14:paraId="0E6BEA7B" w14:textId="77777777" w:rsidR="00F8354D" w:rsidRPr="0049187C" w:rsidRDefault="00B00716" w:rsidP="0049187C">
            <w:pPr>
              <w:spacing w:after="0" w:line="240" w:lineRule="auto"/>
              <w:ind w:left="0" w:firstLine="0"/>
              <w:rPr>
                <w:lang w:val="de-DE"/>
              </w:rPr>
            </w:pPr>
            <w:r w:rsidRPr="0049187C">
              <w:rPr>
                <w:lang w:val="de-DE"/>
              </w:rPr>
              <w:t xml:space="preserve">Sehr selten </w:t>
            </w:r>
          </w:p>
        </w:tc>
        <w:tc>
          <w:tcPr>
            <w:tcW w:w="4102" w:type="dxa"/>
            <w:tcBorders>
              <w:top w:val="single" w:sz="4" w:space="0" w:color="000000"/>
              <w:left w:val="single" w:sz="4" w:space="0" w:color="000000"/>
              <w:bottom w:val="single" w:sz="4" w:space="0" w:color="000000"/>
              <w:right w:val="single" w:sz="4" w:space="0" w:color="000000"/>
            </w:tcBorders>
            <w:shd w:val="clear" w:color="auto" w:fill="auto"/>
          </w:tcPr>
          <w:p w14:paraId="5D0F32B2" w14:textId="77777777" w:rsidR="00F8354D" w:rsidRPr="0049187C" w:rsidRDefault="00B00716" w:rsidP="0049187C">
            <w:pPr>
              <w:spacing w:after="0" w:line="240" w:lineRule="auto"/>
              <w:ind w:left="0" w:firstLine="0"/>
              <w:rPr>
                <w:lang w:val="de-DE"/>
              </w:rPr>
            </w:pPr>
            <w:r w:rsidRPr="0049187C">
              <w:rPr>
                <w:lang w:val="de-DE"/>
              </w:rPr>
              <w:t xml:space="preserve">Ausschlag </w:t>
            </w:r>
          </w:p>
          <w:p w14:paraId="2B18B17B" w14:textId="77777777" w:rsidR="00F8354D" w:rsidRPr="0049187C" w:rsidRDefault="00B00716" w:rsidP="0049187C">
            <w:pPr>
              <w:spacing w:after="0" w:line="240" w:lineRule="auto"/>
              <w:ind w:left="0" w:firstLine="0"/>
              <w:rPr>
                <w:lang w:val="de-DE"/>
              </w:rPr>
            </w:pPr>
            <w:r w:rsidRPr="0049187C">
              <w:rPr>
                <w:lang w:val="de-DE"/>
              </w:rPr>
              <w:t xml:space="preserve">Ekzem </w:t>
            </w:r>
          </w:p>
          <w:p w14:paraId="6D5D74DA" w14:textId="77777777" w:rsidR="00F8354D" w:rsidRPr="0049187C" w:rsidRDefault="00B00716" w:rsidP="0049187C">
            <w:pPr>
              <w:spacing w:after="0" w:line="240" w:lineRule="auto"/>
              <w:ind w:left="0" w:firstLine="0"/>
              <w:rPr>
                <w:lang w:val="de-DE"/>
              </w:rPr>
            </w:pPr>
            <w:r w:rsidRPr="0049187C">
              <w:rPr>
                <w:lang w:val="de-DE"/>
              </w:rPr>
              <w:t xml:space="preserve">Alopezie </w:t>
            </w:r>
          </w:p>
          <w:p w14:paraId="3558BFBD" w14:textId="77777777" w:rsidR="00F8354D" w:rsidRPr="0049187C" w:rsidRDefault="00B00716" w:rsidP="0049187C">
            <w:pPr>
              <w:spacing w:after="0" w:line="240" w:lineRule="auto"/>
              <w:ind w:left="0" w:firstLine="0"/>
              <w:rPr>
                <w:lang w:val="de-DE"/>
              </w:rPr>
            </w:pPr>
            <w:r w:rsidRPr="0049187C">
              <w:rPr>
                <w:lang w:val="de-DE"/>
              </w:rPr>
              <w:t>Lichenoide</w:t>
            </w:r>
            <w:r w:rsidR="00B02B86" w:rsidRPr="0049187C">
              <w:rPr>
                <w:lang w:val="de-DE"/>
              </w:rPr>
              <w:t>r Medikamentenausschlag</w:t>
            </w:r>
            <w:r w:rsidRPr="0049187C">
              <w:rPr>
                <w:lang w:val="de-DE"/>
              </w:rPr>
              <w:t xml:space="preserve"> </w:t>
            </w:r>
            <w:r w:rsidRPr="0049187C">
              <w:rPr>
                <w:vertAlign w:val="superscript"/>
                <w:lang w:val="de-DE"/>
              </w:rPr>
              <w:t>1 </w:t>
            </w:r>
          </w:p>
          <w:p w14:paraId="28C088E8" w14:textId="77777777" w:rsidR="00F8354D" w:rsidRPr="0049187C" w:rsidRDefault="00B00716" w:rsidP="0049187C">
            <w:pPr>
              <w:spacing w:after="0" w:line="240" w:lineRule="auto"/>
              <w:ind w:left="0" w:firstLine="0"/>
              <w:rPr>
                <w:lang w:val="de-DE"/>
              </w:rPr>
            </w:pPr>
            <w:r w:rsidRPr="0049187C">
              <w:rPr>
                <w:lang w:val="de-DE"/>
              </w:rPr>
              <w:t xml:space="preserve">Hypersensitivitätsvaskulitis </w:t>
            </w:r>
          </w:p>
        </w:tc>
      </w:tr>
      <w:tr w:rsidR="00A67796" w:rsidRPr="0049187C" w14:paraId="32BF0D60" w14:textId="77777777" w:rsidTr="005232C9">
        <w:trPr>
          <w:trHeight w:val="1274"/>
        </w:trPr>
        <w:tc>
          <w:tcPr>
            <w:tcW w:w="3850" w:type="dxa"/>
            <w:tcBorders>
              <w:top w:val="single" w:sz="4" w:space="0" w:color="000000"/>
              <w:left w:val="single" w:sz="4" w:space="0" w:color="000000"/>
              <w:bottom w:val="single" w:sz="4" w:space="0" w:color="auto"/>
              <w:right w:val="single" w:sz="4" w:space="0" w:color="000000"/>
            </w:tcBorders>
            <w:shd w:val="clear" w:color="auto" w:fill="auto"/>
          </w:tcPr>
          <w:p w14:paraId="274251FF" w14:textId="77777777" w:rsidR="00975026" w:rsidRPr="0049187C" w:rsidRDefault="00B00716" w:rsidP="0049187C">
            <w:pPr>
              <w:spacing w:after="0" w:line="240" w:lineRule="auto"/>
              <w:ind w:left="0" w:firstLine="0"/>
              <w:rPr>
                <w:lang w:val="de-DE"/>
              </w:rPr>
            </w:pPr>
            <w:r w:rsidRPr="0049187C">
              <w:rPr>
                <w:lang w:val="de-DE"/>
              </w:rPr>
              <w:t>Skelettmuskulatur</w:t>
            </w:r>
            <w:r w:rsidRPr="0049187C">
              <w:rPr>
                <w:lang w:val="de-DE"/>
              </w:rPr>
              <w:noBreakHyphen/>
              <w:t>, Bindegewebs</w:t>
            </w:r>
            <w:r w:rsidRPr="0049187C">
              <w:rPr>
                <w:lang w:val="de-DE"/>
              </w:rPr>
              <w:noBreakHyphen/>
              <w:t xml:space="preserve"> und Knochenerkrankungen </w:t>
            </w:r>
          </w:p>
        </w:tc>
        <w:tc>
          <w:tcPr>
            <w:tcW w:w="2141" w:type="dxa"/>
            <w:tcBorders>
              <w:top w:val="single" w:sz="4" w:space="0" w:color="000000"/>
              <w:left w:val="single" w:sz="4" w:space="0" w:color="000000"/>
              <w:bottom w:val="single" w:sz="4" w:space="0" w:color="auto"/>
              <w:right w:val="single" w:sz="4" w:space="0" w:color="000000"/>
            </w:tcBorders>
            <w:shd w:val="clear" w:color="auto" w:fill="auto"/>
          </w:tcPr>
          <w:p w14:paraId="36507755" w14:textId="77777777" w:rsidR="00975026" w:rsidRPr="0049187C" w:rsidRDefault="00B00716" w:rsidP="0049187C">
            <w:pPr>
              <w:spacing w:after="0" w:line="240" w:lineRule="auto"/>
              <w:ind w:left="0" w:firstLine="0"/>
              <w:rPr>
                <w:lang w:val="de-DE"/>
              </w:rPr>
            </w:pPr>
            <w:r w:rsidRPr="0049187C">
              <w:rPr>
                <w:lang w:val="de-DE"/>
              </w:rPr>
              <w:t>Sehr häufig</w:t>
            </w:r>
          </w:p>
          <w:p w14:paraId="47FECD99" w14:textId="77777777" w:rsidR="00975026" w:rsidRPr="0049187C" w:rsidRDefault="00B00716" w:rsidP="0049187C">
            <w:pPr>
              <w:spacing w:after="0" w:line="240" w:lineRule="auto"/>
              <w:ind w:left="0" w:firstLine="0"/>
              <w:rPr>
                <w:lang w:val="de-DE"/>
              </w:rPr>
            </w:pPr>
            <w:r w:rsidRPr="0049187C">
              <w:rPr>
                <w:lang w:val="de-DE"/>
              </w:rPr>
              <w:t xml:space="preserve">Sehr häufig </w:t>
            </w:r>
          </w:p>
          <w:p w14:paraId="152238A2" w14:textId="77777777" w:rsidR="00975026" w:rsidRPr="0049187C" w:rsidRDefault="00B00716" w:rsidP="0049187C">
            <w:pPr>
              <w:spacing w:after="0" w:line="240" w:lineRule="auto"/>
              <w:ind w:left="0" w:firstLine="0"/>
              <w:rPr>
                <w:lang w:val="de-DE"/>
              </w:rPr>
            </w:pPr>
            <w:r w:rsidRPr="0049187C">
              <w:rPr>
                <w:lang w:val="de-DE"/>
              </w:rPr>
              <w:t xml:space="preserve">Selten </w:t>
            </w:r>
          </w:p>
          <w:p w14:paraId="5CE34E5B" w14:textId="77777777" w:rsidR="00975026" w:rsidRPr="0049187C" w:rsidRDefault="00B00716" w:rsidP="0049187C">
            <w:pPr>
              <w:spacing w:after="0" w:line="240" w:lineRule="auto"/>
              <w:ind w:left="0" w:firstLine="0"/>
              <w:rPr>
                <w:lang w:val="de-DE"/>
              </w:rPr>
            </w:pPr>
            <w:r w:rsidRPr="0049187C">
              <w:rPr>
                <w:lang w:val="de-DE"/>
              </w:rPr>
              <w:t xml:space="preserve">Selten </w:t>
            </w:r>
          </w:p>
          <w:p w14:paraId="1741D90B" w14:textId="77777777" w:rsidR="00975026" w:rsidRPr="0049187C" w:rsidRDefault="00B00716" w:rsidP="0049187C">
            <w:pPr>
              <w:spacing w:after="0" w:line="240" w:lineRule="auto"/>
              <w:ind w:left="0" w:firstLine="0"/>
              <w:rPr>
                <w:lang w:val="de-DE"/>
              </w:rPr>
            </w:pPr>
            <w:r w:rsidRPr="0049187C">
              <w:rPr>
                <w:lang w:val="de-DE"/>
              </w:rPr>
              <w:t xml:space="preserve">Nicht bekannt </w:t>
            </w:r>
          </w:p>
        </w:tc>
        <w:tc>
          <w:tcPr>
            <w:tcW w:w="4102" w:type="dxa"/>
            <w:tcBorders>
              <w:top w:val="single" w:sz="4" w:space="0" w:color="000000"/>
              <w:left w:val="single" w:sz="4" w:space="0" w:color="000000"/>
              <w:bottom w:val="single" w:sz="4" w:space="0" w:color="auto"/>
              <w:right w:val="single" w:sz="4" w:space="0" w:color="000000"/>
            </w:tcBorders>
            <w:shd w:val="clear" w:color="auto" w:fill="auto"/>
          </w:tcPr>
          <w:p w14:paraId="5430489F" w14:textId="77777777" w:rsidR="00975026" w:rsidRPr="0049187C" w:rsidRDefault="00B00716" w:rsidP="0049187C">
            <w:pPr>
              <w:spacing w:after="0" w:line="240" w:lineRule="auto"/>
              <w:ind w:left="0" w:firstLine="0"/>
              <w:rPr>
                <w:lang w:val="de-DE"/>
              </w:rPr>
            </w:pPr>
            <w:r w:rsidRPr="0049187C">
              <w:rPr>
                <w:lang w:val="de-DE"/>
              </w:rPr>
              <w:t>Gliederschmerzen</w:t>
            </w:r>
          </w:p>
          <w:p w14:paraId="5B5EDC7E" w14:textId="77777777" w:rsidR="00975026" w:rsidRPr="0049187C" w:rsidRDefault="00B00716" w:rsidP="0049187C">
            <w:pPr>
              <w:spacing w:after="0" w:line="240" w:lineRule="auto"/>
              <w:ind w:left="0" w:firstLine="0"/>
              <w:rPr>
                <w:vertAlign w:val="superscript"/>
                <w:lang w:val="de-DE"/>
              </w:rPr>
            </w:pPr>
            <w:r w:rsidRPr="0049187C">
              <w:rPr>
                <w:lang w:val="de-DE"/>
              </w:rPr>
              <w:t>Schmerzen des Muskel- und Skelettsystems</w:t>
            </w:r>
          </w:p>
          <w:p w14:paraId="613DBAB8" w14:textId="77777777" w:rsidR="00975026" w:rsidRPr="0049187C" w:rsidRDefault="00B00716" w:rsidP="0049187C">
            <w:pPr>
              <w:spacing w:after="0" w:line="240" w:lineRule="auto"/>
              <w:ind w:left="0" w:firstLine="0"/>
              <w:rPr>
                <w:lang w:val="de-DE"/>
              </w:rPr>
            </w:pPr>
            <w:r w:rsidRPr="0049187C">
              <w:rPr>
                <w:lang w:val="de-DE"/>
              </w:rPr>
              <w:t>Osteonekrose des Kiefers</w:t>
            </w:r>
            <w:r w:rsidRPr="0049187C">
              <w:rPr>
                <w:vertAlign w:val="superscript"/>
                <w:lang w:val="de-DE"/>
              </w:rPr>
              <w:t> </w:t>
            </w:r>
          </w:p>
          <w:p w14:paraId="183102BB" w14:textId="77777777" w:rsidR="00975026" w:rsidRPr="0049187C" w:rsidRDefault="00B00716" w:rsidP="0049187C">
            <w:pPr>
              <w:spacing w:after="0" w:line="240" w:lineRule="auto"/>
              <w:ind w:left="0" w:firstLine="0"/>
              <w:rPr>
                <w:lang w:val="de-DE"/>
              </w:rPr>
            </w:pPr>
            <w:r w:rsidRPr="0049187C">
              <w:rPr>
                <w:lang w:val="de-DE"/>
              </w:rPr>
              <w:t xml:space="preserve">Atypische </w:t>
            </w:r>
            <w:r w:rsidR="00B02B86" w:rsidRPr="0049187C">
              <w:rPr>
                <w:lang w:val="de-DE"/>
              </w:rPr>
              <w:t>Oberschenkelfraktur</w:t>
            </w:r>
            <w:r w:rsidR="00B02B86" w:rsidRPr="0049187C">
              <w:rPr>
                <w:vertAlign w:val="superscript"/>
                <w:lang w:val="de-DE"/>
              </w:rPr>
              <w:t>1 </w:t>
            </w:r>
          </w:p>
          <w:p w14:paraId="2B428A44" w14:textId="77777777" w:rsidR="00975026" w:rsidRPr="0049187C" w:rsidRDefault="00B00716" w:rsidP="0049187C">
            <w:pPr>
              <w:spacing w:after="0" w:line="240" w:lineRule="auto"/>
              <w:ind w:left="0" w:firstLine="0"/>
              <w:rPr>
                <w:lang w:val="de-DE"/>
              </w:rPr>
            </w:pPr>
            <w:r w:rsidRPr="0049187C">
              <w:rPr>
                <w:lang w:val="de-DE"/>
              </w:rPr>
              <w:t>Osteonekrose des äußeren Gehörgangs</w:t>
            </w:r>
            <w:r w:rsidRPr="0049187C">
              <w:rPr>
                <w:vertAlign w:val="superscript"/>
                <w:lang w:val="de-DE"/>
              </w:rPr>
              <w:t>2 </w:t>
            </w:r>
          </w:p>
        </w:tc>
      </w:tr>
    </w:tbl>
    <w:p w14:paraId="6670D7F7" w14:textId="77777777" w:rsidR="00B8180F" w:rsidRPr="0049187C" w:rsidRDefault="00B00716" w:rsidP="0049187C">
      <w:pPr>
        <w:tabs>
          <w:tab w:val="left" w:pos="125"/>
        </w:tabs>
        <w:spacing w:after="0" w:line="240" w:lineRule="auto"/>
        <w:ind w:left="0" w:firstLine="0"/>
        <w:rPr>
          <w:lang w:val="de-DE"/>
        </w:rPr>
      </w:pPr>
      <w:r w:rsidRPr="0049187C">
        <w:rPr>
          <w:vertAlign w:val="superscript"/>
          <w:lang w:val="de-DE"/>
        </w:rPr>
        <w:t>1</w:t>
      </w:r>
      <w:r w:rsidR="005232C9" w:rsidRPr="0049187C">
        <w:rPr>
          <w:lang w:val="de-DE"/>
        </w:rPr>
        <w:t xml:space="preserve"> </w:t>
      </w:r>
      <w:r w:rsidR="00FD7DFF" w:rsidRPr="0049187C">
        <w:rPr>
          <w:lang w:val="de-DE"/>
        </w:rPr>
        <w:t>Siehe Abschnitt „Beschreibung ausgewählter Nebenwirkungen“.</w:t>
      </w:r>
    </w:p>
    <w:p w14:paraId="121A127F" w14:textId="77777777" w:rsidR="00261AC3" w:rsidRPr="0049187C" w:rsidRDefault="00B00716" w:rsidP="0049187C">
      <w:pPr>
        <w:tabs>
          <w:tab w:val="left" w:pos="125"/>
        </w:tabs>
        <w:spacing w:after="0" w:line="240" w:lineRule="auto"/>
        <w:ind w:left="0" w:firstLine="0"/>
        <w:rPr>
          <w:lang w:val="de-DE"/>
        </w:rPr>
      </w:pPr>
      <w:r w:rsidRPr="0049187C">
        <w:rPr>
          <w:vertAlign w:val="superscript"/>
          <w:lang w:val="de-DE"/>
        </w:rPr>
        <w:t>2</w:t>
      </w:r>
      <w:r w:rsidR="005232C9" w:rsidRPr="0049187C">
        <w:rPr>
          <w:lang w:val="de-DE"/>
        </w:rPr>
        <w:t xml:space="preserve"> </w:t>
      </w:r>
      <w:r w:rsidR="00FD7DFF" w:rsidRPr="0049187C">
        <w:rPr>
          <w:lang w:val="de-DE"/>
        </w:rPr>
        <w:t>Siehe Abschnitt</w:t>
      </w:r>
      <w:r w:rsidRPr="0049187C">
        <w:rPr>
          <w:lang w:val="de-DE"/>
        </w:rPr>
        <w:t> 4</w:t>
      </w:r>
      <w:r w:rsidR="00FD7DFF" w:rsidRPr="0049187C">
        <w:rPr>
          <w:lang w:val="de-DE"/>
        </w:rPr>
        <w:t>.4.</w:t>
      </w:r>
    </w:p>
    <w:p w14:paraId="0D445DF8" w14:textId="77777777" w:rsidR="00F83928" w:rsidRPr="0049187C" w:rsidRDefault="00F83928" w:rsidP="0049187C">
      <w:pPr>
        <w:spacing w:after="0" w:line="240" w:lineRule="auto"/>
        <w:ind w:left="0" w:firstLine="0"/>
        <w:rPr>
          <w:lang w:val="de-DE"/>
        </w:rPr>
      </w:pPr>
    </w:p>
    <w:p w14:paraId="12D59FAE" w14:textId="77777777" w:rsidR="00261AC3" w:rsidRPr="0049187C" w:rsidRDefault="00B00716" w:rsidP="0049187C">
      <w:pPr>
        <w:spacing w:after="0" w:line="240" w:lineRule="auto"/>
        <w:ind w:left="0" w:firstLine="0"/>
        <w:rPr>
          <w:lang w:val="de-DE"/>
        </w:rPr>
      </w:pPr>
      <w:r w:rsidRPr="0049187C">
        <w:rPr>
          <w:lang w:val="de-DE"/>
        </w:rPr>
        <w:t>In einer gepoolten Analyse der Daten aus allen Placebo</w:t>
      </w:r>
      <w:r w:rsidRPr="0049187C">
        <w:rPr>
          <w:lang w:val="de-DE"/>
        </w:rPr>
        <w:noBreakHyphen/>
        <w:t>kontrollierten Studien der Phase II und</w:t>
      </w:r>
      <w:r w:rsidR="00ED6F18" w:rsidRPr="0049187C">
        <w:rPr>
          <w:lang w:val="de-DE"/>
        </w:rPr>
        <w:t xml:space="preserve"> </w:t>
      </w:r>
      <w:r w:rsidRPr="0049187C">
        <w:rPr>
          <w:lang w:val="de-DE"/>
        </w:rPr>
        <w:t>Phase</w:t>
      </w:r>
      <w:r w:rsidR="00ED6F18" w:rsidRPr="0049187C">
        <w:rPr>
          <w:lang w:val="de-DE"/>
        </w:rPr>
        <w:t> </w:t>
      </w:r>
      <w:r w:rsidRPr="0049187C">
        <w:rPr>
          <w:lang w:val="de-DE"/>
        </w:rPr>
        <w:t>III wurde über Influenza</w:t>
      </w:r>
      <w:r w:rsidRPr="0049187C">
        <w:rPr>
          <w:lang w:val="de-DE"/>
        </w:rPr>
        <w:noBreakHyphen/>
        <w:t>ähnliche Erkrankungen mit einer rohen Inzidenzrate von 1,2 % für Denosumab und 0,7 % für Placebo berichtet. Obwohl dieses Ungleichgewicht in einer gepoolten Analyse beobachtet wurde, wurde es nicht in einer stratifizierten Analyse identifiziert.</w:t>
      </w:r>
    </w:p>
    <w:p w14:paraId="285B8C9C" w14:textId="77777777" w:rsidR="00F83928" w:rsidRPr="0049187C" w:rsidRDefault="00F83928" w:rsidP="0049187C">
      <w:pPr>
        <w:spacing w:after="0" w:line="240" w:lineRule="auto"/>
        <w:ind w:left="0" w:firstLine="0"/>
        <w:rPr>
          <w:lang w:val="de-DE"/>
        </w:rPr>
      </w:pPr>
    </w:p>
    <w:p w14:paraId="5B2E1190" w14:textId="77777777" w:rsidR="00261AC3" w:rsidRPr="0049187C" w:rsidRDefault="00B00716" w:rsidP="0049187C">
      <w:pPr>
        <w:keepNext/>
        <w:keepLines/>
        <w:spacing w:after="0" w:line="240" w:lineRule="auto"/>
        <w:ind w:left="0" w:firstLine="0"/>
        <w:rPr>
          <w:u w:val="single"/>
          <w:lang w:val="de-DE"/>
        </w:rPr>
      </w:pPr>
      <w:r w:rsidRPr="0049187C">
        <w:rPr>
          <w:u w:val="single"/>
          <w:lang w:val="de-DE"/>
        </w:rPr>
        <w:t>Beschreibung ausgewählter Nebenwirkungen</w:t>
      </w:r>
    </w:p>
    <w:p w14:paraId="1164B9CD" w14:textId="77777777" w:rsidR="00F83928" w:rsidRPr="0049187C" w:rsidRDefault="00F83928" w:rsidP="0049187C">
      <w:pPr>
        <w:spacing w:after="0" w:line="240" w:lineRule="auto"/>
        <w:ind w:left="0" w:firstLine="0"/>
        <w:rPr>
          <w:lang w:val="de-DE"/>
        </w:rPr>
      </w:pPr>
    </w:p>
    <w:p w14:paraId="6038A3F2" w14:textId="77777777" w:rsidR="00261AC3" w:rsidRPr="0049187C" w:rsidRDefault="00B00716" w:rsidP="0049187C">
      <w:pPr>
        <w:keepNext/>
        <w:keepLines/>
        <w:spacing w:after="0" w:line="240" w:lineRule="auto"/>
        <w:ind w:left="0" w:firstLine="0"/>
        <w:rPr>
          <w:i/>
          <w:iCs/>
          <w:lang w:val="de-DE"/>
        </w:rPr>
      </w:pPr>
      <w:r w:rsidRPr="0049187C">
        <w:rPr>
          <w:i/>
          <w:iCs/>
          <w:lang w:val="de-DE"/>
        </w:rPr>
        <w:t>Hypokalzämie</w:t>
      </w:r>
    </w:p>
    <w:p w14:paraId="77F656C6" w14:textId="77777777" w:rsidR="00261AC3" w:rsidRPr="0049187C" w:rsidRDefault="00B00716" w:rsidP="0049187C">
      <w:pPr>
        <w:spacing w:after="0" w:line="240" w:lineRule="auto"/>
        <w:ind w:left="0" w:firstLine="0"/>
        <w:rPr>
          <w:lang w:val="de-DE"/>
        </w:rPr>
      </w:pPr>
      <w:r w:rsidRPr="0049187C">
        <w:rPr>
          <w:lang w:val="de-DE"/>
        </w:rPr>
        <w:t>In zwei Placebo</w:t>
      </w:r>
      <w:r w:rsidRPr="0049187C">
        <w:rPr>
          <w:lang w:val="de-DE"/>
        </w:rPr>
        <w:noBreakHyphen/>
        <w:t>kontrollierten klinischen Studien der Phase III bei postmenopausalen Frauen mit</w:t>
      </w:r>
      <w:r w:rsidR="00ED6F18" w:rsidRPr="0049187C">
        <w:rPr>
          <w:lang w:val="de-DE"/>
        </w:rPr>
        <w:t xml:space="preserve"> </w:t>
      </w:r>
      <w:r w:rsidRPr="0049187C">
        <w:rPr>
          <w:lang w:val="de-DE"/>
        </w:rPr>
        <w:t xml:space="preserve">Osteoporose trat nach der Anwendung von </w:t>
      </w:r>
      <w:r w:rsidR="00FE2EAC" w:rsidRPr="0049187C">
        <w:rPr>
          <w:lang w:val="de-DE"/>
        </w:rPr>
        <w:t xml:space="preserve">Denosumab </w:t>
      </w:r>
      <w:r w:rsidRPr="0049187C">
        <w:rPr>
          <w:lang w:val="de-DE"/>
        </w:rPr>
        <w:t>bei etwa 0,05 % (2 von 4</w:t>
      </w:r>
      <w:r w:rsidR="00FE2EAC" w:rsidRPr="0049187C">
        <w:rPr>
          <w:lang w:val="de-DE"/>
        </w:rPr>
        <w:t> </w:t>
      </w:r>
      <w:r w:rsidRPr="0049187C">
        <w:rPr>
          <w:lang w:val="de-DE"/>
        </w:rPr>
        <w:t>050) der Patienten ein</w:t>
      </w:r>
      <w:r w:rsidR="00ED6F18" w:rsidRPr="0049187C">
        <w:rPr>
          <w:lang w:val="de-DE"/>
        </w:rPr>
        <w:t xml:space="preserve"> </w:t>
      </w:r>
      <w:r w:rsidRPr="0049187C">
        <w:rPr>
          <w:lang w:val="de-DE"/>
        </w:rPr>
        <w:t>Absinken der Serumcalciumspiegel (weniger als 1,88 mmol/l) auf. Weder in den zwei</w:t>
      </w:r>
      <w:r w:rsidR="00ED6F18" w:rsidRPr="0049187C">
        <w:rPr>
          <w:lang w:val="de-DE"/>
        </w:rPr>
        <w:t xml:space="preserve"> </w:t>
      </w:r>
      <w:r w:rsidRPr="0049187C">
        <w:rPr>
          <w:lang w:val="de-DE"/>
        </w:rPr>
        <w:t>Placebo</w:t>
      </w:r>
      <w:r w:rsidRPr="0049187C">
        <w:rPr>
          <w:lang w:val="de-DE"/>
        </w:rPr>
        <w:noBreakHyphen/>
        <w:t>kontrollierten klinischen Studien der Phase III bei Patienten unter Hormonablationstherapie noch in der Placebo</w:t>
      </w:r>
      <w:r w:rsidRPr="0049187C">
        <w:rPr>
          <w:lang w:val="de-DE"/>
        </w:rPr>
        <w:noBreakHyphen/>
        <w:t>kontrollierten klinischen Studie der Phase III bei Männern mit Osteoporose wurde ein Absinken der Serumcalciumspiegel (weniger als 1,88 mmol/l) berichtet.</w:t>
      </w:r>
    </w:p>
    <w:p w14:paraId="406BDE4B" w14:textId="77777777" w:rsidR="00F83928" w:rsidRPr="0049187C" w:rsidRDefault="00F83928" w:rsidP="0049187C">
      <w:pPr>
        <w:spacing w:after="0" w:line="240" w:lineRule="auto"/>
        <w:ind w:left="0" w:firstLine="0"/>
        <w:rPr>
          <w:lang w:val="de-DE"/>
        </w:rPr>
      </w:pPr>
    </w:p>
    <w:p w14:paraId="053BC089" w14:textId="77777777" w:rsidR="00261AC3" w:rsidRPr="0049187C" w:rsidRDefault="00B00716" w:rsidP="0049187C">
      <w:pPr>
        <w:spacing w:after="0" w:line="240" w:lineRule="auto"/>
        <w:ind w:left="0" w:firstLine="0"/>
        <w:rPr>
          <w:lang w:val="de-DE"/>
        </w:rPr>
      </w:pPr>
      <w:r w:rsidRPr="0049187C">
        <w:rPr>
          <w:lang w:val="de-DE"/>
        </w:rPr>
        <w:t>Nach Markteinführung wurde über seltene Fälle von schwerer symptomatischer Hypokalzämie</w:t>
      </w:r>
      <w:r w:rsidR="004466EA" w:rsidRPr="0049187C">
        <w:rPr>
          <w:lang w:val="de-DE"/>
        </w:rPr>
        <w:t>, die mit Hospitalisierung, lebensbedrohlichen Ereignissen und Fällen mit tödlichem Ausgang einherging, berichtet,</w:t>
      </w:r>
      <w:r w:rsidRPr="0049187C">
        <w:rPr>
          <w:lang w:val="de-DE"/>
        </w:rPr>
        <w:t xml:space="preserve"> überwiegend bei Patienten mit erhöhtem Risiko für Hypokalzämie, die Denosumab erhielten, wobei die Mehrzahl der Fälle in den ersten Wochen nach Therapiebeginn auftrat. Beispiele klinischer Manifestationen schwerer symptomatischer Hypokalzämie schlossen QT</w:t>
      </w:r>
      <w:r w:rsidR="0013297B" w:rsidRPr="0049187C">
        <w:rPr>
          <w:lang w:val="de-DE"/>
        </w:rPr>
        <w:t>-</w:t>
      </w:r>
      <w:r w:rsidRPr="0049187C">
        <w:rPr>
          <w:lang w:val="de-DE"/>
        </w:rPr>
        <w:t>Intervallverlängerungen, Tetanie, Krampfanfälle und veränderte mentale Zustände ein (siehe</w:t>
      </w:r>
      <w:r w:rsidR="00C45365" w:rsidRPr="0049187C">
        <w:rPr>
          <w:lang w:val="de-DE"/>
        </w:rPr>
        <w:t> </w:t>
      </w:r>
      <w:r w:rsidRPr="0049187C">
        <w:rPr>
          <w:lang w:val="de-DE"/>
        </w:rPr>
        <w:t>Abschnitt 4.4). Symptome von Hypokalzämie in klinischen Studien mit Denosumab schlossen Parästhesien oder Muskelsteifheit, Zuckungen, Spasmen und Muskelkrämpfe ein.</w:t>
      </w:r>
    </w:p>
    <w:p w14:paraId="605600B7" w14:textId="77777777" w:rsidR="00F83928" w:rsidRPr="0049187C" w:rsidRDefault="00F83928" w:rsidP="0049187C">
      <w:pPr>
        <w:spacing w:after="0" w:line="240" w:lineRule="auto"/>
        <w:ind w:left="0" w:firstLine="0"/>
        <w:rPr>
          <w:lang w:val="de-DE"/>
        </w:rPr>
      </w:pPr>
    </w:p>
    <w:p w14:paraId="5E66481E" w14:textId="77777777" w:rsidR="00261AC3" w:rsidRPr="0049187C" w:rsidRDefault="00B00716" w:rsidP="0049187C">
      <w:pPr>
        <w:keepNext/>
        <w:keepLines/>
        <w:spacing w:after="0" w:line="240" w:lineRule="auto"/>
        <w:ind w:left="0" w:firstLine="0"/>
        <w:rPr>
          <w:i/>
          <w:iCs/>
          <w:lang w:val="de-DE"/>
        </w:rPr>
      </w:pPr>
      <w:r w:rsidRPr="0049187C">
        <w:rPr>
          <w:i/>
          <w:iCs/>
          <w:lang w:val="de-DE"/>
        </w:rPr>
        <w:t>Hautinfektionen</w:t>
      </w:r>
    </w:p>
    <w:p w14:paraId="14E9865C" w14:textId="77777777" w:rsidR="00261AC3" w:rsidRPr="0049187C" w:rsidRDefault="00B00716" w:rsidP="0049187C">
      <w:pPr>
        <w:spacing w:after="0" w:line="240" w:lineRule="auto"/>
        <w:ind w:left="0" w:firstLine="0"/>
        <w:rPr>
          <w:lang w:val="de-DE"/>
        </w:rPr>
      </w:pPr>
      <w:r w:rsidRPr="0049187C">
        <w:rPr>
          <w:lang w:val="de-DE"/>
        </w:rPr>
        <w:t>In Placebo</w:t>
      </w:r>
      <w:r w:rsidRPr="0049187C">
        <w:rPr>
          <w:lang w:val="de-DE"/>
        </w:rPr>
        <w:noBreakHyphen/>
        <w:t>kontrollierten Studien der Phase III war die Gesamtinzidenz an Hautinfektionen zwischen der Placebo</w:t>
      </w:r>
      <w:r w:rsidRPr="0049187C">
        <w:rPr>
          <w:lang w:val="de-DE"/>
        </w:rPr>
        <w:noBreakHyphen/>
        <w:t xml:space="preserve"> und der Denosumab</w:t>
      </w:r>
      <w:r w:rsidRPr="0049187C">
        <w:rPr>
          <w:lang w:val="de-DE"/>
        </w:rPr>
        <w:noBreakHyphen/>
        <w:t>Gruppe vergleichbar: bei postmenopausalen Frauen mit Osteoporose</w:t>
      </w:r>
      <w:r w:rsidR="00ED6F18" w:rsidRPr="0049187C">
        <w:rPr>
          <w:lang w:val="de-DE"/>
        </w:rPr>
        <w:t xml:space="preserve"> </w:t>
      </w:r>
      <w:r w:rsidRPr="0049187C">
        <w:rPr>
          <w:lang w:val="de-DE"/>
        </w:rPr>
        <w:t>(Placebo [1,2 %, 50 von 4</w:t>
      </w:r>
      <w:r w:rsidR="00C34A58" w:rsidRPr="0049187C">
        <w:rPr>
          <w:lang w:val="de-DE"/>
        </w:rPr>
        <w:t> </w:t>
      </w:r>
      <w:r w:rsidRPr="0049187C">
        <w:rPr>
          <w:lang w:val="de-DE"/>
        </w:rPr>
        <w:t xml:space="preserve">041] im Vergleich zu </w:t>
      </w:r>
      <w:r w:rsidR="00FE2EAC" w:rsidRPr="0049187C">
        <w:rPr>
          <w:lang w:val="de-DE"/>
        </w:rPr>
        <w:t xml:space="preserve">Denosumab </w:t>
      </w:r>
      <w:r w:rsidRPr="0049187C">
        <w:rPr>
          <w:lang w:val="de-DE"/>
        </w:rPr>
        <w:t>[1,5 %, 59 von 4</w:t>
      </w:r>
      <w:r w:rsidR="00FE2EAC" w:rsidRPr="0049187C">
        <w:rPr>
          <w:lang w:val="de-DE"/>
        </w:rPr>
        <w:t> </w:t>
      </w:r>
      <w:r w:rsidRPr="0049187C">
        <w:rPr>
          <w:lang w:val="de-DE"/>
        </w:rPr>
        <w:t xml:space="preserve">050]); bei Männern mit Osteoporose (Placebo [0,8 %, 1 von 120] im Vergleich zu </w:t>
      </w:r>
      <w:r w:rsidR="001F2665" w:rsidRPr="0049187C">
        <w:rPr>
          <w:lang w:val="de-DE"/>
        </w:rPr>
        <w:t xml:space="preserve">Denosumab </w:t>
      </w:r>
      <w:r w:rsidRPr="0049187C">
        <w:rPr>
          <w:lang w:val="de-DE"/>
        </w:rPr>
        <w:t>[0 %, 0 von 120]); bei hormonablatierten Mamma</w:t>
      </w:r>
      <w:r w:rsidRPr="0049187C">
        <w:rPr>
          <w:lang w:val="de-DE"/>
        </w:rPr>
        <w:noBreakHyphen/>
        <w:t xml:space="preserve"> oder Prostatakarzinom</w:t>
      </w:r>
      <w:r w:rsidRPr="0049187C">
        <w:rPr>
          <w:lang w:val="de-DE"/>
        </w:rPr>
        <w:noBreakHyphen/>
        <w:t xml:space="preserve">Patienten (Placebo [1,7 %, 14 von 845] im Vergleich zu </w:t>
      </w:r>
      <w:r w:rsidR="001F2665" w:rsidRPr="0049187C">
        <w:rPr>
          <w:lang w:val="de-DE"/>
        </w:rPr>
        <w:t xml:space="preserve">Denosumab </w:t>
      </w:r>
      <w:r w:rsidRPr="0049187C">
        <w:rPr>
          <w:lang w:val="de-DE"/>
        </w:rPr>
        <w:t>[1,4 %, 12 von 860]). Hautinfektionen, die zur Hospitalisierung führten, wurden bei 0,1 % (3 von 4</w:t>
      </w:r>
      <w:r w:rsidR="00FE2EAC" w:rsidRPr="0049187C">
        <w:rPr>
          <w:lang w:val="de-DE"/>
        </w:rPr>
        <w:t> </w:t>
      </w:r>
      <w:r w:rsidRPr="0049187C">
        <w:rPr>
          <w:lang w:val="de-DE"/>
        </w:rPr>
        <w:t>041) der postmenopausalen Frauen mit Osteoporose, die Placebo erhielten, berichtet, verglichen mit 0,4 % (16 von 4</w:t>
      </w:r>
      <w:r w:rsidR="00FE2EAC" w:rsidRPr="0049187C">
        <w:rPr>
          <w:lang w:val="de-DE"/>
        </w:rPr>
        <w:t> </w:t>
      </w:r>
      <w:r w:rsidRPr="0049187C">
        <w:rPr>
          <w:lang w:val="de-DE"/>
        </w:rPr>
        <w:t xml:space="preserve">050) der Frauen, die </w:t>
      </w:r>
      <w:r w:rsidR="00FE2EAC" w:rsidRPr="0049187C">
        <w:rPr>
          <w:lang w:val="de-DE"/>
        </w:rPr>
        <w:t xml:space="preserve">Denosumab </w:t>
      </w:r>
      <w:r w:rsidRPr="0049187C">
        <w:rPr>
          <w:lang w:val="de-DE"/>
        </w:rPr>
        <w:t xml:space="preserve">erhielten. Bei diesen Fällen handelte es sich überwiegend um </w:t>
      </w:r>
      <w:r w:rsidR="00336FFE" w:rsidRPr="0049187C">
        <w:rPr>
          <w:lang w:val="de-DE"/>
        </w:rPr>
        <w:t>Zellulitis</w:t>
      </w:r>
      <w:r w:rsidRPr="0049187C">
        <w:rPr>
          <w:lang w:val="de-DE"/>
        </w:rPr>
        <w:t>. In den Mamma</w:t>
      </w:r>
      <w:r w:rsidRPr="0049187C">
        <w:rPr>
          <w:lang w:val="de-DE"/>
        </w:rPr>
        <w:noBreakHyphen/>
        <w:t xml:space="preserve"> und Prostatakarzinom</w:t>
      </w:r>
      <w:r w:rsidRPr="0049187C">
        <w:rPr>
          <w:lang w:val="de-DE"/>
        </w:rPr>
        <w:noBreakHyphen/>
        <w:t>Studien waren Hautinfektionen, die als schwerwiegende unerwünschte Arzneimittelwirkungen berichtet wurden, in der Placebo</w:t>
      </w:r>
      <w:r w:rsidRPr="0049187C">
        <w:rPr>
          <w:lang w:val="de-DE"/>
        </w:rPr>
        <w:noBreakHyphen/>
        <w:t xml:space="preserve"> (0,6 %, 5 von 845) und in der </w:t>
      </w:r>
      <w:r w:rsidR="001F2665" w:rsidRPr="0049187C">
        <w:rPr>
          <w:lang w:val="de-DE"/>
        </w:rPr>
        <w:t>Denosumab</w:t>
      </w:r>
      <w:r w:rsidRPr="0049187C">
        <w:rPr>
          <w:lang w:val="de-DE"/>
        </w:rPr>
        <w:noBreakHyphen/>
        <w:t>Gruppe (0,6 %, 5 von 860) vergleichbar.</w:t>
      </w:r>
    </w:p>
    <w:p w14:paraId="5DD43AA2" w14:textId="77777777" w:rsidR="00F83928" w:rsidRPr="0049187C" w:rsidRDefault="00F83928" w:rsidP="0049187C">
      <w:pPr>
        <w:spacing w:after="0" w:line="240" w:lineRule="auto"/>
        <w:ind w:left="0" w:firstLine="0"/>
        <w:rPr>
          <w:lang w:val="de-DE"/>
        </w:rPr>
      </w:pPr>
    </w:p>
    <w:p w14:paraId="31DA3012" w14:textId="77777777" w:rsidR="00261AC3" w:rsidRPr="0049187C" w:rsidRDefault="00B00716" w:rsidP="0049187C">
      <w:pPr>
        <w:spacing w:after="0" w:line="240" w:lineRule="auto"/>
        <w:ind w:left="0" w:firstLine="0"/>
        <w:rPr>
          <w:lang w:val="de-DE"/>
        </w:rPr>
      </w:pPr>
      <w:r w:rsidRPr="0049187C">
        <w:rPr>
          <w:i/>
          <w:iCs/>
          <w:lang w:val="de-DE"/>
        </w:rPr>
        <w:t>Osteonekrose des Kiefers</w:t>
      </w:r>
      <w:r w:rsidR="00FD7DFF" w:rsidRPr="0049187C">
        <w:rPr>
          <w:lang w:val="de-DE"/>
        </w:rPr>
        <w:t>In klinischen Studien bei Patienten mit Osteoporose und bei Patienten mit Mamma</w:t>
      </w:r>
      <w:r w:rsidRPr="0049187C">
        <w:rPr>
          <w:lang w:val="de-DE"/>
        </w:rPr>
        <w:noBreakHyphen/>
      </w:r>
      <w:r w:rsidR="00FD7DFF" w:rsidRPr="0049187C">
        <w:rPr>
          <w:lang w:val="de-DE"/>
        </w:rPr>
        <w:t xml:space="preserve"> oder</w:t>
      </w:r>
      <w:r w:rsidR="00ED6F18" w:rsidRPr="0049187C">
        <w:rPr>
          <w:lang w:val="de-DE"/>
        </w:rPr>
        <w:t xml:space="preserve"> </w:t>
      </w:r>
      <w:r w:rsidR="00FD7DFF" w:rsidRPr="0049187C">
        <w:rPr>
          <w:lang w:val="de-DE"/>
        </w:rPr>
        <w:t>Prostatakarzinom unter Hormonablationstherapie mit insgesamt</w:t>
      </w:r>
      <w:r w:rsidRPr="0049187C">
        <w:rPr>
          <w:lang w:val="de-DE"/>
        </w:rPr>
        <w:t> 2</w:t>
      </w:r>
      <w:r w:rsidR="00FD7DFF" w:rsidRPr="0049187C">
        <w:rPr>
          <w:lang w:val="de-DE"/>
        </w:rPr>
        <w:t>3</w:t>
      </w:r>
      <w:r w:rsidR="00C34A58" w:rsidRPr="0049187C">
        <w:rPr>
          <w:lang w:val="de-DE"/>
        </w:rPr>
        <w:t> </w:t>
      </w:r>
      <w:r w:rsidR="00FD7DFF" w:rsidRPr="0049187C">
        <w:rPr>
          <w:lang w:val="de-DE"/>
        </w:rPr>
        <w:t>14</w:t>
      </w:r>
      <w:r w:rsidRPr="0049187C">
        <w:rPr>
          <w:lang w:val="de-DE"/>
        </w:rPr>
        <w:t>8 </w:t>
      </w:r>
      <w:r w:rsidR="00FD7DFF" w:rsidRPr="0049187C">
        <w:rPr>
          <w:lang w:val="de-DE"/>
        </w:rPr>
        <w:t>Patienten wurde selten (bei</w:t>
      </w:r>
      <w:r w:rsidRPr="0049187C">
        <w:rPr>
          <w:lang w:val="de-DE"/>
        </w:rPr>
        <w:t> 16 </w:t>
      </w:r>
      <w:r w:rsidR="00FD7DFF" w:rsidRPr="0049187C">
        <w:rPr>
          <w:lang w:val="de-DE"/>
        </w:rPr>
        <w:t>Patienten) über ONJ berichtet (siehe Abschnitt</w:t>
      </w:r>
      <w:r w:rsidRPr="0049187C">
        <w:rPr>
          <w:lang w:val="de-DE"/>
        </w:rPr>
        <w:t> 4</w:t>
      </w:r>
      <w:r w:rsidR="00FD7DFF" w:rsidRPr="0049187C">
        <w:rPr>
          <w:lang w:val="de-DE"/>
        </w:rPr>
        <w:t>.4). Dreizehn dieser ONJ</w:t>
      </w:r>
      <w:r w:rsidRPr="0049187C">
        <w:rPr>
          <w:lang w:val="de-DE"/>
        </w:rPr>
        <w:noBreakHyphen/>
      </w:r>
      <w:r w:rsidR="00FD7DFF" w:rsidRPr="0049187C">
        <w:rPr>
          <w:lang w:val="de-DE"/>
        </w:rPr>
        <w:t>Fälle traten bei postmenopausalen Frauen mit Osteoporose während der Verlängerung der klinischen Phase</w:t>
      </w:r>
      <w:r w:rsidRPr="0049187C">
        <w:rPr>
          <w:lang w:val="de-DE"/>
        </w:rPr>
        <w:noBreakHyphen/>
      </w:r>
      <w:r w:rsidR="00FD7DFF" w:rsidRPr="0049187C">
        <w:rPr>
          <w:lang w:val="de-DE"/>
        </w:rPr>
        <w:t>III</w:t>
      </w:r>
      <w:r w:rsidRPr="0049187C">
        <w:rPr>
          <w:lang w:val="de-DE"/>
        </w:rPr>
        <w:noBreakHyphen/>
      </w:r>
      <w:r w:rsidR="00FD7DFF" w:rsidRPr="0049187C">
        <w:rPr>
          <w:lang w:val="de-DE"/>
        </w:rPr>
        <w:t>Studie nach Denosumab</w:t>
      </w:r>
      <w:r w:rsidRPr="0049187C">
        <w:rPr>
          <w:lang w:val="de-DE"/>
        </w:rPr>
        <w:noBreakHyphen/>
      </w:r>
      <w:r w:rsidR="00FD7DFF" w:rsidRPr="0049187C">
        <w:rPr>
          <w:lang w:val="de-DE"/>
        </w:rPr>
        <w:t>Behandlung von bis zu</w:t>
      </w:r>
      <w:r w:rsidRPr="0049187C">
        <w:rPr>
          <w:lang w:val="de-DE"/>
        </w:rPr>
        <w:t> 10 </w:t>
      </w:r>
      <w:r w:rsidR="00FD7DFF" w:rsidRPr="0049187C">
        <w:rPr>
          <w:lang w:val="de-DE"/>
        </w:rPr>
        <w:t>Jahren auf. Die Inzidenz von ONJ lag bei</w:t>
      </w:r>
      <w:r w:rsidRPr="0049187C">
        <w:rPr>
          <w:lang w:val="de-DE"/>
        </w:rPr>
        <w:t> 0</w:t>
      </w:r>
      <w:r w:rsidR="00FD7DFF" w:rsidRPr="0049187C">
        <w:rPr>
          <w:lang w:val="de-DE"/>
        </w:rPr>
        <w:t>,0</w:t>
      </w:r>
      <w:r w:rsidRPr="0049187C">
        <w:rPr>
          <w:lang w:val="de-DE"/>
        </w:rPr>
        <w:t>4 </w:t>
      </w:r>
      <w:r w:rsidR="00FD7DFF" w:rsidRPr="0049187C">
        <w:rPr>
          <w:lang w:val="de-DE"/>
        </w:rPr>
        <w:t>% nach</w:t>
      </w:r>
      <w:r w:rsidRPr="0049187C">
        <w:rPr>
          <w:lang w:val="de-DE"/>
        </w:rPr>
        <w:t> 3 </w:t>
      </w:r>
      <w:r w:rsidR="00FD7DFF" w:rsidRPr="0049187C">
        <w:rPr>
          <w:lang w:val="de-DE"/>
        </w:rPr>
        <w:t>Jahren, bei</w:t>
      </w:r>
      <w:r w:rsidRPr="0049187C">
        <w:rPr>
          <w:lang w:val="de-DE"/>
        </w:rPr>
        <w:t> 0</w:t>
      </w:r>
      <w:r w:rsidR="00FD7DFF" w:rsidRPr="0049187C">
        <w:rPr>
          <w:lang w:val="de-DE"/>
        </w:rPr>
        <w:t>,0</w:t>
      </w:r>
      <w:r w:rsidRPr="0049187C">
        <w:rPr>
          <w:lang w:val="de-DE"/>
        </w:rPr>
        <w:t>6 </w:t>
      </w:r>
      <w:r w:rsidR="00FD7DFF" w:rsidRPr="0049187C">
        <w:rPr>
          <w:lang w:val="de-DE"/>
        </w:rPr>
        <w:t>% nach</w:t>
      </w:r>
      <w:r w:rsidRPr="0049187C">
        <w:rPr>
          <w:lang w:val="de-DE"/>
        </w:rPr>
        <w:t> 5 </w:t>
      </w:r>
      <w:r w:rsidR="00FD7DFF" w:rsidRPr="0049187C">
        <w:rPr>
          <w:lang w:val="de-DE"/>
        </w:rPr>
        <w:t>Jahren und bei</w:t>
      </w:r>
      <w:r w:rsidRPr="0049187C">
        <w:rPr>
          <w:lang w:val="de-DE"/>
        </w:rPr>
        <w:t> 0</w:t>
      </w:r>
      <w:r w:rsidR="00FD7DFF" w:rsidRPr="0049187C">
        <w:rPr>
          <w:lang w:val="de-DE"/>
        </w:rPr>
        <w:t>,4</w:t>
      </w:r>
      <w:r w:rsidRPr="0049187C">
        <w:rPr>
          <w:lang w:val="de-DE"/>
        </w:rPr>
        <w:t>4 </w:t>
      </w:r>
      <w:r w:rsidR="00FD7DFF" w:rsidRPr="0049187C">
        <w:rPr>
          <w:lang w:val="de-DE"/>
        </w:rPr>
        <w:t>% nach</w:t>
      </w:r>
      <w:r w:rsidRPr="0049187C">
        <w:rPr>
          <w:lang w:val="de-DE"/>
        </w:rPr>
        <w:t> 10 </w:t>
      </w:r>
      <w:r w:rsidR="00FD7DFF" w:rsidRPr="0049187C">
        <w:rPr>
          <w:lang w:val="de-DE"/>
        </w:rPr>
        <w:t xml:space="preserve">Jahren Behandlung mit Denosumab. Das Risiko </w:t>
      </w:r>
      <w:r w:rsidR="00074418" w:rsidRPr="0049187C">
        <w:rPr>
          <w:lang w:val="de-DE"/>
        </w:rPr>
        <w:t xml:space="preserve">der </w:t>
      </w:r>
      <w:r w:rsidR="00FD7DFF" w:rsidRPr="0049187C">
        <w:rPr>
          <w:lang w:val="de-DE"/>
        </w:rPr>
        <w:t xml:space="preserve">ONJ stieg mit der Dauer der </w:t>
      </w:r>
      <w:r w:rsidR="00074418" w:rsidRPr="0049187C">
        <w:rPr>
          <w:lang w:val="de-DE"/>
        </w:rPr>
        <w:t>Behandlung mit</w:t>
      </w:r>
      <w:r w:rsidR="00FD7DFF" w:rsidRPr="0049187C">
        <w:rPr>
          <w:lang w:val="de-DE"/>
        </w:rPr>
        <w:t xml:space="preserve"> Denosumab.</w:t>
      </w:r>
    </w:p>
    <w:p w14:paraId="1A72E680" w14:textId="77777777" w:rsidR="00F83928" w:rsidRPr="0049187C" w:rsidRDefault="00F83928" w:rsidP="0049187C">
      <w:pPr>
        <w:spacing w:after="0" w:line="240" w:lineRule="auto"/>
        <w:ind w:left="0" w:firstLine="0"/>
        <w:rPr>
          <w:lang w:val="de-DE"/>
        </w:rPr>
      </w:pPr>
    </w:p>
    <w:p w14:paraId="45018CAC" w14:textId="77777777" w:rsidR="00261AC3" w:rsidRPr="0049187C" w:rsidRDefault="00B00716" w:rsidP="0049187C">
      <w:pPr>
        <w:keepNext/>
        <w:keepLines/>
        <w:spacing w:after="0" w:line="240" w:lineRule="auto"/>
        <w:ind w:left="0" w:firstLine="0"/>
        <w:rPr>
          <w:i/>
          <w:iCs/>
          <w:lang w:val="de-DE"/>
        </w:rPr>
      </w:pPr>
      <w:r w:rsidRPr="0049187C">
        <w:rPr>
          <w:i/>
          <w:iCs/>
          <w:lang w:val="de-DE"/>
        </w:rPr>
        <w:t xml:space="preserve">Atypische </w:t>
      </w:r>
      <w:r w:rsidR="00B46D10" w:rsidRPr="0049187C">
        <w:rPr>
          <w:i/>
          <w:iCs/>
          <w:lang w:val="de-DE"/>
        </w:rPr>
        <w:t>Oberschenkelfraktur</w:t>
      </w:r>
      <w:r w:rsidRPr="0049187C">
        <w:rPr>
          <w:i/>
          <w:iCs/>
          <w:lang w:val="de-DE"/>
        </w:rPr>
        <w:t>en</w:t>
      </w:r>
    </w:p>
    <w:p w14:paraId="677E89F5" w14:textId="77777777" w:rsidR="00261AC3" w:rsidRPr="0049187C" w:rsidRDefault="00B00716" w:rsidP="0049187C">
      <w:pPr>
        <w:spacing w:after="0" w:line="240" w:lineRule="auto"/>
        <w:ind w:left="0" w:firstLine="0"/>
        <w:rPr>
          <w:lang w:val="de-DE"/>
        </w:rPr>
      </w:pPr>
      <w:r w:rsidRPr="0049187C">
        <w:rPr>
          <w:lang w:val="de-DE"/>
        </w:rPr>
        <w:t>Im klinischen Osteoporose</w:t>
      </w:r>
      <w:r w:rsidRPr="0049187C">
        <w:rPr>
          <w:lang w:val="de-DE"/>
        </w:rPr>
        <w:noBreakHyphen/>
        <w:t xml:space="preserve">Studienprogramm wurden atypische </w:t>
      </w:r>
      <w:r w:rsidR="00B46D10" w:rsidRPr="0049187C">
        <w:rPr>
          <w:lang w:val="de-DE"/>
        </w:rPr>
        <w:t>Oberschenkelfraktur</w:t>
      </w:r>
      <w:r w:rsidRPr="0049187C">
        <w:rPr>
          <w:lang w:val="de-DE"/>
        </w:rPr>
        <w:t>en selten bei Patienten berichtet, die mit Denosumab behandelt wurden (siehe Abschnitt 4.4).</w:t>
      </w:r>
    </w:p>
    <w:p w14:paraId="7C7F7649" w14:textId="77777777" w:rsidR="00F83928" w:rsidRPr="0049187C" w:rsidRDefault="00F83928" w:rsidP="0049187C">
      <w:pPr>
        <w:spacing w:after="0" w:line="240" w:lineRule="auto"/>
        <w:ind w:left="0" w:firstLine="0"/>
        <w:rPr>
          <w:lang w:val="de-DE"/>
        </w:rPr>
      </w:pPr>
    </w:p>
    <w:p w14:paraId="40E9B925" w14:textId="77777777" w:rsidR="00261AC3" w:rsidRPr="0049187C" w:rsidRDefault="00B00716" w:rsidP="0049187C">
      <w:pPr>
        <w:keepNext/>
        <w:keepLines/>
        <w:spacing w:after="0" w:line="240" w:lineRule="auto"/>
        <w:ind w:left="0" w:firstLine="0"/>
        <w:rPr>
          <w:i/>
          <w:iCs/>
          <w:lang w:val="de-DE"/>
        </w:rPr>
      </w:pPr>
      <w:r w:rsidRPr="0049187C">
        <w:rPr>
          <w:i/>
          <w:iCs/>
          <w:lang w:val="de-DE"/>
        </w:rPr>
        <w:t>Divertikulitis</w:t>
      </w:r>
    </w:p>
    <w:p w14:paraId="61708633" w14:textId="77777777" w:rsidR="00261AC3" w:rsidRPr="0049187C" w:rsidRDefault="00B00716" w:rsidP="0049187C">
      <w:pPr>
        <w:spacing w:after="0" w:line="240" w:lineRule="auto"/>
        <w:ind w:left="0" w:firstLine="0"/>
        <w:rPr>
          <w:lang w:val="de-DE"/>
        </w:rPr>
      </w:pPr>
      <w:r w:rsidRPr="0049187C">
        <w:rPr>
          <w:lang w:val="de-DE"/>
        </w:rPr>
        <w:t>In einer einzelnen Placebo</w:t>
      </w:r>
      <w:r w:rsidRPr="0049187C">
        <w:rPr>
          <w:lang w:val="de-DE"/>
        </w:rPr>
        <w:noBreakHyphen/>
        <w:t>kontrollierten klinischen Studie der Phase III bei Patienten mit</w:t>
      </w:r>
      <w:r w:rsidR="00ED6F18" w:rsidRPr="0049187C">
        <w:rPr>
          <w:lang w:val="de-DE"/>
        </w:rPr>
        <w:t xml:space="preserve"> </w:t>
      </w:r>
      <w:r w:rsidRPr="0049187C">
        <w:rPr>
          <w:lang w:val="de-DE"/>
        </w:rPr>
        <w:t>Prostatakarzinom, die eine Androgendeprivationstherapie (</w:t>
      </w:r>
      <w:r w:rsidRPr="0049187C">
        <w:rPr>
          <w:i/>
          <w:lang w:val="de-DE"/>
        </w:rPr>
        <w:t>androgen deprivation therapy</w:t>
      </w:r>
      <w:r w:rsidRPr="0049187C">
        <w:rPr>
          <w:lang w:val="de-DE"/>
        </w:rPr>
        <w:t>, ADT) erhielten, wurde ein Ungleichgewicht bei dem unerwünschten Ereignis Divertikulitis beobachtet (1,2 % Denosumab, 0 % Placebo). Bei postmenopausalen Frauen oder bei Männern mit Osteoporose sowie bei Frauen mit nicht</w:t>
      </w:r>
      <w:r w:rsidRPr="0049187C">
        <w:rPr>
          <w:lang w:val="de-DE"/>
        </w:rPr>
        <w:noBreakHyphen/>
        <w:t>metastasiertem Mammakarzinom, die eine Therapie mit</w:t>
      </w:r>
      <w:r w:rsidR="00ED6F18" w:rsidRPr="0049187C">
        <w:rPr>
          <w:lang w:val="de-DE"/>
        </w:rPr>
        <w:t xml:space="preserve"> </w:t>
      </w:r>
      <w:r w:rsidRPr="0049187C">
        <w:rPr>
          <w:lang w:val="de-DE"/>
        </w:rPr>
        <w:t>Aromatasehemmern erhielten, war die Inzidenz von Divertikulitis zwischen den Behandlungsgruppen vergleichbar.</w:t>
      </w:r>
    </w:p>
    <w:p w14:paraId="34D9307D" w14:textId="77777777" w:rsidR="00F83928" w:rsidRPr="0049187C" w:rsidRDefault="00F83928" w:rsidP="0049187C">
      <w:pPr>
        <w:spacing w:after="0" w:line="240" w:lineRule="auto"/>
        <w:ind w:left="0" w:firstLine="0"/>
        <w:rPr>
          <w:lang w:val="de-DE"/>
        </w:rPr>
      </w:pPr>
    </w:p>
    <w:p w14:paraId="0B25FCB6" w14:textId="77777777" w:rsidR="00261AC3" w:rsidRPr="0049187C" w:rsidRDefault="00B00716" w:rsidP="0049187C">
      <w:pPr>
        <w:keepNext/>
        <w:keepLines/>
        <w:spacing w:after="0" w:line="240" w:lineRule="auto"/>
        <w:ind w:left="0" w:firstLine="0"/>
        <w:rPr>
          <w:i/>
          <w:iCs/>
          <w:lang w:val="de-DE"/>
        </w:rPr>
      </w:pPr>
      <w:r w:rsidRPr="0049187C">
        <w:rPr>
          <w:i/>
          <w:iCs/>
          <w:lang w:val="de-DE"/>
        </w:rPr>
        <w:t>Arzneimittelbedingte Überempfindlichkeitsreaktionen</w:t>
      </w:r>
    </w:p>
    <w:p w14:paraId="4B5C88AA" w14:textId="77777777" w:rsidR="00261AC3" w:rsidRPr="0049187C" w:rsidRDefault="00B00716" w:rsidP="0049187C">
      <w:pPr>
        <w:spacing w:after="0" w:line="240" w:lineRule="auto"/>
        <w:ind w:left="0" w:firstLine="0"/>
        <w:rPr>
          <w:lang w:val="de-DE"/>
        </w:rPr>
      </w:pPr>
      <w:r w:rsidRPr="0049187C">
        <w:rPr>
          <w:lang w:val="de-DE"/>
        </w:rPr>
        <w:t xml:space="preserve">Nach Markteinführung wurden bei Patienten, die </w:t>
      </w:r>
      <w:r w:rsidR="001F2665" w:rsidRPr="0049187C">
        <w:rPr>
          <w:lang w:val="de-DE"/>
        </w:rPr>
        <w:t xml:space="preserve">Denosumab </w:t>
      </w:r>
      <w:r w:rsidRPr="0049187C">
        <w:rPr>
          <w:lang w:val="de-DE"/>
        </w:rPr>
        <w:t xml:space="preserve">erhielten, seltene Ereignisse von arzneimittelbedingter Überempfindlichkeit, einschließlich </w:t>
      </w:r>
      <w:r w:rsidR="00336FFE" w:rsidRPr="0049187C">
        <w:rPr>
          <w:lang w:val="de-DE"/>
        </w:rPr>
        <w:t>Ausschlag</w:t>
      </w:r>
      <w:r w:rsidRPr="0049187C">
        <w:rPr>
          <w:lang w:val="de-DE"/>
        </w:rPr>
        <w:t>, Urtikaria, Schwellung des Gesichts, Erythem und anaphylaktischer Reaktionen, berichtet.</w:t>
      </w:r>
    </w:p>
    <w:p w14:paraId="37F3C497" w14:textId="77777777" w:rsidR="00F83928" w:rsidRPr="0049187C" w:rsidRDefault="00F83928" w:rsidP="0049187C">
      <w:pPr>
        <w:spacing w:after="0" w:line="240" w:lineRule="auto"/>
        <w:ind w:left="0" w:firstLine="0"/>
        <w:rPr>
          <w:lang w:val="de-DE"/>
        </w:rPr>
      </w:pPr>
    </w:p>
    <w:p w14:paraId="1DC99EBD" w14:textId="77777777" w:rsidR="00261AC3" w:rsidRPr="0049187C" w:rsidRDefault="00B00716" w:rsidP="0049187C">
      <w:pPr>
        <w:keepNext/>
        <w:keepLines/>
        <w:spacing w:after="0" w:line="240" w:lineRule="auto"/>
        <w:ind w:left="0" w:firstLine="0"/>
        <w:rPr>
          <w:i/>
          <w:iCs/>
          <w:lang w:val="de-DE"/>
        </w:rPr>
      </w:pPr>
      <w:r w:rsidRPr="0049187C">
        <w:rPr>
          <w:i/>
          <w:iCs/>
          <w:lang w:val="de-DE"/>
        </w:rPr>
        <w:t>Schmerzen des Muskel- und Skelettsystems</w:t>
      </w:r>
    </w:p>
    <w:p w14:paraId="5ADB6FE2" w14:textId="77777777" w:rsidR="00261AC3" w:rsidRPr="0049187C" w:rsidRDefault="00B00716" w:rsidP="0049187C">
      <w:pPr>
        <w:spacing w:after="0" w:line="240" w:lineRule="auto"/>
        <w:ind w:left="0" w:firstLine="0"/>
        <w:rPr>
          <w:lang w:val="de-DE"/>
        </w:rPr>
      </w:pPr>
      <w:r w:rsidRPr="0049187C">
        <w:rPr>
          <w:lang w:val="de-DE"/>
        </w:rPr>
        <w:t>Schmerzen des Muskel- und Skelettsystems</w:t>
      </w:r>
      <w:r w:rsidR="00FD7DFF" w:rsidRPr="0049187C">
        <w:rPr>
          <w:lang w:val="de-DE"/>
        </w:rPr>
        <w:t xml:space="preserve">, einschließlich schwerer Fälle, wurden nach Markteinführung bei Patienten berichtet, die </w:t>
      </w:r>
      <w:r w:rsidR="001F2665" w:rsidRPr="0049187C">
        <w:rPr>
          <w:lang w:val="de-DE"/>
        </w:rPr>
        <w:t xml:space="preserve">Denosumab </w:t>
      </w:r>
      <w:r w:rsidR="00FD7DFF" w:rsidRPr="0049187C">
        <w:rPr>
          <w:lang w:val="de-DE"/>
        </w:rPr>
        <w:t xml:space="preserve">erhielten. In klinischen Studien traten </w:t>
      </w:r>
      <w:r w:rsidRPr="0049187C">
        <w:rPr>
          <w:lang w:val="de-DE"/>
        </w:rPr>
        <w:t>Schmerzen des Muskel- und Skelettsystems</w:t>
      </w:r>
      <w:r w:rsidR="00FD7DFF" w:rsidRPr="0049187C">
        <w:rPr>
          <w:lang w:val="de-DE"/>
        </w:rPr>
        <w:t xml:space="preserve"> sehr</w:t>
      </w:r>
      <w:r w:rsidR="00ED6F18" w:rsidRPr="0049187C">
        <w:rPr>
          <w:lang w:val="de-DE"/>
        </w:rPr>
        <w:t xml:space="preserve"> </w:t>
      </w:r>
      <w:r w:rsidR="00FD7DFF" w:rsidRPr="0049187C">
        <w:rPr>
          <w:lang w:val="de-DE"/>
        </w:rPr>
        <w:t>häufig sowohl in den Placebo</w:t>
      </w:r>
      <w:r w:rsidRPr="0049187C">
        <w:rPr>
          <w:lang w:val="de-DE"/>
        </w:rPr>
        <w:noBreakHyphen/>
      </w:r>
      <w:r w:rsidR="00FD7DFF" w:rsidRPr="0049187C">
        <w:rPr>
          <w:lang w:val="de-DE"/>
        </w:rPr>
        <w:t xml:space="preserve"> als auch in den Denosumab</w:t>
      </w:r>
      <w:r w:rsidRPr="0049187C">
        <w:rPr>
          <w:lang w:val="de-DE"/>
        </w:rPr>
        <w:noBreakHyphen/>
      </w:r>
      <w:r w:rsidR="00FD7DFF" w:rsidRPr="0049187C">
        <w:rPr>
          <w:lang w:val="de-DE"/>
        </w:rPr>
        <w:t xml:space="preserve">Gruppen auf. </w:t>
      </w:r>
      <w:r w:rsidRPr="0049187C">
        <w:rPr>
          <w:lang w:val="de-DE"/>
        </w:rPr>
        <w:t>Schmerzen des Muskel- und Skelettsystems</w:t>
      </w:r>
      <w:r w:rsidR="00FD7DFF" w:rsidRPr="0049187C">
        <w:rPr>
          <w:lang w:val="de-DE"/>
        </w:rPr>
        <w:t>, die zum Abbruch der Studienbehandlung führten, traten selten auf.</w:t>
      </w:r>
    </w:p>
    <w:p w14:paraId="2F6005EC" w14:textId="77777777" w:rsidR="00F83928" w:rsidRPr="0049187C" w:rsidRDefault="00F83928" w:rsidP="0049187C">
      <w:pPr>
        <w:spacing w:after="0" w:line="240" w:lineRule="auto"/>
        <w:ind w:left="0" w:firstLine="0"/>
        <w:rPr>
          <w:lang w:val="de-DE"/>
        </w:rPr>
      </w:pPr>
    </w:p>
    <w:p w14:paraId="11CFF9E4" w14:textId="77777777" w:rsidR="00261AC3" w:rsidRPr="0049187C" w:rsidRDefault="00B00716" w:rsidP="0049187C">
      <w:pPr>
        <w:keepNext/>
        <w:keepLines/>
        <w:spacing w:after="0" w:line="240" w:lineRule="auto"/>
        <w:ind w:left="0" w:firstLine="0"/>
        <w:rPr>
          <w:i/>
          <w:iCs/>
          <w:lang w:val="de-DE"/>
        </w:rPr>
      </w:pPr>
      <w:r w:rsidRPr="0049187C">
        <w:rPr>
          <w:i/>
          <w:iCs/>
          <w:lang w:val="de-DE"/>
        </w:rPr>
        <w:t>Lichenoide</w:t>
      </w:r>
      <w:r w:rsidR="00336FFE" w:rsidRPr="0049187C">
        <w:rPr>
          <w:i/>
          <w:iCs/>
          <w:lang w:val="de-DE"/>
        </w:rPr>
        <w:t>r</w:t>
      </w:r>
      <w:r w:rsidRPr="0049187C">
        <w:rPr>
          <w:i/>
          <w:iCs/>
          <w:lang w:val="de-DE"/>
        </w:rPr>
        <w:t xml:space="preserve"> </w:t>
      </w:r>
      <w:r w:rsidR="00336FFE" w:rsidRPr="0049187C">
        <w:rPr>
          <w:i/>
          <w:iCs/>
          <w:lang w:val="de-DE"/>
        </w:rPr>
        <w:t>Medikamentenausschlag</w:t>
      </w:r>
    </w:p>
    <w:p w14:paraId="72B25A6B" w14:textId="77777777" w:rsidR="00261AC3" w:rsidRPr="0049187C" w:rsidRDefault="00B00716" w:rsidP="0049187C">
      <w:pPr>
        <w:spacing w:after="0" w:line="240" w:lineRule="auto"/>
        <w:ind w:left="0" w:firstLine="0"/>
        <w:rPr>
          <w:lang w:val="de-DE"/>
        </w:rPr>
      </w:pPr>
      <w:r w:rsidRPr="0049187C">
        <w:rPr>
          <w:lang w:val="de-DE"/>
        </w:rPr>
        <w:t>Lichenoide</w:t>
      </w:r>
      <w:r w:rsidR="00336FFE" w:rsidRPr="0049187C">
        <w:rPr>
          <w:lang w:val="de-DE"/>
        </w:rPr>
        <w:t>r</w:t>
      </w:r>
      <w:r w:rsidRPr="0049187C">
        <w:rPr>
          <w:lang w:val="de-DE"/>
        </w:rPr>
        <w:t xml:space="preserve"> </w:t>
      </w:r>
      <w:r w:rsidR="00336FFE" w:rsidRPr="0049187C">
        <w:rPr>
          <w:i/>
          <w:iCs/>
          <w:lang w:val="de-DE"/>
        </w:rPr>
        <w:t>Medikamentenausschlag</w:t>
      </w:r>
      <w:r w:rsidR="00336FFE" w:rsidRPr="0049187C">
        <w:rPr>
          <w:lang w:val="de-DE"/>
        </w:rPr>
        <w:t xml:space="preserve"> </w:t>
      </w:r>
      <w:r w:rsidRPr="0049187C">
        <w:rPr>
          <w:lang w:val="de-DE"/>
        </w:rPr>
        <w:t>(z. B. Lichen planus</w:t>
      </w:r>
      <w:r w:rsidRPr="0049187C">
        <w:rPr>
          <w:lang w:val="de-DE"/>
        </w:rPr>
        <w:noBreakHyphen/>
        <w:t>artige Reaktionen) wurde nach Markteinführung bei Patienten berichtet.</w:t>
      </w:r>
    </w:p>
    <w:p w14:paraId="3F43BCB9" w14:textId="77777777" w:rsidR="00F83928" w:rsidRPr="0049187C" w:rsidRDefault="00F83928" w:rsidP="0049187C">
      <w:pPr>
        <w:spacing w:after="0" w:line="240" w:lineRule="auto"/>
        <w:ind w:left="0" w:firstLine="0"/>
        <w:rPr>
          <w:lang w:val="de-DE"/>
        </w:rPr>
      </w:pPr>
    </w:p>
    <w:p w14:paraId="24ABD6CE" w14:textId="77777777" w:rsidR="00261AC3" w:rsidRPr="0049187C" w:rsidRDefault="00B00716" w:rsidP="0049187C">
      <w:pPr>
        <w:keepNext/>
        <w:keepLines/>
        <w:spacing w:after="0" w:line="240" w:lineRule="auto"/>
        <w:ind w:left="0" w:firstLine="0"/>
        <w:rPr>
          <w:u w:val="single"/>
          <w:lang w:val="de-DE"/>
        </w:rPr>
      </w:pPr>
      <w:r w:rsidRPr="0049187C">
        <w:rPr>
          <w:u w:val="single"/>
          <w:lang w:val="de-DE"/>
        </w:rPr>
        <w:t>Andere spezielle Populationen</w:t>
      </w:r>
    </w:p>
    <w:p w14:paraId="6F5C6F41" w14:textId="77777777" w:rsidR="00F83928" w:rsidRPr="0049187C" w:rsidRDefault="00F83928" w:rsidP="0049187C">
      <w:pPr>
        <w:spacing w:after="0" w:line="240" w:lineRule="auto"/>
        <w:ind w:left="0" w:firstLine="0"/>
        <w:rPr>
          <w:lang w:val="de-DE"/>
        </w:rPr>
      </w:pPr>
    </w:p>
    <w:p w14:paraId="48250953" w14:textId="77777777" w:rsidR="00261AC3" w:rsidRPr="0049187C" w:rsidRDefault="00B00716" w:rsidP="0049187C">
      <w:pPr>
        <w:keepNext/>
        <w:keepLines/>
        <w:spacing w:after="0" w:line="240" w:lineRule="auto"/>
        <w:ind w:left="0" w:firstLine="0"/>
        <w:rPr>
          <w:i/>
          <w:iCs/>
          <w:lang w:val="de-DE"/>
        </w:rPr>
      </w:pPr>
      <w:r w:rsidRPr="0049187C">
        <w:rPr>
          <w:i/>
          <w:iCs/>
          <w:lang w:val="de-DE"/>
        </w:rPr>
        <w:t>Kinder und Jugendliche</w:t>
      </w:r>
    </w:p>
    <w:p w14:paraId="4FE3809B" w14:textId="77777777" w:rsidR="00261AC3" w:rsidRPr="0049187C" w:rsidRDefault="00B00716" w:rsidP="0049187C">
      <w:pPr>
        <w:spacing w:after="0" w:line="240" w:lineRule="auto"/>
        <w:ind w:left="0" w:firstLine="0"/>
        <w:rPr>
          <w:lang w:val="de-DE"/>
        </w:rPr>
      </w:pPr>
      <w:r w:rsidRPr="0049187C">
        <w:rPr>
          <w:lang w:val="de-DE"/>
        </w:rPr>
        <w:t xml:space="preserve">Jubbonti </w:t>
      </w:r>
      <w:r w:rsidR="00FD7DFF" w:rsidRPr="0049187C">
        <w:rPr>
          <w:lang w:val="de-DE"/>
        </w:rPr>
        <w:t>darf nicht bei Kindern und Jugendlichen (&lt;</w:t>
      </w:r>
      <w:r w:rsidRPr="0049187C">
        <w:rPr>
          <w:lang w:val="de-DE"/>
        </w:rPr>
        <w:t> 18 </w:t>
      </w:r>
      <w:r w:rsidR="00FD7DFF" w:rsidRPr="0049187C">
        <w:rPr>
          <w:lang w:val="de-DE"/>
        </w:rPr>
        <w:t>Jahre) angewendet werden. Es wurde über schwere Hyperkalzämie berichtet (siehe Abschnitt</w:t>
      </w:r>
      <w:r w:rsidRPr="0049187C">
        <w:rPr>
          <w:lang w:val="de-DE"/>
        </w:rPr>
        <w:t> 5</w:t>
      </w:r>
      <w:r w:rsidR="00FD7DFF" w:rsidRPr="0049187C">
        <w:rPr>
          <w:lang w:val="de-DE"/>
        </w:rPr>
        <w:t>.1). Einige Fälle in klinischen Studien hatten akutes Nierenversagen als Komplikation.</w:t>
      </w:r>
    </w:p>
    <w:p w14:paraId="65C990C6" w14:textId="77777777" w:rsidR="00F83928" w:rsidRPr="0049187C" w:rsidRDefault="00F83928" w:rsidP="0049187C">
      <w:pPr>
        <w:spacing w:after="0" w:line="240" w:lineRule="auto"/>
        <w:ind w:left="0" w:firstLine="0"/>
        <w:rPr>
          <w:lang w:val="de-DE"/>
        </w:rPr>
      </w:pPr>
    </w:p>
    <w:p w14:paraId="00C3ED4D" w14:textId="77777777" w:rsidR="00261AC3" w:rsidRPr="0049187C" w:rsidRDefault="00B00716" w:rsidP="0049187C">
      <w:pPr>
        <w:keepNext/>
        <w:keepLines/>
        <w:spacing w:after="0" w:line="240" w:lineRule="auto"/>
        <w:ind w:left="0" w:firstLine="0"/>
        <w:rPr>
          <w:lang w:val="de-DE"/>
        </w:rPr>
      </w:pPr>
      <w:del w:id="22" w:author="Lionbridge" w:date="2025-06-17T19:27:00Z" w16du:dateUtc="2025-06-17T13:57:00Z">
        <w:r w:rsidRPr="0049187C" w:rsidDel="009943A9">
          <w:rPr>
            <w:i/>
            <w:iCs/>
            <w:lang w:val="de-DE"/>
          </w:rPr>
          <w:delText>Nierenfunktionsstörung</w:delText>
        </w:r>
      </w:del>
      <w:ins w:id="23" w:author="Lionbridge" w:date="2025-06-17T19:27:00Z" w16du:dateUtc="2025-06-17T13:57:00Z">
        <w:r w:rsidR="009943A9" w:rsidRPr="0049187C">
          <w:rPr>
            <w:i/>
            <w:iCs/>
            <w:lang w:val="de-DE"/>
          </w:rPr>
          <w:t>Nierenfunktionsbeeinträchtigung</w:t>
        </w:r>
      </w:ins>
    </w:p>
    <w:p w14:paraId="77734FA0" w14:textId="77777777" w:rsidR="00261AC3" w:rsidRPr="0049187C" w:rsidRDefault="00B00716" w:rsidP="0049187C">
      <w:pPr>
        <w:spacing w:after="0" w:line="240" w:lineRule="auto"/>
        <w:ind w:left="0" w:firstLine="0"/>
        <w:rPr>
          <w:lang w:val="de-DE"/>
        </w:rPr>
      </w:pPr>
      <w:r w:rsidRPr="0049187C">
        <w:rPr>
          <w:lang w:val="de-DE"/>
        </w:rPr>
        <w:t xml:space="preserve">In klinischen Studien hatten Patienten mit schwerer </w:t>
      </w:r>
      <w:del w:id="24" w:author="Lionbridge" w:date="2025-06-17T19:27:00Z" w16du:dateUtc="2025-06-17T13:57:00Z">
        <w:r w:rsidRPr="0049187C" w:rsidDel="009943A9">
          <w:rPr>
            <w:lang w:val="de-DE"/>
          </w:rPr>
          <w:delText>Nierenfunktionsstörung</w:delText>
        </w:r>
      </w:del>
      <w:ins w:id="25" w:author="Lionbridge" w:date="2025-06-17T19:27:00Z" w16du:dateUtc="2025-06-17T13:57:00Z">
        <w:r w:rsidR="009943A9" w:rsidRPr="0049187C">
          <w:rPr>
            <w:lang w:val="de-DE"/>
          </w:rPr>
          <w:t>Nierenfunktionsbeeinträchtigung</w:t>
        </w:r>
      </w:ins>
      <w:r w:rsidRPr="0049187C">
        <w:rPr>
          <w:lang w:val="de-DE"/>
        </w:rPr>
        <w:t xml:space="preserve"> (Kreatinin</w:t>
      </w:r>
      <w:r w:rsidRPr="0049187C">
        <w:rPr>
          <w:lang w:val="de-DE"/>
        </w:rPr>
        <w:noBreakHyphen/>
        <w:t>Clearance &lt; 30 ml/min) oder Dialysepatienten ein höheres Risiko, eine Hypokalzämie zu entwickeln, wenn sie keine begleitende Calciumergänzung erhielten. Eine angemessene Calcium</w:t>
      </w:r>
      <w:r w:rsidRPr="0049187C">
        <w:rPr>
          <w:lang w:val="de-DE"/>
        </w:rPr>
        <w:noBreakHyphen/>
        <w:t xml:space="preserve"> und Vitamin D</w:t>
      </w:r>
      <w:r w:rsidRPr="0049187C">
        <w:rPr>
          <w:lang w:val="de-DE"/>
        </w:rPr>
        <w:noBreakHyphen/>
        <w:t xml:space="preserve">Aufnahme ist bei Patienten mit schwerer </w:t>
      </w:r>
      <w:del w:id="26" w:author="Lionbridge" w:date="2025-06-17T19:27:00Z" w16du:dateUtc="2025-06-17T13:57:00Z">
        <w:r w:rsidRPr="0049187C" w:rsidDel="009943A9">
          <w:rPr>
            <w:lang w:val="de-DE"/>
          </w:rPr>
          <w:delText>Nierenfunktionsstörung</w:delText>
        </w:r>
      </w:del>
      <w:ins w:id="27" w:author="Lionbridge" w:date="2025-06-17T19:27:00Z" w16du:dateUtc="2025-06-17T13:57:00Z">
        <w:r w:rsidR="009943A9" w:rsidRPr="0049187C">
          <w:rPr>
            <w:lang w:val="de-DE"/>
          </w:rPr>
          <w:t>Nierenfunktionsbeeinträchtigung</w:t>
        </w:r>
      </w:ins>
      <w:r w:rsidRPr="0049187C">
        <w:rPr>
          <w:lang w:val="de-DE"/>
        </w:rPr>
        <w:t xml:space="preserve"> oder bei Dialysepatienten wichtig (siehe Abschnitt 4.4).</w:t>
      </w:r>
    </w:p>
    <w:p w14:paraId="1DC2B739" w14:textId="77777777" w:rsidR="00F83928" w:rsidRPr="0049187C" w:rsidRDefault="00F83928" w:rsidP="0049187C">
      <w:pPr>
        <w:spacing w:after="0" w:line="240" w:lineRule="auto"/>
        <w:ind w:left="0" w:firstLine="0"/>
        <w:rPr>
          <w:lang w:val="de-DE"/>
        </w:rPr>
      </w:pPr>
    </w:p>
    <w:p w14:paraId="51FBBBBB" w14:textId="77777777" w:rsidR="00261AC3" w:rsidRPr="0049187C" w:rsidRDefault="00B00716" w:rsidP="0049187C">
      <w:pPr>
        <w:keepNext/>
        <w:keepLines/>
        <w:spacing w:after="0" w:line="240" w:lineRule="auto"/>
        <w:ind w:left="0" w:firstLine="0"/>
        <w:rPr>
          <w:u w:val="single"/>
          <w:lang w:val="de-DE"/>
        </w:rPr>
      </w:pPr>
      <w:r w:rsidRPr="0049187C">
        <w:rPr>
          <w:u w:val="single"/>
          <w:lang w:val="de-DE"/>
        </w:rPr>
        <w:t>Meldung des Verdachts auf Nebenwirkungen</w:t>
      </w:r>
    </w:p>
    <w:p w14:paraId="415DCD59" w14:textId="77777777" w:rsidR="00F83928" w:rsidRPr="0049187C" w:rsidRDefault="00F83928" w:rsidP="0049187C">
      <w:pPr>
        <w:spacing w:after="0" w:line="240" w:lineRule="auto"/>
        <w:ind w:left="0" w:firstLine="0"/>
        <w:rPr>
          <w:lang w:val="de-DE"/>
        </w:rPr>
      </w:pPr>
    </w:p>
    <w:p w14:paraId="469BB60F" w14:textId="77777777" w:rsidR="00261AC3" w:rsidRPr="0049187C" w:rsidRDefault="00B00716" w:rsidP="0049187C">
      <w:pPr>
        <w:spacing w:after="0" w:line="240" w:lineRule="auto"/>
        <w:ind w:left="0" w:firstLine="0"/>
        <w:rPr>
          <w:lang w:val="de-DE"/>
        </w:rPr>
      </w:pPr>
      <w:r w:rsidRPr="0049187C">
        <w:rPr>
          <w:lang w:val="de-DE"/>
        </w:rPr>
        <w:t>Die Meldung des Verdachts auf Nebenwirkungen nach der Zulassung ist von großer Wichtigkeit. Sie ermöglicht eine kontinuierliche Überwachung des Nutzen</w:t>
      </w:r>
      <w:r w:rsidRPr="0049187C">
        <w:rPr>
          <w:lang w:val="de-DE"/>
        </w:rPr>
        <w:noBreakHyphen/>
        <w:t>Risiko</w:t>
      </w:r>
      <w:r w:rsidRPr="0049187C">
        <w:rPr>
          <w:lang w:val="de-DE"/>
        </w:rPr>
        <w:noBreakHyphen/>
        <w:t xml:space="preserve">Verhältnisses des Arzneimittels. Angehörige von Gesundheitsberufen sind aufgefordert, jeden Verdachtsfall einer Nebenwirkung über </w:t>
      </w:r>
      <w:r w:rsidR="00437E41" w:rsidRPr="0049187C">
        <w:rPr>
          <w:shd w:val="clear" w:color="auto" w:fill="C0C0C0"/>
          <w:lang w:val="de-DE"/>
        </w:rPr>
        <w:t xml:space="preserve">das in </w:t>
      </w:r>
      <w:hyperlink r:id="rId10" w:history="1">
        <w:r w:rsidR="00437E41" w:rsidRPr="0049187C">
          <w:rPr>
            <w:color w:val="0000FF"/>
            <w:u w:val="single" w:color="0000FF"/>
            <w:shd w:val="clear" w:color="auto" w:fill="C0C0C0"/>
            <w:lang w:val="de-DE"/>
          </w:rPr>
          <w:t>Anhang V</w:t>
        </w:r>
      </w:hyperlink>
      <w:hyperlink r:id="rId11" w:history="1">
        <w:r w:rsidR="00437E41" w:rsidRPr="0049187C">
          <w:rPr>
            <w:shd w:val="clear" w:color="auto" w:fill="C0C0C0"/>
            <w:lang w:val="de-DE"/>
          </w:rPr>
          <w:t xml:space="preserve"> </w:t>
        </w:r>
      </w:hyperlink>
      <w:r w:rsidR="00437E41" w:rsidRPr="0049187C">
        <w:rPr>
          <w:shd w:val="clear" w:color="auto" w:fill="C0C0C0"/>
          <w:lang w:val="de-DE"/>
        </w:rPr>
        <w:t>aufgeführte nationale Meldesystem</w:t>
      </w:r>
      <w:r w:rsidR="00437E41" w:rsidRPr="0049187C">
        <w:rPr>
          <w:lang w:val="de-DE"/>
        </w:rPr>
        <w:t xml:space="preserve"> anzuzeigen</w:t>
      </w:r>
      <w:r w:rsidRPr="0049187C">
        <w:rPr>
          <w:lang w:val="de-DE"/>
        </w:rPr>
        <w:t>.</w:t>
      </w:r>
    </w:p>
    <w:p w14:paraId="5EA43869" w14:textId="77777777" w:rsidR="00F83928" w:rsidRPr="0049187C" w:rsidRDefault="00F83928" w:rsidP="0049187C">
      <w:pPr>
        <w:spacing w:after="0" w:line="240" w:lineRule="auto"/>
        <w:ind w:left="0" w:firstLine="0"/>
        <w:rPr>
          <w:lang w:val="de-DE"/>
        </w:rPr>
      </w:pPr>
    </w:p>
    <w:p w14:paraId="5D15019D" w14:textId="77777777" w:rsidR="00261AC3" w:rsidRPr="0049187C" w:rsidRDefault="00B00716" w:rsidP="0049187C">
      <w:pPr>
        <w:keepNext/>
        <w:keepLines/>
        <w:tabs>
          <w:tab w:val="left" w:pos="567"/>
        </w:tabs>
        <w:spacing w:after="0" w:line="240" w:lineRule="auto"/>
        <w:ind w:left="0" w:firstLine="0"/>
        <w:rPr>
          <w:b/>
          <w:lang w:val="de-DE"/>
        </w:rPr>
      </w:pPr>
      <w:r w:rsidRPr="0049187C">
        <w:rPr>
          <w:b/>
          <w:lang w:val="de-DE"/>
        </w:rPr>
        <w:t>4.9</w:t>
      </w:r>
      <w:r w:rsidRPr="0049187C">
        <w:rPr>
          <w:b/>
          <w:lang w:val="de-DE"/>
        </w:rPr>
        <w:tab/>
        <w:t>Überdosierung</w:t>
      </w:r>
    </w:p>
    <w:p w14:paraId="09EBCC57" w14:textId="77777777" w:rsidR="00F83928" w:rsidRPr="0049187C" w:rsidRDefault="00F83928" w:rsidP="0049187C">
      <w:pPr>
        <w:keepNext/>
        <w:keepLines/>
        <w:spacing w:after="0" w:line="240" w:lineRule="auto"/>
        <w:ind w:left="0" w:firstLine="0"/>
        <w:rPr>
          <w:lang w:val="de-DE"/>
        </w:rPr>
      </w:pPr>
    </w:p>
    <w:p w14:paraId="360AD316" w14:textId="77777777" w:rsidR="00261AC3" w:rsidRPr="0049187C" w:rsidRDefault="00B00716" w:rsidP="0049187C">
      <w:pPr>
        <w:spacing w:after="0" w:line="240" w:lineRule="auto"/>
        <w:ind w:left="0" w:firstLine="0"/>
        <w:rPr>
          <w:lang w:val="de-DE"/>
        </w:rPr>
      </w:pPr>
      <w:r w:rsidRPr="0049187C">
        <w:rPr>
          <w:lang w:val="de-DE"/>
        </w:rPr>
        <w:t>Aus klinischen Studien gibt es keine Erfahrungen mit Überdosierungen. Denosumab wurde in klinischen Studien in Dosierungen von bis zu 180 mg alle 4 Wochen angewendet (kumulative Dosis von bis zu 1</w:t>
      </w:r>
      <w:r w:rsidR="001F2665" w:rsidRPr="0049187C">
        <w:rPr>
          <w:lang w:val="de-DE"/>
        </w:rPr>
        <w:t> </w:t>
      </w:r>
      <w:r w:rsidRPr="0049187C">
        <w:rPr>
          <w:lang w:val="de-DE"/>
        </w:rPr>
        <w:t>080 mg über 6 Monate), wobei keine zusätzlichen Nebenwirkungen beobachtet wurden.</w:t>
      </w:r>
    </w:p>
    <w:p w14:paraId="5850D6A5" w14:textId="77777777" w:rsidR="00261AC3" w:rsidRPr="0049187C" w:rsidRDefault="00261AC3" w:rsidP="0049187C">
      <w:pPr>
        <w:spacing w:after="0" w:line="240" w:lineRule="auto"/>
        <w:ind w:left="0" w:firstLine="0"/>
        <w:rPr>
          <w:lang w:val="de-DE"/>
        </w:rPr>
      </w:pPr>
    </w:p>
    <w:p w14:paraId="3047681C" w14:textId="77777777" w:rsidR="00F83928" w:rsidRPr="0049187C" w:rsidRDefault="00F83928" w:rsidP="0049187C">
      <w:pPr>
        <w:spacing w:after="0" w:line="240" w:lineRule="auto"/>
        <w:ind w:left="0" w:firstLine="0"/>
        <w:rPr>
          <w:lang w:val="de-DE"/>
        </w:rPr>
      </w:pPr>
    </w:p>
    <w:p w14:paraId="3E71D0CA" w14:textId="77777777" w:rsidR="00261AC3" w:rsidRPr="0049187C" w:rsidRDefault="00B00716" w:rsidP="0049187C">
      <w:pPr>
        <w:keepNext/>
        <w:keepLines/>
        <w:tabs>
          <w:tab w:val="left" w:pos="567"/>
        </w:tabs>
        <w:spacing w:after="0" w:line="240" w:lineRule="auto"/>
        <w:ind w:left="0" w:firstLine="0"/>
        <w:rPr>
          <w:b/>
          <w:lang w:val="de-DE"/>
        </w:rPr>
      </w:pPr>
      <w:r w:rsidRPr="0049187C">
        <w:rPr>
          <w:b/>
          <w:lang w:val="de-DE"/>
        </w:rPr>
        <w:t>5.</w:t>
      </w:r>
      <w:r w:rsidRPr="0049187C">
        <w:rPr>
          <w:b/>
          <w:lang w:val="de-DE"/>
        </w:rPr>
        <w:tab/>
        <w:t>PHARMAKOLOGISCHE EIGENSCHAFTEN</w:t>
      </w:r>
    </w:p>
    <w:p w14:paraId="2F63AE53" w14:textId="77777777" w:rsidR="00F83928" w:rsidRPr="0049187C" w:rsidRDefault="00F83928" w:rsidP="0049187C">
      <w:pPr>
        <w:keepNext/>
        <w:keepLines/>
        <w:spacing w:after="0" w:line="240" w:lineRule="auto"/>
        <w:ind w:left="0" w:firstLine="0"/>
        <w:rPr>
          <w:lang w:val="de-DE"/>
        </w:rPr>
      </w:pPr>
    </w:p>
    <w:p w14:paraId="1E2370EF" w14:textId="77777777" w:rsidR="00261AC3" w:rsidRPr="0049187C" w:rsidRDefault="00B00716" w:rsidP="0049187C">
      <w:pPr>
        <w:keepNext/>
        <w:keepLines/>
        <w:tabs>
          <w:tab w:val="left" w:pos="567"/>
        </w:tabs>
        <w:spacing w:after="0" w:line="240" w:lineRule="auto"/>
        <w:ind w:left="0" w:firstLine="0"/>
        <w:rPr>
          <w:b/>
          <w:lang w:val="de-DE"/>
        </w:rPr>
      </w:pPr>
      <w:r w:rsidRPr="0049187C">
        <w:rPr>
          <w:b/>
          <w:lang w:val="de-DE"/>
        </w:rPr>
        <w:t>5.1</w:t>
      </w:r>
      <w:r w:rsidRPr="0049187C">
        <w:rPr>
          <w:b/>
          <w:lang w:val="de-DE"/>
        </w:rPr>
        <w:tab/>
        <w:t>Pharmakodynamische Eigenschaften</w:t>
      </w:r>
    </w:p>
    <w:p w14:paraId="50B03EF0" w14:textId="77777777" w:rsidR="00F83928" w:rsidRPr="0049187C" w:rsidRDefault="00F83928" w:rsidP="0049187C">
      <w:pPr>
        <w:keepNext/>
        <w:keepLines/>
        <w:spacing w:after="0" w:line="240" w:lineRule="auto"/>
        <w:ind w:left="0" w:firstLine="0"/>
        <w:rPr>
          <w:lang w:val="de-DE"/>
        </w:rPr>
      </w:pPr>
    </w:p>
    <w:p w14:paraId="146B6D49" w14:textId="77777777" w:rsidR="00261AC3" w:rsidRPr="0049187C" w:rsidRDefault="00B00716" w:rsidP="0049187C">
      <w:pPr>
        <w:spacing w:after="0" w:line="240" w:lineRule="auto"/>
        <w:ind w:left="0" w:firstLine="0"/>
        <w:rPr>
          <w:lang w:val="de-DE"/>
        </w:rPr>
      </w:pPr>
      <w:r w:rsidRPr="0049187C">
        <w:rPr>
          <w:lang w:val="de-DE"/>
        </w:rPr>
        <w:t>Pharmakotherapeutische Gruppe: Mittel zur Behandlung von Knochenerkrankungen – Andere Mittel mit Einfluss auf die Knochenstruktur und die Mineralisation, ATC</w:t>
      </w:r>
      <w:r w:rsidRPr="0049187C">
        <w:rPr>
          <w:lang w:val="de-DE"/>
        </w:rPr>
        <w:noBreakHyphen/>
        <w:t>Code: M05BX04</w:t>
      </w:r>
    </w:p>
    <w:p w14:paraId="784C32CD" w14:textId="77777777" w:rsidR="00F83928" w:rsidRPr="0049187C" w:rsidRDefault="00F83928" w:rsidP="0049187C">
      <w:pPr>
        <w:spacing w:after="0" w:line="240" w:lineRule="auto"/>
        <w:ind w:left="0" w:firstLine="0"/>
        <w:rPr>
          <w:lang w:val="de-DE"/>
        </w:rPr>
      </w:pPr>
    </w:p>
    <w:p w14:paraId="1E45E5E6" w14:textId="77777777" w:rsidR="001F2665" w:rsidRPr="0049187C" w:rsidRDefault="00B00716" w:rsidP="0049187C">
      <w:pPr>
        <w:spacing w:after="0" w:line="240" w:lineRule="auto"/>
        <w:ind w:left="0" w:firstLine="0"/>
        <w:rPr>
          <w:lang w:val="de-DE"/>
        </w:rPr>
      </w:pPr>
      <w:r w:rsidRPr="0049187C">
        <w:rPr>
          <w:lang w:val="de-DE"/>
        </w:rPr>
        <w:t>Jubbonti ist ein biologisch</w:t>
      </w:r>
      <w:r w:rsidR="0087643E" w:rsidRPr="0049187C">
        <w:rPr>
          <w:lang w:val="de-DE"/>
        </w:rPr>
        <w:t xml:space="preserve"> </w:t>
      </w:r>
      <w:r w:rsidRPr="0049187C">
        <w:rPr>
          <w:lang w:val="de-DE"/>
        </w:rPr>
        <w:t>/</w:t>
      </w:r>
      <w:r w:rsidR="0087643E" w:rsidRPr="0049187C">
        <w:rPr>
          <w:lang w:val="de-DE"/>
        </w:rPr>
        <w:t xml:space="preserve"> </w:t>
      </w:r>
      <w:r w:rsidRPr="0049187C">
        <w:rPr>
          <w:lang w:val="de-DE"/>
        </w:rPr>
        <w:t xml:space="preserve">biotechnologisch hergestelltes Arzneimittel, das im Wesentlichen einem bereits zugelassenen Arzneimittel gleicht. Ausführliche Informationen sind auf den Internetseiten der Europäischen Arzneimittel-Agentur </w:t>
      </w:r>
      <w:hyperlink r:id="rId12" w:history="1">
        <w:r w:rsidR="009409CE" w:rsidRPr="0049187C">
          <w:rPr>
            <w:rStyle w:val="Hyperlink"/>
            <w:noProof/>
            <w:lang w:val="de-DE"/>
          </w:rPr>
          <w:t>https://www.ema.europa.eu</w:t>
        </w:r>
      </w:hyperlink>
      <w:r w:rsidRPr="0049187C">
        <w:rPr>
          <w:lang w:val="de-DE"/>
        </w:rPr>
        <w:t xml:space="preserve"> verfügbar.</w:t>
      </w:r>
    </w:p>
    <w:p w14:paraId="7A91731B" w14:textId="77777777" w:rsidR="001F2665" w:rsidRPr="0049187C" w:rsidRDefault="001F2665" w:rsidP="0049187C">
      <w:pPr>
        <w:spacing w:after="0" w:line="240" w:lineRule="auto"/>
        <w:ind w:left="0" w:firstLine="0"/>
        <w:rPr>
          <w:lang w:val="de-DE"/>
        </w:rPr>
      </w:pPr>
    </w:p>
    <w:p w14:paraId="38F9C8BF" w14:textId="77777777" w:rsidR="00261AC3" w:rsidRPr="0049187C" w:rsidRDefault="00B00716" w:rsidP="0049187C">
      <w:pPr>
        <w:keepNext/>
        <w:keepLines/>
        <w:spacing w:after="0" w:line="240" w:lineRule="auto"/>
        <w:ind w:left="0" w:firstLine="0"/>
        <w:rPr>
          <w:u w:val="single"/>
          <w:lang w:val="de-DE"/>
        </w:rPr>
      </w:pPr>
      <w:r w:rsidRPr="0049187C">
        <w:rPr>
          <w:u w:val="single"/>
          <w:lang w:val="de-DE"/>
        </w:rPr>
        <w:t>Wirkmechanismus</w:t>
      </w:r>
    </w:p>
    <w:p w14:paraId="61971DA1" w14:textId="77777777" w:rsidR="00F83928" w:rsidRPr="0049187C" w:rsidRDefault="00F83928" w:rsidP="0049187C">
      <w:pPr>
        <w:spacing w:after="0" w:line="240" w:lineRule="auto"/>
        <w:ind w:left="0" w:firstLine="0"/>
        <w:rPr>
          <w:lang w:val="de-DE"/>
        </w:rPr>
      </w:pPr>
    </w:p>
    <w:p w14:paraId="7D5885F2" w14:textId="77777777" w:rsidR="00261AC3" w:rsidRPr="0049187C" w:rsidRDefault="00B00716" w:rsidP="0049187C">
      <w:pPr>
        <w:spacing w:after="0" w:line="240" w:lineRule="auto"/>
        <w:ind w:left="0" w:firstLine="0"/>
        <w:rPr>
          <w:lang w:val="de-DE"/>
        </w:rPr>
      </w:pPr>
      <w:r w:rsidRPr="0049187C">
        <w:rPr>
          <w:lang w:val="de-DE"/>
        </w:rPr>
        <w:t>Denosumab ist ein humaner monoklonaler Antikörper (IgG2), der mit hoher Affinität und Spezifität an RANKL bindet. Dadurch wird RANKL daran gehindert, seinen Rezeptor RANK auf der Oberfläche von Osteoklasten und deren Vorläuferzellen zu aktivieren. Durch die Unterbrechung der</w:t>
      </w:r>
      <w:r w:rsidR="00BE63D1" w:rsidRPr="0049187C">
        <w:rPr>
          <w:lang w:val="de-DE"/>
        </w:rPr>
        <w:t xml:space="preserve"> </w:t>
      </w:r>
      <w:r w:rsidRPr="0049187C">
        <w:rPr>
          <w:lang w:val="de-DE"/>
        </w:rPr>
        <w:t>RANKL/RANK</w:t>
      </w:r>
      <w:r w:rsidRPr="0049187C">
        <w:rPr>
          <w:lang w:val="de-DE"/>
        </w:rPr>
        <w:noBreakHyphen/>
        <w:t>Interaktion werden die Bildung, die Funktion und das Überleben der Osteoklasten inhibiert und dadurch die Knochenresorption sowohl im kortikalen als auch im trabekulären Knochen vermindert.</w:t>
      </w:r>
    </w:p>
    <w:p w14:paraId="48179AA9" w14:textId="77777777" w:rsidR="00F83928" w:rsidRPr="0049187C" w:rsidRDefault="00F83928" w:rsidP="0049187C">
      <w:pPr>
        <w:spacing w:after="0" w:line="240" w:lineRule="auto"/>
        <w:ind w:left="0" w:firstLine="0"/>
        <w:rPr>
          <w:lang w:val="de-DE"/>
        </w:rPr>
      </w:pPr>
    </w:p>
    <w:p w14:paraId="4C952813" w14:textId="77777777" w:rsidR="00261AC3" w:rsidRPr="0049187C" w:rsidRDefault="00B00716" w:rsidP="0049187C">
      <w:pPr>
        <w:keepNext/>
        <w:keepLines/>
        <w:spacing w:after="0" w:line="240" w:lineRule="auto"/>
        <w:ind w:left="0" w:firstLine="0"/>
        <w:rPr>
          <w:u w:val="single"/>
          <w:lang w:val="de-DE"/>
        </w:rPr>
      </w:pPr>
      <w:r w:rsidRPr="0049187C">
        <w:rPr>
          <w:u w:val="single"/>
          <w:lang w:val="de-DE"/>
        </w:rPr>
        <w:t>Pharmakodynamische Wirkungen</w:t>
      </w:r>
    </w:p>
    <w:p w14:paraId="112F4336" w14:textId="77777777" w:rsidR="00F83928" w:rsidRPr="0049187C" w:rsidRDefault="00F83928" w:rsidP="0049187C">
      <w:pPr>
        <w:spacing w:after="0" w:line="240" w:lineRule="auto"/>
        <w:ind w:left="0" w:firstLine="0"/>
        <w:rPr>
          <w:lang w:val="de-DE"/>
        </w:rPr>
      </w:pPr>
    </w:p>
    <w:p w14:paraId="5D322E14" w14:textId="77777777" w:rsidR="00261AC3" w:rsidRPr="0049187C" w:rsidRDefault="00B00716" w:rsidP="0049187C">
      <w:pPr>
        <w:spacing w:after="0" w:line="240" w:lineRule="auto"/>
        <w:ind w:left="0" w:firstLine="0"/>
        <w:rPr>
          <w:lang w:val="de-DE"/>
        </w:rPr>
      </w:pPr>
      <w:r w:rsidRPr="0049187C">
        <w:rPr>
          <w:lang w:val="de-DE"/>
        </w:rPr>
        <w:t xml:space="preserve">Die Behandlung mit </w:t>
      </w:r>
      <w:r w:rsidR="001F2665" w:rsidRPr="0049187C">
        <w:rPr>
          <w:lang w:val="de-DE"/>
        </w:rPr>
        <w:t xml:space="preserve">Denosumab </w:t>
      </w:r>
      <w:r w:rsidRPr="0049187C">
        <w:rPr>
          <w:lang w:val="de-DE"/>
        </w:rPr>
        <w:t>führte zu einer schnellen Reduktion des Knochenumsatzes und erreichte einen Nadir für den Knochenresorptionsmarker Serumtyp 1 C</w:t>
      </w:r>
      <w:r w:rsidRPr="0049187C">
        <w:rPr>
          <w:lang w:val="de-DE"/>
        </w:rPr>
        <w:noBreakHyphen/>
        <w:t>Telopeptid (CTX) (Reduktion um 85 %) innerhalb von 3 Tagen mit einer anhaltenden Reduktion über das gesamte Dosierungsintervall.</w:t>
      </w:r>
      <w:r w:rsidR="00BE63D1" w:rsidRPr="0049187C">
        <w:rPr>
          <w:lang w:val="de-DE"/>
        </w:rPr>
        <w:t xml:space="preserve"> </w:t>
      </w:r>
      <w:r w:rsidRPr="0049187C">
        <w:rPr>
          <w:lang w:val="de-DE"/>
        </w:rPr>
        <w:t>Am Ende jedes Dosierungsintervalls waren die CTX</w:t>
      </w:r>
      <w:r w:rsidRPr="0049187C">
        <w:rPr>
          <w:lang w:val="de-DE"/>
        </w:rPr>
        <w:noBreakHyphen/>
        <w:t>Reduktionen teilweise von einer maximalen</w:t>
      </w:r>
      <w:r w:rsidR="00BE63D1" w:rsidRPr="0049187C">
        <w:rPr>
          <w:lang w:val="de-DE"/>
        </w:rPr>
        <w:t xml:space="preserve"> </w:t>
      </w:r>
      <w:r w:rsidRPr="0049187C">
        <w:rPr>
          <w:lang w:val="de-DE"/>
        </w:rPr>
        <w:t>Senkung von ≥ 87 % auf ca. ≥ 45 % (Bereich 45 bis 80 %) abgeschwächt. Dies spiegelt die</w:t>
      </w:r>
      <w:r w:rsidR="00BE63D1" w:rsidRPr="0049187C">
        <w:rPr>
          <w:lang w:val="de-DE"/>
        </w:rPr>
        <w:t xml:space="preserve"> </w:t>
      </w:r>
      <w:r w:rsidRPr="0049187C">
        <w:rPr>
          <w:lang w:val="de-DE"/>
        </w:rPr>
        <w:t xml:space="preserve">Reversibilität der Wirkung von </w:t>
      </w:r>
      <w:r w:rsidR="001F2665" w:rsidRPr="0049187C">
        <w:rPr>
          <w:lang w:val="de-DE"/>
        </w:rPr>
        <w:t xml:space="preserve">Denosumab </w:t>
      </w:r>
      <w:r w:rsidRPr="0049187C">
        <w:rPr>
          <w:lang w:val="de-DE"/>
        </w:rPr>
        <w:t>auf den Knochenumbau bei abfallenden Serumspiegeln wider.</w:t>
      </w:r>
      <w:r w:rsidR="00BE63D1" w:rsidRPr="0049187C">
        <w:rPr>
          <w:lang w:val="de-DE"/>
        </w:rPr>
        <w:t xml:space="preserve"> </w:t>
      </w:r>
      <w:r w:rsidRPr="0049187C">
        <w:rPr>
          <w:lang w:val="de-DE"/>
        </w:rPr>
        <w:t>Diese Effekte blieben bei kontinuierlicher Behandlung bestehen. In der Regel erreichten die</w:t>
      </w:r>
      <w:r w:rsidR="00BE63D1" w:rsidRPr="0049187C">
        <w:rPr>
          <w:lang w:val="de-DE"/>
        </w:rPr>
        <w:t xml:space="preserve"> </w:t>
      </w:r>
      <w:r w:rsidRPr="0049187C">
        <w:rPr>
          <w:lang w:val="de-DE"/>
        </w:rPr>
        <w:t>Knochenumsatzmarker innerhalb von 9 Monaten nach der letzten Dosis wieder die Werte vor Behandlung. Nach Wiederaufnahme der Behandlung waren die CTX</w:t>
      </w:r>
      <w:r w:rsidRPr="0049187C">
        <w:rPr>
          <w:lang w:val="de-DE"/>
        </w:rPr>
        <w:noBreakHyphen/>
        <w:t>Reduktionen durch Denosumab vergleichbar mit denjenigen bei Patienten, die erstmalig mit Denosumab behandelt wurden.</w:t>
      </w:r>
    </w:p>
    <w:p w14:paraId="691EAFB2" w14:textId="77777777" w:rsidR="00F83928" w:rsidRPr="0049187C" w:rsidRDefault="00F83928" w:rsidP="0049187C">
      <w:pPr>
        <w:spacing w:after="0" w:line="240" w:lineRule="auto"/>
        <w:ind w:left="0" w:firstLine="0"/>
        <w:rPr>
          <w:lang w:val="de-DE"/>
        </w:rPr>
      </w:pPr>
    </w:p>
    <w:p w14:paraId="59473839" w14:textId="77777777" w:rsidR="00261AC3" w:rsidRPr="0049187C" w:rsidRDefault="00B00716" w:rsidP="0049187C">
      <w:pPr>
        <w:keepNext/>
        <w:keepLines/>
        <w:spacing w:after="0" w:line="240" w:lineRule="auto"/>
        <w:ind w:left="0" w:firstLine="0"/>
        <w:rPr>
          <w:u w:val="single"/>
          <w:lang w:val="de-DE"/>
        </w:rPr>
      </w:pPr>
      <w:r w:rsidRPr="0049187C">
        <w:rPr>
          <w:u w:val="single"/>
          <w:lang w:val="de-DE"/>
        </w:rPr>
        <w:t>Immunogenität</w:t>
      </w:r>
    </w:p>
    <w:p w14:paraId="1C44C684" w14:textId="77777777" w:rsidR="00F83928" w:rsidRPr="0049187C" w:rsidRDefault="00F83928" w:rsidP="0049187C">
      <w:pPr>
        <w:spacing w:after="0" w:line="240" w:lineRule="auto"/>
        <w:ind w:left="0" w:firstLine="0"/>
        <w:rPr>
          <w:lang w:val="de-DE"/>
        </w:rPr>
      </w:pPr>
    </w:p>
    <w:p w14:paraId="15806755" w14:textId="77777777" w:rsidR="00261AC3" w:rsidRPr="0049187C" w:rsidRDefault="00B00716" w:rsidP="0049187C">
      <w:pPr>
        <w:spacing w:after="0" w:line="240" w:lineRule="auto"/>
        <w:ind w:left="0" w:firstLine="0"/>
        <w:rPr>
          <w:lang w:val="de-DE"/>
        </w:rPr>
      </w:pPr>
      <w:r w:rsidRPr="0049187C">
        <w:rPr>
          <w:lang w:val="de-DE"/>
        </w:rPr>
        <w:t xml:space="preserve">Antikörper gegen Denosumab </w:t>
      </w:r>
      <w:r w:rsidR="001F2665" w:rsidRPr="0049187C">
        <w:rPr>
          <w:lang w:val="de-DE"/>
        </w:rPr>
        <w:t>können sich während der Behandlung mit Denosumab entwickeln</w:t>
      </w:r>
      <w:r w:rsidRPr="0049187C">
        <w:rPr>
          <w:lang w:val="de-DE"/>
        </w:rPr>
        <w:t xml:space="preserve">. </w:t>
      </w:r>
      <w:r w:rsidR="001F2665" w:rsidRPr="0049187C">
        <w:rPr>
          <w:lang w:val="de-DE"/>
        </w:rPr>
        <w:t xml:space="preserve">Es wurde keine offensichtliche Korrelation der Antikörperentwicklung mit Pharmakokinetik, klinischem Ansprechen oder unerwünschten Ereignissen beobachtet. </w:t>
      </w:r>
    </w:p>
    <w:p w14:paraId="7A08F640" w14:textId="77777777" w:rsidR="00F83928" w:rsidRPr="0049187C" w:rsidRDefault="00F83928" w:rsidP="0049187C">
      <w:pPr>
        <w:spacing w:after="0" w:line="240" w:lineRule="auto"/>
        <w:ind w:left="0" w:firstLine="0"/>
        <w:rPr>
          <w:lang w:val="de-DE"/>
        </w:rPr>
      </w:pPr>
    </w:p>
    <w:p w14:paraId="44DBF54D" w14:textId="77777777" w:rsidR="00261AC3" w:rsidRPr="0049187C" w:rsidRDefault="00B00716" w:rsidP="0049187C">
      <w:pPr>
        <w:keepNext/>
        <w:keepLines/>
        <w:spacing w:after="0" w:line="240" w:lineRule="auto"/>
        <w:ind w:left="0" w:firstLine="0"/>
        <w:rPr>
          <w:u w:val="single"/>
          <w:lang w:val="de-DE"/>
        </w:rPr>
      </w:pPr>
      <w:r w:rsidRPr="0049187C">
        <w:rPr>
          <w:u w:val="single"/>
          <w:lang w:val="de-DE"/>
        </w:rPr>
        <w:t>Klinische Wirksamkeit und Sicherheit bei postmenopausalen Frauen mit Osteoporose</w:t>
      </w:r>
    </w:p>
    <w:p w14:paraId="455E7525" w14:textId="77777777" w:rsidR="00F83928" w:rsidRPr="0049187C" w:rsidRDefault="00F83928" w:rsidP="0049187C">
      <w:pPr>
        <w:spacing w:after="0" w:line="240" w:lineRule="auto"/>
        <w:ind w:left="0" w:firstLine="0"/>
        <w:rPr>
          <w:lang w:val="de-DE"/>
        </w:rPr>
      </w:pPr>
    </w:p>
    <w:p w14:paraId="53C0F50A" w14:textId="77777777" w:rsidR="00261AC3" w:rsidRPr="0049187C" w:rsidRDefault="00B00716" w:rsidP="0049187C">
      <w:pPr>
        <w:spacing w:after="0" w:line="240" w:lineRule="auto"/>
        <w:ind w:left="0" w:firstLine="0"/>
        <w:rPr>
          <w:lang w:val="de-DE"/>
        </w:rPr>
      </w:pPr>
      <w:r w:rsidRPr="0049187C">
        <w:rPr>
          <w:lang w:val="de-DE"/>
        </w:rPr>
        <w:t>Die Sicherheit und Wirksamkeit der Anwendung von Denosumab einmal alle 6 Monate wurden für 3 Jahre bei postmenopausalen Frauen untersucht (7</w:t>
      </w:r>
      <w:r w:rsidR="001F2665" w:rsidRPr="0049187C">
        <w:rPr>
          <w:lang w:val="de-DE"/>
        </w:rPr>
        <w:t> </w:t>
      </w:r>
      <w:r w:rsidRPr="0049187C">
        <w:rPr>
          <w:lang w:val="de-DE"/>
        </w:rPr>
        <w:t>808 Frauen im Alter von 60 bis 91 Jahren, von denen 23,6 % prävalente vertebrale Frakturen hatten). Diese wiesen einen Ausgangswert der Knochenmineraldichte</w:t>
      </w:r>
      <w:r w:rsidRPr="0049187C">
        <w:rPr>
          <w:lang w:val="de-DE"/>
        </w:rPr>
        <w:noBreakHyphen/>
        <w:t>(</w:t>
      </w:r>
      <w:r w:rsidRPr="0049187C">
        <w:rPr>
          <w:i/>
          <w:lang w:val="de-DE"/>
        </w:rPr>
        <w:t>bone mineral density</w:t>
      </w:r>
      <w:r w:rsidRPr="0049187C">
        <w:rPr>
          <w:lang w:val="de-DE"/>
        </w:rPr>
        <w:t>, BMD</w:t>
      </w:r>
      <w:r w:rsidRPr="0049187C">
        <w:rPr>
          <w:lang w:val="de-DE"/>
        </w:rPr>
        <w:noBreakHyphen/>
        <w:t>)</w:t>
      </w:r>
      <w:r w:rsidR="005A339E" w:rsidRPr="0049187C">
        <w:rPr>
          <w:lang w:val="de-DE"/>
        </w:rPr>
        <w:t xml:space="preserve"> </w:t>
      </w:r>
      <w:r w:rsidRPr="0049187C">
        <w:rPr>
          <w:lang w:val="de-DE"/>
        </w:rPr>
        <w:t>T</w:t>
      </w:r>
      <w:r w:rsidRPr="0049187C">
        <w:rPr>
          <w:lang w:val="de-DE"/>
        </w:rPr>
        <w:noBreakHyphen/>
        <w:t>Scores zwischen –2,5 und –4,0 im Bereich der</w:t>
      </w:r>
      <w:r w:rsidR="00BE63D1" w:rsidRPr="0049187C">
        <w:rPr>
          <w:lang w:val="de-DE"/>
        </w:rPr>
        <w:t xml:space="preserve"> </w:t>
      </w:r>
      <w:r w:rsidRPr="0049187C">
        <w:rPr>
          <w:lang w:val="de-DE"/>
        </w:rPr>
        <w:t>Lendenwirbelsäule oder der Gesamthüfte und eine mittlere absolute 10</w:t>
      </w:r>
      <w:r w:rsidRPr="0049187C">
        <w:rPr>
          <w:lang w:val="de-DE"/>
        </w:rPr>
        <w:noBreakHyphen/>
        <w:t>Jahre</w:t>
      </w:r>
      <w:r w:rsidR="00BE63D1" w:rsidRPr="0049187C">
        <w:rPr>
          <w:lang w:val="de-DE"/>
        </w:rPr>
        <w:t xml:space="preserve">- </w:t>
      </w:r>
      <w:r w:rsidRPr="0049187C">
        <w:rPr>
          <w:lang w:val="de-DE"/>
        </w:rPr>
        <w:t>Frakturwahrscheinlichkeit von 18,60 % (Dezile: 7,9 – 32,4 %) für die typischen osteoporotischen Frakturen und 7,22 % (Dezile: 1,4 – 14,9 %) für Hüftfrakturen auf. Frauen mit anderen Erkrankungen oder unter Behandlung mit Therapeutika, die einen Einfluss auf die Knochen haben könnten, wurden von dieser Studie ausgeschlossen. Die Frauen erhielten täglich als Ergänzung Calcium (mindestens 1</w:t>
      </w:r>
      <w:r w:rsidR="001F2665" w:rsidRPr="0049187C">
        <w:rPr>
          <w:lang w:val="de-DE"/>
        </w:rPr>
        <w:t> </w:t>
      </w:r>
      <w:r w:rsidRPr="0049187C">
        <w:rPr>
          <w:lang w:val="de-DE"/>
        </w:rPr>
        <w:t>000 mg) und Vitamin D (mindestens 400 I.E.).</w:t>
      </w:r>
    </w:p>
    <w:p w14:paraId="2C85705A" w14:textId="77777777" w:rsidR="00F83928" w:rsidRPr="0049187C" w:rsidRDefault="00F83928" w:rsidP="0049187C">
      <w:pPr>
        <w:spacing w:after="0" w:line="240" w:lineRule="auto"/>
        <w:ind w:left="0" w:firstLine="0"/>
        <w:rPr>
          <w:lang w:val="de-DE"/>
        </w:rPr>
      </w:pPr>
    </w:p>
    <w:p w14:paraId="1633FFDE" w14:textId="77777777" w:rsidR="00261AC3" w:rsidRPr="0049187C" w:rsidRDefault="00B00716" w:rsidP="0049187C">
      <w:pPr>
        <w:keepNext/>
        <w:keepLines/>
        <w:spacing w:after="0" w:line="240" w:lineRule="auto"/>
        <w:ind w:left="0" w:firstLine="0"/>
        <w:rPr>
          <w:i/>
          <w:iCs/>
          <w:lang w:val="de-DE"/>
        </w:rPr>
      </w:pPr>
      <w:r w:rsidRPr="0049187C">
        <w:rPr>
          <w:i/>
          <w:iCs/>
          <w:lang w:val="de-DE"/>
        </w:rPr>
        <w:t>Auswirkungen auf vertebrale Frakturen</w:t>
      </w:r>
    </w:p>
    <w:p w14:paraId="63EBB2F3" w14:textId="77777777" w:rsidR="00261AC3" w:rsidRPr="0049187C" w:rsidRDefault="00B00716" w:rsidP="0049187C">
      <w:pPr>
        <w:spacing w:after="0" w:line="240" w:lineRule="auto"/>
        <w:ind w:left="0" w:firstLine="0"/>
        <w:rPr>
          <w:lang w:val="de-DE"/>
        </w:rPr>
      </w:pPr>
      <w:r w:rsidRPr="0049187C">
        <w:rPr>
          <w:lang w:val="de-DE"/>
        </w:rPr>
        <w:t xml:space="preserve">Nach 1, 2 und 3 Jahren reduzierte </w:t>
      </w:r>
      <w:r w:rsidR="001F2665" w:rsidRPr="0049187C">
        <w:rPr>
          <w:lang w:val="de-DE"/>
        </w:rPr>
        <w:t xml:space="preserve">Denosumab </w:t>
      </w:r>
      <w:r w:rsidRPr="0049187C">
        <w:rPr>
          <w:lang w:val="de-DE"/>
        </w:rPr>
        <w:t>signifikant das Risiko für neue vertebrale Frakturen (p</w:t>
      </w:r>
      <w:r w:rsidR="00BE63D1" w:rsidRPr="0049187C">
        <w:rPr>
          <w:lang w:val="de-DE"/>
        </w:rPr>
        <w:t> </w:t>
      </w:r>
      <w:r w:rsidRPr="0049187C">
        <w:rPr>
          <w:lang w:val="de-DE"/>
        </w:rPr>
        <w:t>&lt; 0,0001) (siehe Tabelle 2).</w:t>
      </w:r>
    </w:p>
    <w:p w14:paraId="643D032B" w14:textId="77777777" w:rsidR="00F83928" w:rsidRPr="0049187C" w:rsidRDefault="00F83928" w:rsidP="0049187C">
      <w:pPr>
        <w:spacing w:after="0" w:line="240" w:lineRule="auto"/>
        <w:ind w:left="0" w:firstLine="0"/>
        <w:rPr>
          <w:lang w:val="de-DE"/>
        </w:rPr>
      </w:pPr>
    </w:p>
    <w:p w14:paraId="13AF823C" w14:textId="77777777" w:rsidR="00261AC3" w:rsidRPr="0049187C" w:rsidRDefault="00B00716" w:rsidP="0049187C">
      <w:pPr>
        <w:keepNext/>
        <w:keepLines/>
        <w:spacing w:after="0" w:line="240" w:lineRule="auto"/>
        <w:ind w:left="0" w:firstLine="0"/>
        <w:rPr>
          <w:b/>
          <w:bCs/>
          <w:lang w:val="de-DE"/>
        </w:rPr>
      </w:pPr>
      <w:r w:rsidRPr="0049187C">
        <w:rPr>
          <w:b/>
          <w:bCs/>
          <w:lang w:val="de-DE"/>
        </w:rPr>
        <w:t xml:space="preserve">Tabelle 2: Die Auswirkungen von </w:t>
      </w:r>
      <w:r w:rsidR="001F2665" w:rsidRPr="0049187C">
        <w:rPr>
          <w:b/>
          <w:bCs/>
          <w:lang w:val="de-DE"/>
        </w:rPr>
        <w:t xml:space="preserve">Denosumab </w:t>
      </w:r>
      <w:r w:rsidRPr="0049187C">
        <w:rPr>
          <w:b/>
          <w:bCs/>
          <w:lang w:val="de-DE"/>
        </w:rPr>
        <w:t xml:space="preserve">auf das Risiko für neue vertebrale Frakturen </w:t>
      </w:r>
    </w:p>
    <w:p w14:paraId="4F23E3B4" w14:textId="77777777" w:rsidR="00F83928" w:rsidRPr="0049187C" w:rsidRDefault="00F83928" w:rsidP="0049187C">
      <w:pPr>
        <w:spacing w:after="0" w:line="240" w:lineRule="auto"/>
        <w:ind w:left="0" w:firstLine="0"/>
        <w:rPr>
          <w:lang w:val="de-DE"/>
        </w:rPr>
      </w:pPr>
    </w:p>
    <w:tbl>
      <w:tblPr>
        <w:tblStyle w:val="TableGrid"/>
        <w:tblW w:w="5158" w:type="pct"/>
        <w:tblInd w:w="0" w:type="dxa"/>
        <w:tblCellMar>
          <w:left w:w="108" w:type="dxa"/>
          <w:right w:w="108" w:type="dxa"/>
        </w:tblCellMar>
        <w:tblLook w:val="04A0" w:firstRow="1" w:lastRow="0" w:firstColumn="1" w:lastColumn="0" w:noHBand="0" w:noVBand="1"/>
      </w:tblPr>
      <w:tblGrid>
        <w:gridCol w:w="1260"/>
        <w:gridCol w:w="1996"/>
        <w:gridCol w:w="1994"/>
        <w:gridCol w:w="2051"/>
        <w:gridCol w:w="2045"/>
      </w:tblGrid>
      <w:tr w:rsidR="00A67796" w:rsidRPr="0049187C" w14:paraId="294DDAEB" w14:textId="77777777" w:rsidTr="001A5A5E">
        <w:trPr>
          <w:trHeight w:val="264"/>
        </w:trPr>
        <w:tc>
          <w:tcPr>
            <w:tcW w:w="674"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2EE35B2A" w14:textId="77777777" w:rsidR="00F83928" w:rsidRPr="0049187C" w:rsidRDefault="00B00716" w:rsidP="0049187C">
            <w:pPr>
              <w:spacing w:after="0" w:line="240" w:lineRule="auto"/>
              <w:ind w:left="0" w:firstLine="0"/>
              <w:rPr>
                <w:lang w:val="de-DE"/>
              </w:rPr>
            </w:pPr>
            <w:r w:rsidRPr="0049187C">
              <w:rPr>
                <w:lang w:val="de-DE"/>
              </w:rPr>
              <w:t xml:space="preserve"> </w:t>
            </w:r>
          </w:p>
        </w:tc>
        <w:tc>
          <w:tcPr>
            <w:tcW w:w="213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2D2DE0" w14:textId="77777777" w:rsidR="00F83928" w:rsidRPr="0049187C" w:rsidRDefault="00B00716" w:rsidP="0049187C">
            <w:pPr>
              <w:spacing w:after="0" w:line="240" w:lineRule="auto"/>
              <w:ind w:left="0" w:firstLine="0"/>
              <w:jc w:val="center"/>
              <w:rPr>
                <w:lang w:val="de-DE"/>
              </w:rPr>
            </w:pPr>
            <w:r w:rsidRPr="0049187C">
              <w:rPr>
                <w:lang w:val="de-DE"/>
              </w:rPr>
              <w:t>Anteil der Frauen mit Frakturen (%)</w:t>
            </w:r>
          </w:p>
        </w:tc>
        <w:tc>
          <w:tcPr>
            <w:tcW w:w="1097"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5745DF7D" w14:textId="77777777" w:rsidR="00252F44" w:rsidRPr="0049187C" w:rsidRDefault="00B00716" w:rsidP="0049187C">
            <w:pPr>
              <w:spacing w:after="0" w:line="240" w:lineRule="auto"/>
              <w:ind w:left="0" w:firstLine="0"/>
              <w:rPr>
                <w:lang w:val="de-DE"/>
              </w:rPr>
            </w:pPr>
            <w:r w:rsidRPr="0049187C">
              <w:rPr>
                <w:lang w:val="de-DE"/>
              </w:rPr>
              <w:t>Absolute</w:t>
            </w:r>
            <w:r w:rsidR="001F42BF" w:rsidRPr="0049187C">
              <w:rPr>
                <w:lang w:val="de-DE"/>
              </w:rPr>
              <w:t xml:space="preserve"> </w:t>
            </w:r>
            <w:r w:rsidRPr="0049187C">
              <w:rPr>
                <w:lang w:val="de-DE"/>
              </w:rPr>
              <w:t>Risikoreduktion</w:t>
            </w:r>
            <w:r w:rsidR="001F42BF" w:rsidRPr="0049187C">
              <w:rPr>
                <w:lang w:val="de-DE"/>
              </w:rPr>
              <w:t xml:space="preserve"> </w:t>
            </w:r>
            <w:r w:rsidRPr="0049187C">
              <w:rPr>
                <w:lang w:val="de-DE"/>
              </w:rPr>
              <w:t>(%)</w:t>
            </w:r>
          </w:p>
          <w:p w14:paraId="2E9B9494" w14:textId="77777777" w:rsidR="00F83928" w:rsidRPr="0049187C" w:rsidRDefault="00B00716" w:rsidP="0049187C">
            <w:pPr>
              <w:spacing w:after="0" w:line="240" w:lineRule="auto"/>
              <w:ind w:left="0" w:firstLine="0"/>
              <w:rPr>
                <w:lang w:val="de-DE"/>
              </w:rPr>
            </w:pPr>
            <w:r w:rsidRPr="0049187C">
              <w:rPr>
                <w:lang w:val="de-DE"/>
              </w:rPr>
              <w:t>(9</w:t>
            </w:r>
            <w:r w:rsidR="00261AC3" w:rsidRPr="0049187C">
              <w:rPr>
                <w:lang w:val="de-DE"/>
              </w:rPr>
              <w:t>5 </w:t>
            </w:r>
            <w:r w:rsidRPr="0049187C">
              <w:rPr>
                <w:lang w:val="de-DE"/>
              </w:rPr>
              <w:t xml:space="preserve">% KI) </w:t>
            </w:r>
          </w:p>
        </w:tc>
        <w:tc>
          <w:tcPr>
            <w:tcW w:w="1094"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219FC743" w14:textId="77777777" w:rsidR="00252F44" w:rsidRPr="0049187C" w:rsidRDefault="00B00716" w:rsidP="0049187C">
            <w:pPr>
              <w:spacing w:after="0" w:line="240" w:lineRule="auto"/>
              <w:ind w:left="0" w:firstLine="0"/>
              <w:rPr>
                <w:lang w:val="de-DE"/>
              </w:rPr>
            </w:pPr>
            <w:r w:rsidRPr="0049187C">
              <w:rPr>
                <w:lang w:val="de-DE"/>
              </w:rPr>
              <w:t>Relative</w:t>
            </w:r>
            <w:r w:rsidR="001F42BF" w:rsidRPr="0049187C">
              <w:rPr>
                <w:lang w:val="de-DE"/>
              </w:rPr>
              <w:t xml:space="preserve"> </w:t>
            </w:r>
            <w:r w:rsidRPr="0049187C">
              <w:rPr>
                <w:lang w:val="de-DE"/>
              </w:rPr>
              <w:t>Risikoreduktion</w:t>
            </w:r>
            <w:r w:rsidR="001F42BF" w:rsidRPr="0049187C">
              <w:rPr>
                <w:lang w:val="de-DE"/>
              </w:rPr>
              <w:t xml:space="preserve"> </w:t>
            </w:r>
            <w:r w:rsidRPr="0049187C">
              <w:rPr>
                <w:lang w:val="de-DE"/>
              </w:rPr>
              <w:t>(%)</w:t>
            </w:r>
          </w:p>
          <w:p w14:paraId="09AC127C" w14:textId="77777777" w:rsidR="00F83928" w:rsidRPr="0049187C" w:rsidRDefault="00B00716" w:rsidP="0049187C">
            <w:pPr>
              <w:spacing w:after="0" w:line="240" w:lineRule="auto"/>
              <w:ind w:left="0" w:firstLine="0"/>
              <w:rPr>
                <w:lang w:val="de-DE"/>
              </w:rPr>
            </w:pPr>
            <w:r w:rsidRPr="0049187C">
              <w:rPr>
                <w:lang w:val="de-DE"/>
              </w:rPr>
              <w:t>(9</w:t>
            </w:r>
            <w:r w:rsidR="00261AC3" w:rsidRPr="0049187C">
              <w:rPr>
                <w:lang w:val="de-DE"/>
              </w:rPr>
              <w:t>5 </w:t>
            </w:r>
            <w:r w:rsidRPr="0049187C">
              <w:rPr>
                <w:lang w:val="de-DE"/>
              </w:rPr>
              <w:t xml:space="preserve">% KI) </w:t>
            </w:r>
          </w:p>
        </w:tc>
      </w:tr>
      <w:tr w:rsidR="00A67796" w:rsidRPr="0049187C" w14:paraId="24D7C40E" w14:textId="77777777" w:rsidTr="001A5A5E">
        <w:trPr>
          <w:trHeight w:val="758"/>
        </w:trPr>
        <w:tc>
          <w:tcPr>
            <w:tcW w:w="674" w:type="pct"/>
            <w:vMerge/>
            <w:tcBorders>
              <w:top w:val="nil"/>
              <w:left w:val="single" w:sz="4" w:space="0" w:color="000000"/>
              <w:bottom w:val="single" w:sz="4" w:space="0" w:color="000000"/>
              <w:right w:val="single" w:sz="4" w:space="0" w:color="000000"/>
            </w:tcBorders>
            <w:shd w:val="clear" w:color="auto" w:fill="auto"/>
          </w:tcPr>
          <w:p w14:paraId="2AD421DE" w14:textId="77777777" w:rsidR="00F83928" w:rsidRPr="0049187C" w:rsidRDefault="00F83928" w:rsidP="0049187C">
            <w:pPr>
              <w:spacing w:after="0" w:line="240" w:lineRule="auto"/>
              <w:ind w:left="0" w:firstLine="0"/>
              <w:rPr>
                <w:highlight w:val="green"/>
                <w:lang w:val="de-DE"/>
              </w:rPr>
            </w:pPr>
          </w:p>
        </w:tc>
        <w:tc>
          <w:tcPr>
            <w:tcW w:w="10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2419D7" w14:textId="77777777" w:rsidR="00B96235" w:rsidRPr="0049187C" w:rsidRDefault="00B00716" w:rsidP="0049187C">
            <w:pPr>
              <w:spacing w:after="0" w:line="240" w:lineRule="auto"/>
              <w:ind w:left="0" w:firstLine="0"/>
              <w:jc w:val="center"/>
              <w:rPr>
                <w:lang w:val="de-DE"/>
              </w:rPr>
            </w:pPr>
            <w:r w:rsidRPr="0049187C">
              <w:rPr>
                <w:lang w:val="de-DE"/>
              </w:rPr>
              <w:t xml:space="preserve">Placebo </w:t>
            </w:r>
          </w:p>
          <w:p w14:paraId="2F001EEE" w14:textId="77777777" w:rsidR="00F83928" w:rsidRPr="0049187C" w:rsidRDefault="00B00716" w:rsidP="0049187C">
            <w:pPr>
              <w:spacing w:after="0" w:line="240" w:lineRule="auto"/>
              <w:ind w:left="0" w:firstLine="0"/>
              <w:jc w:val="center"/>
              <w:rPr>
                <w:lang w:val="de-DE"/>
              </w:rPr>
            </w:pPr>
            <w:r w:rsidRPr="0049187C">
              <w:rPr>
                <w:lang w:val="de-DE"/>
              </w:rPr>
              <w:t>n</w:t>
            </w:r>
            <w:r w:rsidR="00B96235" w:rsidRPr="0049187C">
              <w:rPr>
                <w:lang w:val="de-DE"/>
              </w:rPr>
              <w:t> </w:t>
            </w:r>
            <w:r w:rsidRPr="0049187C">
              <w:rPr>
                <w:lang w:val="de-DE"/>
              </w:rPr>
              <w:t>=</w:t>
            </w:r>
            <w:r w:rsidR="00261AC3" w:rsidRPr="0049187C">
              <w:rPr>
                <w:lang w:val="de-DE"/>
              </w:rPr>
              <w:t> 3</w:t>
            </w:r>
            <w:r w:rsidR="001F2665" w:rsidRPr="0049187C">
              <w:rPr>
                <w:lang w:val="de-DE"/>
              </w:rPr>
              <w:t> </w:t>
            </w:r>
            <w:r w:rsidRPr="0049187C">
              <w:rPr>
                <w:lang w:val="de-DE"/>
              </w:rPr>
              <w:t>90</w:t>
            </w:r>
            <w:r w:rsidR="00261AC3" w:rsidRPr="0049187C">
              <w:rPr>
                <w:lang w:val="de-DE"/>
              </w:rPr>
              <w:t>6</w:t>
            </w:r>
          </w:p>
        </w:tc>
        <w:tc>
          <w:tcPr>
            <w:tcW w:w="10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AF516D" w14:textId="77777777" w:rsidR="00B96235" w:rsidRPr="0049187C" w:rsidRDefault="00B00716" w:rsidP="0049187C">
            <w:pPr>
              <w:spacing w:after="0" w:line="240" w:lineRule="auto"/>
              <w:ind w:left="0" w:firstLine="0"/>
              <w:jc w:val="center"/>
              <w:rPr>
                <w:lang w:val="de-DE"/>
              </w:rPr>
            </w:pPr>
            <w:r w:rsidRPr="0049187C">
              <w:rPr>
                <w:lang w:val="de-DE"/>
              </w:rPr>
              <w:t>Denosumab</w:t>
            </w:r>
            <w:r w:rsidR="00FD7DFF" w:rsidRPr="0049187C">
              <w:rPr>
                <w:lang w:val="de-DE"/>
              </w:rPr>
              <w:t xml:space="preserve"> </w:t>
            </w:r>
          </w:p>
          <w:p w14:paraId="0AD38896" w14:textId="77777777" w:rsidR="00F83928" w:rsidRPr="0049187C" w:rsidRDefault="00B00716" w:rsidP="0049187C">
            <w:pPr>
              <w:spacing w:after="0" w:line="240" w:lineRule="auto"/>
              <w:ind w:left="0" w:firstLine="0"/>
              <w:jc w:val="center"/>
              <w:rPr>
                <w:lang w:val="de-DE"/>
              </w:rPr>
            </w:pPr>
            <w:r w:rsidRPr="0049187C">
              <w:rPr>
                <w:lang w:val="de-DE"/>
              </w:rPr>
              <w:t>n =</w:t>
            </w:r>
            <w:r w:rsidR="00261AC3" w:rsidRPr="0049187C">
              <w:rPr>
                <w:lang w:val="de-DE"/>
              </w:rPr>
              <w:t> 3</w:t>
            </w:r>
            <w:r w:rsidR="001F2665" w:rsidRPr="0049187C">
              <w:rPr>
                <w:lang w:val="de-DE"/>
              </w:rPr>
              <w:t> </w:t>
            </w:r>
            <w:r w:rsidRPr="0049187C">
              <w:rPr>
                <w:lang w:val="de-DE"/>
              </w:rPr>
              <w:t>90</w:t>
            </w:r>
            <w:r w:rsidR="00261AC3" w:rsidRPr="0049187C">
              <w:rPr>
                <w:lang w:val="de-DE"/>
              </w:rPr>
              <w:t>2</w:t>
            </w:r>
          </w:p>
        </w:tc>
        <w:tc>
          <w:tcPr>
            <w:tcW w:w="1097" w:type="pct"/>
            <w:vMerge/>
            <w:tcBorders>
              <w:top w:val="nil"/>
              <w:left w:val="single" w:sz="4" w:space="0" w:color="000000"/>
              <w:bottom w:val="single" w:sz="4" w:space="0" w:color="000000"/>
              <w:right w:val="single" w:sz="4" w:space="0" w:color="000000"/>
            </w:tcBorders>
            <w:shd w:val="clear" w:color="auto" w:fill="auto"/>
          </w:tcPr>
          <w:p w14:paraId="702B88A1" w14:textId="77777777" w:rsidR="00F83928" w:rsidRPr="0049187C" w:rsidRDefault="00F83928" w:rsidP="0049187C">
            <w:pPr>
              <w:spacing w:after="0" w:line="240" w:lineRule="auto"/>
              <w:ind w:left="0" w:firstLine="0"/>
              <w:rPr>
                <w:highlight w:val="green"/>
                <w:lang w:val="de-DE"/>
              </w:rPr>
            </w:pPr>
          </w:p>
        </w:tc>
        <w:tc>
          <w:tcPr>
            <w:tcW w:w="1094" w:type="pct"/>
            <w:vMerge/>
            <w:tcBorders>
              <w:top w:val="nil"/>
              <w:left w:val="single" w:sz="4" w:space="0" w:color="000000"/>
              <w:bottom w:val="single" w:sz="4" w:space="0" w:color="000000"/>
              <w:right w:val="single" w:sz="4" w:space="0" w:color="000000"/>
            </w:tcBorders>
            <w:shd w:val="clear" w:color="auto" w:fill="auto"/>
          </w:tcPr>
          <w:p w14:paraId="512573C9" w14:textId="77777777" w:rsidR="00F83928" w:rsidRPr="0049187C" w:rsidRDefault="00F83928" w:rsidP="0049187C">
            <w:pPr>
              <w:spacing w:after="0" w:line="240" w:lineRule="auto"/>
              <w:ind w:left="0" w:firstLine="0"/>
              <w:rPr>
                <w:highlight w:val="green"/>
                <w:lang w:val="de-DE"/>
              </w:rPr>
            </w:pPr>
          </w:p>
        </w:tc>
      </w:tr>
      <w:tr w:rsidR="00A67796" w:rsidRPr="0049187C" w14:paraId="7A9D8D87" w14:textId="77777777" w:rsidTr="001A5A5E">
        <w:trPr>
          <w:trHeight w:val="262"/>
        </w:trPr>
        <w:tc>
          <w:tcPr>
            <w:tcW w:w="674" w:type="pct"/>
            <w:tcBorders>
              <w:top w:val="single" w:sz="4" w:space="0" w:color="000000"/>
              <w:left w:val="single" w:sz="4" w:space="0" w:color="000000"/>
              <w:bottom w:val="single" w:sz="4" w:space="0" w:color="000000"/>
              <w:right w:val="single" w:sz="4" w:space="0" w:color="000000"/>
            </w:tcBorders>
            <w:shd w:val="clear" w:color="auto" w:fill="auto"/>
          </w:tcPr>
          <w:p w14:paraId="0489255B" w14:textId="77777777" w:rsidR="00F83928" w:rsidRPr="0049187C" w:rsidRDefault="00B00716" w:rsidP="0049187C">
            <w:pPr>
              <w:spacing w:after="0" w:line="240" w:lineRule="auto"/>
              <w:ind w:left="0" w:firstLine="0"/>
              <w:rPr>
                <w:lang w:val="de-DE"/>
              </w:rPr>
            </w:pPr>
            <w:r w:rsidRPr="0049187C">
              <w:rPr>
                <w:lang w:val="de-DE"/>
              </w:rPr>
              <w:t>0–</w:t>
            </w:r>
            <w:r w:rsidR="00261AC3" w:rsidRPr="0049187C">
              <w:rPr>
                <w:lang w:val="de-DE"/>
              </w:rPr>
              <w:t>1 </w:t>
            </w:r>
            <w:r w:rsidRPr="0049187C">
              <w:rPr>
                <w:lang w:val="de-DE"/>
              </w:rPr>
              <w:t xml:space="preserve">Jahr </w:t>
            </w:r>
          </w:p>
        </w:tc>
        <w:tc>
          <w:tcPr>
            <w:tcW w:w="1068" w:type="pct"/>
            <w:tcBorders>
              <w:top w:val="single" w:sz="4" w:space="0" w:color="000000"/>
              <w:left w:val="single" w:sz="4" w:space="0" w:color="000000"/>
              <w:bottom w:val="single" w:sz="4" w:space="0" w:color="000000"/>
              <w:right w:val="single" w:sz="4" w:space="0" w:color="000000"/>
            </w:tcBorders>
            <w:shd w:val="clear" w:color="auto" w:fill="auto"/>
          </w:tcPr>
          <w:p w14:paraId="1C6AC67D" w14:textId="77777777" w:rsidR="00F83928" w:rsidRPr="0049187C" w:rsidRDefault="00B00716" w:rsidP="0049187C">
            <w:pPr>
              <w:spacing w:after="0" w:line="240" w:lineRule="auto"/>
              <w:ind w:left="0" w:firstLine="0"/>
              <w:jc w:val="center"/>
              <w:rPr>
                <w:lang w:val="de-DE"/>
              </w:rPr>
            </w:pPr>
            <w:r w:rsidRPr="0049187C">
              <w:rPr>
                <w:lang w:val="de-DE"/>
              </w:rPr>
              <w:t>2,</w:t>
            </w:r>
            <w:r w:rsidR="00261AC3" w:rsidRPr="0049187C">
              <w:rPr>
                <w:lang w:val="de-DE"/>
              </w:rPr>
              <w:t>2 </w:t>
            </w:r>
          </w:p>
        </w:tc>
        <w:tc>
          <w:tcPr>
            <w:tcW w:w="1067" w:type="pct"/>
            <w:tcBorders>
              <w:top w:val="single" w:sz="4" w:space="0" w:color="000000"/>
              <w:left w:val="single" w:sz="4" w:space="0" w:color="000000"/>
              <w:bottom w:val="single" w:sz="4" w:space="0" w:color="000000"/>
              <w:right w:val="single" w:sz="4" w:space="0" w:color="000000"/>
            </w:tcBorders>
            <w:shd w:val="clear" w:color="auto" w:fill="auto"/>
          </w:tcPr>
          <w:p w14:paraId="474D6640" w14:textId="77777777" w:rsidR="00F83928" w:rsidRPr="0049187C" w:rsidRDefault="00B00716" w:rsidP="0049187C">
            <w:pPr>
              <w:spacing w:after="0" w:line="240" w:lineRule="auto"/>
              <w:ind w:left="0" w:firstLine="0"/>
              <w:jc w:val="center"/>
              <w:rPr>
                <w:lang w:val="de-DE"/>
              </w:rPr>
            </w:pPr>
            <w:r w:rsidRPr="0049187C">
              <w:rPr>
                <w:lang w:val="de-DE"/>
              </w:rPr>
              <w:t>0,</w:t>
            </w:r>
            <w:r w:rsidR="00261AC3" w:rsidRPr="0049187C">
              <w:rPr>
                <w:lang w:val="de-DE"/>
              </w:rPr>
              <w:t>9 </w:t>
            </w:r>
          </w:p>
        </w:tc>
        <w:tc>
          <w:tcPr>
            <w:tcW w:w="1097" w:type="pct"/>
            <w:tcBorders>
              <w:top w:val="single" w:sz="4" w:space="0" w:color="000000"/>
              <w:left w:val="single" w:sz="4" w:space="0" w:color="000000"/>
              <w:bottom w:val="single" w:sz="4" w:space="0" w:color="000000"/>
              <w:right w:val="single" w:sz="4" w:space="0" w:color="000000"/>
            </w:tcBorders>
            <w:shd w:val="clear" w:color="auto" w:fill="auto"/>
          </w:tcPr>
          <w:p w14:paraId="7F5891F8" w14:textId="77777777" w:rsidR="00F83928" w:rsidRPr="0049187C" w:rsidRDefault="00B00716" w:rsidP="0049187C">
            <w:pPr>
              <w:spacing w:after="0" w:line="240" w:lineRule="auto"/>
              <w:ind w:left="0" w:firstLine="0"/>
              <w:rPr>
                <w:lang w:val="de-DE"/>
              </w:rPr>
            </w:pPr>
            <w:r w:rsidRPr="0049187C">
              <w:rPr>
                <w:lang w:val="de-DE"/>
              </w:rPr>
              <w:t>1,</w:t>
            </w:r>
            <w:r w:rsidR="00261AC3" w:rsidRPr="0049187C">
              <w:rPr>
                <w:lang w:val="de-DE"/>
              </w:rPr>
              <w:t>4 </w:t>
            </w:r>
            <w:r w:rsidRPr="0049187C">
              <w:rPr>
                <w:lang w:val="de-DE"/>
              </w:rPr>
              <w:t>(0,8;</w:t>
            </w:r>
            <w:r w:rsidR="00261AC3" w:rsidRPr="0049187C">
              <w:rPr>
                <w:lang w:val="de-DE"/>
              </w:rPr>
              <w:t> 1</w:t>
            </w:r>
            <w:r w:rsidRPr="0049187C">
              <w:rPr>
                <w:lang w:val="de-DE"/>
              </w:rPr>
              <w:t xml:space="preserve">,9) </w:t>
            </w:r>
          </w:p>
        </w:tc>
        <w:tc>
          <w:tcPr>
            <w:tcW w:w="1094" w:type="pct"/>
            <w:tcBorders>
              <w:top w:val="single" w:sz="4" w:space="0" w:color="000000"/>
              <w:left w:val="single" w:sz="4" w:space="0" w:color="000000"/>
              <w:bottom w:val="single" w:sz="4" w:space="0" w:color="000000"/>
              <w:right w:val="single" w:sz="4" w:space="0" w:color="000000"/>
            </w:tcBorders>
            <w:shd w:val="clear" w:color="auto" w:fill="auto"/>
          </w:tcPr>
          <w:p w14:paraId="03E4C671" w14:textId="77777777" w:rsidR="00F83928" w:rsidRPr="0049187C" w:rsidRDefault="00B00716" w:rsidP="0049187C">
            <w:pPr>
              <w:spacing w:after="0" w:line="240" w:lineRule="auto"/>
              <w:ind w:left="0" w:firstLine="0"/>
              <w:rPr>
                <w:lang w:val="de-DE"/>
              </w:rPr>
            </w:pPr>
            <w:r w:rsidRPr="0049187C">
              <w:rPr>
                <w:lang w:val="de-DE"/>
              </w:rPr>
              <w:t>6</w:t>
            </w:r>
            <w:r w:rsidR="00261AC3" w:rsidRPr="0049187C">
              <w:rPr>
                <w:lang w:val="de-DE"/>
              </w:rPr>
              <w:t>1 </w:t>
            </w:r>
            <w:r w:rsidRPr="0049187C">
              <w:rPr>
                <w:lang w:val="de-DE"/>
              </w:rPr>
              <w:t>(42;</w:t>
            </w:r>
            <w:r w:rsidR="00261AC3" w:rsidRPr="0049187C">
              <w:rPr>
                <w:lang w:val="de-DE"/>
              </w:rPr>
              <w:t> 7</w:t>
            </w:r>
            <w:r w:rsidRPr="0049187C">
              <w:rPr>
                <w:lang w:val="de-DE"/>
              </w:rPr>
              <w:t xml:space="preserve">4)** </w:t>
            </w:r>
          </w:p>
        </w:tc>
      </w:tr>
      <w:tr w:rsidR="00A67796" w:rsidRPr="0049187C" w14:paraId="26CA7DFE" w14:textId="77777777" w:rsidTr="001A5A5E">
        <w:trPr>
          <w:trHeight w:val="264"/>
        </w:trPr>
        <w:tc>
          <w:tcPr>
            <w:tcW w:w="674" w:type="pct"/>
            <w:tcBorders>
              <w:top w:val="single" w:sz="4" w:space="0" w:color="000000"/>
              <w:left w:val="single" w:sz="4" w:space="0" w:color="000000"/>
              <w:bottom w:val="single" w:sz="4" w:space="0" w:color="000000"/>
              <w:right w:val="single" w:sz="4" w:space="0" w:color="000000"/>
            </w:tcBorders>
            <w:shd w:val="clear" w:color="auto" w:fill="auto"/>
          </w:tcPr>
          <w:p w14:paraId="094B61E4" w14:textId="77777777" w:rsidR="00F83928" w:rsidRPr="0049187C" w:rsidRDefault="00B00716" w:rsidP="0049187C">
            <w:pPr>
              <w:spacing w:after="0" w:line="240" w:lineRule="auto"/>
              <w:ind w:left="0" w:firstLine="0"/>
              <w:rPr>
                <w:lang w:val="de-DE"/>
              </w:rPr>
            </w:pPr>
            <w:r w:rsidRPr="0049187C">
              <w:rPr>
                <w:lang w:val="de-DE"/>
              </w:rPr>
              <w:t>0–</w:t>
            </w:r>
            <w:r w:rsidR="00261AC3" w:rsidRPr="0049187C">
              <w:rPr>
                <w:lang w:val="de-DE"/>
              </w:rPr>
              <w:t>2 </w:t>
            </w:r>
            <w:r w:rsidRPr="0049187C">
              <w:rPr>
                <w:lang w:val="de-DE"/>
              </w:rPr>
              <w:t xml:space="preserve">Jahre </w:t>
            </w:r>
          </w:p>
        </w:tc>
        <w:tc>
          <w:tcPr>
            <w:tcW w:w="1068" w:type="pct"/>
            <w:tcBorders>
              <w:top w:val="single" w:sz="4" w:space="0" w:color="000000"/>
              <w:left w:val="single" w:sz="4" w:space="0" w:color="000000"/>
              <w:bottom w:val="single" w:sz="4" w:space="0" w:color="000000"/>
              <w:right w:val="single" w:sz="4" w:space="0" w:color="000000"/>
            </w:tcBorders>
            <w:shd w:val="clear" w:color="auto" w:fill="auto"/>
          </w:tcPr>
          <w:p w14:paraId="2BF72665" w14:textId="77777777" w:rsidR="00F83928" w:rsidRPr="0049187C" w:rsidRDefault="00B00716" w:rsidP="0049187C">
            <w:pPr>
              <w:spacing w:after="0" w:line="240" w:lineRule="auto"/>
              <w:ind w:left="0" w:firstLine="0"/>
              <w:jc w:val="center"/>
              <w:rPr>
                <w:lang w:val="de-DE"/>
              </w:rPr>
            </w:pPr>
            <w:r w:rsidRPr="0049187C">
              <w:rPr>
                <w:lang w:val="de-DE"/>
              </w:rPr>
              <w:t>5,</w:t>
            </w:r>
            <w:r w:rsidR="00261AC3" w:rsidRPr="0049187C">
              <w:rPr>
                <w:lang w:val="de-DE"/>
              </w:rPr>
              <w:t>0 </w:t>
            </w:r>
          </w:p>
        </w:tc>
        <w:tc>
          <w:tcPr>
            <w:tcW w:w="1067" w:type="pct"/>
            <w:tcBorders>
              <w:top w:val="single" w:sz="4" w:space="0" w:color="000000"/>
              <w:left w:val="single" w:sz="4" w:space="0" w:color="000000"/>
              <w:bottom w:val="single" w:sz="4" w:space="0" w:color="000000"/>
              <w:right w:val="single" w:sz="4" w:space="0" w:color="000000"/>
            </w:tcBorders>
            <w:shd w:val="clear" w:color="auto" w:fill="auto"/>
          </w:tcPr>
          <w:p w14:paraId="4388BDDE" w14:textId="77777777" w:rsidR="00F83928" w:rsidRPr="0049187C" w:rsidRDefault="00B00716" w:rsidP="0049187C">
            <w:pPr>
              <w:spacing w:after="0" w:line="240" w:lineRule="auto"/>
              <w:ind w:left="0" w:firstLine="0"/>
              <w:jc w:val="center"/>
              <w:rPr>
                <w:lang w:val="de-DE"/>
              </w:rPr>
            </w:pPr>
            <w:r w:rsidRPr="0049187C">
              <w:rPr>
                <w:lang w:val="de-DE"/>
              </w:rPr>
              <w:t>1,</w:t>
            </w:r>
            <w:r w:rsidR="00261AC3" w:rsidRPr="0049187C">
              <w:rPr>
                <w:lang w:val="de-DE"/>
              </w:rPr>
              <w:t>4 </w:t>
            </w:r>
          </w:p>
        </w:tc>
        <w:tc>
          <w:tcPr>
            <w:tcW w:w="1097" w:type="pct"/>
            <w:tcBorders>
              <w:top w:val="single" w:sz="4" w:space="0" w:color="000000"/>
              <w:left w:val="single" w:sz="4" w:space="0" w:color="000000"/>
              <w:bottom w:val="single" w:sz="4" w:space="0" w:color="000000"/>
              <w:right w:val="single" w:sz="4" w:space="0" w:color="000000"/>
            </w:tcBorders>
            <w:shd w:val="clear" w:color="auto" w:fill="auto"/>
          </w:tcPr>
          <w:p w14:paraId="6FE8CAEE" w14:textId="77777777" w:rsidR="00F83928" w:rsidRPr="0049187C" w:rsidRDefault="00B00716" w:rsidP="0049187C">
            <w:pPr>
              <w:spacing w:after="0" w:line="240" w:lineRule="auto"/>
              <w:ind w:left="0" w:firstLine="0"/>
              <w:rPr>
                <w:lang w:val="de-DE"/>
              </w:rPr>
            </w:pPr>
            <w:r w:rsidRPr="0049187C">
              <w:rPr>
                <w:lang w:val="de-DE"/>
              </w:rPr>
              <w:t>3,</w:t>
            </w:r>
            <w:r w:rsidR="00261AC3" w:rsidRPr="0049187C">
              <w:rPr>
                <w:lang w:val="de-DE"/>
              </w:rPr>
              <w:t>5 </w:t>
            </w:r>
            <w:r w:rsidRPr="0049187C">
              <w:rPr>
                <w:lang w:val="de-DE"/>
              </w:rPr>
              <w:t>(2,7;</w:t>
            </w:r>
            <w:r w:rsidR="00261AC3" w:rsidRPr="0049187C">
              <w:rPr>
                <w:lang w:val="de-DE"/>
              </w:rPr>
              <w:t> 4</w:t>
            </w:r>
            <w:r w:rsidRPr="0049187C">
              <w:rPr>
                <w:lang w:val="de-DE"/>
              </w:rPr>
              <w:t xml:space="preserve">,3) </w:t>
            </w:r>
          </w:p>
        </w:tc>
        <w:tc>
          <w:tcPr>
            <w:tcW w:w="1094" w:type="pct"/>
            <w:tcBorders>
              <w:top w:val="single" w:sz="4" w:space="0" w:color="000000"/>
              <w:left w:val="single" w:sz="4" w:space="0" w:color="000000"/>
              <w:bottom w:val="single" w:sz="4" w:space="0" w:color="000000"/>
              <w:right w:val="single" w:sz="4" w:space="0" w:color="000000"/>
            </w:tcBorders>
            <w:shd w:val="clear" w:color="auto" w:fill="auto"/>
          </w:tcPr>
          <w:p w14:paraId="50BE1222" w14:textId="77777777" w:rsidR="00F83928" w:rsidRPr="0049187C" w:rsidRDefault="00B00716" w:rsidP="0049187C">
            <w:pPr>
              <w:spacing w:after="0" w:line="240" w:lineRule="auto"/>
              <w:ind w:left="0" w:firstLine="0"/>
              <w:rPr>
                <w:lang w:val="de-DE"/>
              </w:rPr>
            </w:pPr>
            <w:r w:rsidRPr="0049187C">
              <w:rPr>
                <w:lang w:val="de-DE"/>
              </w:rPr>
              <w:t>7</w:t>
            </w:r>
            <w:r w:rsidR="00261AC3" w:rsidRPr="0049187C">
              <w:rPr>
                <w:lang w:val="de-DE"/>
              </w:rPr>
              <w:t>1 </w:t>
            </w:r>
            <w:r w:rsidRPr="0049187C">
              <w:rPr>
                <w:lang w:val="de-DE"/>
              </w:rPr>
              <w:t>(61;</w:t>
            </w:r>
            <w:r w:rsidR="00261AC3" w:rsidRPr="0049187C">
              <w:rPr>
                <w:lang w:val="de-DE"/>
              </w:rPr>
              <w:t> 7</w:t>
            </w:r>
            <w:r w:rsidRPr="0049187C">
              <w:rPr>
                <w:lang w:val="de-DE"/>
              </w:rPr>
              <w:t xml:space="preserve">9)** </w:t>
            </w:r>
          </w:p>
        </w:tc>
      </w:tr>
      <w:tr w:rsidR="00A67796" w:rsidRPr="0049187C" w14:paraId="15E7FCBE" w14:textId="77777777" w:rsidTr="001A5A5E">
        <w:trPr>
          <w:trHeight w:val="264"/>
        </w:trPr>
        <w:tc>
          <w:tcPr>
            <w:tcW w:w="674" w:type="pct"/>
            <w:tcBorders>
              <w:top w:val="single" w:sz="4" w:space="0" w:color="000000"/>
              <w:left w:val="single" w:sz="4" w:space="0" w:color="000000"/>
              <w:bottom w:val="single" w:sz="4" w:space="0" w:color="000000"/>
              <w:right w:val="single" w:sz="4" w:space="0" w:color="000000"/>
            </w:tcBorders>
            <w:shd w:val="clear" w:color="auto" w:fill="auto"/>
          </w:tcPr>
          <w:p w14:paraId="4150325E" w14:textId="77777777" w:rsidR="00F83928" w:rsidRPr="0049187C" w:rsidRDefault="00B00716" w:rsidP="0049187C">
            <w:pPr>
              <w:spacing w:after="0" w:line="240" w:lineRule="auto"/>
              <w:ind w:left="0" w:firstLine="0"/>
              <w:rPr>
                <w:lang w:val="de-DE"/>
              </w:rPr>
            </w:pPr>
            <w:r w:rsidRPr="0049187C">
              <w:rPr>
                <w:lang w:val="de-DE"/>
              </w:rPr>
              <w:t>0–</w:t>
            </w:r>
            <w:r w:rsidR="00261AC3" w:rsidRPr="0049187C">
              <w:rPr>
                <w:lang w:val="de-DE"/>
              </w:rPr>
              <w:t>3 </w:t>
            </w:r>
            <w:r w:rsidRPr="0049187C">
              <w:rPr>
                <w:lang w:val="de-DE"/>
              </w:rPr>
              <w:t xml:space="preserve">Jahre </w:t>
            </w:r>
          </w:p>
        </w:tc>
        <w:tc>
          <w:tcPr>
            <w:tcW w:w="1068" w:type="pct"/>
            <w:tcBorders>
              <w:top w:val="single" w:sz="4" w:space="0" w:color="000000"/>
              <w:left w:val="single" w:sz="4" w:space="0" w:color="000000"/>
              <w:bottom w:val="single" w:sz="4" w:space="0" w:color="000000"/>
              <w:right w:val="single" w:sz="4" w:space="0" w:color="000000"/>
            </w:tcBorders>
            <w:shd w:val="clear" w:color="auto" w:fill="auto"/>
          </w:tcPr>
          <w:p w14:paraId="3CA929B9" w14:textId="77777777" w:rsidR="00F83928" w:rsidRPr="0049187C" w:rsidRDefault="00B00716" w:rsidP="0049187C">
            <w:pPr>
              <w:spacing w:after="0" w:line="240" w:lineRule="auto"/>
              <w:ind w:left="0" w:firstLine="0"/>
              <w:jc w:val="center"/>
              <w:rPr>
                <w:lang w:val="de-DE"/>
              </w:rPr>
            </w:pPr>
            <w:r w:rsidRPr="0049187C">
              <w:rPr>
                <w:lang w:val="de-DE"/>
              </w:rPr>
              <w:t>7,</w:t>
            </w:r>
            <w:r w:rsidR="00261AC3" w:rsidRPr="0049187C">
              <w:rPr>
                <w:lang w:val="de-DE"/>
              </w:rPr>
              <w:t>2 </w:t>
            </w:r>
          </w:p>
        </w:tc>
        <w:tc>
          <w:tcPr>
            <w:tcW w:w="1067" w:type="pct"/>
            <w:tcBorders>
              <w:top w:val="single" w:sz="4" w:space="0" w:color="000000"/>
              <w:left w:val="single" w:sz="4" w:space="0" w:color="000000"/>
              <w:bottom w:val="single" w:sz="4" w:space="0" w:color="000000"/>
              <w:right w:val="single" w:sz="4" w:space="0" w:color="000000"/>
            </w:tcBorders>
            <w:shd w:val="clear" w:color="auto" w:fill="auto"/>
          </w:tcPr>
          <w:p w14:paraId="40B2756D" w14:textId="77777777" w:rsidR="00F83928" w:rsidRPr="0049187C" w:rsidRDefault="00B00716" w:rsidP="0049187C">
            <w:pPr>
              <w:spacing w:after="0" w:line="240" w:lineRule="auto"/>
              <w:ind w:left="0" w:firstLine="0"/>
              <w:jc w:val="center"/>
              <w:rPr>
                <w:lang w:val="de-DE"/>
              </w:rPr>
            </w:pPr>
            <w:r w:rsidRPr="0049187C">
              <w:rPr>
                <w:lang w:val="de-DE"/>
              </w:rPr>
              <w:t>2,</w:t>
            </w:r>
            <w:r w:rsidR="00261AC3" w:rsidRPr="0049187C">
              <w:rPr>
                <w:lang w:val="de-DE"/>
              </w:rPr>
              <w:t>3 </w:t>
            </w:r>
          </w:p>
        </w:tc>
        <w:tc>
          <w:tcPr>
            <w:tcW w:w="1097" w:type="pct"/>
            <w:tcBorders>
              <w:top w:val="single" w:sz="4" w:space="0" w:color="000000"/>
              <w:left w:val="single" w:sz="4" w:space="0" w:color="000000"/>
              <w:bottom w:val="single" w:sz="4" w:space="0" w:color="000000"/>
              <w:right w:val="single" w:sz="4" w:space="0" w:color="000000"/>
            </w:tcBorders>
            <w:shd w:val="clear" w:color="auto" w:fill="auto"/>
          </w:tcPr>
          <w:p w14:paraId="194F9A8F" w14:textId="77777777" w:rsidR="00F83928" w:rsidRPr="0049187C" w:rsidRDefault="00B00716" w:rsidP="0049187C">
            <w:pPr>
              <w:spacing w:after="0" w:line="240" w:lineRule="auto"/>
              <w:ind w:left="0" w:firstLine="0"/>
              <w:rPr>
                <w:lang w:val="de-DE"/>
              </w:rPr>
            </w:pPr>
            <w:r w:rsidRPr="0049187C">
              <w:rPr>
                <w:lang w:val="de-DE"/>
              </w:rPr>
              <w:t>4,</w:t>
            </w:r>
            <w:r w:rsidR="00261AC3" w:rsidRPr="0049187C">
              <w:rPr>
                <w:lang w:val="de-DE"/>
              </w:rPr>
              <w:t>8 </w:t>
            </w:r>
            <w:r w:rsidRPr="0049187C">
              <w:rPr>
                <w:lang w:val="de-DE"/>
              </w:rPr>
              <w:t>(3,9;</w:t>
            </w:r>
            <w:r w:rsidR="00261AC3" w:rsidRPr="0049187C">
              <w:rPr>
                <w:lang w:val="de-DE"/>
              </w:rPr>
              <w:t> 5</w:t>
            </w:r>
            <w:r w:rsidRPr="0049187C">
              <w:rPr>
                <w:lang w:val="de-DE"/>
              </w:rPr>
              <w:t xml:space="preserve">,8) </w:t>
            </w:r>
          </w:p>
        </w:tc>
        <w:tc>
          <w:tcPr>
            <w:tcW w:w="1094" w:type="pct"/>
            <w:tcBorders>
              <w:top w:val="single" w:sz="4" w:space="0" w:color="000000"/>
              <w:left w:val="single" w:sz="4" w:space="0" w:color="000000"/>
              <w:bottom w:val="single" w:sz="4" w:space="0" w:color="000000"/>
              <w:right w:val="single" w:sz="4" w:space="0" w:color="000000"/>
            </w:tcBorders>
            <w:shd w:val="clear" w:color="auto" w:fill="auto"/>
          </w:tcPr>
          <w:p w14:paraId="1DE93020" w14:textId="77777777" w:rsidR="00F83928" w:rsidRPr="0049187C" w:rsidRDefault="00B00716" w:rsidP="0049187C">
            <w:pPr>
              <w:spacing w:after="0" w:line="240" w:lineRule="auto"/>
              <w:ind w:left="0" w:firstLine="0"/>
              <w:rPr>
                <w:lang w:val="de-DE"/>
              </w:rPr>
            </w:pPr>
            <w:r w:rsidRPr="0049187C">
              <w:rPr>
                <w:lang w:val="de-DE"/>
              </w:rPr>
              <w:t>6</w:t>
            </w:r>
            <w:r w:rsidR="00261AC3" w:rsidRPr="0049187C">
              <w:rPr>
                <w:lang w:val="de-DE"/>
              </w:rPr>
              <w:t>8 </w:t>
            </w:r>
            <w:r w:rsidRPr="0049187C">
              <w:rPr>
                <w:lang w:val="de-DE"/>
              </w:rPr>
              <w:t>(59;</w:t>
            </w:r>
            <w:r w:rsidR="00261AC3" w:rsidRPr="0049187C">
              <w:rPr>
                <w:lang w:val="de-DE"/>
              </w:rPr>
              <w:t> 7</w:t>
            </w:r>
            <w:r w:rsidRPr="0049187C">
              <w:rPr>
                <w:lang w:val="de-DE"/>
              </w:rPr>
              <w:t xml:space="preserve">4)* </w:t>
            </w:r>
          </w:p>
        </w:tc>
      </w:tr>
    </w:tbl>
    <w:p w14:paraId="7FD7B294" w14:textId="77777777" w:rsidR="00261AC3" w:rsidRPr="0049187C" w:rsidRDefault="00B00716" w:rsidP="0049187C">
      <w:pPr>
        <w:spacing w:after="0" w:line="240" w:lineRule="auto"/>
        <w:ind w:left="0" w:firstLine="0"/>
        <w:rPr>
          <w:lang w:val="de-DE"/>
        </w:rPr>
      </w:pPr>
      <w:r w:rsidRPr="0049187C">
        <w:rPr>
          <w:lang w:val="de-DE"/>
        </w:rPr>
        <w:t>*p &lt; 0,0001; **p &lt; 0,0001 – exploratorische Analyse</w:t>
      </w:r>
    </w:p>
    <w:p w14:paraId="10EAC264" w14:textId="77777777" w:rsidR="00F83928" w:rsidRPr="0049187C" w:rsidRDefault="00F83928" w:rsidP="0049187C">
      <w:pPr>
        <w:spacing w:after="0" w:line="240" w:lineRule="auto"/>
        <w:ind w:left="0" w:firstLine="0"/>
        <w:rPr>
          <w:lang w:val="de-DE"/>
        </w:rPr>
      </w:pPr>
    </w:p>
    <w:p w14:paraId="19303C17" w14:textId="77777777" w:rsidR="00261AC3" w:rsidRPr="0049187C" w:rsidRDefault="00B00716" w:rsidP="0049187C">
      <w:pPr>
        <w:keepNext/>
        <w:keepLines/>
        <w:spacing w:after="0" w:line="240" w:lineRule="auto"/>
        <w:ind w:left="0" w:firstLine="0"/>
        <w:rPr>
          <w:i/>
          <w:iCs/>
          <w:lang w:val="de-DE"/>
        </w:rPr>
      </w:pPr>
      <w:r w:rsidRPr="0049187C">
        <w:rPr>
          <w:i/>
          <w:iCs/>
          <w:lang w:val="de-DE"/>
        </w:rPr>
        <w:t>Auswirkungen auf Hüftfrakturen</w:t>
      </w:r>
    </w:p>
    <w:p w14:paraId="6A7DF5F3" w14:textId="77777777" w:rsidR="00261AC3" w:rsidRPr="0049187C" w:rsidRDefault="00B00716" w:rsidP="0049187C">
      <w:pPr>
        <w:spacing w:after="0" w:line="240" w:lineRule="auto"/>
        <w:ind w:left="0" w:firstLine="0"/>
        <w:rPr>
          <w:lang w:val="de-DE"/>
        </w:rPr>
      </w:pPr>
      <w:r w:rsidRPr="0049187C">
        <w:rPr>
          <w:lang w:val="de-DE"/>
        </w:rPr>
        <w:t xml:space="preserve">Denosumab </w:t>
      </w:r>
      <w:r w:rsidR="00FD7DFF" w:rsidRPr="0049187C">
        <w:rPr>
          <w:lang w:val="de-DE"/>
        </w:rPr>
        <w:t>zeigte eine relative Risikoreduktion von</w:t>
      </w:r>
      <w:r w:rsidRPr="0049187C">
        <w:rPr>
          <w:lang w:val="de-DE"/>
        </w:rPr>
        <w:t> 40 </w:t>
      </w:r>
      <w:r w:rsidR="00FD7DFF" w:rsidRPr="0049187C">
        <w:rPr>
          <w:lang w:val="de-DE"/>
        </w:rPr>
        <w:t>% (0,</w:t>
      </w:r>
      <w:r w:rsidRPr="0049187C">
        <w:rPr>
          <w:lang w:val="de-DE"/>
        </w:rPr>
        <w:t>5 </w:t>
      </w:r>
      <w:r w:rsidR="00FD7DFF" w:rsidRPr="0049187C">
        <w:rPr>
          <w:lang w:val="de-DE"/>
        </w:rPr>
        <w:t>% absolute Risikoreduktion) für eine Hüftfraktur über</w:t>
      </w:r>
      <w:r w:rsidRPr="0049187C">
        <w:rPr>
          <w:lang w:val="de-DE"/>
        </w:rPr>
        <w:t> 3 </w:t>
      </w:r>
      <w:r w:rsidR="00FD7DFF" w:rsidRPr="0049187C">
        <w:rPr>
          <w:lang w:val="de-DE"/>
        </w:rPr>
        <w:t>Jahre (p &lt;</w:t>
      </w:r>
      <w:r w:rsidRPr="0049187C">
        <w:rPr>
          <w:lang w:val="de-DE"/>
        </w:rPr>
        <w:t> 0</w:t>
      </w:r>
      <w:r w:rsidR="00FD7DFF" w:rsidRPr="0049187C">
        <w:rPr>
          <w:lang w:val="de-DE"/>
        </w:rPr>
        <w:t>,05). Die Inzidenz von Hüftfrakturen nach</w:t>
      </w:r>
      <w:r w:rsidRPr="0049187C">
        <w:rPr>
          <w:lang w:val="de-DE"/>
        </w:rPr>
        <w:t> 3 </w:t>
      </w:r>
      <w:r w:rsidR="00FD7DFF" w:rsidRPr="0049187C">
        <w:rPr>
          <w:lang w:val="de-DE"/>
        </w:rPr>
        <w:t>Jahren war</w:t>
      </w:r>
      <w:r w:rsidRPr="0049187C">
        <w:rPr>
          <w:lang w:val="de-DE"/>
        </w:rPr>
        <w:t> 1</w:t>
      </w:r>
      <w:r w:rsidR="00FD7DFF" w:rsidRPr="0049187C">
        <w:rPr>
          <w:lang w:val="de-DE"/>
        </w:rPr>
        <w:t>,</w:t>
      </w:r>
      <w:r w:rsidRPr="0049187C">
        <w:rPr>
          <w:lang w:val="de-DE"/>
        </w:rPr>
        <w:t>2 </w:t>
      </w:r>
      <w:r w:rsidR="00FD7DFF" w:rsidRPr="0049187C">
        <w:rPr>
          <w:lang w:val="de-DE"/>
        </w:rPr>
        <w:t>% in der Placebo</w:t>
      </w:r>
      <w:r w:rsidRPr="0049187C">
        <w:rPr>
          <w:lang w:val="de-DE"/>
        </w:rPr>
        <w:noBreakHyphen/>
      </w:r>
      <w:r w:rsidR="00FD7DFF" w:rsidRPr="0049187C">
        <w:rPr>
          <w:lang w:val="de-DE"/>
        </w:rPr>
        <w:t>Gruppe verglichen mit</w:t>
      </w:r>
      <w:r w:rsidRPr="0049187C">
        <w:rPr>
          <w:lang w:val="de-DE"/>
        </w:rPr>
        <w:t> 0</w:t>
      </w:r>
      <w:r w:rsidR="00FD7DFF" w:rsidRPr="0049187C">
        <w:rPr>
          <w:lang w:val="de-DE"/>
        </w:rPr>
        <w:t>,</w:t>
      </w:r>
      <w:r w:rsidRPr="0049187C">
        <w:rPr>
          <w:lang w:val="de-DE"/>
        </w:rPr>
        <w:t>7 </w:t>
      </w:r>
      <w:r w:rsidR="00FD7DFF" w:rsidRPr="0049187C">
        <w:rPr>
          <w:lang w:val="de-DE"/>
        </w:rPr>
        <w:t xml:space="preserve">% in der </w:t>
      </w:r>
      <w:r w:rsidRPr="0049187C">
        <w:rPr>
          <w:lang w:val="de-DE"/>
        </w:rPr>
        <w:t>Denosumab</w:t>
      </w:r>
      <w:r w:rsidRPr="0049187C">
        <w:rPr>
          <w:lang w:val="de-DE"/>
        </w:rPr>
        <w:noBreakHyphen/>
      </w:r>
      <w:r w:rsidR="00FD7DFF" w:rsidRPr="0049187C">
        <w:rPr>
          <w:lang w:val="de-DE"/>
        </w:rPr>
        <w:t>Gruppe.</w:t>
      </w:r>
    </w:p>
    <w:p w14:paraId="7D5162EF" w14:textId="77777777" w:rsidR="00F83928" w:rsidRPr="0049187C" w:rsidRDefault="00F83928" w:rsidP="0049187C">
      <w:pPr>
        <w:spacing w:after="0" w:line="240" w:lineRule="auto"/>
        <w:ind w:left="0" w:firstLine="0"/>
        <w:rPr>
          <w:lang w:val="de-DE"/>
        </w:rPr>
      </w:pPr>
    </w:p>
    <w:p w14:paraId="364D6E19" w14:textId="77777777" w:rsidR="00261AC3" w:rsidRPr="0049187C" w:rsidRDefault="00B00716" w:rsidP="0049187C">
      <w:pPr>
        <w:spacing w:after="0" w:line="240" w:lineRule="auto"/>
        <w:ind w:left="0" w:firstLine="0"/>
        <w:rPr>
          <w:lang w:val="de-DE"/>
        </w:rPr>
      </w:pPr>
      <w:r w:rsidRPr="0049187C">
        <w:rPr>
          <w:lang w:val="de-DE"/>
        </w:rPr>
        <w:t>In einer Post</w:t>
      </w:r>
      <w:r w:rsidRPr="0049187C">
        <w:rPr>
          <w:lang w:val="de-DE"/>
        </w:rPr>
        <w:noBreakHyphen/>
        <w:t>hoc</w:t>
      </w:r>
      <w:r w:rsidRPr="0049187C">
        <w:rPr>
          <w:lang w:val="de-DE"/>
        </w:rPr>
        <w:noBreakHyphen/>
        <w:t xml:space="preserve">Analyse bei Frauen &gt; 75 Jahre wurde eine relative Risikoreduktion von 62 % mit </w:t>
      </w:r>
      <w:r w:rsidR="006F6844" w:rsidRPr="0049187C">
        <w:rPr>
          <w:lang w:val="de-DE"/>
        </w:rPr>
        <w:t xml:space="preserve">Denosumab </w:t>
      </w:r>
      <w:r w:rsidRPr="0049187C">
        <w:rPr>
          <w:lang w:val="de-DE"/>
        </w:rPr>
        <w:t>beobachtet (1,4 % absolute Risikoreduktion, p &lt; 0,01).</w:t>
      </w:r>
    </w:p>
    <w:p w14:paraId="538597E9" w14:textId="77777777" w:rsidR="00F83928" w:rsidRPr="0049187C" w:rsidRDefault="00F83928" w:rsidP="0049187C">
      <w:pPr>
        <w:spacing w:after="0" w:line="240" w:lineRule="auto"/>
        <w:ind w:left="0" w:firstLine="0"/>
        <w:rPr>
          <w:lang w:val="de-DE"/>
        </w:rPr>
      </w:pPr>
    </w:p>
    <w:p w14:paraId="4721B5E3" w14:textId="77777777" w:rsidR="00261AC3" w:rsidRPr="0049187C" w:rsidRDefault="00B00716" w:rsidP="0049187C">
      <w:pPr>
        <w:spacing w:after="0" w:line="240" w:lineRule="auto"/>
        <w:ind w:left="0" w:firstLine="0"/>
        <w:rPr>
          <w:lang w:val="de-DE"/>
        </w:rPr>
      </w:pPr>
      <w:r w:rsidRPr="0049187C">
        <w:rPr>
          <w:i/>
          <w:lang w:val="de-DE"/>
        </w:rPr>
        <w:t>Auswirkung auf alle klinischen Frakturen</w:t>
      </w:r>
    </w:p>
    <w:p w14:paraId="734BA30C" w14:textId="77777777" w:rsidR="00261AC3" w:rsidRPr="0049187C" w:rsidRDefault="00B00716" w:rsidP="0049187C">
      <w:pPr>
        <w:spacing w:after="0" w:line="240" w:lineRule="auto"/>
        <w:ind w:left="0" w:firstLine="0"/>
        <w:rPr>
          <w:lang w:val="de-DE"/>
        </w:rPr>
      </w:pPr>
      <w:r w:rsidRPr="0049187C">
        <w:rPr>
          <w:lang w:val="de-DE"/>
        </w:rPr>
        <w:t xml:space="preserve">Denosumab </w:t>
      </w:r>
      <w:r w:rsidR="00FD7DFF" w:rsidRPr="0049187C">
        <w:rPr>
          <w:lang w:val="de-DE"/>
        </w:rPr>
        <w:t>verringerte Frakturen signifikant über alle Frakturtypen/</w:t>
      </w:r>
      <w:r w:rsidRPr="0049187C">
        <w:rPr>
          <w:lang w:val="de-DE"/>
        </w:rPr>
        <w:noBreakHyphen/>
      </w:r>
      <w:r w:rsidR="00FD7DFF" w:rsidRPr="0049187C">
        <w:rPr>
          <w:lang w:val="de-DE"/>
        </w:rPr>
        <w:t>gruppen hinweg (siehe Tabelle</w:t>
      </w:r>
      <w:r w:rsidRPr="0049187C">
        <w:rPr>
          <w:lang w:val="de-DE"/>
        </w:rPr>
        <w:t> 3</w:t>
      </w:r>
      <w:r w:rsidR="00FD7DFF" w:rsidRPr="0049187C">
        <w:rPr>
          <w:lang w:val="de-DE"/>
        </w:rPr>
        <w:t>).</w:t>
      </w:r>
    </w:p>
    <w:p w14:paraId="37BAFE8B" w14:textId="77777777" w:rsidR="00F83928" w:rsidRPr="0049187C" w:rsidRDefault="00F83928" w:rsidP="0049187C">
      <w:pPr>
        <w:spacing w:after="0" w:line="240" w:lineRule="auto"/>
        <w:ind w:left="0" w:firstLine="0"/>
        <w:rPr>
          <w:lang w:val="de-DE"/>
        </w:rPr>
      </w:pPr>
    </w:p>
    <w:p w14:paraId="1BC3E5A7" w14:textId="77777777" w:rsidR="00F83928" w:rsidRPr="0049187C" w:rsidRDefault="00B00716" w:rsidP="0049187C">
      <w:pPr>
        <w:keepNext/>
        <w:keepLines/>
        <w:spacing w:after="0" w:line="240" w:lineRule="auto"/>
        <w:ind w:left="0" w:firstLine="0"/>
        <w:rPr>
          <w:b/>
          <w:bCs/>
          <w:lang w:val="de-DE"/>
        </w:rPr>
      </w:pPr>
      <w:r w:rsidRPr="0049187C">
        <w:rPr>
          <w:b/>
          <w:bCs/>
          <w:lang w:val="de-DE"/>
        </w:rPr>
        <w:t>Tabelle</w:t>
      </w:r>
      <w:r w:rsidR="00261AC3" w:rsidRPr="0049187C">
        <w:rPr>
          <w:b/>
          <w:bCs/>
          <w:lang w:val="de-DE"/>
        </w:rPr>
        <w:t> 3</w:t>
      </w:r>
      <w:r w:rsidRPr="0049187C">
        <w:rPr>
          <w:b/>
          <w:bCs/>
          <w:lang w:val="de-DE"/>
        </w:rPr>
        <w:t xml:space="preserve">: Die Auswirkungen von </w:t>
      </w:r>
      <w:r w:rsidR="006F6844" w:rsidRPr="0049187C">
        <w:rPr>
          <w:b/>
          <w:bCs/>
          <w:lang w:val="de-DE"/>
        </w:rPr>
        <w:t xml:space="preserve">Denosumab </w:t>
      </w:r>
      <w:r w:rsidRPr="0049187C">
        <w:rPr>
          <w:b/>
          <w:bCs/>
          <w:lang w:val="de-DE"/>
        </w:rPr>
        <w:t>auf das Risiko klinischer Frakturen über</w:t>
      </w:r>
      <w:r w:rsidR="00261AC3" w:rsidRPr="0049187C">
        <w:rPr>
          <w:b/>
          <w:bCs/>
          <w:lang w:val="de-DE"/>
        </w:rPr>
        <w:t> 3 </w:t>
      </w:r>
      <w:r w:rsidRPr="0049187C">
        <w:rPr>
          <w:b/>
          <w:bCs/>
          <w:lang w:val="de-DE"/>
        </w:rPr>
        <w:t xml:space="preserve">Jahre </w:t>
      </w:r>
    </w:p>
    <w:p w14:paraId="454DF243" w14:textId="77777777" w:rsidR="00975026" w:rsidRPr="0049187C" w:rsidRDefault="00975026" w:rsidP="0049187C">
      <w:pPr>
        <w:keepNext/>
        <w:keepLines/>
        <w:spacing w:after="0" w:line="240" w:lineRule="auto"/>
        <w:ind w:left="0" w:firstLine="0"/>
        <w:rPr>
          <w:b/>
          <w:bCs/>
          <w:lang w:val="de-DE"/>
        </w:rPr>
      </w:pPr>
    </w:p>
    <w:tbl>
      <w:tblPr>
        <w:tblStyle w:val="TableGrid"/>
        <w:tblW w:w="5000" w:type="pct"/>
        <w:tblInd w:w="0" w:type="dxa"/>
        <w:tblCellMar>
          <w:left w:w="108" w:type="dxa"/>
          <w:right w:w="108" w:type="dxa"/>
        </w:tblCellMar>
        <w:tblLook w:val="04A0" w:firstRow="1" w:lastRow="0" w:firstColumn="1" w:lastColumn="0" w:noHBand="0" w:noVBand="1"/>
      </w:tblPr>
      <w:tblGrid>
        <w:gridCol w:w="2949"/>
        <w:gridCol w:w="1364"/>
        <w:gridCol w:w="1455"/>
        <w:gridCol w:w="1656"/>
        <w:gridCol w:w="1636"/>
      </w:tblGrid>
      <w:tr w:rsidR="00A67796" w:rsidRPr="0049187C" w14:paraId="6F38EE01" w14:textId="77777777" w:rsidTr="00975026">
        <w:trPr>
          <w:trHeight w:val="516"/>
        </w:trPr>
        <w:tc>
          <w:tcPr>
            <w:tcW w:w="1627"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5A53CFD3" w14:textId="77777777" w:rsidR="00F83928" w:rsidRPr="0049187C" w:rsidRDefault="00B00716" w:rsidP="0049187C">
            <w:pPr>
              <w:spacing w:after="0" w:line="240" w:lineRule="auto"/>
              <w:ind w:left="0" w:firstLine="0"/>
              <w:rPr>
                <w:lang w:val="de-DE"/>
              </w:rPr>
            </w:pPr>
            <w:r w:rsidRPr="0049187C">
              <w:rPr>
                <w:lang w:val="de-DE"/>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58C989" w14:textId="77777777" w:rsidR="00F83928" w:rsidRPr="0049187C" w:rsidRDefault="00B00716" w:rsidP="0049187C">
            <w:pPr>
              <w:spacing w:after="0" w:line="240" w:lineRule="auto"/>
              <w:ind w:left="0" w:firstLine="0"/>
              <w:jc w:val="center"/>
              <w:rPr>
                <w:lang w:val="de-DE"/>
              </w:rPr>
            </w:pPr>
            <w:r w:rsidRPr="0049187C">
              <w:rPr>
                <w:lang w:val="de-DE"/>
              </w:rPr>
              <w:t>Anteil der Frauen mit Frakturen (%)</w:t>
            </w:r>
            <w:r w:rsidRPr="0049187C">
              <w:rPr>
                <w:vertAlign w:val="superscript"/>
                <w:lang w:val="de-DE"/>
              </w:rPr>
              <w:t>+</w:t>
            </w:r>
          </w:p>
        </w:tc>
        <w:tc>
          <w:tcPr>
            <w:tcW w:w="914"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55387E96" w14:textId="77777777" w:rsidR="00252F44" w:rsidRPr="0049187C" w:rsidRDefault="00B00716" w:rsidP="0049187C">
            <w:pPr>
              <w:spacing w:after="0" w:line="240" w:lineRule="auto"/>
              <w:ind w:left="0" w:firstLine="0"/>
              <w:rPr>
                <w:lang w:val="de-DE"/>
              </w:rPr>
            </w:pPr>
            <w:r w:rsidRPr="0049187C">
              <w:rPr>
                <w:lang w:val="de-DE"/>
              </w:rPr>
              <w:t>Absolute</w:t>
            </w:r>
            <w:r w:rsidR="00F819AC" w:rsidRPr="0049187C">
              <w:rPr>
                <w:lang w:val="de-DE"/>
              </w:rPr>
              <w:t xml:space="preserve"> </w:t>
            </w:r>
            <w:r w:rsidRPr="0049187C">
              <w:rPr>
                <w:lang w:val="de-DE"/>
              </w:rPr>
              <w:t>Risikoreduktion</w:t>
            </w:r>
            <w:r w:rsidR="00F819AC" w:rsidRPr="0049187C">
              <w:rPr>
                <w:lang w:val="de-DE"/>
              </w:rPr>
              <w:t xml:space="preserve"> </w:t>
            </w:r>
            <w:r w:rsidRPr="0049187C">
              <w:rPr>
                <w:lang w:val="de-DE"/>
              </w:rPr>
              <w:t>(%)</w:t>
            </w:r>
          </w:p>
          <w:p w14:paraId="735D16F5" w14:textId="77777777" w:rsidR="00F83928" w:rsidRPr="0049187C" w:rsidRDefault="00B00716" w:rsidP="0049187C">
            <w:pPr>
              <w:spacing w:after="0" w:line="240" w:lineRule="auto"/>
              <w:ind w:left="0" w:firstLine="0"/>
              <w:rPr>
                <w:lang w:val="de-DE"/>
              </w:rPr>
            </w:pPr>
            <w:r w:rsidRPr="0049187C">
              <w:rPr>
                <w:lang w:val="de-DE"/>
              </w:rPr>
              <w:t>(9</w:t>
            </w:r>
            <w:r w:rsidR="00261AC3" w:rsidRPr="0049187C">
              <w:rPr>
                <w:lang w:val="de-DE"/>
              </w:rPr>
              <w:t>5 </w:t>
            </w:r>
            <w:r w:rsidRPr="0049187C">
              <w:rPr>
                <w:lang w:val="de-DE"/>
              </w:rPr>
              <w:t xml:space="preserve">% KI) </w:t>
            </w:r>
          </w:p>
        </w:tc>
        <w:tc>
          <w:tcPr>
            <w:tcW w:w="903" w:type="pct"/>
            <w:vMerge w:val="restart"/>
            <w:tcBorders>
              <w:top w:val="single" w:sz="4" w:space="0" w:color="000000"/>
              <w:left w:val="single" w:sz="4" w:space="0" w:color="000000"/>
              <w:bottom w:val="single" w:sz="4" w:space="0" w:color="000000"/>
              <w:right w:val="single" w:sz="4" w:space="0" w:color="000000"/>
            </w:tcBorders>
            <w:shd w:val="clear" w:color="auto" w:fill="auto"/>
          </w:tcPr>
          <w:p w14:paraId="5546A65F" w14:textId="77777777" w:rsidR="00252F44" w:rsidRPr="0049187C" w:rsidRDefault="00B00716" w:rsidP="0049187C">
            <w:pPr>
              <w:spacing w:after="0" w:line="240" w:lineRule="auto"/>
              <w:ind w:left="0" w:firstLine="0"/>
              <w:rPr>
                <w:lang w:val="de-DE"/>
              </w:rPr>
            </w:pPr>
            <w:r w:rsidRPr="0049187C">
              <w:rPr>
                <w:lang w:val="de-DE"/>
              </w:rPr>
              <w:t>Relative</w:t>
            </w:r>
            <w:r w:rsidR="00F819AC" w:rsidRPr="0049187C">
              <w:rPr>
                <w:lang w:val="de-DE"/>
              </w:rPr>
              <w:t xml:space="preserve"> </w:t>
            </w:r>
            <w:r w:rsidRPr="0049187C">
              <w:rPr>
                <w:lang w:val="de-DE"/>
              </w:rPr>
              <w:t>Risikoreduktion</w:t>
            </w:r>
            <w:r w:rsidR="00F819AC" w:rsidRPr="0049187C">
              <w:rPr>
                <w:lang w:val="de-DE"/>
              </w:rPr>
              <w:t xml:space="preserve"> </w:t>
            </w:r>
            <w:r w:rsidRPr="0049187C">
              <w:rPr>
                <w:lang w:val="de-DE"/>
              </w:rPr>
              <w:t>(%)</w:t>
            </w:r>
          </w:p>
          <w:p w14:paraId="12695D9C" w14:textId="77777777" w:rsidR="00F83928" w:rsidRPr="0049187C" w:rsidRDefault="00B00716" w:rsidP="0049187C">
            <w:pPr>
              <w:spacing w:after="0" w:line="240" w:lineRule="auto"/>
              <w:ind w:left="0" w:firstLine="0"/>
              <w:rPr>
                <w:lang w:val="de-DE"/>
              </w:rPr>
            </w:pPr>
            <w:r w:rsidRPr="0049187C">
              <w:rPr>
                <w:lang w:val="de-DE"/>
              </w:rPr>
              <w:t>(9</w:t>
            </w:r>
            <w:r w:rsidR="00261AC3" w:rsidRPr="0049187C">
              <w:rPr>
                <w:lang w:val="de-DE"/>
              </w:rPr>
              <w:t>5 </w:t>
            </w:r>
            <w:r w:rsidRPr="0049187C">
              <w:rPr>
                <w:lang w:val="de-DE"/>
              </w:rPr>
              <w:t xml:space="preserve">% KI) </w:t>
            </w:r>
          </w:p>
        </w:tc>
      </w:tr>
      <w:tr w:rsidR="00A67796" w:rsidRPr="0049187C" w14:paraId="04BCE4E6" w14:textId="77777777" w:rsidTr="00975026">
        <w:trPr>
          <w:trHeight w:val="516"/>
        </w:trPr>
        <w:tc>
          <w:tcPr>
            <w:tcW w:w="1627" w:type="pct"/>
            <w:vMerge/>
            <w:tcBorders>
              <w:top w:val="nil"/>
              <w:left w:val="single" w:sz="4" w:space="0" w:color="000000"/>
              <w:bottom w:val="single" w:sz="4" w:space="0" w:color="000000"/>
              <w:right w:val="single" w:sz="4" w:space="0" w:color="000000"/>
            </w:tcBorders>
            <w:shd w:val="clear" w:color="auto" w:fill="auto"/>
          </w:tcPr>
          <w:p w14:paraId="760F8F60" w14:textId="77777777" w:rsidR="00F83928" w:rsidRPr="0049187C" w:rsidRDefault="00F83928" w:rsidP="0049187C">
            <w:pPr>
              <w:spacing w:after="0" w:line="240" w:lineRule="auto"/>
              <w:ind w:left="0" w:firstLine="0"/>
              <w:rPr>
                <w:highlight w:val="green"/>
                <w:lang w:val="de-DE"/>
              </w:rPr>
            </w:pPr>
          </w:p>
        </w:tc>
        <w:tc>
          <w:tcPr>
            <w:tcW w:w="7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FC4F2F" w14:textId="77777777" w:rsidR="00F819AC" w:rsidRPr="0049187C" w:rsidRDefault="00B00716" w:rsidP="0049187C">
            <w:pPr>
              <w:spacing w:after="0" w:line="240" w:lineRule="auto"/>
              <w:ind w:left="0" w:firstLine="0"/>
              <w:jc w:val="center"/>
              <w:rPr>
                <w:lang w:val="de-DE"/>
              </w:rPr>
            </w:pPr>
            <w:r w:rsidRPr="0049187C">
              <w:rPr>
                <w:lang w:val="de-DE"/>
              </w:rPr>
              <w:t>Placebo</w:t>
            </w:r>
          </w:p>
          <w:p w14:paraId="63769AE9" w14:textId="77777777" w:rsidR="00F83928" w:rsidRPr="0049187C" w:rsidRDefault="00B00716" w:rsidP="0049187C">
            <w:pPr>
              <w:spacing w:after="0" w:line="240" w:lineRule="auto"/>
              <w:ind w:left="0" w:firstLine="0"/>
              <w:jc w:val="center"/>
              <w:rPr>
                <w:lang w:val="de-DE"/>
              </w:rPr>
            </w:pPr>
            <w:r w:rsidRPr="0049187C">
              <w:rPr>
                <w:lang w:val="de-DE"/>
              </w:rPr>
              <w:t>n =</w:t>
            </w:r>
            <w:r w:rsidR="00261AC3" w:rsidRPr="0049187C">
              <w:rPr>
                <w:lang w:val="de-DE"/>
              </w:rPr>
              <w:t> 3</w:t>
            </w:r>
            <w:r w:rsidR="006F6844" w:rsidRPr="0049187C">
              <w:rPr>
                <w:lang w:val="de-DE"/>
              </w:rPr>
              <w:t> </w:t>
            </w:r>
            <w:r w:rsidRPr="0049187C">
              <w:rPr>
                <w:lang w:val="de-DE"/>
              </w:rPr>
              <w:t>90</w:t>
            </w:r>
            <w:r w:rsidR="00261AC3" w:rsidRPr="0049187C">
              <w:rPr>
                <w:lang w:val="de-DE"/>
              </w:rPr>
              <w:t>6</w:t>
            </w:r>
          </w:p>
        </w:tc>
        <w:tc>
          <w:tcPr>
            <w:tcW w:w="8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21B881" w14:textId="77777777" w:rsidR="00F819AC" w:rsidRPr="0049187C" w:rsidRDefault="00B00716" w:rsidP="0049187C">
            <w:pPr>
              <w:spacing w:after="0" w:line="240" w:lineRule="auto"/>
              <w:ind w:left="0" w:firstLine="0"/>
              <w:jc w:val="center"/>
              <w:rPr>
                <w:lang w:val="de-DE"/>
              </w:rPr>
            </w:pPr>
            <w:r w:rsidRPr="0049187C">
              <w:rPr>
                <w:lang w:val="de-DE"/>
              </w:rPr>
              <w:t xml:space="preserve">Denosumab </w:t>
            </w:r>
          </w:p>
          <w:p w14:paraId="20B0213B" w14:textId="77777777" w:rsidR="00F83928" w:rsidRPr="0049187C" w:rsidRDefault="00B00716" w:rsidP="0049187C">
            <w:pPr>
              <w:spacing w:after="0" w:line="240" w:lineRule="auto"/>
              <w:ind w:left="0" w:firstLine="0"/>
              <w:jc w:val="center"/>
              <w:rPr>
                <w:lang w:val="de-DE"/>
              </w:rPr>
            </w:pPr>
            <w:r w:rsidRPr="0049187C">
              <w:rPr>
                <w:lang w:val="de-DE"/>
              </w:rPr>
              <w:t>n =</w:t>
            </w:r>
            <w:r w:rsidR="00261AC3" w:rsidRPr="0049187C">
              <w:rPr>
                <w:lang w:val="de-DE"/>
              </w:rPr>
              <w:t> 3</w:t>
            </w:r>
            <w:r w:rsidR="006F6844" w:rsidRPr="0049187C">
              <w:rPr>
                <w:lang w:val="de-DE"/>
              </w:rPr>
              <w:t> </w:t>
            </w:r>
            <w:r w:rsidRPr="0049187C">
              <w:rPr>
                <w:lang w:val="de-DE"/>
              </w:rPr>
              <w:t>90</w:t>
            </w:r>
            <w:r w:rsidR="00261AC3" w:rsidRPr="0049187C">
              <w:rPr>
                <w:lang w:val="de-DE"/>
              </w:rPr>
              <w:t>2</w:t>
            </w:r>
          </w:p>
        </w:tc>
        <w:tc>
          <w:tcPr>
            <w:tcW w:w="914" w:type="pct"/>
            <w:vMerge/>
            <w:tcBorders>
              <w:top w:val="nil"/>
              <w:left w:val="single" w:sz="4" w:space="0" w:color="000000"/>
              <w:bottom w:val="single" w:sz="4" w:space="0" w:color="000000"/>
              <w:right w:val="single" w:sz="4" w:space="0" w:color="000000"/>
            </w:tcBorders>
            <w:shd w:val="clear" w:color="auto" w:fill="auto"/>
          </w:tcPr>
          <w:p w14:paraId="1FF78B49" w14:textId="77777777" w:rsidR="00F83928" w:rsidRPr="0049187C" w:rsidRDefault="00F83928" w:rsidP="0049187C">
            <w:pPr>
              <w:spacing w:after="0" w:line="240" w:lineRule="auto"/>
              <w:ind w:left="0" w:firstLine="0"/>
              <w:rPr>
                <w:highlight w:val="green"/>
                <w:lang w:val="de-DE"/>
              </w:rPr>
            </w:pPr>
          </w:p>
        </w:tc>
        <w:tc>
          <w:tcPr>
            <w:tcW w:w="903" w:type="pct"/>
            <w:vMerge/>
            <w:tcBorders>
              <w:top w:val="nil"/>
              <w:left w:val="single" w:sz="4" w:space="0" w:color="000000"/>
              <w:bottom w:val="single" w:sz="4" w:space="0" w:color="000000"/>
              <w:right w:val="single" w:sz="4" w:space="0" w:color="000000"/>
            </w:tcBorders>
            <w:shd w:val="clear" w:color="auto" w:fill="auto"/>
          </w:tcPr>
          <w:p w14:paraId="76A7217E" w14:textId="77777777" w:rsidR="00F83928" w:rsidRPr="0049187C" w:rsidRDefault="00F83928" w:rsidP="0049187C">
            <w:pPr>
              <w:spacing w:after="0" w:line="240" w:lineRule="auto"/>
              <w:ind w:left="0" w:firstLine="0"/>
              <w:rPr>
                <w:highlight w:val="green"/>
                <w:lang w:val="de-DE"/>
              </w:rPr>
            </w:pPr>
          </w:p>
        </w:tc>
      </w:tr>
      <w:tr w:rsidR="00A67796" w:rsidRPr="0049187C" w14:paraId="3385C0AD" w14:textId="77777777" w:rsidTr="00975026">
        <w:trPr>
          <w:trHeight w:val="262"/>
        </w:trPr>
        <w:tc>
          <w:tcPr>
            <w:tcW w:w="1627" w:type="pct"/>
            <w:tcBorders>
              <w:top w:val="single" w:sz="4" w:space="0" w:color="000000"/>
              <w:left w:val="single" w:sz="4" w:space="0" w:color="000000"/>
              <w:bottom w:val="single" w:sz="4" w:space="0" w:color="000000"/>
              <w:right w:val="single" w:sz="4" w:space="0" w:color="000000"/>
            </w:tcBorders>
            <w:shd w:val="clear" w:color="auto" w:fill="auto"/>
          </w:tcPr>
          <w:p w14:paraId="5DA6046C" w14:textId="77777777" w:rsidR="00F83928" w:rsidRPr="0049187C" w:rsidRDefault="00B00716" w:rsidP="0049187C">
            <w:pPr>
              <w:spacing w:after="0" w:line="240" w:lineRule="auto"/>
              <w:ind w:left="0" w:firstLine="0"/>
              <w:rPr>
                <w:lang w:val="de-DE"/>
              </w:rPr>
            </w:pPr>
            <w:r w:rsidRPr="0049187C">
              <w:rPr>
                <w:lang w:val="de-DE"/>
              </w:rPr>
              <w:t>Alle klinischen Frakturen</w:t>
            </w:r>
            <w:r w:rsidR="00261AC3" w:rsidRPr="0049187C">
              <w:rPr>
                <w:vertAlign w:val="superscript"/>
                <w:lang w:val="de-DE"/>
              </w:rPr>
              <w:t>1 </w:t>
            </w:r>
          </w:p>
        </w:tc>
        <w:tc>
          <w:tcPr>
            <w:tcW w:w="753" w:type="pct"/>
            <w:tcBorders>
              <w:top w:val="single" w:sz="4" w:space="0" w:color="000000"/>
              <w:left w:val="single" w:sz="4" w:space="0" w:color="000000"/>
              <w:bottom w:val="single" w:sz="4" w:space="0" w:color="000000"/>
              <w:right w:val="single" w:sz="4" w:space="0" w:color="000000"/>
            </w:tcBorders>
            <w:shd w:val="clear" w:color="auto" w:fill="auto"/>
          </w:tcPr>
          <w:p w14:paraId="45049E44" w14:textId="77777777" w:rsidR="00F83928" w:rsidRPr="0049187C" w:rsidRDefault="00B00716" w:rsidP="0049187C">
            <w:pPr>
              <w:spacing w:after="0" w:line="240" w:lineRule="auto"/>
              <w:ind w:left="0" w:firstLine="0"/>
              <w:jc w:val="center"/>
              <w:rPr>
                <w:lang w:val="de-DE"/>
              </w:rPr>
            </w:pPr>
            <w:r w:rsidRPr="0049187C">
              <w:rPr>
                <w:lang w:val="de-DE"/>
              </w:rPr>
              <w:t>10,</w:t>
            </w:r>
            <w:r w:rsidR="00261AC3" w:rsidRPr="0049187C">
              <w:rPr>
                <w:lang w:val="de-DE"/>
              </w:rPr>
              <w:t>2 </w:t>
            </w:r>
          </w:p>
        </w:tc>
        <w:tc>
          <w:tcPr>
            <w:tcW w:w="802" w:type="pct"/>
            <w:tcBorders>
              <w:top w:val="single" w:sz="4" w:space="0" w:color="000000"/>
              <w:left w:val="single" w:sz="4" w:space="0" w:color="000000"/>
              <w:bottom w:val="single" w:sz="4" w:space="0" w:color="000000"/>
              <w:right w:val="single" w:sz="4" w:space="0" w:color="000000"/>
            </w:tcBorders>
            <w:shd w:val="clear" w:color="auto" w:fill="auto"/>
          </w:tcPr>
          <w:p w14:paraId="5D387A48" w14:textId="77777777" w:rsidR="00F83928" w:rsidRPr="0049187C" w:rsidRDefault="00B00716" w:rsidP="0049187C">
            <w:pPr>
              <w:spacing w:after="0" w:line="240" w:lineRule="auto"/>
              <w:ind w:left="0" w:firstLine="0"/>
              <w:jc w:val="center"/>
              <w:rPr>
                <w:lang w:val="de-DE"/>
              </w:rPr>
            </w:pPr>
            <w:r w:rsidRPr="0049187C">
              <w:rPr>
                <w:lang w:val="de-DE"/>
              </w:rPr>
              <w:t>7,</w:t>
            </w:r>
            <w:r w:rsidR="00261AC3" w:rsidRPr="0049187C">
              <w:rPr>
                <w:lang w:val="de-DE"/>
              </w:rPr>
              <w:t>2 </w:t>
            </w:r>
          </w:p>
        </w:tc>
        <w:tc>
          <w:tcPr>
            <w:tcW w:w="914" w:type="pct"/>
            <w:tcBorders>
              <w:top w:val="single" w:sz="4" w:space="0" w:color="000000"/>
              <w:left w:val="single" w:sz="4" w:space="0" w:color="000000"/>
              <w:bottom w:val="single" w:sz="4" w:space="0" w:color="000000"/>
              <w:right w:val="single" w:sz="4" w:space="0" w:color="000000"/>
            </w:tcBorders>
            <w:shd w:val="clear" w:color="auto" w:fill="auto"/>
          </w:tcPr>
          <w:p w14:paraId="5AB8055B" w14:textId="77777777" w:rsidR="00F83928" w:rsidRPr="0049187C" w:rsidRDefault="00B00716" w:rsidP="0049187C">
            <w:pPr>
              <w:spacing w:after="0" w:line="240" w:lineRule="auto"/>
              <w:ind w:left="0" w:firstLine="0"/>
              <w:rPr>
                <w:lang w:val="de-DE"/>
              </w:rPr>
            </w:pPr>
            <w:r w:rsidRPr="0049187C">
              <w:rPr>
                <w:lang w:val="de-DE"/>
              </w:rPr>
              <w:t>2,</w:t>
            </w:r>
            <w:r w:rsidR="00261AC3" w:rsidRPr="0049187C">
              <w:rPr>
                <w:lang w:val="de-DE"/>
              </w:rPr>
              <w:t>9 </w:t>
            </w:r>
            <w:r w:rsidRPr="0049187C">
              <w:rPr>
                <w:lang w:val="de-DE"/>
              </w:rPr>
              <w:t>(1,6;</w:t>
            </w:r>
            <w:r w:rsidR="00261AC3" w:rsidRPr="0049187C">
              <w:rPr>
                <w:lang w:val="de-DE"/>
              </w:rPr>
              <w:t> 4</w:t>
            </w:r>
            <w:r w:rsidRPr="0049187C">
              <w:rPr>
                <w:lang w:val="de-DE"/>
              </w:rPr>
              <w:t xml:space="preserve">,2) </w:t>
            </w:r>
          </w:p>
        </w:tc>
        <w:tc>
          <w:tcPr>
            <w:tcW w:w="903" w:type="pct"/>
            <w:tcBorders>
              <w:top w:val="single" w:sz="4" w:space="0" w:color="000000"/>
              <w:left w:val="single" w:sz="4" w:space="0" w:color="000000"/>
              <w:bottom w:val="single" w:sz="4" w:space="0" w:color="000000"/>
              <w:right w:val="single" w:sz="4" w:space="0" w:color="000000"/>
            </w:tcBorders>
            <w:shd w:val="clear" w:color="auto" w:fill="auto"/>
          </w:tcPr>
          <w:p w14:paraId="60B24ECC" w14:textId="77777777" w:rsidR="00F83928" w:rsidRPr="0049187C" w:rsidRDefault="00B00716" w:rsidP="0049187C">
            <w:pPr>
              <w:spacing w:after="0" w:line="240" w:lineRule="auto"/>
              <w:ind w:left="0" w:firstLine="0"/>
              <w:rPr>
                <w:lang w:val="de-DE"/>
              </w:rPr>
            </w:pPr>
            <w:r w:rsidRPr="0049187C">
              <w:rPr>
                <w:lang w:val="de-DE"/>
              </w:rPr>
              <w:t>3</w:t>
            </w:r>
            <w:r w:rsidR="00261AC3" w:rsidRPr="0049187C">
              <w:rPr>
                <w:lang w:val="de-DE"/>
              </w:rPr>
              <w:t>0 </w:t>
            </w:r>
            <w:r w:rsidRPr="0049187C">
              <w:rPr>
                <w:lang w:val="de-DE"/>
              </w:rPr>
              <w:t>(19;</w:t>
            </w:r>
            <w:r w:rsidR="00261AC3" w:rsidRPr="0049187C">
              <w:rPr>
                <w:lang w:val="de-DE"/>
              </w:rPr>
              <w:t> 4</w:t>
            </w:r>
            <w:r w:rsidRPr="0049187C">
              <w:rPr>
                <w:lang w:val="de-DE"/>
              </w:rPr>
              <w:t xml:space="preserve">1)*** </w:t>
            </w:r>
          </w:p>
        </w:tc>
      </w:tr>
      <w:tr w:rsidR="00A67796" w:rsidRPr="0049187C" w14:paraId="1C56A65A" w14:textId="77777777" w:rsidTr="00975026">
        <w:trPr>
          <w:trHeight w:val="264"/>
        </w:trPr>
        <w:tc>
          <w:tcPr>
            <w:tcW w:w="1627" w:type="pct"/>
            <w:tcBorders>
              <w:top w:val="single" w:sz="4" w:space="0" w:color="000000"/>
              <w:left w:val="single" w:sz="4" w:space="0" w:color="000000"/>
              <w:bottom w:val="single" w:sz="4" w:space="0" w:color="000000"/>
              <w:right w:val="single" w:sz="4" w:space="0" w:color="000000"/>
            </w:tcBorders>
            <w:shd w:val="clear" w:color="auto" w:fill="auto"/>
          </w:tcPr>
          <w:p w14:paraId="2D3D7B26" w14:textId="77777777" w:rsidR="00F83928" w:rsidRPr="0049187C" w:rsidRDefault="00B00716" w:rsidP="0049187C">
            <w:pPr>
              <w:spacing w:after="0" w:line="240" w:lineRule="auto"/>
              <w:ind w:left="0" w:firstLine="0"/>
              <w:rPr>
                <w:lang w:val="de-DE"/>
              </w:rPr>
            </w:pPr>
            <w:r w:rsidRPr="0049187C">
              <w:rPr>
                <w:lang w:val="de-DE"/>
              </w:rPr>
              <w:t xml:space="preserve">Klinische vertebrale Frakturen </w:t>
            </w:r>
          </w:p>
        </w:tc>
        <w:tc>
          <w:tcPr>
            <w:tcW w:w="753" w:type="pct"/>
            <w:tcBorders>
              <w:top w:val="single" w:sz="4" w:space="0" w:color="000000"/>
              <w:left w:val="single" w:sz="4" w:space="0" w:color="000000"/>
              <w:bottom w:val="single" w:sz="4" w:space="0" w:color="000000"/>
              <w:right w:val="single" w:sz="4" w:space="0" w:color="000000"/>
            </w:tcBorders>
            <w:shd w:val="clear" w:color="auto" w:fill="auto"/>
          </w:tcPr>
          <w:p w14:paraId="2AAA3387" w14:textId="77777777" w:rsidR="00F83928" w:rsidRPr="0049187C" w:rsidRDefault="00B00716" w:rsidP="0049187C">
            <w:pPr>
              <w:spacing w:after="0" w:line="240" w:lineRule="auto"/>
              <w:ind w:left="0" w:firstLine="0"/>
              <w:jc w:val="center"/>
              <w:rPr>
                <w:lang w:val="de-DE"/>
              </w:rPr>
            </w:pPr>
            <w:r w:rsidRPr="0049187C">
              <w:rPr>
                <w:lang w:val="de-DE"/>
              </w:rPr>
              <w:t>2,</w:t>
            </w:r>
            <w:r w:rsidR="00261AC3" w:rsidRPr="0049187C">
              <w:rPr>
                <w:lang w:val="de-DE"/>
              </w:rPr>
              <w:t>6 </w:t>
            </w:r>
          </w:p>
        </w:tc>
        <w:tc>
          <w:tcPr>
            <w:tcW w:w="802" w:type="pct"/>
            <w:tcBorders>
              <w:top w:val="single" w:sz="4" w:space="0" w:color="000000"/>
              <w:left w:val="single" w:sz="4" w:space="0" w:color="000000"/>
              <w:bottom w:val="single" w:sz="4" w:space="0" w:color="000000"/>
              <w:right w:val="single" w:sz="4" w:space="0" w:color="000000"/>
            </w:tcBorders>
            <w:shd w:val="clear" w:color="auto" w:fill="auto"/>
          </w:tcPr>
          <w:p w14:paraId="5E8789E6" w14:textId="77777777" w:rsidR="00F83928" w:rsidRPr="0049187C" w:rsidRDefault="00B00716" w:rsidP="0049187C">
            <w:pPr>
              <w:spacing w:after="0" w:line="240" w:lineRule="auto"/>
              <w:ind w:left="0" w:firstLine="0"/>
              <w:jc w:val="center"/>
              <w:rPr>
                <w:lang w:val="de-DE"/>
              </w:rPr>
            </w:pPr>
            <w:r w:rsidRPr="0049187C">
              <w:rPr>
                <w:lang w:val="de-DE"/>
              </w:rPr>
              <w:t>0,</w:t>
            </w:r>
            <w:r w:rsidR="00261AC3" w:rsidRPr="0049187C">
              <w:rPr>
                <w:lang w:val="de-DE"/>
              </w:rPr>
              <w:t>8 </w:t>
            </w:r>
          </w:p>
        </w:tc>
        <w:tc>
          <w:tcPr>
            <w:tcW w:w="914" w:type="pct"/>
            <w:tcBorders>
              <w:top w:val="single" w:sz="4" w:space="0" w:color="000000"/>
              <w:left w:val="single" w:sz="4" w:space="0" w:color="000000"/>
              <w:bottom w:val="single" w:sz="4" w:space="0" w:color="000000"/>
              <w:right w:val="single" w:sz="4" w:space="0" w:color="000000"/>
            </w:tcBorders>
            <w:shd w:val="clear" w:color="auto" w:fill="auto"/>
          </w:tcPr>
          <w:p w14:paraId="10C21DD1" w14:textId="77777777" w:rsidR="00F83928" w:rsidRPr="0049187C" w:rsidRDefault="00B00716" w:rsidP="0049187C">
            <w:pPr>
              <w:spacing w:after="0" w:line="240" w:lineRule="auto"/>
              <w:ind w:left="0" w:firstLine="0"/>
              <w:rPr>
                <w:lang w:val="de-DE"/>
              </w:rPr>
            </w:pPr>
            <w:r w:rsidRPr="0049187C">
              <w:rPr>
                <w:lang w:val="de-DE"/>
              </w:rPr>
              <w:t>1,</w:t>
            </w:r>
            <w:r w:rsidR="00261AC3" w:rsidRPr="0049187C">
              <w:rPr>
                <w:lang w:val="de-DE"/>
              </w:rPr>
              <w:t>8 </w:t>
            </w:r>
            <w:r w:rsidRPr="0049187C">
              <w:rPr>
                <w:lang w:val="de-DE"/>
              </w:rPr>
              <w:t>(1,2;</w:t>
            </w:r>
            <w:r w:rsidR="00261AC3" w:rsidRPr="0049187C">
              <w:rPr>
                <w:lang w:val="de-DE"/>
              </w:rPr>
              <w:t> 2</w:t>
            </w:r>
            <w:r w:rsidRPr="0049187C">
              <w:rPr>
                <w:lang w:val="de-DE"/>
              </w:rPr>
              <w:t xml:space="preserve">,4) </w:t>
            </w:r>
          </w:p>
        </w:tc>
        <w:tc>
          <w:tcPr>
            <w:tcW w:w="903" w:type="pct"/>
            <w:tcBorders>
              <w:top w:val="single" w:sz="4" w:space="0" w:color="000000"/>
              <w:left w:val="single" w:sz="4" w:space="0" w:color="000000"/>
              <w:bottom w:val="single" w:sz="4" w:space="0" w:color="000000"/>
              <w:right w:val="single" w:sz="4" w:space="0" w:color="000000"/>
            </w:tcBorders>
            <w:shd w:val="clear" w:color="auto" w:fill="auto"/>
          </w:tcPr>
          <w:p w14:paraId="01FE8590" w14:textId="77777777" w:rsidR="00F83928" w:rsidRPr="0049187C" w:rsidRDefault="00B00716" w:rsidP="0049187C">
            <w:pPr>
              <w:spacing w:after="0" w:line="240" w:lineRule="auto"/>
              <w:ind w:left="0" w:firstLine="0"/>
              <w:rPr>
                <w:lang w:val="de-DE"/>
              </w:rPr>
            </w:pPr>
            <w:r w:rsidRPr="0049187C">
              <w:rPr>
                <w:lang w:val="de-DE"/>
              </w:rPr>
              <w:t>6</w:t>
            </w:r>
            <w:r w:rsidR="00261AC3" w:rsidRPr="0049187C">
              <w:rPr>
                <w:lang w:val="de-DE"/>
              </w:rPr>
              <w:t>9 </w:t>
            </w:r>
            <w:r w:rsidRPr="0049187C">
              <w:rPr>
                <w:lang w:val="de-DE"/>
              </w:rPr>
              <w:t>(53;</w:t>
            </w:r>
            <w:r w:rsidR="00261AC3" w:rsidRPr="0049187C">
              <w:rPr>
                <w:lang w:val="de-DE"/>
              </w:rPr>
              <w:t> 8</w:t>
            </w:r>
            <w:r w:rsidRPr="0049187C">
              <w:rPr>
                <w:lang w:val="de-DE"/>
              </w:rPr>
              <w:t xml:space="preserve">0)*** </w:t>
            </w:r>
          </w:p>
        </w:tc>
      </w:tr>
      <w:tr w:rsidR="00A67796" w:rsidRPr="0049187C" w14:paraId="1DEC365D" w14:textId="77777777" w:rsidTr="00975026">
        <w:trPr>
          <w:trHeight w:val="262"/>
        </w:trPr>
        <w:tc>
          <w:tcPr>
            <w:tcW w:w="1627" w:type="pct"/>
            <w:tcBorders>
              <w:top w:val="single" w:sz="4" w:space="0" w:color="000000"/>
              <w:left w:val="single" w:sz="4" w:space="0" w:color="000000"/>
              <w:bottom w:val="single" w:sz="4" w:space="0" w:color="000000"/>
              <w:right w:val="single" w:sz="4" w:space="0" w:color="000000"/>
            </w:tcBorders>
            <w:shd w:val="clear" w:color="auto" w:fill="auto"/>
          </w:tcPr>
          <w:p w14:paraId="433897A6" w14:textId="77777777" w:rsidR="00F83928" w:rsidRPr="0049187C" w:rsidRDefault="00B00716" w:rsidP="0049187C">
            <w:pPr>
              <w:spacing w:after="0" w:line="240" w:lineRule="auto"/>
              <w:ind w:left="0" w:firstLine="0"/>
              <w:rPr>
                <w:lang w:val="de-DE"/>
              </w:rPr>
            </w:pPr>
            <w:r w:rsidRPr="0049187C">
              <w:rPr>
                <w:lang w:val="de-DE"/>
              </w:rPr>
              <w:t>Nicht</w:t>
            </w:r>
            <w:r w:rsidR="00261AC3" w:rsidRPr="0049187C">
              <w:rPr>
                <w:lang w:val="de-DE"/>
              </w:rPr>
              <w:noBreakHyphen/>
            </w:r>
            <w:r w:rsidRPr="0049187C">
              <w:rPr>
                <w:lang w:val="de-DE"/>
              </w:rPr>
              <w:t>vertebrale Frakturen</w:t>
            </w:r>
            <w:r w:rsidR="00261AC3" w:rsidRPr="0049187C">
              <w:rPr>
                <w:vertAlign w:val="superscript"/>
                <w:lang w:val="de-DE"/>
              </w:rPr>
              <w:t>2 </w:t>
            </w:r>
          </w:p>
        </w:tc>
        <w:tc>
          <w:tcPr>
            <w:tcW w:w="753" w:type="pct"/>
            <w:tcBorders>
              <w:top w:val="single" w:sz="4" w:space="0" w:color="000000"/>
              <w:left w:val="single" w:sz="4" w:space="0" w:color="000000"/>
              <w:bottom w:val="single" w:sz="4" w:space="0" w:color="000000"/>
              <w:right w:val="single" w:sz="4" w:space="0" w:color="000000"/>
            </w:tcBorders>
            <w:shd w:val="clear" w:color="auto" w:fill="auto"/>
          </w:tcPr>
          <w:p w14:paraId="6D1E9AB0" w14:textId="77777777" w:rsidR="00F83928" w:rsidRPr="0049187C" w:rsidRDefault="00B00716" w:rsidP="0049187C">
            <w:pPr>
              <w:spacing w:after="0" w:line="240" w:lineRule="auto"/>
              <w:ind w:left="0" w:firstLine="0"/>
              <w:jc w:val="center"/>
              <w:rPr>
                <w:lang w:val="de-DE"/>
              </w:rPr>
            </w:pPr>
            <w:r w:rsidRPr="0049187C">
              <w:rPr>
                <w:lang w:val="de-DE"/>
              </w:rPr>
              <w:t>8,</w:t>
            </w:r>
            <w:r w:rsidR="00261AC3" w:rsidRPr="0049187C">
              <w:rPr>
                <w:lang w:val="de-DE"/>
              </w:rPr>
              <w:t>0 </w:t>
            </w:r>
          </w:p>
        </w:tc>
        <w:tc>
          <w:tcPr>
            <w:tcW w:w="802" w:type="pct"/>
            <w:tcBorders>
              <w:top w:val="single" w:sz="4" w:space="0" w:color="000000"/>
              <w:left w:val="single" w:sz="4" w:space="0" w:color="000000"/>
              <w:bottom w:val="single" w:sz="4" w:space="0" w:color="000000"/>
              <w:right w:val="single" w:sz="4" w:space="0" w:color="000000"/>
            </w:tcBorders>
            <w:shd w:val="clear" w:color="auto" w:fill="auto"/>
          </w:tcPr>
          <w:p w14:paraId="4A21348B" w14:textId="77777777" w:rsidR="00F83928" w:rsidRPr="0049187C" w:rsidRDefault="00B00716" w:rsidP="0049187C">
            <w:pPr>
              <w:spacing w:after="0" w:line="240" w:lineRule="auto"/>
              <w:ind w:left="0" w:firstLine="0"/>
              <w:jc w:val="center"/>
              <w:rPr>
                <w:lang w:val="de-DE"/>
              </w:rPr>
            </w:pPr>
            <w:r w:rsidRPr="0049187C">
              <w:rPr>
                <w:lang w:val="de-DE"/>
              </w:rPr>
              <w:t>6,</w:t>
            </w:r>
            <w:r w:rsidR="00261AC3" w:rsidRPr="0049187C">
              <w:rPr>
                <w:lang w:val="de-DE"/>
              </w:rPr>
              <w:t>5 </w:t>
            </w:r>
          </w:p>
        </w:tc>
        <w:tc>
          <w:tcPr>
            <w:tcW w:w="914" w:type="pct"/>
            <w:tcBorders>
              <w:top w:val="single" w:sz="4" w:space="0" w:color="000000"/>
              <w:left w:val="single" w:sz="4" w:space="0" w:color="000000"/>
              <w:bottom w:val="single" w:sz="4" w:space="0" w:color="000000"/>
              <w:right w:val="single" w:sz="4" w:space="0" w:color="000000"/>
            </w:tcBorders>
            <w:shd w:val="clear" w:color="auto" w:fill="auto"/>
          </w:tcPr>
          <w:p w14:paraId="76E993D5" w14:textId="77777777" w:rsidR="00F83928" w:rsidRPr="0049187C" w:rsidRDefault="00B00716" w:rsidP="0049187C">
            <w:pPr>
              <w:spacing w:after="0" w:line="240" w:lineRule="auto"/>
              <w:ind w:left="0" w:firstLine="0"/>
              <w:rPr>
                <w:lang w:val="de-DE"/>
              </w:rPr>
            </w:pPr>
            <w:r w:rsidRPr="0049187C">
              <w:rPr>
                <w:lang w:val="de-DE"/>
              </w:rPr>
              <w:t>1,</w:t>
            </w:r>
            <w:r w:rsidR="00261AC3" w:rsidRPr="0049187C">
              <w:rPr>
                <w:lang w:val="de-DE"/>
              </w:rPr>
              <w:t>5 </w:t>
            </w:r>
            <w:r w:rsidRPr="0049187C">
              <w:rPr>
                <w:lang w:val="de-DE"/>
              </w:rPr>
              <w:t>(0,3;</w:t>
            </w:r>
            <w:r w:rsidR="00261AC3" w:rsidRPr="0049187C">
              <w:rPr>
                <w:lang w:val="de-DE"/>
              </w:rPr>
              <w:t> 2</w:t>
            </w:r>
            <w:r w:rsidRPr="0049187C">
              <w:rPr>
                <w:lang w:val="de-DE"/>
              </w:rPr>
              <w:t xml:space="preserve">,7) </w:t>
            </w:r>
          </w:p>
        </w:tc>
        <w:tc>
          <w:tcPr>
            <w:tcW w:w="903" w:type="pct"/>
            <w:tcBorders>
              <w:top w:val="single" w:sz="4" w:space="0" w:color="000000"/>
              <w:left w:val="single" w:sz="4" w:space="0" w:color="000000"/>
              <w:bottom w:val="single" w:sz="4" w:space="0" w:color="000000"/>
              <w:right w:val="single" w:sz="4" w:space="0" w:color="000000"/>
            </w:tcBorders>
            <w:shd w:val="clear" w:color="auto" w:fill="auto"/>
          </w:tcPr>
          <w:p w14:paraId="79D93C53" w14:textId="77777777" w:rsidR="00F83928" w:rsidRPr="0049187C" w:rsidRDefault="00B00716" w:rsidP="0049187C">
            <w:pPr>
              <w:spacing w:after="0" w:line="240" w:lineRule="auto"/>
              <w:ind w:left="0" w:firstLine="0"/>
              <w:rPr>
                <w:lang w:val="de-DE"/>
              </w:rPr>
            </w:pPr>
            <w:r w:rsidRPr="0049187C">
              <w:rPr>
                <w:lang w:val="de-DE"/>
              </w:rPr>
              <w:t>2</w:t>
            </w:r>
            <w:r w:rsidR="00261AC3" w:rsidRPr="0049187C">
              <w:rPr>
                <w:lang w:val="de-DE"/>
              </w:rPr>
              <w:t>0 </w:t>
            </w:r>
            <w:r w:rsidRPr="0049187C">
              <w:rPr>
                <w:lang w:val="de-DE"/>
              </w:rPr>
              <w:t>(5;</w:t>
            </w:r>
            <w:r w:rsidR="00261AC3" w:rsidRPr="0049187C">
              <w:rPr>
                <w:lang w:val="de-DE"/>
              </w:rPr>
              <w:t> 3</w:t>
            </w:r>
            <w:r w:rsidRPr="0049187C">
              <w:rPr>
                <w:lang w:val="de-DE"/>
              </w:rPr>
              <w:t xml:space="preserve">3)** </w:t>
            </w:r>
          </w:p>
        </w:tc>
      </w:tr>
      <w:tr w:rsidR="00A67796" w:rsidRPr="0049187C" w14:paraId="3A2013AF" w14:textId="77777777" w:rsidTr="00975026">
        <w:trPr>
          <w:trHeight w:val="516"/>
        </w:trPr>
        <w:tc>
          <w:tcPr>
            <w:tcW w:w="1627" w:type="pct"/>
            <w:tcBorders>
              <w:top w:val="single" w:sz="4" w:space="0" w:color="000000"/>
              <w:left w:val="single" w:sz="4" w:space="0" w:color="000000"/>
              <w:bottom w:val="single" w:sz="4" w:space="0" w:color="000000"/>
              <w:right w:val="single" w:sz="4" w:space="0" w:color="000000"/>
            </w:tcBorders>
            <w:shd w:val="clear" w:color="auto" w:fill="auto"/>
          </w:tcPr>
          <w:p w14:paraId="09EE4B28" w14:textId="77777777" w:rsidR="00F83928" w:rsidRPr="0049187C" w:rsidRDefault="00B00716" w:rsidP="0049187C">
            <w:pPr>
              <w:spacing w:after="0" w:line="240" w:lineRule="auto"/>
              <w:ind w:left="0" w:firstLine="0"/>
              <w:rPr>
                <w:lang w:val="de-DE"/>
              </w:rPr>
            </w:pPr>
            <w:r w:rsidRPr="0049187C">
              <w:rPr>
                <w:lang w:val="de-DE"/>
              </w:rPr>
              <w:t>Typische nicht</w:t>
            </w:r>
            <w:r w:rsidR="00261AC3" w:rsidRPr="0049187C">
              <w:rPr>
                <w:lang w:val="de-DE"/>
              </w:rPr>
              <w:noBreakHyphen/>
            </w:r>
            <w:r w:rsidRPr="0049187C">
              <w:rPr>
                <w:lang w:val="de-DE"/>
              </w:rPr>
              <w:t>vertebrale Frakturen</w:t>
            </w:r>
            <w:r w:rsidR="00261AC3" w:rsidRPr="0049187C">
              <w:rPr>
                <w:vertAlign w:val="superscript"/>
                <w:lang w:val="de-DE"/>
              </w:rPr>
              <w:t>3 </w:t>
            </w:r>
          </w:p>
        </w:tc>
        <w:tc>
          <w:tcPr>
            <w:tcW w:w="753" w:type="pct"/>
            <w:tcBorders>
              <w:top w:val="single" w:sz="4" w:space="0" w:color="000000"/>
              <w:left w:val="single" w:sz="4" w:space="0" w:color="000000"/>
              <w:bottom w:val="single" w:sz="4" w:space="0" w:color="000000"/>
              <w:right w:val="single" w:sz="4" w:space="0" w:color="000000"/>
            </w:tcBorders>
            <w:shd w:val="clear" w:color="auto" w:fill="auto"/>
          </w:tcPr>
          <w:p w14:paraId="15C5E7F2" w14:textId="77777777" w:rsidR="00F83928" w:rsidRPr="0049187C" w:rsidRDefault="00B00716" w:rsidP="0049187C">
            <w:pPr>
              <w:spacing w:after="0" w:line="240" w:lineRule="auto"/>
              <w:ind w:left="0" w:firstLine="0"/>
              <w:jc w:val="center"/>
              <w:rPr>
                <w:lang w:val="de-DE"/>
              </w:rPr>
            </w:pPr>
            <w:r w:rsidRPr="0049187C">
              <w:rPr>
                <w:lang w:val="de-DE"/>
              </w:rPr>
              <w:t>6,</w:t>
            </w:r>
            <w:r w:rsidR="00261AC3" w:rsidRPr="0049187C">
              <w:rPr>
                <w:lang w:val="de-DE"/>
              </w:rPr>
              <w:t>4 </w:t>
            </w:r>
          </w:p>
        </w:tc>
        <w:tc>
          <w:tcPr>
            <w:tcW w:w="802" w:type="pct"/>
            <w:tcBorders>
              <w:top w:val="single" w:sz="4" w:space="0" w:color="000000"/>
              <w:left w:val="single" w:sz="4" w:space="0" w:color="000000"/>
              <w:bottom w:val="single" w:sz="4" w:space="0" w:color="000000"/>
              <w:right w:val="single" w:sz="4" w:space="0" w:color="000000"/>
            </w:tcBorders>
            <w:shd w:val="clear" w:color="auto" w:fill="auto"/>
          </w:tcPr>
          <w:p w14:paraId="645FDB0C" w14:textId="77777777" w:rsidR="00F83928" w:rsidRPr="0049187C" w:rsidRDefault="00B00716" w:rsidP="0049187C">
            <w:pPr>
              <w:spacing w:after="0" w:line="240" w:lineRule="auto"/>
              <w:ind w:left="0" w:firstLine="0"/>
              <w:jc w:val="center"/>
              <w:rPr>
                <w:lang w:val="de-DE"/>
              </w:rPr>
            </w:pPr>
            <w:r w:rsidRPr="0049187C">
              <w:rPr>
                <w:lang w:val="de-DE"/>
              </w:rPr>
              <w:t>5,</w:t>
            </w:r>
            <w:r w:rsidR="00261AC3" w:rsidRPr="0049187C">
              <w:rPr>
                <w:lang w:val="de-DE"/>
              </w:rPr>
              <w:t>2 </w:t>
            </w:r>
          </w:p>
        </w:tc>
        <w:tc>
          <w:tcPr>
            <w:tcW w:w="914" w:type="pct"/>
            <w:tcBorders>
              <w:top w:val="single" w:sz="4" w:space="0" w:color="000000"/>
              <w:left w:val="single" w:sz="4" w:space="0" w:color="000000"/>
              <w:bottom w:val="single" w:sz="4" w:space="0" w:color="000000"/>
              <w:right w:val="single" w:sz="4" w:space="0" w:color="000000"/>
            </w:tcBorders>
            <w:shd w:val="clear" w:color="auto" w:fill="auto"/>
          </w:tcPr>
          <w:p w14:paraId="4C6334AC" w14:textId="77777777" w:rsidR="00F83928" w:rsidRPr="0049187C" w:rsidRDefault="00B00716" w:rsidP="0049187C">
            <w:pPr>
              <w:spacing w:after="0" w:line="240" w:lineRule="auto"/>
              <w:ind w:left="0" w:firstLine="0"/>
              <w:rPr>
                <w:lang w:val="de-DE"/>
              </w:rPr>
            </w:pPr>
            <w:r w:rsidRPr="0049187C">
              <w:rPr>
                <w:lang w:val="de-DE"/>
              </w:rPr>
              <w:t>1,</w:t>
            </w:r>
            <w:r w:rsidR="00261AC3" w:rsidRPr="0049187C">
              <w:rPr>
                <w:lang w:val="de-DE"/>
              </w:rPr>
              <w:t>2 </w:t>
            </w:r>
            <w:r w:rsidRPr="0049187C">
              <w:rPr>
                <w:lang w:val="de-DE"/>
              </w:rPr>
              <w:t>(0,1;</w:t>
            </w:r>
            <w:r w:rsidR="00261AC3" w:rsidRPr="0049187C">
              <w:rPr>
                <w:lang w:val="de-DE"/>
              </w:rPr>
              <w:t> 2</w:t>
            </w:r>
            <w:r w:rsidRPr="0049187C">
              <w:rPr>
                <w:lang w:val="de-DE"/>
              </w:rPr>
              <w:t xml:space="preserve">,2) </w:t>
            </w:r>
          </w:p>
        </w:tc>
        <w:tc>
          <w:tcPr>
            <w:tcW w:w="903" w:type="pct"/>
            <w:tcBorders>
              <w:top w:val="single" w:sz="4" w:space="0" w:color="000000"/>
              <w:left w:val="single" w:sz="4" w:space="0" w:color="000000"/>
              <w:bottom w:val="single" w:sz="4" w:space="0" w:color="000000"/>
              <w:right w:val="single" w:sz="4" w:space="0" w:color="000000"/>
            </w:tcBorders>
            <w:shd w:val="clear" w:color="auto" w:fill="auto"/>
          </w:tcPr>
          <w:p w14:paraId="14E8981B" w14:textId="77777777" w:rsidR="00F83928" w:rsidRPr="0049187C" w:rsidRDefault="00B00716" w:rsidP="0049187C">
            <w:pPr>
              <w:spacing w:after="0" w:line="240" w:lineRule="auto"/>
              <w:ind w:left="0" w:firstLine="0"/>
              <w:rPr>
                <w:lang w:val="de-DE"/>
              </w:rPr>
            </w:pPr>
            <w:r w:rsidRPr="0049187C">
              <w:rPr>
                <w:lang w:val="de-DE"/>
              </w:rPr>
              <w:t>2</w:t>
            </w:r>
            <w:r w:rsidR="00261AC3" w:rsidRPr="0049187C">
              <w:rPr>
                <w:lang w:val="de-DE"/>
              </w:rPr>
              <w:t>0 </w:t>
            </w:r>
            <w:r w:rsidRPr="0049187C">
              <w:rPr>
                <w:lang w:val="de-DE"/>
              </w:rPr>
              <w:t>(3;</w:t>
            </w:r>
            <w:r w:rsidR="00261AC3" w:rsidRPr="0049187C">
              <w:rPr>
                <w:lang w:val="de-DE"/>
              </w:rPr>
              <w:t> 3</w:t>
            </w:r>
            <w:r w:rsidRPr="0049187C">
              <w:rPr>
                <w:lang w:val="de-DE"/>
              </w:rPr>
              <w:t xml:space="preserve">4)* </w:t>
            </w:r>
          </w:p>
        </w:tc>
      </w:tr>
      <w:tr w:rsidR="00A67796" w:rsidRPr="0049187C" w14:paraId="2E82F8EA" w14:textId="77777777" w:rsidTr="00975026">
        <w:trPr>
          <w:trHeight w:val="518"/>
        </w:trPr>
        <w:tc>
          <w:tcPr>
            <w:tcW w:w="1627" w:type="pct"/>
            <w:tcBorders>
              <w:top w:val="single" w:sz="4" w:space="0" w:color="000000"/>
              <w:left w:val="single" w:sz="4" w:space="0" w:color="000000"/>
              <w:bottom w:val="single" w:sz="4" w:space="0" w:color="auto"/>
              <w:right w:val="single" w:sz="4" w:space="0" w:color="000000"/>
            </w:tcBorders>
            <w:shd w:val="clear" w:color="auto" w:fill="auto"/>
          </w:tcPr>
          <w:p w14:paraId="7B9FEC2C" w14:textId="77777777" w:rsidR="00F83928" w:rsidRPr="0049187C" w:rsidRDefault="00B00716" w:rsidP="0049187C">
            <w:pPr>
              <w:spacing w:after="0" w:line="240" w:lineRule="auto"/>
              <w:ind w:left="0" w:firstLine="0"/>
              <w:rPr>
                <w:lang w:val="de-DE"/>
              </w:rPr>
            </w:pPr>
            <w:r w:rsidRPr="0049187C">
              <w:rPr>
                <w:lang w:val="de-DE"/>
              </w:rPr>
              <w:t>Typische Osteoporosebedingte Frakturen</w:t>
            </w:r>
            <w:r w:rsidR="00261AC3" w:rsidRPr="0049187C">
              <w:rPr>
                <w:vertAlign w:val="superscript"/>
                <w:lang w:val="de-DE"/>
              </w:rPr>
              <w:t>4 </w:t>
            </w:r>
          </w:p>
        </w:tc>
        <w:tc>
          <w:tcPr>
            <w:tcW w:w="753" w:type="pct"/>
            <w:tcBorders>
              <w:top w:val="single" w:sz="4" w:space="0" w:color="000000"/>
              <w:left w:val="single" w:sz="4" w:space="0" w:color="000000"/>
              <w:bottom w:val="single" w:sz="4" w:space="0" w:color="000000"/>
              <w:right w:val="single" w:sz="4" w:space="0" w:color="000000"/>
            </w:tcBorders>
            <w:shd w:val="clear" w:color="auto" w:fill="auto"/>
          </w:tcPr>
          <w:p w14:paraId="41345EC0" w14:textId="77777777" w:rsidR="00F83928" w:rsidRPr="0049187C" w:rsidRDefault="00B00716" w:rsidP="0049187C">
            <w:pPr>
              <w:spacing w:after="0" w:line="240" w:lineRule="auto"/>
              <w:ind w:left="0" w:firstLine="0"/>
              <w:jc w:val="center"/>
              <w:rPr>
                <w:lang w:val="de-DE"/>
              </w:rPr>
            </w:pPr>
            <w:r w:rsidRPr="0049187C">
              <w:rPr>
                <w:lang w:val="de-DE"/>
              </w:rPr>
              <w:t>8,</w:t>
            </w:r>
            <w:r w:rsidR="00261AC3" w:rsidRPr="0049187C">
              <w:rPr>
                <w:lang w:val="de-DE"/>
              </w:rPr>
              <w:t>0 </w:t>
            </w:r>
          </w:p>
        </w:tc>
        <w:tc>
          <w:tcPr>
            <w:tcW w:w="802" w:type="pct"/>
            <w:tcBorders>
              <w:top w:val="single" w:sz="4" w:space="0" w:color="000000"/>
              <w:left w:val="single" w:sz="4" w:space="0" w:color="000000"/>
              <w:bottom w:val="single" w:sz="4" w:space="0" w:color="000000"/>
              <w:right w:val="single" w:sz="4" w:space="0" w:color="000000"/>
            </w:tcBorders>
            <w:shd w:val="clear" w:color="auto" w:fill="auto"/>
          </w:tcPr>
          <w:p w14:paraId="1123D4E1" w14:textId="77777777" w:rsidR="00F83928" w:rsidRPr="0049187C" w:rsidRDefault="00B00716" w:rsidP="0049187C">
            <w:pPr>
              <w:spacing w:after="0" w:line="240" w:lineRule="auto"/>
              <w:ind w:left="0" w:firstLine="0"/>
              <w:jc w:val="center"/>
              <w:rPr>
                <w:lang w:val="de-DE"/>
              </w:rPr>
            </w:pPr>
            <w:r w:rsidRPr="0049187C">
              <w:rPr>
                <w:lang w:val="de-DE"/>
              </w:rPr>
              <w:t>5,</w:t>
            </w:r>
            <w:r w:rsidR="00261AC3" w:rsidRPr="0049187C">
              <w:rPr>
                <w:lang w:val="de-DE"/>
              </w:rPr>
              <w:t>3 </w:t>
            </w:r>
          </w:p>
        </w:tc>
        <w:tc>
          <w:tcPr>
            <w:tcW w:w="914" w:type="pct"/>
            <w:tcBorders>
              <w:top w:val="single" w:sz="4" w:space="0" w:color="000000"/>
              <w:left w:val="single" w:sz="4" w:space="0" w:color="000000"/>
              <w:bottom w:val="single" w:sz="4" w:space="0" w:color="000000"/>
              <w:right w:val="single" w:sz="4" w:space="0" w:color="000000"/>
            </w:tcBorders>
            <w:shd w:val="clear" w:color="auto" w:fill="auto"/>
          </w:tcPr>
          <w:p w14:paraId="26AA6926" w14:textId="77777777" w:rsidR="00F83928" w:rsidRPr="0049187C" w:rsidRDefault="00B00716" w:rsidP="0049187C">
            <w:pPr>
              <w:spacing w:after="0" w:line="240" w:lineRule="auto"/>
              <w:ind w:left="0" w:firstLine="0"/>
              <w:rPr>
                <w:lang w:val="de-DE"/>
              </w:rPr>
            </w:pPr>
            <w:r w:rsidRPr="0049187C">
              <w:rPr>
                <w:lang w:val="de-DE"/>
              </w:rPr>
              <w:t>2,</w:t>
            </w:r>
            <w:r w:rsidR="00261AC3" w:rsidRPr="0049187C">
              <w:rPr>
                <w:lang w:val="de-DE"/>
              </w:rPr>
              <w:t>7 </w:t>
            </w:r>
            <w:r w:rsidRPr="0049187C">
              <w:rPr>
                <w:lang w:val="de-DE"/>
              </w:rPr>
              <w:t>(1,6;</w:t>
            </w:r>
            <w:r w:rsidR="00261AC3" w:rsidRPr="0049187C">
              <w:rPr>
                <w:lang w:val="de-DE"/>
              </w:rPr>
              <w:t> 3</w:t>
            </w:r>
            <w:r w:rsidRPr="0049187C">
              <w:rPr>
                <w:lang w:val="de-DE"/>
              </w:rPr>
              <w:t xml:space="preserve">,9) </w:t>
            </w:r>
          </w:p>
        </w:tc>
        <w:tc>
          <w:tcPr>
            <w:tcW w:w="903" w:type="pct"/>
            <w:tcBorders>
              <w:top w:val="single" w:sz="4" w:space="0" w:color="000000"/>
              <w:left w:val="single" w:sz="4" w:space="0" w:color="000000"/>
              <w:bottom w:val="single" w:sz="4" w:space="0" w:color="auto"/>
              <w:right w:val="single" w:sz="4" w:space="0" w:color="000000"/>
            </w:tcBorders>
            <w:shd w:val="clear" w:color="auto" w:fill="auto"/>
          </w:tcPr>
          <w:p w14:paraId="72908D20" w14:textId="77777777" w:rsidR="00F83928" w:rsidRPr="0049187C" w:rsidRDefault="00B00716" w:rsidP="0049187C">
            <w:pPr>
              <w:spacing w:after="0" w:line="240" w:lineRule="auto"/>
              <w:ind w:left="0" w:firstLine="0"/>
              <w:rPr>
                <w:lang w:val="de-DE"/>
              </w:rPr>
            </w:pPr>
            <w:r w:rsidRPr="0049187C">
              <w:rPr>
                <w:lang w:val="de-DE"/>
              </w:rPr>
              <w:t>3</w:t>
            </w:r>
            <w:r w:rsidR="00261AC3" w:rsidRPr="0049187C">
              <w:rPr>
                <w:lang w:val="de-DE"/>
              </w:rPr>
              <w:t>5 </w:t>
            </w:r>
            <w:r w:rsidRPr="0049187C">
              <w:rPr>
                <w:lang w:val="de-DE"/>
              </w:rPr>
              <w:t>(22;</w:t>
            </w:r>
            <w:r w:rsidR="00261AC3" w:rsidRPr="0049187C">
              <w:rPr>
                <w:lang w:val="de-DE"/>
              </w:rPr>
              <w:t> 4</w:t>
            </w:r>
            <w:r w:rsidRPr="0049187C">
              <w:rPr>
                <w:lang w:val="de-DE"/>
              </w:rPr>
              <w:t xml:space="preserve">5)*** </w:t>
            </w:r>
          </w:p>
        </w:tc>
      </w:tr>
    </w:tbl>
    <w:p w14:paraId="7193FF3F" w14:textId="77777777" w:rsidR="00D02ACC" w:rsidRPr="0049187C" w:rsidRDefault="00B00716" w:rsidP="0049187C">
      <w:pPr>
        <w:spacing w:after="0" w:line="240" w:lineRule="auto"/>
        <w:ind w:left="0" w:firstLine="0"/>
        <w:rPr>
          <w:lang w:val="de-DE"/>
        </w:rPr>
      </w:pPr>
      <w:r w:rsidRPr="0049187C">
        <w:rPr>
          <w:lang w:val="de-DE"/>
        </w:rPr>
        <w:t xml:space="preserve">*p ≤ 0,05; **p = 0,0106 </w:t>
      </w:r>
      <w:r w:rsidRPr="0049187C">
        <w:rPr>
          <w:i/>
          <w:iCs/>
          <w:lang w:val="de-DE"/>
        </w:rPr>
        <w:t>(sekundärer Endpunkt war in die Korrektur für Multiplizität eingeschlossen)</w:t>
      </w:r>
      <w:r w:rsidRPr="0049187C">
        <w:rPr>
          <w:lang w:val="de-DE"/>
        </w:rPr>
        <w:t>; ***p ≤ 0,0001</w:t>
      </w:r>
    </w:p>
    <w:p w14:paraId="55B416B6" w14:textId="77777777" w:rsidR="00261AC3" w:rsidRPr="0049187C" w:rsidRDefault="00B00716" w:rsidP="0049187C">
      <w:pPr>
        <w:spacing w:after="0" w:line="240" w:lineRule="auto"/>
        <w:ind w:left="0" w:firstLine="0"/>
        <w:rPr>
          <w:lang w:val="de-DE"/>
        </w:rPr>
      </w:pPr>
      <w:r w:rsidRPr="0049187C">
        <w:rPr>
          <w:vertAlign w:val="superscript"/>
          <w:lang w:val="de-DE"/>
        </w:rPr>
        <w:t>+</w:t>
      </w:r>
      <w:r w:rsidR="00975026" w:rsidRPr="0049187C">
        <w:rPr>
          <w:vertAlign w:val="superscript"/>
          <w:lang w:val="de-DE"/>
        </w:rPr>
        <w:t xml:space="preserve"> </w:t>
      </w:r>
      <w:r w:rsidRPr="0049187C">
        <w:rPr>
          <w:lang w:val="de-DE"/>
        </w:rPr>
        <w:t>Ereignisraten basierend auf Kaplan</w:t>
      </w:r>
      <w:r w:rsidRPr="0049187C">
        <w:rPr>
          <w:lang w:val="de-DE"/>
        </w:rPr>
        <w:noBreakHyphen/>
        <w:t>Meier</w:t>
      </w:r>
      <w:r w:rsidRPr="0049187C">
        <w:rPr>
          <w:lang w:val="de-DE"/>
        </w:rPr>
        <w:noBreakHyphen/>
        <w:t>Schätzungen nach 3 Jahren.</w:t>
      </w:r>
    </w:p>
    <w:p w14:paraId="78D823A6" w14:textId="77777777" w:rsidR="00261AC3" w:rsidRPr="0049187C" w:rsidRDefault="00B00716" w:rsidP="0049187C">
      <w:pPr>
        <w:pStyle w:val="ListParagraph"/>
        <w:spacing w:after="0" w:line="240" w:lineRule="auto"/>
        <w:ind w:left="0" w:firstLine="0"/>
        <w:rPr>
          <w:lang w:val="de-DE"/>
        </w:rPr>
      </w:pPr>
      <w:r w:rsidRPr="0049187C">
        <w:rPr>
          <w:vertAlign w:val="superscript"/>
          <w:lang w:val="de-DE"/>
        </w:rPr>
        <w:t>1</w:t>
      </w:r>
      <w:r w:rsidR="001A5A5E" w:rsidRPr="0049187C">
        <w:rPr>
          <w:lang w:val="de-DE"/>
        </w:rPr>
        <w:t xml:space="preserve"> </w:t>
      </w:r>
      <w:r w:rsidR="00FD7DFF" w:rsidRPr="0049187C">
        <w:rPr>
          <w:lang w:val="de-DE"/>
        </w:rPr>
        <w:t>Einschließlich klinischer vertebraler Frakturen und nicht</w:t>
      </w:r>
      <w:r w:rsidRPr="0049187C">
        <w:rPr>
          <w:lang w:val="de-DE"/>
        </w:rPr>
        <w:noBreakHyphen/>
      </w:r>
      <w:r w:rsidR="00FD7DFF" w:rsidRPr="0049187C">
        <w:rPr>
          <w:lang w:val="de-DE"/>
        </w:rPr>
        <w:t>vertebraler Frakturen.</w:t>
      </w:r>
    </w:p>
    <w:p w14:paraId="16DC87DA" w14:textId="77777777" w:rsidR="00261AC3" w:rsidRPr="0049187C" w:rsidRDefault="00B00716" w:rsidP="0049187C">
      <w:pPr>
        <w:spacing w:after="0" w:line="240" w:lineRule="auto"/>
        <w:ind w:left="0" w:firstLine="0"/>
        <w:rPr>
          <w:lang w:val="de-DE"/>
        </w:rPr>
      </w:pPr>
      <w:r w:rsidRPr="0049187C">
        <w:rPr>
          <w:vertAlign w:val="superscript"/>
          <w:lang w:val="de-DE"/>
        </w:rPr>
        <w:t>2</w:t>
      </w:r>
      <w:r w:rsidR="001A5A5E" w:rsidRPr="0049187C">
        <w:rPr>
          <w:lang w:val="de-DE"/>
        </w:rPr>
        <w:t xml:space="preserve"> </w:t>
      </w:r>
      <w:r w:rsidR="00FD7DFF" w:rsidRPr="0049187C">
        <w:rPr>
          <w:lang w:val="de-DE"/>
        </w:rPr>
        <w:t>Frakturen der Wirbelkörper, des Schädels, des Gesichts, der Mandibula, der Mittelhand und der Finger</w:t>
      </w:r>
      <w:r w:rsidRPr="0049187C">
        <w:rPr>
          <w:lang w:val="de-DE"/>
        </w:rPr>
        <w:noBreakHyphen/>
      </w:r>
      <w:r w:rsidR="00FD7DFF" w:rsidRPr="0049187C">
        <w:rPr>
          <w:lang w:val="de-DE"/>
        </w:rPr>
        <w:t xml:space="preserve"> und Zehenglieder ausgeschlossen.</w:t>
      </w:r>
    </w:p>
    <w:p w14:paraId="25546314" w14:textId="77777777" w:rsidR="00261AC3" w:rsidRPr="0049187C" w:rsidRDefault="00B00716" w:rsidP="0049187C">
      <w:pPr>
        <w:spacing w:after="0" w:line="240" w:lineRule="auto"/>
        <w:ind w:left="0" w:firstLine="0"/>
        <w:rPr>
          <w:lang w:val="de-DE"/>
        </w:rPr>
      </w:pPr>
      <w:r w:rsidRPr="0049187C">
        <w:rPr>
          <w:vertAlign w:val="superscript"/>
          <w:lang w:val="de-DE"/>
        </w:rPr>
        <w:t>3</w:t>
      </w:r>
      <w:r w:rsidR="001A5A5E" w:rsidRPr="0049187C">
        <w:rPr>
          <w:lang w:val="de-DE"/>
        </w:rPr>
        <w:t xml:space="preserve"> </w:t>
      </w:r>
      <w:r w:rsidR="00FD7DFF" w:rsidRPr="0049187C">
        <w:rPr>
          <w:lang w:val="de-DE"/>
        </w:rPr>
        <w:t>Einschließlich Frakturen des Beckens, des distalen Femurs, der proximalen Tibia, der Rippen, des proximalen Humerus, des Unterarms und der Hüfte.</w:t>
      </w:r>
    </w:p>
    <w:p w14:paraId="3169C88A" w14:textId="77777777" w:rsidR="00261AC3" w:rsidRPr="0049187C" w:rsidRDefault="00B00716" w:rsidP="0049187C">
      <w:pPr>
        <w:spacing w:after="0" w:line="240" w:lineRule="auto"/>
        <w:ind w:left="0" w:firstLine="0"/>
        <w:rPr>
          <w:lang w:val="de-DE"/>
        </w:rPr>
      </w:pPr>
      <w:r w:rsidRPr="0049187C">
        <w:rPr>
          <w:vertAlign w:val="superscript"/>
          <w:lang w:val="de-DE"/>
        </w:rPr>
        <w:t>4</w:t>
      </w:r>
      <w:r w:rsidR="001A5A5E" w:rsidRPr="0049187C">
        <w:rPr>
          <w:lang w:val="de-DE"/>
        </w:rPr>
        <w:t xml:space="preserve"> </w:t>
      </w:r>
      <w:r w:rsidR="00FD7DFF" w:rsidRPr="0049187C">
        <w:rPr>
          <w:lang w:val="de-DE"/>
        </w:rPr>
        <w:t>Einschließlich klinischer vertebraler Frakturen, Frakturen der Hüfte, des Unterarms und des Humerus gemäß WHO</w:t>
      </w:r>
      <w:r w:rsidRPr="0049187C">
        <w:rPr>
          <w:lang w:val="de-DE"/>
        </w:rPr>
        <w:noBreakHyphen/>
      </w:r>
      <w:r w:rsidR="00FD7DFF" w:rsidRPr="0049187C">
        <w:rPr>
          <w:lang w:val="de-DE"/>
        </w:rPr>
        <w:t>Definition.</w:t>
      </w:r>
    </w:p>
    <w:p w14:paraId="423F1A8B" w14:textId="77777777" w:rsidR="00F83928" w:rsidRPr="0049187C" w:rsidRDefault="00F83928" w:rsidP="0049187C">
      <w:pPr>
        <w:spacing w:after="0" w:line="240" w:lineRule="auto"/>
        <w:ind w:left="0" w:firstLine="0"/>
        <w:rPr>
          <w:lang w:val="de-DE"/>
        </w:rPr>
      </w:pPr>
    </w:p>
    <w:p w14:paraId="09EA1A1F" w14:textId="77777777" w:rsidR="00261AC3" w:rsidRPr="0049187C" w:rsidRDefault="00B00716" w:rsidP="0049187C">
      <w:pPr>
        <w:spacing w:after="0" w:line="240" w:lineRule="auto"/>
        <w:ind w:left="0" w:firstLine="0"/>
        <w:rPr>
          <w:lang w:val="de-DE"/>
        </w:rPr>
      </w:pPr>
      <w:r w:rsidRPr="0049187C">
        <w:rPr>
          <w:lang w:val="de-DE"/>
        </w:rPr>
        <w:t>Bei Frauen mit einer Ausgangs</w:t>
      </w:r>
      <w:r w:rsidRPr="0049187C">
        <w:rPr>
          <w:lang w:val="de-DE"/>
        </w:rPr>
        <w:noBreakHyphen/>
        <w:t xml:space="preserve">BMD am Schenkelhals von ≤ </w:t>
      </w:r>
      <w:r w:rsidRPr="0049187C">
        <w:rPr>
          <w:lang w:val="de-DE"/>
        </w:rPr>
        <w:noBreakHyphen/>
        <w:t xml:space="preserve">2,5 reduzierte </w:t>
      </w:r>
      <w:r w:rsidR="006F6844" w:rsidRPr="0049187C">
        <w:rPr>
          <w:lang w:val="de-DE"/>
        </w:rPr>
        <w:t xml:space="preserve">Denosumab </w:t>
      </w:r>
      <w:r w:rsidRPr="0049187C">
        <w:rPr>
          <w:lang w:val="de-DE"/>
        </w:rPr>
        <w:t>das Risiko nicht</w:t>
      </w:r>
      <w:r w:rsidRPr="0049187C">
        <w:rPr>
          <w:lang w:val="de-DE"/>
        </w:rPr>
        <w:noBreakHyphen/>
        <w:t>vertebraler Frakturen (35 % relative Risikoreduktion, 4,1 % absolute Risikoreduktion, p &lt; 0,001, exploratorische Analyse).</w:t>
      </w:r>
    </w:p>
    <w:p w14:paraId="74F8BFA5" w14:textId="77777777" w:rsidR="00F83928" w:rsidRPr="0049187C" w:rsidRDefault="00F83928" w:rsidP="0049187C">
      <w:pPr>
        <w:spacing w:after="0" w:line="240" w:lineRule="auto"/>
        <w:ind w:left="0" w:firstLine="0"/>
        <w:rPr>
          <w:lang w:val="de-DE"/>
        </w:rPr>
      </w:pPr>
    </w:p>
    <w:p w14:paraId="05DD197A" w14:textId="77777777" w:rsidR="00261AC3" w:rsidRPr="0049187C" w:rsidRDefault="00B00716" w:rsidP="0049187C">
      <w:pPr>
        <w:spacing w:after="0" w:line="240" w:lineRule="auto"/>
        <w:ind w:left="0" w:firstLine="0"/>
        <w:rPr>
          <w:lang w:val="de-DE"/>
        </w:rPr>
      </w:pPr>
      <w:r w:rsidRPr="0049187C">
        <w:rPr>
          <w:lang w:val="de-DE"/>
        </w:rPr>
        <w:t>Unabhängig von dem Ausgangswert der 10</w:t>
      </w:r>
      <w:r w:rsidRPr="0049187C">
        <w:rPr>
          <w:lang w:val="de-DE"/>
        </w:rPr>
        <w:noBreakHyphen/>
        <w:t>Jahre</w:t>
      </w:r>
      <w:r w:rsidRPr="0049187C">
        <w:rPr>
          <w:lang w:val="de-DE"/>
        </w:rPr>
        <w:noBreakHyphen/>
        <w:t>Wahrscheinlichkeit einer Fraktur wurde eine konsistente Reduktion der Inzidenz neuer vertebraler Frakturen, nicht</w:t>
      </w:r>
      <w:r w:rsidRPr="0049187C">
        <w:rPr>
          <w:lang w:val="de-DE"/>
        </w:rPr>
        <w:noBreakHyphen/>
        <w:t xml:space="preserve">vertebraler Frakturen und Hüftfrakturen mit </w:t>
      </w:r>
      <w:r w:rsidR="006F6844" w:rsidRPr="0049187C">
        <w:rPr>
          <w:lang w:val="de-DE"/>
        </w:rPr>
        <w:t xml:space="preserve">Denosumab </w:t>
      </w:r>
      <w:r w:rsidRPr="0049187C">
        <w:rPr>
          <w:lang w:val="de-DE"/>
        </w:rPr>
        <w:t>über 3 Jahre beobachtet.</w:t>
      </w:r>
    </w:p>
    <w:p w14:paraId="0E270C9A" w14:textId="77777777" w:rsidR="00F83928" w:rsidRPr="0049187C" w:rsidRDefault="00F83928" w:rsidP="0049187C">
      <w:pPr>
        <w:spacing w:after="0" w:line="240" w:lineRule="auto"/>
        <w:ind w:left="0" w:firstLine="0"/>
        <w:rPr>
          <w:lang w:val="de-DE"/>
        </w:rPr>
      </w:pPr>
    </w:p>
    <w:p w14:paraId="0B1B3B07" w14:textId="77777777" w:rsidR="00261AC3" w:rsidRPr="0049187C" w:rsidRDefault="00B00716" w:rsidP="0049187C">
      <w:pPr>
        <w:keepNext/>
        <w:keepLines/>
        <w:spacing w:after="0" w:line="240" w:lineRule="auto"/>
        <w:ind w:left="0" w:firstLine="0"/>
        <w:rPr>
          <w:i/>
          <w:iCs/>
          <w:lang w:val="de-DE"/>
        </w:rPr>
      </w:pPr>
      <w:r w:rsidRPr="0049187C">
        <w:rPr>
          <w:i/>
          <w:iCs/>
          <w:lang w:val="de-DE"/>
        </w:rPr>
        <w:t>Auswirkungen auf die Knochenmineraldichte</w:t>
      </w:r>
    </w:p>
    <w:p w14:paraId="2EB42F2C" w14:textId="77777777" w:rsidR="00261AC3" w:rsidRPr="0049187C" w:rsidRDefault="00B00716" w:rsidP="0049187C">
      <w:pPr>
        <w:spacing w:after="0" w:line="240" w:lineRule="auto"/>
        <w:ind w:left="0" w:firstLine="0"/>
        <w:rPr>
          <w:lang w:val="de-DE"/>
        </w:rPr>
      </w:pPr>
      <w:r w:rsidRPr="0049187C">
        <w:rPr>
          <w:lang w:val="de-DE"/>
        </w:rPr>
        <w:t xml:space="preserve">Im Vergleich zu Placebo erhöhte </w:t>
      </w:r>
      <w:r w:rsidR="006F6844" w:rsidRPr="0049187C">
        <w:rPr>
          <w:lang w:val="de-DE"/>
        </w:rPr>
        <w:t xml:space="preserve">Denosumab </w:t>
      </w:r>
      <w:r w:rsidRPr="0049187C">
        <w:rPr>
          <w:lang w:val="de-DE"/>
        </w:rPr>
        <w:t>die BMD nach 1, 2 und 3 Jahren signifikant an allen</w:t>
      </w:r>
      <w:r w:rsidR="00E97B1A" w:rsidRPr="0049187C">
        <w:rPr>
          <w:lang w:val="de-DE"/>
        </w:rPr>
        <w:t xml:space="preserve"> </w:t>
      </w:r>
      <w:r w:rsidRPr="0049187C">
        <w:rPr>
          <w:lang w:val="de-DE"/>
        </w:rPr>
        <w:t xml:space="preserve">Skelettlokalisationen. Nach 3 Jahren erhöhte </w:t>
      </w:r>
      <w:r w:rsidR="006F6844" w:rsidRPr="0049187C">
        <w:rPr>
          <w:lang w:val="de-DE"/>
        </w:rPr>
        <w:t xml:space="preserve">Denosumab </w:t>
      </w:r>
      <w:r w:rsidRPr="0049187C">
        <w:rPr>
          <w:lang w:val="de-DE"/>
        </w:rPr>
        <w:t>die BMD um 9,2 % an der Lendenwirbelsäule, 6,0 % an der Gesamthüfte, 4,8 % am Schenkelhals, 7,9 % am Hüft</w:t>
      </w:r>
      <w:r w:rsidRPr="0049187C">
        <w:rPr>
          <w:lang w:val="de-DE"/>
        </w:rPr>
        <w:noBreakHyphen/>
        <w:t>Trochanter, 3,5 % am distalen Drittel des Radius und 4,1 % im gesamten Körper (alle</w:t>
      </w:r>
      <w:r w:rsidR="00E97B1A" w:rsidRPr="0049187C">
        <w:rPr>
          <w:lang w:val="de-DE"/>
        </w:rPr>
        <w:t> </w:t>
      </w:r>
      <w:r w:rsidRPr="0049187C">
        <w:rPr>
          <w:lang w:val="de-DE"/>
        </w:rPr>
        <w:t>p</w:t>
      </w:r>
      <w:r w:rsidR="00E97B1A" w:rsidRPr="0049187C">
        <w:rPr>
          <w:lang w:val="de-DE"/>
        </w:rPr>
        <w:t> </w:t>
      </w:r>
      <w:r w:rsidRPr="0049187C">
        <w:rPr>
          <w:lang w:val="de-DE"/>
        </w:rPr>
        <w:t>&lt; 0,0001).</w:t>
      </w:r>
    </w:p>
    <w:p w14:paraId="5182643B" w14:textId="77777777" w:rsidR="00F83928" w:rsidRPr="0049187C" w:rsidRDefault="00F83928" w:rsidP="0049187C">
      <w:pPr>
        <w:spacing w:after="0" w:line="240" w:lineRule="auto"/>
        <w:ind w:left="0" w:firstLine="0"/>
        <w:rPr>
          <w:lang w:val="de-DE"/>
        </w:rPr>
      </w:pPr>
    </w:p>
    <w:p w14:paraId="124BFC96" w14:textId="77777777" w:rsidR="00261AC3" w:rsidRPr="0049187C" w:rsidRDefault="00B00716" w:rsidP="0049187C">
      <w:pPr>
        <w:spacing w:after="0" w:line="240" w:lineRule="auto"/>
        <w:ind w:left="0" w:firstLine="0"/>
        <w:rPr>
          <w:lang w:val="de-DE"/>
        </w:rPr>
      </w:pPr>
      <w:r w:rsidRPr="0049187C">
        <w:rPr>
          <w:lang w:val="de-DE"/>
        </w:rPr>
        <w:t xml:space="preserve">In klinischen Studien, die die Auswirkungen einer Unterbrechung der Behandlung mit </w:t>
      </w:r>
      <w:r w:rsidR="006F6844" w:rsidRPr="0049187C">
        <w:rPr>
          <w:lang w:val="de-DE"/>
        </w:rPr>
        <w:t xml:space="preserve">Denosumab </w:t>
      </w:r>
      <w:r w:rsidRPr="0049187C">
        <w:rPr>
          <w:lang w:val="de-DE"/>
        </w:rPr>
        <w:t>untersuchten, kehrte die BMD ungefähr auf Werte vor der Behandlung zurück und blieb innerhalb von 18 Monaten nach der letzten Dosis oberhalb der Werte der Placebo</w:t>
      </w:r>
      <w:r w:rsidRPr="0049187C">
        <w:rPr>
          <w:lang w:val="de-DE"/>
        </w:rPr>
        <w:noBreakHyphen/>
        <w:t xml:space="preserve">Gruppe. Diese Daten deuten darauf hin, dass eine kontinuierliche Behandlung mit </w:t>
      </w:r>
      <w:r w:rsidR="006F6844" w:rsidRPr="0049187C">
        <w:rPr>
          <w:lang w:val="de-DE"/>
        </w:rPr>
        <w:t xml:space="preserve">Denosumab </w:t>
      </w:r>
      <w:r w:rsidRPr="0049187C">
        <w:rPr>
          <w:lang w:val="de-DE"/>
        </w:rPr>
        <w:t>erforderlich ist, um den</w:t>
      </w:r>
      <w:r w:rsidR="00252F44" w:rsidRPr="0049187C">
        <w:rPr>
          <w:lang w:val="de-DE"/>
        </w:rPr>
        <w:t xml:space="preserve"> </w:t>
      </w:r>
      <w:r w:rsidRPr="0049187C">
        <w:rPr>
          <w:lang w:val="de-DE"/>
        </w:rPr>
        <w:t xml:space="preserve">Behandlungseffekt des Arzneimittels aufrechtzuerhalten. Die Wiederaufnahme der Behandlung mit </w:t>
      </w:r>
      <w:r w:rsidR="006F6844" w:rsidRPr="0049187C">
        <w:rPr>
          <w:lang w:val="de-DE"/>
        </w:rPr>
        <w:t xml:space="preserve">Denosumab </w:t>
      </w:r>
      <w:r w:rsidRPr="0049187C">
        <w:rPr>
          <w:lang w:val="de-DE"/>
        </w:rPr>
        <w:t xml:space="preserve">führte zu Erhöhungen der BMD vergleichbar mit der ersten </w:t>
      </w:r>
      <w:r w:rsidR="006F6844" w:rsidRPr="0049187C">
        <w:rPr>
          <w:lang w:val="de-DE"/>
        </w:rPr>
        <w:t>Denosumab</w:t>
      </w:r>
      <w:r w:rsidRPr="0049187C">
        <w:rPr>
          <w:lang w:val="de-DE"/>
        </w:rPr>
        <w:noBreakHyphen/>
        <w:t>Anwendung.</w:t>
      </w:r>
    </w:p>
    <w:p w14:paraId="0825AF1B" w14:textId="77777777" w:rsidR="00F83928" w:rsidRPr="0049187C" w:rsidRDefault="00F83928" w:rsidP="0049187C">
      <w:pPr>
        <w:spacing w:after="0" w:line="240" w:lineRule="auto"/>
        <w:ind w:left="0" w:firstLine="0"/>
        <w:rPr>
          <w:lang w:val="de-DE"/>
        </w:rPr>
      </w:pPr>
    </w:p>
    <w:p w14:paraId="28BB6385" w14:textId="77777777" w:rsidR="00261AC3" w:rsidRPr="0049187C" w:rsidRDefault="00B00716" w:rsidP="0049187C">
      <w:pPr>
        <w:keepNext/>
        <w:keepLines/>
        <w:spacing w:after="0" w:line="240" w:lineRule="auto"/>
        <w:ind w:left="0" w:firstLine="0"/>
        <w:rPr>
          <w:i/>
          <w:iCs/>
          <w:lang w:val="de-DE"/>
        </w:rPr>
      </w:pPr>
      <w:r w:rsidRPr="0049187C">
        <w:rPr>
          <w:i/>
          <w:iCs/>
          <w:lang w:val="de-DE"/>
        </w:rPr>
        <w:t>Offene Verlängerungsstudie zur Behandlung der postmenopausalen Osteoporose</w:t>
      </w:r>
    </w:p>
    <w:p w14:paraId="37E5AE72" w14:textId="77777777" w:rsidR="00261AC3" w:rsidRPr="0049187C" w:rsidRDefault="00B00716" w:rsidP="0049187C">
      <w:pPr>
        <w:spacing w:after="0" w:line="240" w:lineRule="auto"/>
        <w:ind w:left="0" w:firstLine="0"/>
        <w:rPr>
          <w:lang w:val="de-DE"/>
        </w:rPr>
      </w:pPr>
      <w:r w:rsidRPr="0049187C">
        <w:rPr>
          <w:lang w:val="de-DE"/>
        </w:rPr>
        <w:t>Insgesamt 4</w:t>
      </w:r>
      <w:r w:rsidR="006F6844" w:rsidRPr="0049187C">
        <w:rPr>
          <w:lang w:val="de-DE"/>
        </w:rPr>
        <w:t> </w:t>
      </w:r>
      <w:r w:rsidRPr="0049187C">
        <w:rPr>
          <w:lang w:val="de-DE"/>
        </w:rPr>
        <w:t>550 Frauen (2</w:t>
      </w:r>
      <w:r w:rsidR="006F6844" w:rsidRPr="0049187C">
        <w:rPr>
          <w:lang w:val="de-DE"/>
        </w:rPr>
        <w:t> </w:t>
      </w:r>
      <w:r w:rsidRPr="0049187C">
        <w:rPr>
          <w:lang w:val="de-DE"/>
        </w:rPr>
        <w:t>343 </w:t>
      </w:r>
      <w:r w:rsidR="006F6844" w:rsidRPr="0049187C">
        <w:rPr>
          <w:lang w:val="de-DE"/>
        </w:rPr>
        <w:t xml:space="preserve">Denosumab </w:t>
      </w:r>
      <w:r w:rsidRPr="0049187C">
        <w:rPr>
          <w:lang w:val="de-DE"/>
        </w:rPr>
        <w:t>und 2</w:t>
      </w:r>
      <w:r w:rsidR="006F6844" w:rsidRPr="0049187C">
        <w:rPr>
          <w:lang w:val="de-DE"/>
        </w:rPr>
        <w:t> </w:t>
      </w:r>
      <w:r w:rsidRPr="0049187C">
        <w:rPr>
          <w:lang w:val="de-DE"/>
        </w:rPr>
        <w:t>207 Placebo), die in der oben beschriebenen</w:t>
      </w:r>
      <w:r w:rsidR="00E97B1A" w:rsidRPr="0049187C">
        <w:rPr>
          <w:lang w:val="de-DE"/>
        </w:rPr>
        <w:t xml:space="preserve"> </w:t>
      </w:r>
      <w:r w:rsidRPr="0049187C">
        <w:rPr>
          <w:lang w:val="de-DE"/>
        </w:rPr>
        <w:t xml:space="preserve">Zulassungsstudie nicht mehr als eine Dosis des Prüfpräparates ausgelassen und die Studienvisite zum Monat 36 abgeschlossen hatten, stimmten der Aufnahme in eine auf 7 Jahre angelegte multinationale, multizentrische, offene, einarmige Verlängerungsstudie zur Evaluierung der Langzeitsicherheit und </w:t>
      </w:r>
      <w:r w:rsidRPr="0049187C">
        <w:rPr>
          <w:lang w:val="de-DE"/>
        </w:rPr>
        <w:noBreakHyphen/>
        <w:t xml:space="preserve">wirksamkeit von </w:t>
      </w:r>
      <w:r w:rsidR="006F6844" w:rsidRPr="0049187C">
        <w:rPr>
          <w:lang w:val="de-DE"/>
        </w:rPr>
        <w:t xml:space="preserve">Denosumab </w:t>
      </w:r>
      <w:r w:rsidRPr="0049187C">
        <w:rPr>
          <w:lang w:val="de-DE"/>
        </w:rPr>
        <w:t>zu. Alle Frauen in der Verlängerungsstudie sollten alle 6 Monate 60 mg</w:t>
      </w:r>
      <w:r w:rsidR="00E97B1A" w:rsidRPr="0049187C">
        <w:rPr>
          <w:lang w:val="de-DE"/>
        </w:rPr>
        <w:t xml:space="preserve"> </w:t>
      </w:r>
      <w:r w:rsidR="006F6844" w:rsidRPr="0049187C">
        <w:rPr>
          <w:lang w:val="de-DE"/>
        </w:rPr>
        <w:t xml:space="preserve">Denosumab </w:t>
      </w:r>
      <w:r w:rsidRPr="0049187C">
        <w:rPr>
          <w:lang w:val="de-DE"/>
        </w:rPr>
        <w:t>sowie täglich Calcium (mindestens 1 g) und Vitamin D (mindestens 400 I.E.) erhalten. Es schlossen insgesamt 2</w:t>
      </w:r>
      <w:r w:rsidR="00B80441" w:rsidRPr="0049187C">
        <w:rPr>
          <w:lang w:val="de-DE"/>
        </w:rPr>
        <w:t> </w:t>
      </w:r>
      <w:r w:rsidRPr="0049187C">
        <w:rPr>
          <w:lang w:val="de-DE"/>
        </w:rPr>
        <w:t>626 Patientinnen die Verlängerungsstudie ab (d. h. 58 % der Frauen, die in die Verlängerungsstudie, bzw. 34 % der Frauen, die in die pivotale Zulassungsstudie aufgenommen wurden).</w:t>
      </w:r>
    </w:p>
    <w:p w14:paraId="0162300C" w14:textId="77777777" w:rsidR="00F83928" w:rsidRPr="0049187C" w:rsidRDefault="00F83928" w:rsidP="0049187C">
      <w:pPr>
        <w:spacing w:after="0" w:line="240" w:lineRule="auto"/>
        <w:ind w:left="0" w:firstLine="0"/>
        <w:rPr>
          <w:lang w:val="de-DE"/>
        </w:rPr>
      </w:pPr>
    </w:p>
    <w:p w14:paraId="2ED9EDAA" w14:textId="77777777" w:rsidR="00261AC3" w:rsidRPr="0049187C" w:rsidRDefault="00B00716" w:rsidP="0049187C">
      <w:pPr>
        <w:spacing w:after="0" w:line="240" w:lineRule="auto"/>
        <w:ind w:left="0" w:firstLine="0"/>
        <w:rPr>
          <w:lang w:val="de-DE"/>
        </w:rPr>
      </w:pPr>
      <w:r w:rsidRPr="0049187C">
        <w:rPr>
          <w:lang w:val="de-DE"/>
        </w:rPr>
        <w:t xml:space="preserve">Bei Patienten, die bis zu 10 Jahre mit </w:t>
      </w:r>
      <w:r w:rsidR="006F6844" w:rsidRPr="0049187C">
        <w:rPr>
          <w:lang w:val="de-DE"/>
        </w:rPr>
        <w:t xml:space="preserve">Denosumab </w:t>
      </w:r>
      <w:r w:rsidRPr="0049187C">
        <w:rPr>
          <w:lang w:val="de-DE"/>
        </w:rPr>
        <w:t>behandelt wurden, erhöhte sich die BMD gegenüber dem</w:t>
      </w:r>
      <w:r w:rsidR="00E97B1A" w:rsidRPr="0049187C">
        <w:rPr>
          <w:lang w:val="de-DE"/>
        </w:rPr>
        <w:t xml:space="preserve"> </w:t>
      </w:r>
      <w:r w:rsidRPr="0049187C">
        <w:rPr>
          <w:lang w:val="de-DE"/>
        </w:rPr>
        <w:t>Ausgangswert der pivotalen Studie um 21,7 % an der Lendenwirbelsäule, 9,2 % an der Gesamthüfte,</w:t>
      </w:r>
      <w:r w:rsidR="00E97B1A" w:rsidRPr="0049187C">
        <w:rPr>
          <w:lang w:val="de-DE"/>
        </w:rPr>
        <w:t xml:space="preserve"> </w:t>
      </w:r>
      <w:r w:rsidRPr="0049187C">
        <w:rPr>
          <w:lang w:val="de-DE"/>
        </w:rPr>
        <w:t>9,0 % am Schenkelhals, 13,0 % am Trochanter und 2,8 % am distalen Drittel des Radius. Der mittlere BMD</w:t>
      </w:r>
      <w:r w:rsidRPr="0049187C">
        <w:rPr>
          <w:lang w:val="de-DE"/>
        </w:rPr>
        <w:noBreakHyphen/>
        <w:t>T</w:t>
      </w:r>
      <w:r w:rsidRPr="0049187C">
        <w:rPr>
          <w:lang w:val="de-DE"/>
        </w:rPr>
        <w:noBreakHyphen/>
        <w:t xml:space="preserve">Score an der Lendenwirbelsäule lag am Ende der Studie bei </w:t>
      </w:r>
      <w:r w:rsidRPr="0049187C">
        <w:rPr>
          <w:lang w:val="de-DE"/>
        </w:rPr>
        <w:noBreakHyphen/>
        <w:t>1,3 bei Patienten, die 10 Jahre behandelt wurden.</w:t>
      </w:r>
    </w:p>
    <w:p w14:paraId="797F5A2A" w14:textId="77777777" w:rsidR="00F83928" w:rsidRPr="0049187C" w:rsidRDefault="00F83928" w:rsidP="0049187C">
      <w:pPr>
        <w:spacing w:after="0" w:line="240" w:lineRule="auto"/>
        <w:ind w:left="0" w:firstLine="0"/>
        <w:rPr>
          <w:lang w:val="de-DE"/>
        </w:rPr>
      </w:pPr>
    </w:p>
    <w:p w14:paraId="25B2E692" w14:textId="77777777" w:rsidR="00261AC3" w:rsidRPr="0049187C" w:rsidRDefault="00B00716" w:rsidP="0049187C">
      <w:pPr>
        <w:spacing w:after="0" w:line="240" w:lineRule="auto"/>
        <w:ind w:left="0" w:firstLine="0"/>
        <w:rPr>
          <w:lang w:val="de-DE"/>
        </w:rPr>
      </w:pPr>
      <w:r w:rsidRPr="0049187C">
        <w:rPr>
          <w:lang w:val="de-DE"/>
        </w:rPr>
        <w:t>Die Inzidenz von Frakturen wurde als Sicherheitsendpunkt analysiert, aber die Wirksamkeit bei der Frakturprävention kann wegen einer hohen Abbruchrate und dem offenen Studiendesign nicht abgeschätzt werden. Die kumulative Inzidenz neuer vertebraler und nicht</w:t>
      </w:r>
      <w:r w:rsidRPr="0049187C">
        <w:rPr>
          <w:lang w:val="de-DE"/>
        </w:rPr>
        <w:noBreakHyphen/>
        <w:t>vertebraler Frakturen lag bei Patienten, die 10 Jahre mit Denosumab behandelt wurden (n = 1</w:t>
      </w:r>
      <w:r w:rsidR="00B80441" w:rsidRPr="0049187C">
        <w:rPr>
          <w:lang w:val="de-DE"/>
        </w:rPr>
        <w:t> </w:t>
      </w:r>
      <w:r w:rsidRPr="0049187C">
        <w:rPr>
          <w:lang w:val="de-DE"/>
        </w:rPr>
        <w:t>278) bei etwa 6,8 % bzw. 13,1 %. Patienten, die aus jeglichen Gründen die Studie nicht abgeschlossen haben, zeigten während der Behandlung höhere Frakturraten.</w:t>
      </w:r>
    </w:p>
    <w:p w14:paraId="5B444116" w14:textId="77777777" w:rsidR="00F83928" w:rsidRPr="0049187C" w:rsidRDefault="00F83928" w:rsidP="0049187C">
      <w:pPr>
        <w:spacing w:after="0" w:line="240" w:lineRule="auto"/>
        <w:ind w:left="0" w:firstLine="0"/>
        <w:rPr>
          <w:lang w:val="de-DE"/>
        </w:rPr>
      </w:pPr>
    </w:p>
    <w:p w14:paraId="6481BEDC" w14:textId="77777777" w:rsidR="00261AC3" w:rsidRPr="0049187C" w:rsidRDefault="00B00716" w:rsidP="0049187C">
      <w:pPr>
        <w:spacing w:after="0" w:line="240" w:lineRule="auto"/>
        <w:ind w:left="0" w:firstLine="0"/>
        <w:rPr>
          <w:lang w:val="de-DE"/>
        </w:rPr>
      </w:pPr>
      <w:r w:rsidRPr="0049187C">
        <w:rPr>
          <w:lang w:val="de-DE"/>
        </w:rPr>
        <w:t xml:space="preserve">13 gesicherte Fälle von </w:t>
      </w:r>
      <w:r w:rsidR="007906CD" w:rsidRPr="0049187C">
        <w:rPr>
          <w:iCs/>
          <w:lang w:val="de-DE"/>
        </w:rPr>
        <w:t>Osteonekrosen des Kiefers</w:t>
      </w:r>
      <w:r w:rsidR="007906CD" w:rsidRPr="0049187C">
        <w:rPr>
          <w:i/>
          <w:iCs/>
          <w:lang w:val="de-DE"/>
        </w:rPr>
        <w:t xml:space="preserve"> </w:t>
      </w:r>
      <w:r w:rsidRPr="0049187C">
        <w:rPr>
          <w:lang w:val="de-DE"/>
        </w:rPr>
        <w:t xml:space="preserve">(ONJ) und 2 gesicherte Fälle von atypischen </w:t>
      </w:r>
      <w:r w:rsidR="00B46D10" w:rsidRPr="0049187C">
        <w:rPr>
          <w:lang w:val="de-DE"/>
        </w:rPr>
        <w:t>Oberschenkelfraktur</w:t>
      </w:r>
      <w:r w:rsidRPr="0049187C">
        <w:rPr>
          <w:lang w:val="de-DE"/>
        </w:rPr>
        <w:t>en traten während der Verlängerungsstudie auf.</w:t>
      </w:r>
    </w:p>
    <w:p w14:paraId="6083DDE7" w14:textId="77777777" w:rsidR="00F83928" w:rsidRPr="0049187C" w:rsidRDefault="00F83928" w:rsidP="0049187C">
      <w:pPr>
        <w:spacing w:after="0" w:line="240" w:lineRule="auto"/>
        <w:ind w:left="0" w:firstLine="0"/>
        <w:rPr>
          <w:lang w:val="de-DE"/>
        </w:rPr>
      </w:pPr>
    </w:p>
    <w:p w14:paraId="3DE4DAE8" w14:textId="77777777" w:rsidR="00261AC3" w:rsidRPr="0049187C" w:rsidRDefault="00B00716" w:rsidP="0049187C">
      <w:pPr>
        <w:keepNext/>
        <w:keepLines/>
        <w:spacing w:after="0" w:line="240" w:lineRule="auto"/>
        <w:ind w:left="0" w:firstLine="0"/>
        <w:rPr>
          <w:u w:val="single"/>
          <w:lang w:val="de-DE"/>
        </w:rPr>
      </w:pPr>
      <w:r w:rsidRPr="0049187C">
        <w:rPr>
          <w:u w:val="single"/>
          <w:lang w:val="de-DE"/>
        </w:rPr>
        <w:t>Klinische Wirksamkeit und Sicherheit bei Männern mit Osteoporose</w:t>
      </w:r>
    </w:p>
    <w:p w14:paraId="0FAED704" w14:textId="77777777" w:rsidR="00F83928" w:rsidRPr="0049187C" w:rsidRDefault="00F83928" w:rsidP="0049187C">
      <w:pPr>
        <w:spacing w:after="0" w:line="240" w:lineRule="auto"/>
        <w:ind w:left="0" w:firstLine="0"/>
        <w:rPr>
          <w:lang w:val="de-DE"/>
        </w:rPr>
      </w:pPr>
    </w:p>
    <w:p w14:paraId="417B7B09" w14:textId="77777777" w:rsidR="00261AC3" w:rsidRPr="0049187C" w:rsidRDefault="00B00716" w:rsidP="0049187C">
      <w:pPr>
        <w:spacing w:after="0" w:line="240" w:lineRule="auto"/>
        <w:ind w:left="0" w:firstLine="0"/>
        <w:rPr>
          <w:lang w:val="de-DE"/>
        </w:rPr>
      </w:pPr>
      <w:r w:rsidRPr="0049187C">
        <w:rPr>
          <w:lang w:val="de-DE"/>
        </w:rPr>
        <w:t xml:space="preserve">Die Wirksamkeit und Sicherheit der Anwendung von </w:t>
      </w:r>
      <w:r w:rsidR="006F6844" w:rsidRPr="0049187C">
        <w:rPr>
          <w:lang w:val="de-DE"/>
        </w:rPr>
        <w:t xml:space="preserve">Denosumab </w:t>
      </w:r>
      <w:r w:rsidRPr="0049187C">
        <w:rPr>
          <w:lang w:val="de-DE"/>
        </w:rPr>
        <w:t xml:space="preserve">einmal alle 6 Monate für 1 Jahr wurden bei 242 Männern im Alter von 31 bis 84 Jahren untersucht. Patienten mit einer </w:t>
      </w:r>
      <w:r w:rsidR="008A6D30" w:rsidRPr="0049187C">
        <w:rPr>
          <w:lang w:val="de-DE"/>
        </w:rPr>
        <w:t>geschätzten glomerulären Filtrationsrate (</w:t>
      </w:r>
      <w:r w:rsidRPr="0049187C">
        <w:rPr>
          <w:lang w:val="de-DE"/>
        </w:rPr>
        <w:t>eGFR</w:t>
      </w:r>
      <w:r w:rsidR="008A6D30" w:rsidRPr="0049187C">
        <w:rPr>
          <w:lang w:val="de-DE"/>
        </w:rPr>
        <w:t>)</w:t>
      </w:r>
      <w:r w:rsidR="00E97B1A" w:rsidRPr="0049187C">
        <w:rPr>
          <w:lang w:val="de-DE"/>
        </w:rPr>
        <w:t xml:space="preserve"> </w:t>
      </w:r>
      <w:r w:rsidRPr="0049187C">
        <w:rPr>
          <w:lang w:val="de-DE"/>
        </w:rPr>
        <w:t>&lt; 30 ml/min/1,73 m</w:t>
      </w:r>
      <w:r w:rsidRPr="0049187C">
        <w:rPr>
          <w:vertAlign w:val="superscript"/>
          <w:lang w:val="de-DE"/>
        </w:rPr>
        <w:t>2 </w:t>
      </w:r>
      <w:r w:rsidRPr="0049187C">
        <w:rPr>
          <w:lang w:val="de-DE"/>
        </w:rPr>
        <w:t>wurden von der Studie ausgeschlossen. Alle Männer erhielten eine tägliche Ergänzung mit Calcium (mindestens 1</w:t>
      </w:r>
      <w:r w:rsidR="00B80441" w:rsidRPr="0049187C">
        <w:rPr>
          <w:lang w:val="de-DE"/>
        </w:rPr>
        <w:t> </w:t>
      </w:r>
      <w:r w:rsidRPr="0049187C">
        <w:rPr>
          <w:lang w:val="de-DE"/>
        </w:rPr>
        <w:t>000 mg) und Vitamin D (mindestens 800 I.E.).</w:t>
      </w:r>
    </w:p>
    <w:p w14:paraId="392BE628" w14:textId="77777777" w:rsidR="00F83928" w:rsidRPr="0049187C" w:rsidRDefault="00F83928" w:rsidP="0049187C">
      <w:pPr>
        <w:spacing w:after="0" w:line="240" w:lineRule="auto"/>
        <w:ind w:left="0" w:firstLine="0"/>
        <w:rPr>
          <w:lang w:val="de-DE"/>
        </w:rPr>
      </w:pPr>
    </w:p>
    <w:p w14:paraId="642956DC" w14:textId="77777777" w:rsidR="00261AC3" w:rsidRPr="0049187C" w:rsidRDefault="00B00716" w:rsidP="0049187C">
      <w:pPr>
        <w:spacing w:after="0" w:line="240" w:lineRule="auto"/>
        <w:ind w:left="0" w:firstLine="0"/>
        <w:rPr>
          <w:lang w:val="de-DE"/>
        </w:rPr>
      </w:pPr>
      <w:r w:rsidRPr="0049187C">
        <w:rPr>
          <w:lang w:val="de-DE"/>
        </w:rPr>
        <w:t xml:space="preserve">Die primäre Wirksamkeitsvariable war die prozentuale Änderung der BMD an der Lendenwirbelsäule. Die Wirksamkeit bezüglich Frakturen wurde nicht evaluiert. </w:t>
      </w:r>
      <w:r w:rsidR="008A6D30" w:rsidRPr="0049187C">
        <w:rPr>
          <w:lang w:val="de-DE"/>
        </w:rPr>
        <w:t xml:space="preserve">Denosumab </w:t>
      </w:r>
      <w:r w:rsidRPr="0049187C">
        <w:rPr>
          <w:lang w:val="de-DE"/>
        </w:rPr>
        <w:t>erhöhte die BMD signifikant an allen gemessenen Skelettlokalisationen nach 12 Monaten im Vergleich zu Placebo: um 4,8 % an der Lendenwirbelsäule, 2,0 % an der Gesamthüfte, 2,2 % am Schenkelhals, 2,3 % am Hüft</w:t>
      </w:r>
      <w:r w:rsidRPr="0049187C">
        <w:rPr>
          <w:lang w:val="de-DE"/>
        </w:rPr>
        <w:noBreakHyphen/>
        <w:t xml:space="preserve">Trochanter und 0,9 % am distalen Drittel des Radius (alle p &lt; 0,05). </w:t>
      </w:r>
      <w:r w:rsidR="008A6D30" w:rsidRPr="0049187C">
        <w:rPr>
          <w:lang w:val="de-DE"/>
        </w:rPr>
        <w:t xml:space="preserve">Denosumab </w:t>
      </w:r>
      <w:r w:rsidRPr="0049187C">
        <w:rPr>
          <w:lang w:val="de-DE"/>
        </w:rPr>
        <w:t>erhöhte die BMD an der Lendenwirbelsäule bei 94,7 % der Männer nach 1 Jahr gegenüber dem Ausgangswert. Nach 6 Monaten wurden signifikante BMD</w:t>
      </w:r>
      <w:r w:rsidRPr="0049187C">
        <w:rPr>
          <w:lang w:val="de-DE"/>
        </w:rPr>
        <w:noBreakHyphen/>
        <w:t>Anstiege an Lendenwirbelsäule, Gesamthüfte, Schenkelhals und Hüft</w:t>
      </w:r>
      <w:r w:rsidRPr="0049187C">
        <w:rPr>
          <w:lang w:val="de-DE"/>
        </w:rPr>
        <w:noBreakHyphen/>
        <w:t>Trochanter beobachtet (p &lt; 0,0001).</w:t>
      </w:r>
    </w:p>
    <w:p w14:paraId="20F616F5" w14:textId="77777777" w:rsidR="00F83928" w:rsidRPr="0049187C" w:rsidRDefault="00F83928" w:rsidP="0049187C">
      <w:pPr>
        <w:spacing w:after="0" w:line="240" w:lineRule="auto"/>
        <w:ind w:left="0" w:firstLine="0"/>
        <w:rPr>
          <w:lang w:val="de-DE"/>
        </w:rPr>
      </w:pPr>
    </w:p>
    <w:p w14:paraId="1BDB7119" w14:textId="77777777" w:rsidR="00261AC3" w:rsidRPr="0049187C" w:rsidRDefault="00B00716" w:rsidP="0049187C">
      <w:pPr>
        <w:keepNext/>
        <w:keepLines/>
        <w:spacing w:after="0" w:line="240" w:lineRule="auto"/>
        <w:ind w:left="0" w:firstLine="0"/>
        <w:rPr>
          <w:u w:val="single"/>
          <w:lang w:val="de-DE"/>
        </w:rPr>
      </w:pPr>
      <w:r w:rsidRPr="0049187C">
        <w:rPr>
          <w:u w:val="single"/>
          <w:lang w:val="de-DE"/>
        </w:rPr>
        <w:t>Knochenhistologie bei postmenopausalen Frauen und Männern mit Osteoporose</w:t>
      </w:r>
    </w:p>
    <w:p w14:paraId="4C8E997C" w14:textId="77777777" w:rsidR="00F83928" w:rsidRPr="0049187C" w:rsidRDefault="00F83928" w:rsidP="0049187C">
      <w:pPr>
        <w:spacing w:after="0" w:line="240" w:lineRule="auto"/>
        <w:ind w:left="0" w:firstLine="0"/>
        <w:rPr>
          <w:lang w:val="de-DE"/>
        </w:rPr>
      </w:pPr>
    </w:p>
    <w:p w14:paraId="15A2F5E1" w14:textId="77777777" w:rsidR="00261AC3" w:rsidRPr="0049187C" w:rsidRDefault="00B00716" w:rsidP="0049187C">
      <w:pPr>
        <w:spacing w:after="0" w:line="240" w:lineRule="auto"/>
        <w:ind w:left="0" w:firstLine="0"/>
        <w:rPr>
          <w:lang w:val="de-DE"/>
        </w:rPr>
      </w:pPr>
      <w:r w:rsidRPr="0049187C">
        <w:rPr>
          <w:lang w:val="de-DE"/>
        </w:rPr>
        <w:t>Bei 62 postmenopausalen Frauen mit Osteoporose oder niedriger Knochenmasse, die entweder Osteoporosetherapie</w:t>
      </w:r>
      <w:r w:rsidRPr="0049187C">
        <w:rPr>
          <w:lang w:val="de-DE"/>
        </w:rPr>
        <w:noBreakHyphen/>
        <w:t>naiv waren oder von einer vorherigen Alendronsäure</w:t>
      </w:r>
      <w:r w:rsidRPr="0049187C">
        <w:rPr>
          <w:lang w:val="de-DE"/>
        </w:rPr>
        <w:noBreakHyphen/>
        <w:t>Therapie zu einer nachfolgenden 1</w:t>
      </w:r>
      <w:r w:rsidRPr="0049187C">
        <w:rPr>
          <w:lang w:val="de-DE"/>
        </w:rPr>
        <w:noBreakHyphen/>
        <w:t xml:space="preserve"> bis 3</w:t>
      </w:r>
      <w:r w:rsidRPr="0049187C">
        <w:rPr>
          <w:lang w:val="de-DE"/>
        </w:rPr>
        <w:noBreakHyphen/>
        <w:t xml:space="preserve">jährigen Behandlung mit </w:t>
      </w:r>
      <w:r w:rsidR="00B80441" w:rsidRPr="0049187C">
        <w:rPr>
          <w:lang w:val="de-DE"/>
        </w:rPr>
        <w:t xml:space="preserve">Denosumab </w:t>
      </w:r>
      <w:r w:rsidRPr="0049187C">
        <w:rPr>
          <w:lang w:val="de-DE"/>
        </w:rPr>
        <w:t>wechselten, wurde die Knochenhistologie untersucht. 59 Frauen nahmen an der Knochenbiopsie</w:t>
      </w:r>
      <w:r w:rsidRPr="0049187C">
        <w:rPr>
          <w:lang w:val="de-DE"/>
        </w:rPr>
        <w:noBreakHyphen/>
        <w:t>Substudie zum Monat 24 (n = 41) und/oder zum Monat 84 (n = 22) der Verlängerungsstudie bei postmenopausalen Frauen mit Osteoporose teil. Bei</w:t>
      </w:r>
      <w:r w:rsidR="005D2908" w:rsidRPr="0049187C">
        <w:rPr>
          <w:lang w:val="de-DE"/>
        </w:rPr>
        <w:t xml:space="preserve"> </w:t>
      </w:r>
      <w:r w:rsidRPr="0049187C">
        <w:rPr>
          <w:lang w:val="de-DE"/>
        </w:rPr>
        <w:t xml:space="preserve">17 Männern mit Osteoporose wurde die Knochenhistologie ebenfalls nach 1 Jahr der Behandlung mit </w:t>
      </w:r>
      <w:r w:rsidR="00B80441" w:rsidRPr="0049187C">
        <w:rPr>
          <w:lang w:val="de-DE"/>
        </w:rPr>
        <w:t xml:space="preserve">Denosumab </w:t>
      </w:r>
      <w:r w:rsidRPr="0049187C">
        <w:rPr>
          <w:lang w:val="de-DE"/>
        </w:rPr>
        <w:t>untersucht. Ergebnisse von Knochenbiopsien zeigten sowohl eine normale Architektur als auch eine normale Qualität des Knochens. Es fanden sich keine Hinweise auf Mineralisationsdefekte,</w:t>
      </w:r>
      <w:r w:rsidR="005D2908" w:rsidRPr="0049187C">
        <w:rPr>
          <w:lang w:val="de-DE"/>
        </w:rPr>
        <w:t xml:space="preserve"> </w:t>
      </w:r>
      <w:r w:rsidRPr="0049187C">
        <w:rPr>
          <w:lang w:val="de-DE"/>
        </w:rPr>
        <w:t>Geflechtknochen oder Knochenmarkfibrosen. Histomorphometrische Befunde aus der</w:t>
      </w:r>
      <w:r w:rsidR="005D2908" w:rsidRPr="0049187C">
        <w:rPr>
          <w:lang w:val="de-DE"/>
        </w:rPr>
        <w:t xml:space="preserve"> </w:t>
      </w:r>
      <w:r w:rsidRPr="0049187C">
        <w:rPr>
          <w:lang w:val="de-DE"/>
        </w:rPr>
        <w:t xml:space="preserve">Verlängerungsstudie bei postmenopausalen Frauen mit Osteoporose zeigten, dass die antiresorptiven Wirkungen von </w:t>
      </w:r>
      <w:r w:rsidR="00B80441" w:rsidRPr="0049187C">
        <w:rPr>
          <w:lang w:val="de-DE"/>
        </w:rPr>
        <w:t>Denosumab</w:t>
      </w:r>
      <w:r w:rsidRPr="0049187C">
        <w:rPr>
          <w:lang w:val="de-DE"/>
        </w:rPr>
        <w:t>, gemessen mittels Aktivierungsfrequenz und Knochenbildungsraten, über diesen Zeitraum aufrechterhalten wurden.</w:t>
      </w:r>
    </w:p>
    <w:p w14:paraId="27BF6553" w14:textId="77777777" w:rsidR="00F83928" w:rsidRPr="0049187C" w:rsidRDefault="00F83928" w:rsidP="0049187C">
      <w:pPr>
        <w:spacing w:after="0" w:line="240" w:lineRule="auto"/>
        <w:ind w:left="0" w:firstLine="0"/>
        <w:rPr>
          <w:lang w:val="de-DE"/>
        </w:rPr>
      </w:pPr>
    </w:p>
    <w:p w14:paraId="749ED78C" w14:textId="77777777" w:rsidR="00261AC3" w:rsidRPr="0049187C" w:rsidRDefault="00B00716" w:rsidP="0049187C">
      <w:pPr>
        <w:keepNext/>
        <w:keepLines/>
        <w:spacing w:after="0" w:line="240" w:lineRule="auto"/>
        <w:ind w:left="0" w:firstLine="0"/>
        <w:rPr>
          <w:u w:val="single"/>
          <w:lang w:val="de-DE"/>
        </w:rPr>
      </w:pPr>
      <w:r w:rsidRPr="0049187C">
        <w:rPr>
          <w:u w:val="single"/>
          <w:lang w:val="de-DE"/>
        </w:rPr>
        <w:t>Klinische Wirksamkeit und Sicherheit bei Patienten mit Knochenschwund im Zusammenhang mit Androgenentzug</w:t>
      </w:r>
    </w:p>
    <w:p w14:paraId="0CC0111F" w14:textId="77777777" w:rsidR="00F83928" w:rsidRPr="0049187C" w:rsidRDefault="00F83928" w:rsidP="0049187C">
      <w:pPr>
        <w:spacing w:after="0" w:line="240" w:lineRule="auto"/>
        <w:ind w:left="0" w:firstLine="0"/>
        <w:rPr>
          <w:lang w:val="de-DE"/>
        </w:rPr>
      </w:pPr>
    </w:p>
    <w:p w14:paraId="3F5D7E18" w14:textId="77777777" w:rsidR="00261AC3" w:rsidRPr="0049187C" w:rsidRDefault="00B00716" w:rsidP="0049187C">
      <w:pPr>
        <w:spacing w:after="0" w:line="240" w:lineRule="auto"/>
        <w:ind w:left="0" w:firstLine="0"/>
        <w:rPr>
          <w:lang w:val="de-DE"/>
        </w:rPr>
      </w:pPr>
      <w:r w:rsidRPr="0049187C">
        <w:rPr>
          <w:lang w:val="de-DE"/>
        </w:rPr>
        <w:t xml:space="preserve">Die Wirksamkeit und Sicherheit der Anwendung von </w:t>
      </w:r>
      <w:r w:rsidR="00B80441" w:rsidRPr="0049187C">
        <w:rPr>
          <w:lang w:val="de-DE"/>
        </w:rPr>
        <w:t xml:space="preserve">Denosumab </w:t>
      </w:r>
      <w:r w:rsidRPr="0049187C">
        <w:rPr>
          <w:lang w:val="de-DE"/>
        </w:rPr>
        <w:t>einmal alle 6 Monate für 3 Jahre wurden bei Männern mit histologisch bestätigtem, nicht</w:t>
      </w:r>
      <w:r w:rsidRPr="0049187C">
        <w:rPr>
          <w:lang w:val="de-DE"/>
        </w:rPr>
        <w:noBreakHyphen/>
        <w:t>metastasiertem Prostatakarzinom, die eine ADT erhielten (1</w:t>
      </w:r>
      <w:r w:rsidR="00B80441" w:rsidRPr="0049187C">
        <w:rPr>
          <w:lang w:val="de-DE"/>
        </w:rPr>
        <w:t> </w:t>
      </w:r>
      <w:r w:rsidRPr="0049187C">
        <w:rPr>
          <w:lang w:val="de-DE"/>
        </w:rPr>
        <w:t>468 Männer im Alter von 48 bis 97 Jahren) und die ein erhöhtes Frakturrisiko aufwiesen (definiert als &gt; 70 Jahre oder &lt; 70 Jahre mit einem BMD</w:t>
      </w:r>
      <w:r w:rsidRPr="0049187C">
        <w:rPr>
          <w:lang w:val="de-DE"/>
        </w:rPr>
        <w:noBreakHyphen/>
        <w:t>T</w:t>
      </w:r>
      <w:r w:rsidRPr="0049187C">
        <w:rPr>
          <w:lang w:val="de-DE"/>
        </w:rPr>
        <w:noBreakHyphen/>
        <w:t xml:space="preserve">Score &lt; </w:t>
      </w:r>
      <w:r w:rsidRPr="0049187C">
        <w:rPr>
          <w:lang w:val="de-DE"/>
        </w:rPr>
        <w:noBreakHyphen/>
        <w:t>1,0 an der Lendenwirbelsäule, der Gesamthüfte oder am Schenkelhals oder eine vorbestehende osteoporotische Fraktur), untersucht. Alle Männer erhielten als tägliche Ergänzung Calcium (mindestens 1</w:t>
      </w:r>
      <w:r w:rsidR="00B80441" w:rsidRPr="0049187C">
        <w:rPr>
          <w:lang w:val="de-DE"/>
        </w:rPr>
        <w:t> </w:t>
      </w:r>
      <w:r w:rsidRPr="0049187C">
        <w:rPr>
          <w:lang w:val="de-DE"/>
        </w:rPr>
        <w:t>000 mg) und Vitamin D (mindestens 400 I.E.).</w:t>
      </w:r>
    </w:p>
    <w:p w14:paraId="00BB4287" w14:textId="77777777" w:rsidR="00F83928" w:rsidRPr="0049187C" w:rsidRDefault="00F83928" w:rsidP="0049187C">
      <w:pPr>
        <w:spacing w:after="0" w:line="240" w:lineRule="auto"/>
        <w:ind w:left="0" w:firstLine="0"/>
        <w:rPr>
          <w:lang w:val="de-DE"/>
        </w:rPr>
      </w:pPr>
    </w:p>
    <w:p w14:paraId="2AF3E66C" w14:textId="77777777" w:rsidR="00261AC3" w:rsidRPr="0049187C" w:rsidRDefault="00B00716" w:rsidP="0049187C">
      <w:pPr>
        <w:spacing w:after="0" w:line="240" w:lineRule="auto"/>
        <w:ind w:left="0" w:firstLine="0"/>
        <w:rPr>
          <w:lang w:val="de-DE"/>
        </w:rPr>
      </w:pPr>
      <w:r w:rsidRPr="0049187C">
        <w:rPr>
          <w:lang w:val="de-DE"/>
        </w:rPr>
        <w:t xml:space="preserve">Denosumab </w:t>
      </w:r>
      <w:r w:rsidR="00FD7DFF" w:rsidRPr="0049187C">
        <w:rPr>
          <w:lang w:val="de-DE"/>
        </w:rPr>
        <w:t>erhöhte im Vergleich zur Behandlung mit Placebo nach</w:t>
      </w:r>
      <w:r w:rsidRPr="0049187C">
        <w:rPr>
          <w:lang w:val="de-DE"/>
        </w:rPr>
        <w:t> 3 </w:t>
      </w:r>
      <w:r w:rsidR="00FD7DFF" w:rsidRPr="0049187C">
        <w:rPr>
          <w:lang w:val="de-DE"/>
        </w:rPr>
        <w:t>Jahren signifikant die BMD an allen gemessenen Skelettlokalisationen: um</w:t>
      </w:r>
      <w:r w:rsidRPr="0049187C">
        <w:rPr>
          <w:lang w:val="de-DE"/>
        </w:rPr>
        <w:t> 7</w:t>
      </w:r>
      <w:r w:rsidR="00FD7DFF" w:rsidRPr="0049187C">
        <w:rPr>
          <w:lang w:val="de-DE"/>
        </w:rPr>
        <w:t>,</w:t>
      </w:r>
      <w:r w:rsidRPr="0049187C">
        <w:rPr>
          <w:lang w:val="de-DE"/>
        </w:rPr>
        <w:t>9 </w:t>
      </w:r>
      <w:r w:rsidR="00FD7DFF" w:rsidRPr="0049187C">
        <w:rPr>
          <w:lang w:val="de-DE"/>
        </w:rPr>
        <w:t>% an der Lendenwirbelsäule,</w:t>
      </w:r>
      <w:r w:rsidRPr="0049187C">
        <w:rPr>
          <w:lang w:val="de-DE"/>
        </w:rPr>
        <w:t> 5</w:t>
      </w:r>
      <w:r w:rsidR="00FD7DFF" w:rsidRPr="0049187C">
        <w:rPr>
          <w:lang w:val="de-DE"/>
        </w:rPr>
        <w:t>,</w:t>
      </w:r>
      <w:r w:rsidRPr="0049187C">
        <w:rPr>
          <w:lang w:val="de-DE"/>
        </w:rPr>
        <w:t>7 </w:t>
      </w:r>
      <w:r w:rsidR="00FD7DFF" w:rsidRPr="0049187C">
        <w:rPr>
          <w:lang w:val="de-DE"/>
        </w:rPr>
        <w:t>% an der Gesamthüfte,</w:t>
      </w:r>
      <w:r w:rsidRPr="0049187C">
        <w:rPr>
          <w:lang w:val="de-DE"/>
        </w:rPr>
        <w:t> 4</w:t>
      </w:r>
      <w:r w:rsidR="00FD7DFF" w:rsidRPr="0049187C">
        <w:rPr>
          <w:lang w:val="de-DE"/>
        </w:rPr>
        <w:t>,</w:t>
      </w:r>
      <w:r w:rsidRPr="0049187C">
        <w:rPr>
          <w:lang w:val="de-DE"/>
        </w:rPr>
        <w:t>9 </w:t>
      </w:r>
      <w:r w:rsidR="00FD7DFF" w:rsidRPr="0049187C">
        <w:rPr>
          <w:lang w:val="de-DE"/>
        </w:rPr>
        <w:t>% am Schenkelhals,</w:t>
      </w:r>
      <w:r w:rsidRPr="0049187C">
        <w:rPr>
          <w:lang w:val="de-DE"/>
        </w:rPr>
        <w:t> 6</w:t>
      </w:r>
      <w:r w:rsidR="00FD7DFF" w:rsidRPr="0049187C">
        <w:rPr>
          <w:lang w:val="de-DE"/>
        </w:rPr>
        <w:t>,</w:t>
      </w:r>
      <w:r w:rsidRPr="0049187C">
        <w:rPr>
          <w:lang w:val="de-DE"/>
        </w:rPr>
        <w:t>9 </w:t>
      </w:r>
      <w:r w:rsidR="00FD7DFF" w:rsidRPr="0049187C">
        <w:rPr>
          <w:lang w:val="de-DE"/>
        </w:rPr>
        <w:t>% am Hüft</w:t>
      </w:r>
      <w:r w:rsidRPr="0049187C">
        <w:rPr>
          <w:lang w:val="de-DE"/>
        </w:rPr>
        <w:noBreakHyphen/>
      </w:r>
      <w:r w:rsidR="00FD7DFF" w:rsidRPr="0049187C">
        <w:rPr>
          <w:lang w:val="de-DE"/>
        </w:rPr>
        <w:t>Trochanter,</w:t>
      </w:r>
      <w:r w:rsidRPr="0049187C">
        <w:rPr>
          <w:lang w:val="de-DE"/>
        </w:rPr>
        <w:t> 6</w:t>
      </w:r>
      <w:r w:rsidR="00FD7DFF" w:rsidRPr="0049187C">
        <w:rPr>
          <w:lang w:val="de-DE"/>
        </w:rPr>
        <w:t>,</w:t>
      </w:r>
      <w:r w:rsidRPr="0049187C">
        <w:rPr>
          <w:lang w:val="de-DE"/>
        </w:rPr>
        <w:t>9 </w:t>
      </w:r>
      <w:r w:rsidR="00FD7DFF" w:rsidRPr="0049187C">
        <w:rPr>
          <w:lang w:val="de-DE"/>
        </w:rPr>
        <w:t>% am distalen Drittel des Radius und</w:t>
      </w:r>
      <w:r w:rsidRPr="0049187C">
        <w:rPr>
          <w:lang w:val="de-DE"/>
        </w:rPr>
        <w:t> 4</w:t>
      </w:r>
      <w:r w:rsidR="00FD7DFF" w:rsidRPr="0049187C">
        <w:rPr>
          <w:lang w:val="de-DE"/>
        </w:rPr>
        <w:t>,</w:t>
      </w:r>
      <w:r w:rsidRPr="0049187C">
        <w:rPr>
          <w:lang w:val="de-DE"/>
        </w:rPr>
        <w:t>7 </w:t>
      </w:r>
      <w:r w:rsidR="00FD7DFF" w:rsidRPr="0049187C">
        <w:rPr>
          <w:lang w:val="de-DE"/>
        </w:rPr>
        <w:t>% am gesamten Körper (alle p &lt;</w:t>
      </w:r>
      <w:r w:rsidRPr="0049187C">
        <w:rPr>
          <w:lang w:val="de-DE"/>
        </w:rPr>
        <w:t> 0</w:t>
      </w:r>
      <w:r w:rsidR="00FD7DFF" w:rsidRPr="0049187C">
        <w:rPr>
          <w:lang w:val="de-DE"/>
        </w:rPr>
        <w:t>,0001). In einer prospektiv geplanten exploratorischen Analyse wurde</w:t>
      </w:r>
      <w:r w:rsidRPr="0049187C">
        <w:rPr>
          <w:lang w:val="de-DE"/>
        </w:rPr>
        <w:t> 1 </w:t>
      </w:r>
      <w:r w:rsidR="00FD7DFF" w:rsidRPr="0049187C">
        <w:rPr>
          <w:lang w:val="de-DE"/>
        </w:rPr>
        <w:t>Monat nach der initialen Dosis eine signifikante Erhöhung der BMD an der Lendenwirbelsäule, der Gesamthüfte, am Schenkelhals und am Hüft</w:t>
      </w:r>
      <w:r w:rsidRPr="0049187C">
        <w:rPr>
          <w:lang w:val="de-DE"/>
        </w:rPr>
        <w:noBreakHyphen/>
      </w:r>
      <w:r w:rsidR="00FD7DFF" w:rsidRPr="0049187C">
        <w:rPr>
          <w:lang w:val="de-DE"/>
        </w:rPr>
        <w:t>Trochanter beobachtet.</w:t>
      </w:r>
    </w:p>
    <w:p w14:paraId="69DB8B9C" w14:textId="77777777" w:rsidR="00F83928" w:rsidRPr="0049187C" w:rsidRDefault="00F83928" w:rsidP="0049187C">
      <w:pPr>
        <w:spacing w:after="0" w:line="240" w:lineRule="auto"/>
        <w:ind w:left="0" w:firstLine="0"/>
        <w:rPr>
          <w:lang w:val="de-DE"/>
        </w:rPr>
      </w:pPr>
    </w:p>
    <w:p w14:paraId="2687C4DD" w14:textId="77777777" w:rsidR="00261AC3" w:rsidRPr="0049187C" w:rsidRDefault="00B00716" w:rsidP="0049187C">
      <w:pPr>
        <w:spacing w:after="0" w:line="240" w:lineRule="auto"/>
        <w:ind w:left="0" w:firstLine="0"/>
        <w:rPr>
          <w:lang w:val="de-DE"/>
        </w:rPr>
      </w:pPr>
      <w:r w:rsidRPr="0049187C">
        <w:rPr>
          <w:lang w:val="de-DE"/>
        </w:rPr>
        <w:t xml:space="preserve">Denosumab </w:t>
      </w:r>
      <w:r w:rsidR="00FD7DFF" w:rsidRPr="0049187C">
        <w:rPr>
          <w:lang w:val="de-DE"/>
        </w:rPr>
        <w:t>zeigte eine signifikante Reduktion des relativen Risikos für neue vertebrale Frakturen:</w:t>
      </w:r>
      <w:r w:rsidRPr="0049187C">
        <w:rPr>
          <w:lang w:val="de-DE"/>
        </w:rPr>
        <w:t> 85 </w:t>
      </w:r>
      <w:r w:rsidR="00FD7DFF" w:rsidRPr="0049187C">
        <w:rPr>
          <w:lang w:val="de-DE"/>
        </w:rPr>
        <w:t>% (1,</w:t>
      </w:r>
      <w:r w:rsidRPr="0049187C">
        <w:rPr>
          <w:lang w:val="de-DE"/>
        </w:rPr>
        <w:t>6 </w:t>
      </w:r>
      <w:r w:rsidR="00FD7DFF" w:rsidRPr="0049187C">
        <w:rPr>
          <w:lang w:val="de-DE"/>
        </w:rPr>
        <w:t>% absolute Risikoreduktion) nach</w:t>
      </w:r>
      <w:r w:rsidRPr="0049187C">
        <w:rPr>
          <w:lang w:val="de-DE"/>
        </w:rPr>
        <w:t> 1 </w:t>
      </w:r>
      <w:r w:rsidR="00FD7DFF" w:rsidRPr="0049187C">
        <w:rPr>
          <w:lang w:val="de-DE"/>
        </w:rPr>
        <w:t>Jahr,</w:t>
      </w:r>
      <w:r w:rsidRPr="0049187C">
        <w:rPr>
          <w:lang w:val="de-DE"/>
        </w:rPr>
        <w:t> 69 </w:t>
      </w:r>
      <w:r w:rsidR="00FD7DFF" w:rsidRPr="0049187C">
        <w:rPr>
          <w:lang w:val="de-DE"/>
        </w:rPr>
        <w:t>% (2,</w:t>
      </w:r>
      <w:r w:rsidRPr="0049187C">
        <w:rPr>
          <w:lang w:val="de-DE"/>
        </w:rPr>
        <w:t>2 </w:t>
      </w:r>
      <w:r w:rsidR="00FD7DFF" w:rsidRPr="0049187C">
        <w:rPr>
          <w:lang w:val="de-DE"/>
        </w:rPr>
        <w:t>% absolute Risikoreduktion) nach</w:t>
      </w:r>
      <w:r w:rsidRPr="0049187C">
        <w:rPr>
          <w:lang w:val="de-DE"/>
        </w:rPr>
        <w:t> 2 </w:t>
      </w:r>
      <w:r w:rsidR="00FD7DFF" w:rsidRPr="0049187C">
        <w:rPr>
          <w:lang w:val="de-DE"/>
        </w:rPr>
        <w:t>Jahren und</w:t>
      </w:r>
      <w:r w:rsidRPr="0049187C">
        <w:rPr>
          <w:lang w:val="de-DE"/>
        </w:rPr>
        <w:t> 62 </w:t>
      </w:r>
      <w:r w:rsidR="00FD7DFF" w:rsidRPr="0049187C">
        <w:rPr>
          <w:lang w:val="de-DE"/>
        </w:rPr>
        <w:t>% (2,</w:t>
      </w:r>
      <w:r w:rsidRPr="0049187C">
        <w:rPr>
          <w:lang w:val="de-DE"/>
        </w:rPr>
        <w:t>4 </w:t>
      </w:r>
      <w:r w:rsidR="00FD7DFF" w:rsidRPr="0049187C">
        <w:rPr>
          <w:lang w:val="de-DE"/>
        </w:rPr>
        <w:t>% absolute Risikoreduktion) nach</w:t>
      </w:r>
      <w:r w:rsidRPr="0049187C">
        <w:rPr>
          <w:lang w:val="de-DE"/>
        </w:rPr>
        <w:t> 3 </w:t>
      </w:r>
      <w:r w:rsidR="00FD7DFF" w:rsidRPr="0049187C">
        <w:rPr>
          <w:lang w:val="de-DE"/>
        </w:rPr>
        <w:t>Jahren (alle p &lt;</w:t>
      </w:r>
      <w:r w:rsidRPr="0049187C">
        <w:rPr>
          <w:lang w:val="de-DE"/>
        </w:rPr>
        <w:t> 0</w:t>
      </w:r>
      <w:r w:rsidR="00FD7DFF" w:rsidRPr="0049187C">
        <w:rPr>
          <w:lang w:val="de-DE"/>
        </w:rPr>
        <w:t>,01).</w:t>
      </w:r>
    </w:p>
    <w:p w14:paraId="419824B5" w14:textId="77777777" w:rsidR="00F83928" w:rsidRPr="0049187C" w:rsidRDefault="00F83928" w:rsidP="0049187C">
      <w:pPr>
        <w:spacing w:after="0" w:line="240" w:lineRule="auto"/>
        <w:ind w:left="0" w:firstLine="0"/>
        <w:rPr>
          <w:lang w:val="de-DE"/>
        </w:rPr>
      </w:pPr>
    </w:p>
    <w:p w14:paraId="04C5061B" w14:textId="77777777" w:rsidR="00261AC3" w:rsidRPr="0049187C" w:rsidRDefault="00B00716" w:rsidP="0049187C">
      <w:pPr>
        <w:keepNext/>
        <w:keepLines/>
        <w:spacing w:after="0" w:line="240" w:lineRule="auto"/>
        <w:ind w:left="0" w:firstLine="0"/>
        <w:rPr>
          <w:u w:val="single"/>
          <w:lang w:val="de-DE"/>
        </w:rPr>
      </w:pPr>
      <w:r w:rsidRPr="0049187C">
        <w:rPr>
          <w:u w:val="single"/>
          <w:lang w:val="de-DE"/>
        </w:rPr>
        <w:t>Klinische Wirksamkeit und Sicherheit bei Patienten mit Knochenschwund im Zusammenhang mit einer adjuvanten Therapie mit Aromataseinhibitoren</w:t>
      </w:r>
    </w:p>
    <w:p w14:paraId="1587DED3" w14:textId="77777777" w:rsidR="00F83928" w:rsidRPr="0049187C" w:rsidRDefault="00F83928" w:rsidP="0049187C">
      <w:pPr>
        <w:spacing w:after="0" w:line="240" w:lineRule="auto"/>
        <w:ind w:left="0" w:firstLine="0"/>
        <w:rPr>
          <w:lang w:val="de-DE"/>
        </w:rPr>
      </w:pPr>
    </w:p>
    <w:p w14:paraId="187C1427" w14:textId="77777777" w:rsidR="00261AC3" w:rsidRPr="0049187C" w:rsidRDefault="00B00716" w:rsidP="0049187C">
      <w:pPr>
        <w:spacing w:after="0" w:line="240" w:lineRule="auto"/>
        <w:ind w:left="0" w:firstLine="0"/>
        <w:rPr>
          <w:lang w:val="de-DE"/>
        </w:rPr>
      </w:pPr>
      <w:r w:rsidRPr="0049187C">
        <w:rPr>
          <w:lang w:val="de-DE"/>
        </w:rPr>
        <w:t xml:space="preserve">Die Wirksamkeit und Sicherheit von </w:t>
      </w:r>
      <w:r w:rsidR="00B80441" w:rsidRPr="0049187C">
        <w:rPr>
          <w:lang w:val="de-DE"/>
        </w:rPr>
        <w:t xml:space="preserve">Denosumab </w:t>
      </w:r>
      <w:r w:rsidRPr="0049187C">
        <w:rPr>
          <w:lang w:val="de-DE"/>
        </w:rPr>
        <w:t>einmal alle 6 Monate für 2 Jahre wurden bei Frauen mit nicht</w:t>
      </w:r>
      <w:r w:rsidRPr="0049187C">
        <w:rPr>
          <w:lang w:val="de-DE"/>
        </w:rPr>
        <w:noBreakHyphen/>
        <w:t>metastasiertem Mammakarzinom (252 Frauen im Alter zwischen 35 und 84 Jahren) untersucht. Diese wiesen einen Ausgangs</w:t>
      </w:r>
      <w:r w:rsidRPr="0049187C">
        <w:rPr>
          <w:lang w:val="de-DE"/>
        </w:rPr>
        <w:noBreakHyphen/>
        <w:t>BMD</w:t>
      </w:r>
      <w:r w:rsidRPr="0049187C">
        <w:rPr>
          <w:lang w:val="de-DE"/>
        </w:rPr>
        <w:noBreakHyphen/>
        <w:t>T</w:t>
      </w:r>
      <w:r w:rsidRPr="0049187C">
        <w:rPr>
          <w:lang w:val="de-DE"/>
        </w:rPr>
        <w:noBreakHyphen/>
        <w:t xml:space="preserve">Score zwischen </w:t>
      </w:r>
      <w:r w:rsidRPr="0049187C">
        <w:rPr>
          <w:lang w:val="de-DE"/>
        </w:rPr>
        <w:noBreakHyphen/>
        <w:t xml:space="preserve">1,0 und </w:t>
      </w:r>
      <w:r w:rsidRPr="0049187C">
        <w:rPr>
          <w:lang w:val="de-DE"/>
        </w:rPr>
        <w:noBreakHyphen/>
        <w:t>2,5 an der Lendenwirbelsäule, an der Gesamthüfte oder am Schenkelhals auf. Alle Frauen erhielten als tägliche Ergänzung Calcium (mindestens 1</w:t>
      </w:r>
      <w:r w:rsidR="00B80441" w:rsidRPr="0049187C">
        <w:rPr>
          <w:lang w:val="de-DE"/>
        </w:rPr>
        <w:t> </w:t>
      </w:r>
      <w:r w:rsidRPr="0049187C">
        <w:rPr>
          <w:lang w:val="de-DE"/>
        </w:rPr>
        <w:t>000 mg) und Vitamin D (mindestens 400 I.E.).</w:t>
      </w:r>
    </w:p>
    <w:p w14:paraId="6B1DEB4A" w14:textId="77777777" w:rsidR="00F83928" w:rsidRPr="0049187C" w:rsidRDefault="00F83928" w:rsidP="0049187C">
      <w:pPr>
        <w:spacing w:after="0" w:line="240" w:lineRule="auto"/>
        <w:ind w:left="0" w:firstLine="0"/>
        <w:rPr>
          <w:lang w:val="de-DE"/>
        </w:rPr>
      </w:pPr>
    </w:p>
    <w:p w14:paraId="75D86EE4" w14:textId="77777777" w:rsidR="00261AC3" w:rsidRPr="0049187C" w:rsidRDefault="00B00716" w:rsidP="0049187C">
      <w:pPr>
        <w:spacing w:after="0" w:line="240" w:lineRule="auto"/>
        <w:ind w:left="0" w:firstLine="0"/>
        <w:rPr>
          <w:lang w:val="de-DE"/>
        </w:rPr>
      </w:pPr>
      <w:r w:rsidRPr="0049187C">
        <w:rPr>
          <w:lang w:val="de-DE"/>
        </w:rPr>
        <w:t xml:space="preserve">Die primäre Wirksamkeitsvariable war die prozentuale Änderung der BMD an der Lendenwirbelsäule. Die Wirksamkeit bezüglich Frakturen wurde nicht evaluiert. Im Vergleich zur Behandlung mit Placebo erhöhte </w:t>
      </w:r>
      <w:r w:rsidR="00B80441" w:rsidRPr="0049187C">
        <w:rPr>
          <w:lang w:val="de-DE"/>
        </w:rPr>
        <w:t xml:space="preserve">Denosumab </w:t>
      </w:r>
      <w:r w:rsidRPr="0049187C">
        <w:rPr>
          <w:lang w:val="de-DE"/>
        </w:rPr>
        <w:t>nach 2 Jahren signifikant die BMD an allen gemessenen Skelettlokalisationen: um 7,6 % an der Lendenwirbelsäule, 4,7 % an der Gesamthüfte, 3,6 % am Schenkelhals, 5,9 % am Hüft</w:t>
      </w:r>
      <w:r w:rsidRPr="0049187C">
        <w:rPr>
          <w:lang w:val="de-DE"/>
        </w:rPr>
        <w:noBreakHyphen/>
        <w:t>Trochanter, 6,1 % am distalen Drittel des Radius und 4,2 % am gesamten Körper (alle p</w:t>
      </w:r>
      <w:r w:rsidR="00252F44" w:rsidRPr="0049187C">
        <w:rPr>
          <w:lang w:val="de-DE"/>
        </w:rPr>
        <w:t> </w:t>
      </w:r>
      <w:r w:rsidRPr="0049187C">
        <w:rPr>
          <w:lang w:val="de-DE"/>
        </w:rPr>
        <w:t>&lt; 0,0001).</w:t>
      </w:r>
    </w:p>
    <w:p w14:paraId="0B230828" w14:textId="77777777" w:rsidR="00F83928" w:rsidRPr="0049187C" w:rsidRDefault="00F83928" w:rsidP="0049187C">
      <w:pPr>
        <w:spacing w:after="0" w:line="240" w:lineRule="auto"/>
        <w:ind w:left="0" w:firstLine="0"/>
        <w:rPr>
          <w:lang w:val="de-DE"/>
        </w:rPr>
      </w:pPr>
    </w:p>
    <w:p w14:paraId="59FCAC97" w14:textId="77777777" w:rsidR="00261AC3" w:rsidRPr="0049187C" w:rsidRDefault="00B00716" w:rsidP="0049187C">
      <w:pPr>
        <w:keepNext/>
        <w:keepLines/>
        <w:spacing w:after="0" w:line="240" w:lineRule="auto"/>
        <w:ind w:left="0" w:firstLine="0"/>
        <w:rPr>
          <w:u w:val="single"/>
          <w:lang w:val="de-DE"/>
        </w:rPr>
      </w:pPr>
      <w:r w:rsidRPr="0049187C">
        <w:rPr>
          <w:u w:val="single"/>
          <w:lang w:val="de-DE"/>
        </w:rPr>
        <w:t>Behandlung von Knochenschwund im Zusammenhang mit systemischer Glucocorticoid</w:t>
      </w:r>
      <w:r w:rsidRPr="0049187C">
        <w:rPr>
          <w:u w:val="single"/>
          <w:lang w:val="de-DE"/>
        </w:rPr>
        <w:noBreakHyphen/>
        <w:t>Therapie</w:t>
      </w:r>
    </w:p>
    <w:p w14:paraId="4D75F053" w14:textId="77777777" w:rsidR="00F83928" w:rsidRPr="0049187C" w:rsidRDefault="00F83928" w:rsidP="0049187C">
      <w:pPr>
        <w:spacing w:after="0" w:line="240" w:lineRule="auto"/>
        <w:ind w:left="0" w:firstLine="0"/>
        <w:rPr>
          <w:lang w:val="de-DE"/>
        </w:rPr>
      </w:pPr>
    </w:p>
    <w:p w14:paraId="40918754" w14:textId="77777777" w:rsidR="00261AC3" w:rsidRPr="0049187C" w:rsidRDefault="00B00716" w:rsidP="0049187C">
      <w:pPr>
        <w:spacing w:after="0" w:line="240" w:lineRule="auto"/>
        <w:ind w:left="0" w:firstLine="0"/>
        <w:rPr>
          <w:lang w:val="de-DE"/>
        </w:rPr>
      </w:pPr>
      <w:r w:rsidRPr="0049187C">
        <w:rPr>
          <w:lang w:val="de-DE"/>
        </w:rPr>
        <w:t xml:space="preserve">Die Wirksamkeit und Sicherheit der Anwendung von </w:t>
      </w:r>
      <w:r w:rsidR="00B80441" w:rsidRPr="0049187C">
        <w:rPr>
          <w:lang w:val="de-DE"/>
        </w:rPr>
        <w:t xml:space="preserve">Denosumab </w:t>
      </w:r>
      <w:r w:rsidRPr="0049187C">
        <w:rPr>
          <w:lang w:val="de-DE"/>
        </w:rPr>
        <w:t>wurden bei 795 Patienten (70 % Frauen und 30 % Männern) im Alter zwischen 20 und 94 Jahren untersucht, die mit einer täglichen oralen Gabe von ≥ 7,5 mg Prednison (oder einem vergleichbaren Arzneimittel) behandelt wurden.</w:t>
      </w:r>
    </w:p>
    <w:p w14:paraId="2A017FED" w14:textId="77777777" w:rsidR="00F83928" w:rsidRPr="0049187C" w:rsidRDefault="00F83928" w:rsidP="0049187C">
      <w:pPr>
        <w:spacing w:after="0" w:line="240" w:lineRule="auto"/>
        <w:ind w:left="0" w:firstLine="0"/>
        <w:rPr>
          <w:lang w:val="de-DE"/>
        </w:rPr>
      </w:pPr>
    </w:p>
    <w:p w14:paraId="16957BD8" w14:textId="77777777" w:rsidR="00261AC3" w:rsidRPr="0049187C" w:rsidRDefault="00B00716" w:rsidP="0049187C">
      <w:pPr>
        <w:spacing w:after="0" w:line="240" w:lineRule="auto"/>
        <w:ind w:left="0" w:firstLine="0"/>
        <w:rPr>
          <w:lang w:val="de-DE"/>
        </w:rPr>
      </w:pPr>
      <w:r w:rsidRPr="0049187C">
        <w:rPr>
          <w:lang w:val="de-DE"/>
        </w:rPr>
        <w:t>Es wurden zwei Subpopulationen untersucht: Glucocorticoid</w:t>
      </w:r>
      <w:r w:rsidRPr="0049187C">
        <w:rPr>
          <w:lang w:val="de-DE"/>
        </w:rPr>
        <w:noBreakHyphen/>
        <w:t>Weiterbehandlung (tägliche Dosis von</w:t>
      </w:r>
      <w:r w:rsidR="005D2908" w:rsidRPr="0049187C">
        <w:rPr>
          <w:lang w:val="de-DE"/>
        </w:rPr>
        <w:t xml:space="preserve"> </w:t>
      </w:r>
      <w:r w:rsidRPr="0049187C">
        <w:rPr>
          <w:lang w:val="de-DE"/>
        </w:rPr>
        <w:t>≥ 7,5 mg Prednison oder einem Äquivalent im Zeitraum von ≥ 3 Monaten vor Aufnahme in die Studie; n = 505) und Glucocorticoid</w:t>
      </w:r>
      <w:r w:rsidRPr="0049187C">
        <w:rPr>
          <w:lang w:val="de-DE"/>
        </w:rPr>
        <w:noBreakHyphen/>
        <w:t xml:space="preserve">Neubehandlung (tägliche Dosis von ≥ 7,5 mg Prednison oder einem Äquivalent im Zeitraum von &lt; 3 Monaten vor Aufnahme in die Studie; n = 290). Die Patienten wurden randomisiert (1:1), um über einen Zeitraum von 2 Jahren entweder alle 6 Monate 60 mg </w:t>
      </w:r>
      <w:r w:rsidR="00B80441" w:rsidRPr="0049187C">
        <w:rPr>
          <w:lang w:val="de-DE"/>
        </w:rPr>
        <w:t xml:space="preserve">Denosumab </w:t>
      </w:r>
      <w:r w:rsidRPr="0049187C">
        <w:rPr>
          <w:lang w:val="de-DE"/>
        </w:rPr>
        <w:t>subkutan oder einmal täglich 5 mg Risedronat oral (aktive Kontrolle) zu erhalten. Die Patienten erhielten täglich als Ergänzung Calcium (mindestens 1</w:t>
      </w:r>
      <w:r w:rsidR="00265C56" w:rsidRPr="0049187C">
        <w:rPr>
          <w:lang w:val="de-DE"/>
        </w:rPr>
        <w:t> </w:t>
      </w:r>
      <w:r w:rsidRPr="0049187C">
        <w:rPr>
          <w:lang w:val="de-DE"/>
        </w:rPr>
        <w:t>000 mg) und Vitamin D (mindestens 800 I.E.).</w:t>
      </w:r>
    </w:p>
    <w:p w14:paraId="7FBCD1A6" w14:textId="77777777" w:rsidR="00F83928" w:rsidRPr="0049187C" w:rsidRDefault="00F83928" w:rsidP="0049187C">
      <w:pPr>
        <w:spacing w:after="0" w:line="240" w:lineRule="auto"/>
        <w:ind w:left="0" w:firstLine="0"/>
        <w:rPr>
          <w:lang w:val="de-DE"/>
        </w:rPr>
      </w:pPr>
    </w:p>
    <w:p w14:paraId="09C3D8C0" w14:textId="77777777" w:rsidR="00261AC3" w:rsidRPr="0049187C" w:rsidRDefault="00B00716" w:rsidP="0049187C">
      <w:pPr>
        <w:keepNext/>
        <w:keepLines/>
        <w:spacing w:after="0" w:line="240" w:lineRule="auto"/>
        <w:ind w:left="0" w:firstLine="0"/>
        <w:rPr>
          <w:i/>
          <w:iCs/>
          <w:lang w:val="de-DE"/>
        </w:rPr>
      </w:pPr>
      <w:r w:rsidRPr="0049187C">
        <w:rPr>
          <w:i/>
          <w:iCs/>
          <w:lang w:val="de-DE"/>
        </w:rPr>
        <w:t>Auswirkungen auf die Knochenmineraldichte (BMD)</w:t>
      </w:r>
    </w:p>
    <w:p w14:paraId="395EF293" w14:textId="77777777" w:rsidR="00261AC3" w:rsidRPr="0049187C" w:rsidRDefault="00B00716" w:rsidP="0049187C">
      <w:pPr>
        <w:spacing w:after="0" w:line="240" w:lineRule="auto"/>
        <w:ind w:left="0" w:firstLine="0"/>
        <w:rPr>
          <w:lang w:val="de-DE"/>
        </w:rPr>
      </w:pPr>
      <w:r w:rsidRPr="0049187C">
        <w:rPr>
          <w:lang w:val="de-DE"/>
        </w:rPr>
        <w:t>In der Subpopulation mit Glucocorticoid</w:t>
      </w:r>
      <w:r w:rsidRPr="0049187C">
        <w:rPr>
          <w:lang w:val="de-DE"/>
        </w:rPr>
        <w:noBreakHyphen/>
        <w:t xml:space="preserve">Weiterbehandlung zeigte </w:t>
      </w:r>
      <w:r w:rsidR="00B80441" w:rsidRPr="0049187C">
        <w:rPr>
          <w:lang w:val="de-DE"/>
        </w:rPr>
        <w:t xml:space="preserve">Denosumab </w:t>
      </w:r>
      <w:r w:rsidRPr="0049187C">
        <w:rPr>
          <w:lang w:val="de-DE"/>
        </w:rPr>
        <w:t>eine größere Erhöhung der</w:t>
      </w:r>
      <w:r w:rsidR="005D2908" w:rsidRPr="0049187C">
        <w:rPr>
          <w:lang w:val="de-DE"/>
        </w:rPr>
        <w:t xml:space="preserve"> </w:t>
      </w:r>
      <w:r w:rsidRPr="0049187C">
        <w:rPr>
          <w:lang w:val="de-DE"/>
        </w:rPr>
        <w:t>BMD an der Lendenwirbelsäule im Vergleich zu Risedronat nach 1 Jahr (</w:t>
      </w:r>
      <w:r w:rsidR="00B80441" w:rsidRPr="0049187C">
        <w:rPr>
          <w:lang w:val="de-DE"/>
        </w:rPr>
        <w:t>Denosumab</w:t>
      </w:r>
      <w:r w:rsidRPr="0049187C">
        <w:rPr>
          <w:lang w:val="de-DE"/>
        </w:rPr>
        <w:t> 3,6 %, Risedronat 2,0 %; p &lt; 0,001) und nach 2 Jahren (</w:t>
      </w:r>
      <w:r w:rsidR="00B80441" w:rsidRPr="0049187C">
        <w:rPr>
          <w:lang w:val="de-DE"/>
        </w:rPr>
        <w:t>Denosumab</w:t>
      </w:r>
      <w:r w:rsidRPr="0049187C">
        <w:rPr>
          <w:lang w:val="de-DE"/>
        </w:rPr>
        <w:t> 4,5 %, Risedronat 2,2 %; p &lt; 0,001). In der Subpopulation mit Glucocorticoid</w:t>
      </w:r>
      <w:r w:rsidRPr="0049187C">
        <w:rPr>
          <w:lang w:val="de-DE"/>
        </w:rPr>
        <w:noBreakHyphen/>
        <w:t xml:space="preserve">Neubehandlung zeigte </w:t>
      </w:r>
      <w:r w:rsidR="00B80441" w:rsidRPr="0049187C">
        <w:rPr>
          <w:lang w:val="de-DE"/>
        </w:rPr>
        <w:t xml:space="preserve">Denosumab </w:t>
      </w:r>
      <w:r w:rsidRPr="0049187C">
        <w:rPr>
          <w:lang w:val="de-DE"/>
        </w:rPr>
        <w:t>eine größere Erhöhung der BMD an der Lendenwirbelsäule im Vergleich zu Risedronat nach 1 Jahr (</w:t>
      </w:r>
      <w:r w:rsidR="00B80441" w:rsidRPr="0049187C">
        <w:rPr>
          <w:lang w:val="de-DE"/>
        </w:rPr>
        <w:t>Denosumab</w:t>
      </w:r>
      <w:r w:rsidRPr="0049187C">
        <w:rPr>
          <w:lang w:val="de-DE"/>
        </w:rPr>
        <w:t> 3,1 %, Risedronat 0,8 %; p</w:t>
      </w:r>
      <w:r w:rsidR="00252F44" w:rsidRPr="0049187C">
        <w:rPr>
          <w:lang w:val="de-DE"/>
        </w:rPr>
        <w:t> </w:t>
      </w:r>
      <w:r w:rsidRPr="0049187C">
        <w:rPr>
          <w:lang w:val="de-DE"/>
        </w:rPr>
        <w:t>&lt; 0,001) und nach 2 Jahren (</w:t>
      </w:r>
      <w:r w:rsidR="00B80441" w:rsidRPr="0049187C">
        <w:rPr>
          <w:lang w:val="de-DE"/>
        </w:rPr>
        <w:t>Denosumab</w:t>
      </w:r>
      <w:r w:rsidRPr="0049187C">
        <w:rPr>
          <w:lang w:val="de-DE"/>
        </w:rPr>
        <w:t> 4,6 %, Risedronat 1,5 %; p &lt; 0,001).</w:t>
      </w:r>
    </w:p>
    <w:p w14:paraId="0A8CCD6B" w14:textId="77777777" w:rsidR="00F83928" w:rsidRPr="0049187C" w:rsidRDefault="00F83928" w:rsidP="0049187C">
      <w:pPr>
        <w:spacing w:after="0" w:line="240" w:lineRule="auto"/>
        <w:ind w:left="0" w:firstLine="0"/>
        <w:rPr>
          <w:lang w:val="de-DE"/>
        </w:rPr>
      </w:pPr>
    </w:p>
    <w:p w14:paraId="56B13772" w14:textId="77777777" w:rsidR="00261AC3" w:rsidRPr="0049187C" w:rsidRDefault="00B00716" w:rsidP="0049187C">
      <w:pPr>
        <w:spacing w:after="0" w:line="240" w:lineRule="auto"/>
        <w:ind w:left="0" w:firstLine="0"/>
        <w:rPr>
          <w:lang w:val="de-DE"/>
        </w:rPr>
      </w:pPr>
      <w:r w:rsidRPr="0049187C">
        <w:rPr>
          <w:lang w:val="de-DE"/>
        </w:rPr>
        <w:t xml:space="preserve">Außerdem zeigte </w:t>
      </w:r>
      <w:r w:rsidR="00B80441" w:rsidRPr="0049187C">
        <w:rPr>
          <w:lang w:val="de-DE"/>
        </w:rPr>
        <w:t xml:space="preserve">Denosumab </w:t>
      </w:r>
      <w:r w:rsidRPr="0049187C">
        <w:rPr>
          <w:lang w:val="de-DE"/>
        </w:rPr>
        <w:t>eine signifikant größere mittlere prozentuale BMD</w:t>
      </w:r>
      <w:r w:rsidRPr="0049187C">
        <w:rPr>
          <w:lang w:val="de-DE"/>
        </w:rPr>
        <w:noBreakHyphen/>
        <w:t>Erhöhung ab Studienbeginn im Vergleich zu Risedronat an der Gesamthüfte, am Schenkelhals und am Hüft</w:t>
      </w:r>
      <w:r w:rsidR="00252F44" w:rsidRPr="0049187C">
        <w:rPr>
          <w:lang w:val="de-DE"/>
        </w:rPr>
        <w:t xml:space="preserve"> </w:t>
      </w:r>
      <w:r w:rsidRPr="0049187C">
        <w:rPr>
          <w:lang w:val="de-DE"/>
        </w:rPr>
        <w:t>Trochanter.</w:t>
      </w:r>
    </w:p>
    <w:p w14:paraId="67A8E561" w14:textId="77777777" w:rsidR="00F83928" w:rsidRPr="0049187C" w:rsidRDefault="00F83928" w:rsidP="0049187C">
      <w:pPr>
        <w:spacing w:after="0" w:line="240" w:lineRule="auto"/>
        <w:ind w:left="0" w:firstLine="0"/>
        <w:rPr>
          <w:lang w:val="de-DE"/>
        </w:rPr>
      </w:pPr>
    </w:p>
    <w:p w14:paraId="5574B9B1" w14:textId="77777777" w:rsidR="00261AC3" w:rsidRPr="0049187C" w:rsidRDefault="00B00716" w:rsidP="0049187C">
      <w:pPr>
        <w:spacing w:after="0" w:line="240" w:lineRule="auto"/>
        <w:ind w:left="0" w:firstLine="0"/>
        <w:rPr>
          <w:lang w:val="de-DE"/>
        </w:rPr>
      </w:pPr>
      <w:r w:rsidRPr="0049187C">
        <w:rPr>
          <w:lang w:val="de-DE"/>
        </w:rPr>
        <w:t>Die Studie war nicht dafür ausgelegt, einen Unterschied bei Frakturen aufzuzeigen. Nach 1 Jahr lag die Häufigkeit neuer radiologischer vertebraler Frakturen bei 2,7 % (Denosumab) versus 3,2 % (Risedronat). Die Häufigkeit von nicht</w:t>
      </w:r>
      <w:r w:rsidRPr="0049187C">
        <w:rPr>
          <w:lang w:val="de-DE"/>
        </w:rPr>
        <w:noBreakHyphen/>
        <w:t>vertebralen Frakturen lag bei 4,3 % (Denosumab) versus 2,5 % (Risedronat). Nach 2 Jahren lagen die entsprechenden Zahlen bei 4,1 % versus 5,8 % für neue radiologische vertebrale Frakturen und bei 5,3 % versus 3,8 % für nicht</w:t>
      </w:r>
      <w:r w:rsidRPr="0049187C">
        <w:rPr>
          <w:lang w:val="de-DE"/>
        </w:rPr>
        <w:noBreakHyphen/>
        <w:t>vertebrale Frakturen. Die meisten Frakturen traten in der Subpopulation mit Glucocorticoid</w:t>
      </w:r>
      <w:r w:rsidRPr="0049187C">
        <w:rPr>
          <w:lang w:val="de-DE"/>
        </w:rPr>
        <w:noBreakHyphen/>
        <w:t>Weiterbehandlung auf.</w:t>
      </w:r>
    </w:p>
    <w:p w14:paraId="7A049403" w14:textId="77777777" w:rsidR="00F83928" w:rsidRPr="0049187C" w:rsidRDefault="00F83928" w:rsidP="0049187C">
      <w:pPr>
        <w:spacing w:after="0" w:line="240" w:lineRule="auto"/>
        <w:ind w:left="0" w:firstLine="0"/>
        <w:rPr>
          <w:lang w:val="de-DE"/>
        </w:rPr>
      </w:pPr>
    </w:p>
    <w:p w14:paraId="1CAF39B1" w14:textId="77777777" w:rsidR="00261AC3" w:rsidRPr="0049187C" w:rsidRDefault="00B00716" w:rsidP="0049187C">
      <w:pPr>
        <w:keepNext/>
        <w:keepLines/>
        <w:spacing w:after="0" w:line="240" w:lineRule="auto"/>
        <w:ind w:left="0" w:firstLine="0"/>
        <w:rPr>
          <w:u w:val="single"/>
          <w:lang w:val="de-DE"/>
        </w:rPr>
      </w:pPr>
      <w:r w:rsidRPr="0049187C">
        <w:rPr>
          <w:u w:val="single"/>
          <w:lang w:val="de-DE"/>
        </w:rPr>
        <w:t>Kinder und Jugendliche</w:t>
      </w:r>
    </w:p>
    <w:p w14:paraId="094505DC" w14:textId="77777777" w:rsidR="00F83928" w:rsidRPr="0049187C" w:rsidRDefault="00F83928" w:rsidP="0049187C">
      <w:pPr>
        <w:spacing w:after="0" w:line="240" w:lineRule="auto"/>
        <w:ind w:left="0" w:firstLine="0"/>
        <w:rPr>
          <w:lang w:val="de-DE"/>
        </w:rPr>
      </w:pPr>
    </w:p>
    <w:p w14:paraId="37FE7222" w14:textId="77777777" w:rsidR="00261AC3" w:rsidRPr="0049187C" w:rsidRDefault="00B00716" w:rsidP="0049187C">
      <w:pPr>
        <w:spacing w:after="0" w:line="240" w:lineRule="auto"/>
        <w:ind w:left="0" w:firstLine="0"/>
        <w:rPr>
          <w:lang w:val="de-DE"/>
        </w:rPr>
      </w:pPr>
      <w:r w:rsidRPr="0049187C">
        <w:rPr>
          <w:lang w:val="de-DE"/>
        </w:rPr>
        <w:t>Bei Kindern mit Osteogenesis imperfecta im Alter von</w:t>
      </w:r>
      <w:r w:rsidR="00D92A0F" w:rsidRPr="0049187C">
        <w:rPr>
          <w:lang w:val="de-DE"/>
        </w:rPr>
        <w:t xml:space="preserve"> </w:t>
      </w:r>
      <w:r w:rsidRPr="0049187C">
        <w:rPr>
          <w:lang w:val="de-DE"/>
        </w:rPr>
        <w:t>2 bis 17 Jahren,</w:t>
      </w:r>
      <w:r w:rsidR="00D92A0F" w:rsidRPr="0049187C">
        <w:rPr>
          <w:lang w:val="de-DE"/>
        </w:rPr>
        <w:t xml:space="preserve"> </w:t>
      </w:r>
      <w:r w:rsidRPr="0049187C">
        <w:rPr>
          <w:lang w:val="de-DE"/>
        </w:rPr>
        <w:t>52,3 % männlich,</w:t>
      </w:r>
      <w:r w:rsidR="00D92A0F" w:rsidRPr="0049187C">
        <w:rPr>
          <w:lang w:val="de-DE"/>
        </w:rPr>
        <w:t xml:space="preserve"> </w:t>
      </w:r>
      <w:r w:rsidRPr="0049187C">
        <w:rPr>
          <w:lang w:val="de-DE"/>
        </w:rPr>
        <w:t>88,2 % kaukasische Abstammung, wurde eine einarmige Phase</w:t>
      </w:r>
      <w:r w:rsidRPr="0049187C">
        <w:rPr>
          <w:lang w:val="de-DE"/>
        </w:rPr>
        <w:noBreakHyphen/>
        <w:t>III</w:t>
      </w:r>
      <w:r w:rsidRPr="0049187C">
        <w:rPr>
          <w:lang w:val="de-DE"/>
        </w:rPr>
        <w:noBreakHyphen/>
        <w:t>Studie zur Beurteilung der Wirksamkeit, Sicherheit und Pharmakokinetik durchgeführt. Insgesamt erhielten</w:t>
      </w:r>
      <w:r w:rsidR="00D92A0F" w:rsidRPr="0049187C">
        <w:rPr>
          <w:lang w:val="de-DE"/>
        </w:rPr>
        <w:t xml:space="preserve"> </w:t>
      </w:r>
      <w:r w:rsidRPr="0049187C">
        <w:rPr>
          <w:lang w:val="de-DE"/>
        </w:rPr>
        <w:t>153 Patienten anfänglich</w:t>
      </w:r>
      <w:r w:rsidR="00D92A0F" w:rsidRPr="0049187C">
        <w:rPr>
          <w:lang w:val="de-DE"/>
        </w:rPr>
        <w:t xml:space="preserve"> </w:t>
      </w:r>
      <w:r w:rsidRPr="0049187C">
        <w:rPr>
          <w:lang w:val="de-DE"/>
        </w:rPr>
        <w:t>1 mg/kg Denosumab subkutan (s.c.) bis maximal</w:t>
      </w:r>
      <w:r w:rsidR="00D92A0F" w:rsidRPr="0049187C">
        <w:rPr>
          <w:lang w:val="de-DE"/>
        </w:rPr>
        <w:t xml:space="preserve"> </w:t>
      </w:r>
      <w:r w:rsidRPr="0049187C">
        <w:rPr>
          <w:lang w:val="de-DE"/>
        </w:rPr>
        <w:t>60 mg alle</w:t>
      </w:r>
      <w:r w:rsidR="00D92A0F" w:rsidRPr="0049187C">
        <w:rPr>
          <w:lang w:val="de-DE"/>
        </w:rPr>
        <w:t xml:space="preserve"> </w:t>
      </w:r>
      <w:r w:rsidRPr="0049187C">
        <w:rPr>
          <w:lang w:val="de-DE"/>
        </w:rPr>
        <w:t>6 Monate über einen Zeitraum von</w:t>
      </w:r>
      <w:r w:rsidR="00D92A0F" w:rsidRPr="0049187C">
        <w:rPr>
          <w:lang w:val="de-DE"/>
        </w:rPr>
        <w:t xml:space="preserve"> </w:t>
      </w:r>
      <w:r w:rsidRPr="0049187C">
        <w:rPr>
          <w:lang w:val="de-DE"/>
        </w:rPr>
        <w:t>36 Monaten. Sechzig Patienten wechselten zur Anwendung alle</w:t>
      </w:r>
      <w:r w:rsidR="00D92A0F" w:rsidRPr="0049187C">
        <w:rPr>
          <w:lang w:val="de-DE"/>
        </w:rPr>
        <w:t xml:space="preserve"> </w:t>
      </w:r>
      <w:r w:rsidRPr="0049187C">
        <w:rPr>
          <w:lang w:val="de-DE"/>
        </w:rPr>
        <w:t>3 Monate.</w:t>
      </w:r>
    </w:p>
    <w:p w14:paraId="376D5872" w14:textId="77777777" w:rsidR="00F83928" w:rsidRPr="0049187C" w:rsidRDefault="00F83928" w:rsidP="0049187C">
      <w:pPr>
        <w:spacing w:after="0" w:line="240" w:lineRule="auto"/>
        <w:ind w:left="0" w:firstLine="0"/>
        <w:rPr>
          <w:lang w:val="de-DE"/>
        </w:rPr>
      </w:pPr>
    </w:p>
    <w:p w14:paraId="78E6DBF0" w14:textId="77777777" w:rsidR="00261AC3" w:rsidRPr="0049187C" w:rsidRDefault="00B00716" w:rsidP="0049187C">
      <w:pPr>
        <w:spacing w:after="0" w:line="240" w:lineRule="auto"/>
        <w:ind w:left="0" w:firstLine="0"/>
        <w:rPr>
          <w:lang w:val="de-DE"/>
        </w:rPr>
      </w:pPr>
      <w:r w:rsidRPr="0049187C">
        <w:rPr>
          <w:lang w:val="de-DE"/>
        </w:rPr>
        <w:t>Bei der Anwendung alle</w:t>
      </w:r>
      <w:r w:rsidR="00D92A0F" w:rsidRPr="0049187C">
        <w:rPr>
          <w:lang w:val="de-DE"/>
        </w:rPr>
        <w:t xml:space="preserve"> </w:t>
      </w:r>
      <w:r w:rsidRPr="0049187C">
        <w:rPr>
          <w:lang w:val="de-DE"/>
        </w:rPr>
        <w:t>3 Monate betrug in Monat</w:t>
      </w:r>
      <w:r w:rsidR="00D92A0F" w:rsidRPr="0049187C">
        <w:rPr>
          <w:lang w:val="de-DE"/>
        </w:rPr>
        <w:t xml:space="preserve"> </w:t>
      </w:r>
      <w:r w:rsidRPr="0049187C">
        <w:rPr>
          <w:lang w:val="de-DE"/>
        </w:rPr>
        <w:t>12 die Veränderung des Z</w:t>
      </w:r>
      <w:r w:rsidRPr="0049187C">
        <w:rPr>
          <w:lang w:val="de-DE"/>
        </w:rPr>
        <w:noBreakHyphen/>
        <w:t>Scores der KMD der Lendenwirbelsäule gegenüber Baseline</w:t>
      </w:r>
      <w:r w:rsidR="00D92A0F" w:rsidRPr="0049187C">
        <w:rPr>
          <w:lang w:val="de-DE"/>
        </w:rPr>
        <w:t xml:space="preserve"> </w:t>
      </w:r>
      <w:r w:rsidRPr="0049187C">
        <w:rPr>
          <w:lang w:val="de-DE"/>
        </w:rPr>
        <w:t>1,01 (0,12) (kleinste Quadrate (LS)</w:t>
      </w:r>
      <w:r w:rsidRPr="0049187C">
        <w:rPr>
          <w:lang w:val="de-DE"/>
        </w:rPr>
        <w:noBreakHyphen/>
        <w:t xml:space="preserve">Mittelwerte; </w:t>
      </w:r>
      <w:r w:rsidRPr="0049187C">
        <w:rPr>
          <w:i/>
          <w:lang w:val="de-DE"/>
        </w:rPr>
        <w:t>standard error</w:t>
      </w:r>
      <w:r w:rsidRPr="0049187C">
        <w:rPr>
          <w:lang w:val="de-DE"/>
        </w:rPr>
        <w:t xml:space="preserve">, SE). </w:t>
      </w:r>
    </w:p>
    <w:p w14:paraId="4B906DD0" w14:textId="77777777" w:rsidR="00F83928" w:rsidRPr="0049187C" w:rsidRDefault="00F83928" w:rsidP="0049187C">
      <w:pPr>
        <w:spacing w:after="0" w:line="240" w:lineRule="auto"/>
        <w:ind w:left="0" w:firstLine="0"/>
        <w:rPr>
          <w:lang w:val="de-DE"/>
        </w:rPr>
      </w:pPr>
    </w:p>
    <w:p w14:paraId="7ED1A67E" w14:textId="77777777" w:rsidR="00261AC3" w:rsidRPr="0049187C" w:rsidRDefault="00B00716" w:rsidP="0049187C">
      <w:pPr>
        <w:spacing w:after="0" w:line="240" w:lineRule="auto"/>
        <w:ind w:left="0" w:firstLine="0"/>
        <w:rPr>
          <w:lang w:val="de-DE"/>
        </w:rPr>
      </w:pPr>
      <w:r w:rsidRPr="0049187C">
        <w:rPr>
          <w:lang w:val="de-DE"/>
        </w:rPr>
        <w:t>Die am häufigsten berichteten unerwünschten Ereignisse während der Anwendung alle</w:t>
      </w:r>
      <w:r w:rsidR="00D92A0F" w:rsidRPr="0049187C">
        <w:rPr>
          <w:lang w:val="de-DE"/>
        </w:rPr>
        <w:t xml:space="preserve"> </w:t>
      </w:r>
      <w:r w:rsidRPr="0049187C">
        <w:rPr>
          <w:lang w:val="de-DE"/>
        </w:rPr>
        <w:t>6 Monate waren Arthralgie (45,8 %), Schmerzen in den Gliedmaßen (37,9 %), Rückenschmerzen (32,7 %) und Hyperkalzurie (32,0 %). Hyperkalzämie wurde während der Anwendung alle</w:t>
      </w:r>
      <w:r w:rsidR="00D92A0F" w:rsidRPr="0049187C">
        <w:rPr>
          <w:lang w:val="de-DE"/>
        </w:rPr>
        <w:t xml:space="preserve"> </w:t>
      </w:r>
      <w:r w:rsidRPr="0049187C">
        <w:rPr>
          <w:lang w:val="de-DE"/>
        </w:rPr>
        <w:t>6 Monate (19 %) und während der Anwendung alle</w:t>
      </w:r>
      <w:r w:rsidR="00D92A0F" w:rsidRPr="0049187C">
        <w:rPr>
          <w:lang w:val="de-DE"/>
        </w:rPr>
        <w:t xml:space="preserve"> </w:t>
      </w:r>
      <w:r w:rsidRPr="0049187C">
        <w:rPr>
          <w:lang w:val="de-DE"/>
        </w:rPr>
        <w:t>3 Monate (36,7 %) berichtet. Schwere unerwünschte Ereignisse einer Hyperkalzämie (13,3 %) wurden während der Anwendung alle 3 Monate berichtet.</w:t>
      </w:r>
    </w:p>
    <w:p w14:paraId="4BED191F" w14:textId="77777777" w:rsidR="00F83928" w:rsidRPr="0049187C" w:rsidRDefault="00F83928" w:rsidP="0049187C">
      <w:pPr>
        <w:spacing w:after="0" w:line="240" w:lineRule="auto"/>
        <w:ind w:left="0" w:firstLine="0"/>
        <w:rPr>
          <w:lang w:val="de-DE"/>
        </w:rPr>
      </w:pPr>
    </w:p>
    <w:p w14:paraId="61E9A316" w14:textId="77777777" w:rsidR="00261AC3" w:rsidRPr="0049187C" w:rsidRDefault="00B00716" w:rsidP="0049187C">
      <w:pPr>
        <w:spacing w:after="0" w:line="240" w:lineRule="auto"/>
        <w:ind w:left="0" w:firstLine="0"/>
        <w:rPr>
          <w:lang w:val="de-DE"/>
        </w:rPr>
      </w:pPr>
      <w:r w:rsidRPr="0049187C">
        <w:rPr>
          <w:lang w:val="de-DE"/>
        </w:rPr>
        <w:t>In einer Verlängerungsstudie (N = 75) wurden schwere unerwünschte Ereignisse einer Hyperkalzämie (18,5 %) während der Anwendung alle 3 Monate beobachtet.</w:t>
      </w:r>
    </w:p>
    <w:p w14:paraId="5B226140" w14:textId="77777777" w:rsidR="00F83928" w:rsidRPr="0049187C" w:rsidRDefault="00F83928" w:rsidP="0049187C">
      <w:pPr>
        <w:spacing w:after="0" w:line="240" w:lineRule="auto"/>
        <w:ind w:left="0" w:firstLine="0"/>
        <w:rPr>
          <w:lang w:val="de-DE"/>
        </w:rPr>
      </w:pPr>
    </w:p>
    <w:p w14:paraId="50F9C16B" w14:textId="77777777" w:rsidR="00261AC3" w:rsidRPr="0049187C" w:rsidRDefault="00B00716" w:rsidP="0049187C">
      <w:pPr>
        <w:spacing w:after="0" w:line="240" w:lineRule="auto"/>
        <w:ind w:left="0" w:firstLine="0"/>
        <w:rPr>
          <w:lang w:val="de-DE"/>
        </w:rPr>
      </w:pPr>
      <w:r w:rsidRPr="0049187C">
        <w:rPr>
          <w:lang w:val="de-DE"/>
        </w:rPr>
        <w:t>Die Studien wurden aufgrund des Auftretens lebensbedrohlicher Ereignisse und von</w:t>
      </w:r>
      <w:r w:rsidR="005D2908" w:rsidRPr="0049187C">
        <w:rPr>
          <w:lang w:val="de-DE"/>
        </w:rPr>
        <w:t xml:space="preserve"> </w:t>
      </w:r>
      <w:r w:rsidRPr="0049187C">
        <w:rPr>
          <w:lang w:val="de-DE"/>
        </w:rPr>
        <w:t>Krankenhausaufenthalten, bedingt durch eine Hyperkalzämie, vorzeitig beendet (siehe Abschnitt 4.2).</w:t>
      </w:r>
    </w:p>
    <w:p w14:paraId="187E18AA" w14:textId="77777777" w:rsidR="00F83928" w:rsidRPr="0049187C" w:rsidRDefault="00F83928" w:rsidP="0049187C">
      <w:pPr>
        <w:spacing w:after="0" w:line="240" w:lineRule="auto"/>
        <w:ind w:left="0" w:firstLine="0"/>
        <w:rPr>
          <w:lang w:val="de-DE"/>
        </w:rPr>
      </w:pPr>
    </w:p>
    <w:p w14:paraId="3884EFB9" w14:textId="77777777" w:rsidR="00261AC3" w:rsidRPr="0049187C" w:rsidRDefault="00B00716" w:rsidP="0049187C">
      <w:pPr>
        <w:spacing w:after="0" w:line="240" w:lineRule="auto"/>
        <w:ind w:left="0" w:firstLine="0"/>
        <w:rPr>
          <w:lang w:val="de-DE"/>
        </w:rPr>
      </w:pPr>
      <w:r w:rsidRPr="0049187C">
        <w:rPr>
          <w:lang w:val="de-DE"/>
        </w:rPr>
        <w:t>Die Europäische Arzneimittel</w:t>
      </w:r>
      <w:r w:rsidRPr="0049187C">
        <w:rPr>
          <w:lang w:val="de-DE"/>
        </w:rPr>
        <w:noBreakHyphen/>
        <w:t xml:space="preserve">Agentur hat </w:t>
      </w:r>
      <w:r w:rsidR="00757B8A" w:rsidRPr="0049187C">
        <w:rPr>
          <w:lang w:val="de-DE"/>
        </w:rPr>
        <w:t xml:space="preserve">für </w:t>
      </w:r>
      <w:r w:rsidR="002E5640" w:rsidRPr="0049187C">
        <w:rPr>
          <w:lang w:val="de-DE"/>
        </w:rPr>
        <w:t xml:space="preserve">das Referenzarzneimittel, das Denosumab enthält, </w:t>
      </w:r>
      <w:r w:rsidRPr="0049187C">
        <w:rPr>
          <w:lang w:val="de-DE"/>
        </w:rPr>
        <w:t xml:space="preserve">eine </w:t>
      </w:r>
      <w:r w:rsidR="002E5640" w:rsidRPr="0049187C">
        <w:rPr>
          <w:lang w:val="de-DE"/>
        </w:rPr>
        <w:t xml:space="preserve">Zurückstellung </w:t>
      </w:r>
      <w:r w:rsidRPr="0049187C">
        <w:rPr>
          <w:lang w:val="de-DE"/>
        </w:rPr>
        <w:t xml:space="preserve">von der Verpflichtung zur Vorlage von Ergebnissen zu Studien in </w:t>
      </w:r>
      <w:r w:rsidR="002E5640" w:rsidRPr="0049187C">
        <w:rPr>
          <w:lang w:val="de-DE"/>
        </w:rPr>
        <w:t xml:space="preserve">einer oder mehreren </w:t>
      </w:r>
      <w:r w:rsidRPr="0049187C">
        <w:rPr>
          <w:lang w:val="de-DE"/>
        </w:rPr>
        <w:t>pädiatrischen Altersklassen bei der Behandlung von Knochenschwund, der mit der ablativen Therapie der Sexualhormone verbunden ist, und in pädiatrischen Altersklassen unter 2 Jahren bei der Behandlung von Osteoporose gewährt (siehe</w:t>
      </w:r>
      <w:r w:rsidR="005D2908" w:rsidRPr="0049187C">
        <w:rPr>
          <w:lang w:val="de-DE"/>
        </w:rPr>
        <w:t> </w:t>
      </w:r>
      <w:r w:rsidRPr="0049187C">
        <w:rPr>
          <w:lang w:val="de-DE"/>
        </w:rPr>
        <w:t xml:space="preserve">Abschnitt 4.2 bzgl. Informationen zur Anwendung bei Kindern und Jugendlichen). </w:t>
      </w:r>
    </w:p>
    <w:p w14:paraId="5EED6E5D" w14:textId="77777777" w:rsidR="00F83928" w:rsidRPr="0049187C" w:rsidRDefault="00F83928" w:rsidP="0049187C">
      <w:pPr>
        <w:spacing w:after="0" w:line="240" w:lineRule="auto"/>
        <w:ind w:left="0" w:firstLine="0"/>
        <w:rPr>
          <w:lang w:val="de-DE"/>
        </w:rPr>
      </w:pPr>
    </w:p>
    <w:p w14:paraId="55AFBDAD" w14:textId="77777777" w:rsidR="00261AC3" w:rsidRPr="0049187C" w:rsidRDefault="00B00716" w:rsidP="0049187C">
      <w:pPr>
        <w:keepNext/>
        <w:keepLines/>
        <w:tabs>
          <w:tab w:val="left" w:pos="567"/>
        </w:tabs>
        <w:spacing w:after="0" w:line="240" w:lineRule="auto"/>
        <w:ind w:left="0" w:firstLine="0"/>
        <w:rPr>
          <w:lang w:val="de-DE"/>
        </w:rPr>
      </w:pPr>
      <w:r w:rsidRPr="0049187C">
        <w:rPr>
          <w:b/>
          <w:lang w:val="de-DE"/>
        </w:rPr>
        <w:t>5.2</w:t>
      </w:r>
      <w:r w:rsidRPr="0049187C">
        <w:rPr>
          <w:b/>
          <w:lang w:val="de-DE"/>
        </w:rPr>
        <w:tab/>
        <w:t>Pharmakokinetische Eigenschaften</w:t>
      </w:r>
    </w:p>
    <w:p w14:paraId="520C7229" w14:textId="77777777" w:rsidR="00F83928" w:rsidRPr="0049187C" w:rsidRDefault="00F83928" w:rsidP="0049187C">
      <w:pPr>
        <w:keepNext/>
        <w:keepLines/>
        <w:spacing w:after="0" w:line="240" w:lineRule="auto"/>
        <w:ind w:left="0" w:firstLine="0"/>
        <w:rPr>
          <w:lang w:val="de-DE"/>
        </w:rPr>
      </w:pPr>
    </w:p>
    <w:p w14:paraId="42846057" w14:textId="77777777" w:rsidR="00261AC3" w:rsidRPr="0049187C" w:rsidRDefault="00B00716" w:rsidP="0049187C">
      <w:pPr>
        <w:keepNext/>
        <w:keepLines/>
        <w:spacing w:after="0" w:line="240" w:lineRule="auto"/>
        <w:ind w:left="0" w:firstLine="0"/>
        <w:rPr>
          <w:u w:val="single"/>
          <w:lang w:val="de-DE"/>
        </w:rPr>
      </w:pPr>
      <w:r w:rsidRPr="0049187C">
        <w:rPr>
          <w:u w:val="single"/>
          <w:lang w:val="de-DE"/>
        </w:rPr>
        <w:t>Resorption</w:t>
      </w:r>
    </w:p>
    <w:p w14:paraId="6B70D473" w14:textId="77777777" w:rsidR="00F83928" w:rsidRPr="0049187C" w:rsidRDefault="00F83928" w:rsidP="0049187C">
      <w:pPr>
        <w:keepNext/>
        <w:keepLines/>
        <w:spacing w:after="0" w:line="240" w:lineRule="auto"/>
        <w:ind w:left="0" w:firstLine="0"/>
        <w:rPr>
          <w:lang w:val="de-DE"/>
        </w:rPr>
      </w:pPr>
    </w:p>
    <w:p w14:paraId="629340BA" w14:textId="77777777" w:rsidR="00261AC3" w:rsidRPr="0049187C" w:rsidRDefault="00B00716" w:rsidP="0049187C">
      <w:pPr>
        <w:keepNext/>
        <w:keepLines/>
        <w:spacing w:after="0" w:line="240" w:lineRule="auto"/>
        <w:ind w:left="0" w:firstLine="0"/>
        <w:rPr>
          <w:lang w:val="de-DE"/>
        </w:rPr>
      </w:pPr>
      <w:r w:rsidRPr="0049187C">
        <w:rPr>
          <w:lang w:val="de-DE"/>
        </w:rPr>
        <w:t>Nach subkutaner Anwendung einer Dosis von 1,0 mg/kg, die annähernd der zugelassenen Dosis von</w:t>
      </w:r>
      <w:r w:rsidR="005D2908" w:rsidRPr="0049187C">
        <w:rPr>
          <w:lang w:val="de-DE"/>
        </w:rPr>
        <w:t xml:space="preserve"> </w:t>
      </w:r>
      <w:r w:rsidRPr="0049187C">
        <w:rPr>
          <w:lang w:val="de-DE"/>
        </w:rPr>
        <w:t xml:space="preserve">60 mg entspricht, betrug die auf AUC </w:t>
      </w:r>
      <w:r w:rsidR="002E5640" w:rsidRPr="0049187C">
        <w:rPr>
          <w:lang w:val="de-DE"/>
        </w:rPr>
        <w:t xml:space="preserve">(area under the curve, Fläche unter der Kurve) </w:t>
      </w:r>
      <w:r w:rsidRPr="0049187C">
        <w:rPr>
          <w:lang w:val="de-DE"/>
        </w:rPr>
        <w:t>basierende Exposition 78 % im Vergleich zu einer intravenösen</w:t>
      </w:r>
      <w:r w:rsidR="005D2908" w:rsidRPr="0049187C">
        <w:rPr>
          <w:lang w:val="de-DE"/>
        </w:rPr>
        <w:t xml:space="preserve"> </w:t>
      </w:r>
      <w:r w:rsidRPr="0049187C">
        <w:rPr>
          <w:lang w:val="de-DE"/>
        </w:rPr>
        <w:t>Anwendung bei gleicher Dosierung. Bei einer subkutanen Dosis von 60 mg trat die maximale Denosumab</w:t>
      </w:r>
      <w:r w:rsidRPr="0049187C">
        <w:rPr>
          <w:lang w:val="de-DE"/>
        </w:rPr>
        <w:noBreakHyphen/>
        <w:t>Serumkonzentration (C</w:t>
      </w:r>
      <w:r w:rsidRPr="0049187C">
        <w:rPr>
          <w:vertAlign w:val="subscript"/>
          <w:lang w:val="de-DE"/>
        </w:rPr>
        <w:t>max</w:t>
      </w:r>
      <w:r w:rsidRPr="0049187C">
        <w:rPr>
          <w:lang w:val="de-DE"/>
        </w:rPr>
        <w:t>) von 6 µg/ml (Bereich 1 bis 17 µg/ml) nach 10 Tagen (Bereich 2 bis 28 Tage) auf.</w:t>
      </w:r>
    </w:p>
    <w:p w14:paraId="462710A3" w14:textId="77777777" w:rsidR="00F83928" w:rsidRPr="0049187C" w:rsidRDefault="00F83928" w:rsidP="0049187C">
      <w:pPr>
        <w:spacing w:after="0" w:line="240" w:lineRule="auto"/>
        <w:ind w:left="0" w:firstLine="0"/>
        <w:rPr>
          <w:lang w:val="de-DE"/>
        </w:rPr>
      </w:pPr>
    </w:p>
    <w:p w14:paraId="63B61AB9" w14:textId="77777777" w:rsidR="00261AC3" w:rsidRPr="0049187C" w:rsidRDefault="00B00716" w:rsidP="0049187C">
      <w:pPr>
        <w:keepNext/>
        <w:keepLines/>
        <w:spacing w:after="0" w:line="240" w:lineRule="auto"/>
        <w:ind w:left="0" w:firstLine="0"/>
        <w:rPr>
          <w:u w:val="single"/>
          <w:lang w:val="de-DE"/>
        </w:rPr>
      </w:pPr>
      <w:r w:rsidRPr="0049187C">
        <w:rPr>
          <w:u w:val="single"/>
          <w:lang w:val="de-DE"/>
        </w:rPr>
        <w:t>Biotransformation</w:t>
      </w:r>
    </w:p>
    <w:p w14:paraId="5C2C1F6B" w14:textId="77777777" w:rsidR="00F83928" w:rsidRPr="0049187C" w:rsidRDefault="00F83928" w:rsidP="0049187C">
      <w:pPr>
        <w:keepNext/>
        <w:keepLines/>
        <w:spacing w:after="0" w:line="240" w:lineRule="auto"/>
        <w:ind w:left="0" w:firstLine="0"/>
        <w:rPr>
          <w:lang w:val="de-DE"/>
        </w:rPr>
      </w:pPr>
    </w:p>
    <w:p w14:paraId="23BE4183" w14:textId="77777777" w:rsidR="00261AC3" w:rsidRPr="0049187C" w:rsidRDefault="00B00716" w:rsidP="0049187C">
      <w:pPr>
        <w:spacing w:after="0" w:line="240" w:lineRule="auto"/>
        <w:ind w:left="0" w:firstLine="0"/>
        <w:rPr>
          <w:lang w:val="de-DE"/>
        </w:rPr>
      </w:pPr>
      <w:r w:rsidRPr="0049187C">
        <w:rPr>
          <w:lang w:val="de-DE"/>
        </w:rPr>
        <w:t>Denosumab ist als natives Immunglobulin ausschließlich aus Aminosäuren und Kohlenhydraten aufgebaut. Es ist unwahrscheinlich, dass es über Mechanismen der hepatischen Metabolisierung ausgeschieden wird. Es ist zu erwarten, dass die Metabolisierung und Elimination dem Weg des Abbaus von Immunglobulinen folgen, resultierend in der Degradierung zu kleinen Peptiden und einzelnen Aminosäuren.</w:t>
      </w:r>
    </w:p>
    <w:p w14:paraId="54E3F8CF" w14:textId="77777777" w:rsidR="00F83928" w:rsidRPr="0049187C" w:rsidRDefault="00F83928" w:rsidP="0049187C">
      <w:pPr>
        <w:spacing w:after="0" w:line="240" w:lineRule="auto"/>
        <w:ind w:left="0" w:firstLine="0"/>
        <w:rPr>
          <w:lang w:val="de-DE"/>
        </w:rPr>
      </w:pPr>
    </w:p>
    <w:p w14:paraId="48CCFC35" w14:textId="77777777" w:rsidR="00261AC3" w:rsidRPr="0049187C" w:rsidRDefault="00B00716" w:rsidP="0049187C">
      <w:pPr>
        <w:keepNext/>
        <w:keepLines/>
        <w:spacing w:after="0" w:line="240" w:lineRule="auto"/>
        <w:ind w:left="0" w:firstLine="0"/>
        <w:rPr>
          <w:u w:val="single"/>
          <w:lang w:val="de-DE"/>
        </w:rPr>
      </w:pPr>
      <w:r w:rsidRPr="0049187C">
        <w:rPr>
          <w:u w:val="single"/>
          <w:lang w:val="de-DE"/>
        </w:rPr>
        <w:t>Elimination</w:t>
      </w:r>
    </w:p>
    <w:p w14:paraId="7AF46361" w14:textId="77777777" w:rsidR="00F83928" w:rsidRPr="0049187C" w:rsidRDefault="00F83928" w:rsidP="0049187C">
      <w:pPr>
        <w:spacing w:after="0" w:line="240" w:lineRule="auto"/>
        <w:ind w:left="0" w:firstLine="0"/>
        <w:rPr>
          <w:lang w:val="de-DE"/>
        </w:rPr>
      </w:pPr>
    </w:p>
    <w:p w14:paraId="0C95702F" w14:textId="77777777" w:rsidR="00261AC3" w:rsidRPr="0049187C" w:rsidRDefault="00B00716" w:rsidP="0049187C">
      <w:pPr>
        <w:spacing w:after="0" w:line="240" w:lineRule="auto"/>
        <w:ind w:left="0" w:firstLine="0"/>
        <w:rPr>
          <w:lang w:val="de-DE"/>
        </w:rPr>
      </w:pPr>
      <w:r w:rsidRPr="0049187C">
        <w:rPr>
          <w:lang w:val="de-DE"/>
        </w:rPr>
        <w:t>Nach dem Erreichen von C</w:t>
      </w:r>
      <w:r w:rsidRPr="0049187C">
        <w:rPr>
          <w:vertAlign w:val="subscript"/>
          <w:lang w:val="de-DE"/>
        </w:rPr>
        <w:t>max</w:t>
      </w:r>
      <w:r w:rsidRPr="0049187C">
        <w:rPr>
          <w:lang w:val="de-DE"/>
        </w:rPr>
        <w:t xml:space="preserve"> nahmen die Serumspiegel mit einer Halbwertszeit von 26 Tagen</w:t>
      </w:r>
      <w:r w:rsidR="005D2908" w:rsidRPr="0049187C">
        <w:rPr>
          <w:lang w:val="de-DE"/>
        </w:rPr>
        <w:t xml:space="preserve"> </w:t>
      </w:r>
      <w:r w:rsidRPr="0049187C">
        <w:rPr>
          <w:lang w:val="de-DE"/>
        </w:rPr>
        <w:t>(Bereich 6 bis 52 Tage) über einen Zeitraum von 3 Monaten (Bereich 1,5 bis 4,5 Monate) ab. Sechs Monate nach Anwendung konnten bei 53 % der Patienten keine messbaren Mengen von Denosumab nachgewiesen werden.</w:t>
      </w:r>
    </w:p>
    <w:p w14:paraId="5BFD7CEF" w14:textId="77777777" w:rsidR="00F83928" w:rsidRPr="0049187C" w:rsidRDefault="00F83928" w:rsidP="0049187C">
      <w:pPr>
        <w:spacing w:after="0" w:line="240" w:lineRule="auto"/>
        <w:ind w:left="0" w:firstLine="0"/>
        <w:rPr>
          <w:lang w:val="de-DE"/>
        </w:rPr>
      </w:pPr>
    </w:p>
    <w:p w14:paraId="26AED011" w14:textId="77777777" w:rsidR="00261AC3" w:rsidRPr="0049187C" w:rsidRDefault="00B00716" w:rsidP="0049187C">
      <w:pPr>
        <w:spacing w:after="0" w:line="240" w:lineRule="auto"/>
        <w:ind w:left="0" w:firstLine="0"/>
        <w:rPr>
          <w:lang w:val="de-DE"/>
        </w:rPr>
      </w:pPr>
      <w:r w:rsidRPr="0049187C">
        <w:rPr>
          <w:lang w:val="de-DE"/>
        </w:rPr>
        <w:t>Bei wiederholter subkutaner Dosierung von 60 mg einmal alle 6 Monate wurde keine Akkumulation oder Veränderung der Denosumab</w:t>
      </w:r>
      <w:r w:rsidRPr="0049187C">
        <w:rPr>
          <w:lang w:val="de-DE"/>
        </w:rPr>
        <w:noBreakHyphen/>
        <w:t>Pharmakokinetik beobachtet. Die Pharmakokinetik von Denosumab war bei Frauen und Männern vergleichbar und wurde nicht durch die Bildung von</w:t>
      </w:r>
      <w:r w:rsidR="005D2908" w:rsidRPr="0049187C">
        <w:rPr>
          <w:lang w:val="de-DE"/>
        </w:rPr>
        <w:t xml:space="preserve"> </w:t>
      </w:r>
      <w:r w:rsidRPr="0049187C">
        <w:rPr>
          <w:lang w:val="de-DE"/>
        </w:rPr>
        <w:t>Denosumab</w:t>
      </w:r>
      <w:r w:rsidRPr="0049187C">
        <w:rPr>
          <w:lang w:val="de-DE"/>
        </w:rPr>
        <w:noBreakHyphen/>
        <w:t>bindenden Antikörpern beeinflusst. Alter (28 bis 87 Jahre), ethnische Zugehörigkeit und Krankheitsstatus (geringe Knochenmasse oder Osteoporose, Prostata</w:t>
      </w:r>
      <w:r w:rsidRPr="0049187C">
        <w:rPr>
          <w:lang w:val="de-DE"/>
        </w:rPr>
        <w:noBreakHyphen/>
        <w:t xml:space="preserve"> oder Mammakarzinom) scheinen keinen signifikanten Einfluss auf die Pharmakokinetik von Denosumab zu haben.</w:t>
      </w:r>
    </w:p>
    <w:p w14:paraId="1B70DD97" w14:textId="77777777" w:rsidR="00F83928" w:rsidRPr="0049187C" w:rsidRDefault="00F83928" w:rsidP="0049187C">
      <w:pPr>
        <w:spacing w:after="0" w:line="240" w:lineRule="auto"/>
        <w:ind w:left="0" w:firstLine="0"/>
        <w:rPr>
          <w:lang w:val="de-DE"/>
        </w:rPr>
      </w:pPr>
    </w:p>
    <w:p w14:paraId="53F1B349" w14:textId="77777777" w:rsidR="00261AC3" w:rsidRPr="0049187C" w:rsidRDefault="00B00716" w:rsidP="0049187C">
      <w:pPr>
        <w:spacing w:after="0" w:line="240" w:lineRule="auto"/>
        <w:ind w:left="0" w:firstLine="0"/>
        <w:rPr>
          <w:lang w:val="de-DE"/>
        </w:rPr>
      </w:pPr>
      <w:r w:rsidRPr="0049187C">
        <w:rPr>
          <w:lang w:val="de-DE"/>
        </w:rPr>
        <w:t>Basierend auf der AUC und der C</w:t>
      </w:r>
      <w:r w:rsidRPr="0049187C">
        <w:rPr>
          <w:vertAlign w:val="subscript"/>
          <w:lang w:val="de-DE"/>
        </w:rPr>
        <w:t>max</w:t>
      </w:r>
      <w:r w:rsidRPr="0049187C">
        <w:rPr>
          <w:lang w:val="de-DE"/>
        </w:rPr>
        <w:t xml:space="preserve"> wurde ein Trend zwischen höherem Körpergewicht und geringerer Exposition beobachtet. Da die pharmakodynamischen Effekte, basierend auf</w:t>
      </w:r>
      <w:r w:rsidR="005D2908" w:rsidRPr="0049187C">
        <w:rPr>
          <w:lang w:val="de-DE"/>
        </w:rPr>
        <w:t xml:space="preserve"> </w:t>
      </w:r>
      <w:r w:rsidRPr="0049187C">
        <w:rPr>
          <w:lang w:val="de-DE"/>
        </w:rPr>
        <w:t>Knochenumsatzmarkern und Anstieg der BMD, konsistent über einen breiten Bereich des Körpergewichtes waren, wird dieser Trend jedoch nicht als klinisch bedeutsam eingestuft.</w:t>
      </w:r>
    </w:p>
    <w:p w14:paraId="7A77D1A8" w14:textId="77777777" w:rsidR="00F83928" w:rsidRPr="0049187C" w:rsidRDefault="00F83928" w:rsidP="0049187C">
      <w:pPr>
        <w:spacing w:after="0" w:line="240" w:lineRule="auto"/>
        <w:ind w:left="0" w:firstLine="0"/>
        <w:rPr>
          <w:lang w:val="de-DE"/>
        </w:rPr>
      </w:pPr>
    </w:p>
    <w:p w14:paraId="61B30793" w14:textId="77777777" w:rsidR="00261AC3" w:rsidRPr="0049187C" w:rsidRDefault="00B00716" w:rsidP="0049187C">
      <w:pPr>
        <w:keepNext/>
        <w:keepLines/>
        <w:spacing w:after="0" w:line="240" w:lineRule="auto"/>
        <w:ind w:left="0" w:firstLine="0"/>
        <w:rPr>
          <w:u w:val="single"/>
          <w:lang w:val="de-DE"/>
        </w:rPr>
      </w:pPr>
      <w:r w:rsidRPr="0049187C">
        <w:rPr>
          <w:u w:val="single"/>
          <w:lang w:val="de-DE"/>
        </w:rPr>
        <w:t>Linearität/Nicht</w:t>
      </w:r>
      <w:r w:rsidRPr="0049187C">
        <w:rPr>
          <w:u w:val="single"/>
          <w:lang w:val="de-DE"/>
        </w:rPr>
        <w:noBreakHyphen/>
        <w:t>Linearität</w:t>
      </w:r>
    </w:p>
    <w:p w14:paraId="2C3681D2" w14:textId="77777777" w:rsidR="00F83928" w:rsidRPr="0049187C" w:rsidRDefault="00F83928" w:rsidP="0049187C">
      <w:pPr>
        <w:spacing w:after="0" w:line="240" w:lineRule="auto"/>
        <w:ind w:left="0" w:firstLine="0"/>
        <w:rPr>
          <w:lang w:val="de-DE"/>
        </w:rPr>
      </w:pPr>
    </w:p>
    <w:p w14:paraId="421F32F3" w14:textId="77777777" w:rsidR="00261AC3" w:rsidRPr="0049187C" w:rsidRDefault="00B00716" w:rsidP="0049187C">
      <w:pPr>
        <w:spacing w:after="0" w:line="240" w:lineRule="auto"/>
        <w:ind w:left="0" w:firstLine="0"/>
        <w:rPr>
          <w:lang w:val="de-DE"/>
        </w:rPr>
      </w:pPr>
      <w:r w:rsidRPr="0049187C">
        <w:rPr>
          <w:lang w:val="de-DE"/>
        </w:rPr>
        <w:t>In Studien zum Dosierungsbereich wies Denosumab eine nicht</w:t>
      </w:r>
      <w:r w:rsidRPr="0049187C">
        <w:rPr>
          <w:lang w:val="de-DE"/>
        </w:rPr>
        <w:noBreakHyphen/>
        <w:t>lineare, dosisabhängige Pharmakokinetik auf. Dabei war die Clearance bei höheren Dosierungen oder Konzentrationen geringer, aber der Expositionsanstieg für Dosierungen ab 60 mg und höher war ungefähr proportional zur Dosis.</w:t>
      </w:r>
    </w:p>
    <w:p w14:paraId="41F27011" w14:textId="77777777" w:rsidR="00F83928" w:rsidRPr="0049187C" w:rsidRDefault="00F83928" w:rsidP="0049187C">
      <w:pPr>
        <w:spacing w:after="0" w:line="240" w:lineRule="auto"/>
        <w:ind w:left="0" w:firstLine="0"/>
        <w:rPr>
          <w:lang w:val="de-DE"/>
        </w:rPr>
      </w:pPr>
    </w:p>
    <w:p w14:paraId="0CC20336" w14:textId="77777777" w:rsidR="00261AC3" w:rsidRPr="0049187C" w:rsidRDefault="00B00716" w:rsidP="0049187C">
      <w:pPr>
        <w:keepNext/>
        <w:keepLines/>
        <w:spacing w:after="0" w:line="240" w:lineRule="auto"/>
        <w:ind w:left="0" w:firstLine="0"/>
        <w:rPr>
          <w:u w:val="single"/>
          <w:lang w:val="de-DE"/>
        </w:rPr>
      </w:pPr>
      <w:del w:id="28" w:author="Lionbridge" w:date="2025-06-17T19:27:00Z" w16du:dateUtc="2025-06-17T13:57:00Z">
        <w:r w:rsidRPr="0049187C" w:rsidDel="009943A9">
          <w:rPr>
            <w:u w:val="single"/>
            <w:lang w:val="de-DE"/>
          </w:rPr>
          <w:delText>Nierenfunktionsstörung</w:delText>
        </w:r>
      </w:del>
      <w:ins w:id="29" w:author="Lionbridge" w:date="2025-06-17T19:27:00Z" w16du:dateUtc="2025-06-17T13:57:00Z">
        <w:r w:rsidR="009943A9" w:rsidRPr="0049187C">
          <w:rPr>
            <w:u w:val="single"/>
            <w:lang w:val="de-DE"/>
          </w:rPr>
          <w:t>Nierenfunktionsbeeinträchtigung</w:t>
        </w:r>
      </w:ins>
    </w:p>
    <w:p w14:paraId="0A01E997" w14:textId="77777777" w:rsidR="00F83928" w:rsidRPr="0049187C" w:rsidRDefault="00F83928" w:rsidP="0049187C">
      <w:pPr>
        <w:spacing w:after="0" w:line="240" w:lineRule="auto"/>
        <w:ind w:left="0" w:firstLine="0"/>
        <w:rPr>
          <w:lang w:val="de-DE"/>
        </w:rPr>
      </w:pPr>
    </w:p>
    <w:p w14:paraId="066AF776" w14:textId="77777777" w:rsidR="00261AC3" w:rsidRPr="0049187C" w:rsidRDefault="00B00716" w:rsidP="0049187C">
      <w:pPr>
        <w:spacing w:after="0" w:line="240" w:lineRule="auto"/>
        <w:ind w:left="0" w:firstLine="0"/>
        <w:rPr>
          <w:lang w:val="de-DE"/>
        </w:rPr>
      </w:pPr>
      <w:r w:rsidRPr="0049187C">
        <w:rPr>
          <w:lang w:val="de-DE"/>
        </w:rPr>
        <w:t xml:space="preserve">In einer Studie bei 55 Patienten mit unterschiedlichem Grad der Nierenfunktion, einschließlich dialysepflichtiger Patienten, hatte der Grad der </w:t>
      </w:r>
      <w:del w:id="30" w:author="Lionbridge" w:date="2025-06-17T19:27:00Z" w16du:dateUtc="2025-06-17T13:57:00Z">
        <w:r w:rsidRPr="0049187C" w:rsidDel="009943A9">
          <w:rPr>
            <w:lang w:val="de-DE"/>
          </w:rPr>
          <w:delText>Nierenfunktionsstörung</w:delText>
        </w:r>
      </w:del>
      <w:ins w:id="31" w:author="Lionbridge" w:date="2025-06-17T19:27:00Z" w16du:dateUtc="2025-06-17T13:57:00Z">
        <w:r w:rsidR="009943A9" w:rsidRPr="0049187C">
          <w:rPr>
            <w:lang w:val="de-DE"/>
          </w:rPr>
          <w:t>Nierenfunktionsbeeinträchtigung</w:t>
        </w:r>
      </w:ins>
      <w:r w:rsidRPr="0049187C">
        <w:rPr>
          <w:lang w:val="de-DE"/>
        </w:rPr>
        <w:t xml:space="preserve"> keine Auswirkungen auf die Pharmakokinetik von Denosumab.</w:t>
      </w:r>
    </w:p>
    <w:p w14:paraId="50A426C8" w14:textId="77777777" w:rsidR="00F83928" w:rsidRPr="0049187C" w:rsidRDefault="00F83928" w:rsidP="0049187C">
      <w:pPr>
        <w:spacing w:after="0" w:line="240" w:lineRule="auto"/>
        <w:ind w:left="0" w:firstLine="0"/>
        <w:rPr>
          <w:lang w:val="de-DE"/>
        </w:rPr>
      </w:pPr>
    </w:p>
    <w:p w14:paraId="4470BA58" w14:textId="77777777" w:rsidR="00261AC3" w:rsidRPr="0049187C" w:rsidRDefault="00B00716" w:rsidP="0049187C">
      <w:pPr>
        <w:keepNext/>
        <w:keepLines/>
        <w:spacing w:after="0" w:line="240" w:lineRule="auto"/>
        <w:ind w:left="0" w:firstLine="0"/>
        <w:rPr>
          <w:u w:val="single"/>
          <w:lang w:val="de-DE"/>
        </w:rPr>
      </w:pPr>
      <w:del w:id="32" w:author="Lionbridge" w:date="2025-06-17T19:33:00Z" w16du:dateUtc="2025-06-17T14:03:00Z">
        <w:r w:rsidRPr="0049187C" w:rsidDel="007C0C23">
          <w:rPr>
            <w:u w:val="single"/>
            <w:lang w:val="de-DE"/>
          </w:rPr>
          <w:delText>Leberfunktionsstörung</w:delText>
        </w:r>
      </w:del>
      <w:ins w:id="33" w:author="Lionbridge" w:date="2025-06-17T19:33:00Z" w16du:dateUtc="2025-06-17T14:03:00Z">
        <w:r w:rsidR="007C0C23" w:rsidRPr="0049187C">
          <w:rPr>
            <w:u w:val="single"/>
            <w:lang w:val="de-DE"/>
          </w:rPr>
          <w:t>Beeinträchtigung der Leber</w:t>
        </w:r>
      </w:ins>
    </w:p>
    <w:p w14:paraId="33A9AD31" w14:textId="77777777" w:rsidR="00F83928" w:rsidRPr="0049187C" w:rsidRDefault="00F83928" w:rsidP="0049187C">
      <w:pPr>
        <w:spacing w:after="0" w:line="240" w:lineRule="auto"/>
        <w:ind w:left="0" w:firstLine="0"/>
        <w:rPr>
          <w:lang w:val="de-DE"/>
        </w:rPr>
      </w:pPr>
    </w:p>
    <w:p w14:paraId="0F6607DF" w14:textId="77777777" w:rsidR="00261AC3" w:rsidRPr="0049187C" w:rsidRDefault="00B00716" w:rsidP="0049187C">
      <w:pPr>
        <w:spacing w:after="0" w:line="240" w:lineRule="auto"/>
        <w:ind w:left="0" w:firstLine="0"/>
        <w:rPr>
          <w:lang w:val="de-DE"/>
        </w:rPr>
      </w:pPr>
      <w:r w:rsidRPr="0049187C">
        <w:rPr>
          <w:lang w:val="de-DE"/>
        </w:rPr>
        <w:t xml:space="preserve">Es wurde keine spezifische Studie bei Patienten mit </w:t>
      </w:r>
      <w:del w:id="34" w:author="Lionbridge" w:date="2025-06-17T19:33:00Z" w16du:dateUtc="2025-06-17T14:03:00Z">
        <w:r w:rsidRPr="0049187C" w:rsidDel="007C0C23">
          <w:rPr>
            <w:lang w:val="de-DE"/>
          </w:rPr>
          <w:delText>Leberfunktionsstörung</w:delText>
        </w:r>
      </w:del>
      <w:ins w:id="35" w:author="Lionbridge" w:date="2025-06-17T19:33:00Z" w16du:dateUtc="2025-06-17T14:03:00Z">
        <w:r w:rsidR="007C0C23" w:rsidRPr="0049187C">
          <w:rPr>
            <w:lang w:val="de-DE"/>
          </w:rPr>
          <w:t>Beeinträchtigung der Leber</w:t>
        </w:r>
      </w:ins>
      <w:r w:rsidRPr="0049187C">
        <w:rPr>
          <w:lang w:val="de-DE"/>
        </w:rPr>
        <w:t xml:space="preserve"> durchgeführt. Im</w:t>
      </w:r>
      <w:r w:rsidR="005D2908" w:rsidRPr="0049187C">
        <w:rPr>
          <w:lang w:val="de-DE"/>
        </w:rPr>
        <w:t xml:space="preserve"> </w:t>
      </w:r>
      <w:r w:rsidRPr="0049187C">
        <w:rPr>
          <w:lang w:val="de-DE"/>
        </w:rPr>
        <w:t>Allgemeinen werden monoklonale Antikörper nicht über Mechanismen der hepatischen</w:t>
      </w:r>
    </w:p>
    <w:p w14:paraId="5848AC09" w14:textId="77777777" w:rsidR="00261AC3" w:rsidRPr="0049187C" w:rsidRDefault="00B00716" w:rsidP="0049187C">
      <w:pPr>
        <w:spacing w:after="0" w:line="240" w:lineRule="auto"/>
        <w:ind w:left="0" w:firstLine="0"/>
        <w:rPr>
          <w:lang w:val="de-DE"/>
        </w:rPr>
      </w:pPr>
      <w:r w:rsidRPr="0049187C">
        <w:rPr>
          <w:lang w:val="de-DE"/>
        </w:rPr>
        <w:t xml:space="preserve">Metabolisierung eliminiert. Es wird nicht davon ausgegangen, dass eine </w:t>
      </w:r>
      <w:del w:id="36" w:author="Lionbridge" w:date="2025-06-17T19:33:00Z" w16du:dateUtc="2025-06-17T14:03:00Z">
        <w:r w:rsidRPr="0049187C" w:rsidDel="007C0C23">
          <w:rPr>
            <w:lang w:val="de-DE"/>
          </w:rPr>
          <w:delText>Leberfunktionsstörung</w:delText>
        </w:r>
      </w:del>
      <w:ins w:id="37" w:author="Lionbridge" w:date="2025-06-17T19:33:00Z" w16du:dateUtc="2025-06-17T14:03:00Z">
        <w:r w:rsidR="007C0C23" w:rsidRPr="0049187C">
          <w:rPr>
            <w:lang w:val="de-DE"/>
          </w:rPr>
          <w:t>Beeinträchtigung der Leber</w:t>
        </w:r>
      </w:ins>
      <w:r w:rsidRPr="0049187C">
        <w:rPr>
          <w:lang w:val="de-DE"/>
        </w:rPr>
        <w:t xml:space="preserve"> die Pharmakokinetik von Denosumab beeinflusst.</w:t>
      </w:r>
    </w:p>
    <w:p w14:paraId="76FCADAF" w14:textId="77777777" w:rsidR="00F83928" w:rsidRPr="0049187C" w:rsidRDefault="00F83928" w:rsidP="0049187C">
      <w:pPr>
        <w:spacing w:after="0" w:line="240" w:lineRule="auto"/>
        <w:ind w:left="0" w:firstLine="0"/>
        <w:rPr>
          <w:lang w:val="de-DE"/>
        </w:rPr>
      </w:pPr>
    </w:p>
    <w:p w14:paraId="569FF94D" w14:textId="77777777" w:rsidR="00261AC3" w:rsidRPr="0049187C" w:rsidRDefault="00B00716" w:rsidP="0049187C">
      <w:pPr>
        <w:keepNext/>
        <w:keepLines/>
        <w:spacing w:after="0" w:line="240" w:lineRule="auto"/>
        <w:ind w:left="0" w:firstLine="0"/>
        <w:rPr>
          <w:u w:val="single"/>
          <w:lang w:val="de-DE"/>
        </w:rPr>
      </w:pPr>
      <w:r w:rsidRPr="0049187C">
        <w:rPr>
          <w:u w:val="single"/>
          <w:lang w:val="de-DE"/>
        </w:rPr>
        <w:t>Kinder und Jugendliche</w:t>
      </w:r>
    </w:p>
    <w:p w14:paraId="522BDA02" w14:textId="77777777" w:rsidR="00F83928" w:rsidRPr="0049187C" w:rsidRDefault="00F83928" w:rsidP="0049187C">
      <w:pPr>
        <w:spacing w:after="0" w:line="240" w:lineRule="auto"/>
        <w:ind w:left="0" w:firstLine="0"/>
        <w:rPr>
          <w:lang w:val="de-DE"/>
        </w:rPr>
      </w:pPr>
    </w:p>
    <w:p w14:paraId="77577329" w14:textId="77777777" w:rsidR="00261AC3" w:rsidRPr="0049187C" w:rsidRDefault="00B00716" w:rsidP="0049187C">
      <w:pPr>
        <w:spacing w:after="0" w:line="240" w:lineRule="auto"/>
        <w:ind w:left="0" w:firstLine="0"/>
        <w:rPr>
          <w:lang w:val="de-DE"/>
        </w:rPr>
      </w:pPr>
      <w:r w:rsidRPr="0049187C">
        <w:rPr>
          <w:lang w:val="de-DE"/>
        </w:rPr>
        <w:t xml:space="preserve">Jubbonti </w:t>
      </w:r>
      <w:r w:rsidR="00FD7DFF" w:rsidRPr="0049187C">
        <w:rPr>
          <w:lang w:val="de-DE"/>
        </w:rPr>
        <w:t>darf nicht bei Kindern und Jugendlichen angewendet werden (siehe Abschnitte</w:t>
      </w:r>
      <w:r w:rsidRPr="0049187C">
        <w:rPr>
          <w:lang w:val="de-DE"/>
        </w:rPr>
        <w:t> 4</w:t>
      </w:r>
      <w:r w:rsidR="00FD7DFF" w:rsidRPr="0049187C">
        <w:rPr>
          <w:lang w:val="de-DE"/>
        </w:rPr>
        <w:t>.</w:t>
      </w:r>
      <w:r w:rsidRPr="0049187C">
        <w:rPr>
          <w:lang w:val="de-DE"/>
        </w:rPr>
        <w:t>2 </w:t>
      </w:r>
      <w:r w:rsidR="00FD7DFF" w:rsidRPr="0049187C">
        <w:rPr>
          <w:lang w:val="de-DE"/>
        </w:rPr>
        <w:t>und</w:t>
      </w:r>
      <w:r w:rsidRPr="0049187C">
        <w:rPr>
          <w:lang w:val="de-DE"/>
        </w:rPr>
        <w:t> 5</w:t>
      </w:r>
      <w:r w:rsidR="00FD7DFF" w:rsidRPr="0049187C">
        <w:rPr>
          <w:lang w:val="de-DE"/>
        </w:rPr>
        <w:t>.1).</w:t>
      </w:r>
    </w:p>
    <w:p w14:paraId="70E9F66F" w14:textId="77777777" w:rsidR="00F83928" w:rsidRPr="0049187C" w:rsidRDefault="00F83928" w:rsidP="0049187C">
      <w:pPr>
        <w:spacing w:after="0" w:line="240" w:lineRule="auto"/>
        <w:ind w:left="0" w:firstLine="0"/>
        <w:rPr>
          <w:lang w:val="de-DE"/>
        </w:rPr>
      </w:pPr>
    </w:p>
    <w:p w14:paraId="5A9FFAFB" w14:textId="77777777" w:rsidR="00261AC3" w:rsidRPr="0049187C" w:rsidRDefault="00B00716" w:rsidP="0049187C">
      <w:pPr>
        <w:spacing w:after="0" w:line="240" w:lineRule="auto"/>
        <w:ind w:left="0" w:firstLine="0"/>
        <w:rPr>
          <w:lang w:val="de-DE"/>
        </w:rPr>
      </w:pPr>
      <w:r w:rsidRPr="0049187C">
        <w:rPr>
          <w:lang w:val="de-DE"/>
        </w:rPr>
        <w:t>In einer Phase</w:t>
      </w:r>
      <w:r w:rsidRPr="0049187C">
        <w:rPr>
          <w:lang w:val="de-DE"/>
        </w:rPr>
        <w:noBreakHyphen/>
        <w:t>III</w:t>
      </w:r>
      <w:r w:rsidRPr="0049187C">
        <w:rPr>
          <w:lang w:val="de-DE"/>
        </w:rPr>
        <w:noBreakHyphen/>
        <w:t>Studie mit pädiatrischen Patienten mit Osteogenesis imperfecta (N = 153) wurden maximale Konzentrationen von Denosumab im Serum an Tag 10</w:t>
      </w:r>
      <w:r w:rsidR="00D92A0F" w:rsidRPr="0049187C">
        <w:rPr>
          <w:lang w:val="de-DE"/>
        </w:rPr>
        <w:t xml:space="preserve"> </w:t>
      </w:r>
      <w:r w:rsidRPr="0049187C">
        <w:rPr>
          <w:lang w:val="de-DE"/>
        </w:rPr>
        <w:t>in allen Altersgruppen beobachtet. Bei der Anwendung alle</w:t>
      </w:r>
      <w:r w:rsidR="00D92A0F" w:rsidRPr="0049187C">
        <w:rPr>
          <w:lang w:val="de-DE"/>
        </w:rPr>
        <w:t xml:space="preserve"> </w:t>
      </w:r>
      <w:r w:rsidRPr="0049187C">
        <w:rPr>
          <w:lang w:val="de-DE"/>
        </w:rPr>
        <w:t>3 Monate und alle</w:t>
      </w:r>
      <w:r w:rsidR="00D92A0F" w:rsidRPr="0049187C">
        <w:rPr>
          <w:lang w:val="de-DE"/>
        </w:rPr>
        <w:t xml:space="preserve"> </w:t>
      </w:r>
      <w:r w:rsidRPr="0049187C">
        <w:rPr>
          <w:lang w:val="de-DE"/>
        </w:rPr>
        <w:t>6 Monate wurde beobachtet, dass die mittleren Talkonzentrationen von Denosumab im Serum bei Kindern im Alter von</w:t>
      </w:r>
      <w:r w:rsidR="00D92A0F" w:rsidRPr="0049187C">
        <w:rPr>
          <w:lang w:val="de-DE"/>
        </w:rPr>
        <w:t xml:space="preserve"> </w:t>
      </w:r>
      <w:r w:rsidRPr="0049187C">
        <w:rPr>
          <w:lang w:val="de-DE"/>
        </w:rPr>
        <w:t>11 bis</w:t>
      </w:r>
      <w:r w:rsidR="00D92A0F" w:rsidRPr="0049187C">
        <w:rPr>
          <w:lang w:val="de-DE"/>
        </w:rPr>
        <w:t xml:space="preserve"> </w:t>
      </w:r>
      <w:r w:rsidRPr="0049187C">
        <w:rPr>
          <w:lang w:val="de-DE"/>
        </w:rPr>
        <w:t>17 Jahren höher waren; Kinder im Alter von</w:t>
      </w:r>
      <w:r w:rsidR="00D92A0F" w:rsidRPr="0049187C">
        <w:rPr>
          <w:lang w:val="de-DE"/>
        </w:rPr>
        <w:t xml:space="preserve"> </w:t>
      </w:r>
      <w:r w:rsidRPr="0049187C">
        <w:rPr>
          <w:lang w:val="de-DE"/>
        </w:rPr>
        <w:t>2 bis 6 Jahren wiesen die niedrigsten mittleren Talkonzentrationen auf.</w:t>
      </w:r>
    </w:p>
    <w:p w14:paraId="466C565C" w14:textId="77777777" w:rsidR="00F83928" w:rsidRPr="0049187C" w:rsidRDefault="00F83928" w:rsidP="0049187C">
      <w:pPr>
        <w:spacing w:after="0" w:line="240" w:lineRule="auto"/>
        <w:ind w:left="0" w:firstLine="0"/>
        <w:rPr>
          <w:lang w:val="de-DE"/>
        </w:rPr>
      </w:pPr>
    </w:p>
    <w:p w14:paraId="4539E5D5" w14:textId="77777777" w:rsidR="00261AC3" w:rsidRPr="0049187C" w:rsidRDefault="00B00716" w:rsidP="0049187C">
      <w:pPr>
        <w:keepNext/>
        <w:keepLines/>
        <w:tabs>
          <w:tab w:val="left" w:pos="567"/>
        </w:tabs>
        <w:spacing w:after="0" w:line="240" w:lineRule="auto"/>
        <w:ind w:left="0" w:firstLine="0"/>
        <w:rPr>
          <w:b/>
          <w:lang w:val="de-DE"/>
        </w:rPr>
      </w:pPr>
      <w:r w:rsidRPr="0049187C">
        <w:rPr>
          <w:b/>
          <w:lang w:val="de-DE"/>
        </w:rPr>
        <w:t>5.3</w:t>
      </w:r>
      <w:r w:rsidRPr="0049187C">
        <w:rPr>
          <w:b/>
          <w:lang w:val="de-DE"/>
        </w:rPr>
        <w:tab/>
        <w:t>Präklinische Daten zur Sicherheit</w:t>
      </w:r>
    </w:p>
    <w:p w14:paraId="5932F11F" w14:textId="77777777" w:rsidR="00F83928" w:rsidRPr="0049187C" w:rsidRDefault="00F83928" w:rsidP="0049187C">
      <w:pPr>
        <w:keepNext/>
        <w:keepLines/>
        <w:spacing w:after="0" w:line="240" w:lineRule="auto"/>
        <w:ind w:left="0" w:firstLine="0"/>
        <w:rPr>
          <w:lang w:val="de-DE"/>
        </w:rPr>
      </w:pPr>
    </w:p>
    <w:p w14:paraId="12591CD0" w14:textId="77777777" w:rsidR="00261AC3" w:rsidRPr="0049187C" w:rsidRDefault="00B00716" w:rsidP="0049187C">
      <w:pPr>
        <w:spacing w:after="0" w:line="240" w:lineRule="auto"/>
        <w:ind w:left="0" w:firstLine="0"/>
        <w:rPr>
          <w:lang w:val="de-DE"/>
        </w:rPr>
      </w:pPr>
      <w:r w:rsidRPr="0049187C">
        <w:rPr>
          <w:lang w:val="de-DE"/>
        </w:rPr>
        <w:t>In Studien zur Toxizität bei Einmalgabe oder wiederholter Anwendung bei Javaneraffen wurden</w:t>
      </w:r>
      <w:r w:rsidR="005D2908" w:rsidRPr="0049187C">
        <w:rPr>
          <w:lang w:val="de-DE"/>
        </w:rPr>
        <w:t xml:space="preserve"> </w:t>
      </w:r>
      <w:r w:rsidRPr="0049187C">
        <w:rPr>
          <w:lang w:val="de-DE"/>
        </w:rPr>
        <w:t>Denosumab</w:t>
      </w:r>
      <w:r w:rsidRPr="0049187C">
        <w:rPr>
          <w:lang w:val="de-DE"/>
        </w:rPr>
        <w:noBreakHyphen/>
        <w:t>Dosierungen verwendet, die – verglichen mit der empfohlenen humantherapeutischen Dosis – in einer 100</w:t>
      </w:r>
      <w:r w:rsidRPr="0049187C">
        <w:rPr>
          <w:lang w:val="de-DE"/>
        </w:rPr>
        <w:noBreakHyphen/>
        <w:t xml:space="preserve"> bis 150</w:t>
      </w:r>
      <w:r w:rsidRPr="0049187C">
        <w:rPr>
          <w:lang w:val="de-DE"/>
        </w:rPr>
        <w:noBreakHyphen/>
        <w:t xml:space="preserve">fach höheren systemischen Exposition resultierten. Diese Dosierungen hatten keinen Einfluss auf die kardiovaskuläre Physiologie, </w:t>
      </w:r>
      <w:r w:rsidR="0002073E" w:rsidRPr="0049187C">
        <w:rPr>
          <w:lang w:val="de-DE"/>
        </w:rPr>
        <w:t xml:space="preserve">oder </w:t>
      </w:r>
      <w:r w:rsidRPr="0049187C">
        <w:rPr>
          <w:lang w:val="de-DE"/>
        </w:rPr>
        <w:t>die männliche oder weibliche Fertilität und verursachten keine spezifischen Toxizitäten an Zielorganen.</w:t>
      </w:r>
    </w:p>
    <w:p w14:paraId="7FB31646" w14:textId="77777777" w:rsidR="00F83928" w:rsidRPr="0049187C" w:rsidRDefault="00F83928" w:rsidP="0049187C">
      <w:pPr>
        <w:spacing w:after="0" w:line="240" w:lineRule="auto"/>
        <w:ind w:left="0" w:firstLine="0"/>
        <w:rPr>
          <w:lang w:val="de-DE"/>
        </w:rPr>
      </w:pPr>
    </w:p>
    <w:p w14:paraId="146A7CE9" w14:textId="77777777" w:rsidR="00261AC3" w:rsidRPr="0049187C" w:rsidRDefault="00B00716" w:rsidP="0049187C">
      <w:pPr>
        <w:spacing w:after="0" w:line="240" w:lineRule="auto"/>
        <w:ind w:left="0" w:firstLine="0"/>
        <w:rPr>
          <w:lang w:val="de-DE"/>
        </w:rPr>
      </w:pPr>
      <w:r w:rsidRPr="0049187C">
        <w:rPr>
          <w:lang w:val="de-DE"/>
        </w:rPr>
        <w:t>Standardtests zur Untersuchung des genotoxischen Potenzials von Denosumab wurden nicht durchgeführt, da solche Tests für dieses Molekül nicht relevant sind. Bedingt durch seine Eigenschaften ist es jedoch unwahrscheinlich, dass Denosumab genotoxisches Potenzial besitzt.</w:t>
      </w:r>
    </w:p>
    <w:p w14:paraId="5446A553" w14:textId="77777777" w:rsidR="00F83928" w:rsidRPr="0049187C" w:rsidRDefault="00F83928" w:rsidP="0049187C">
      <w:pPr>
        <w:spacing w:after="0" w:line="240" w:lineRule="auto"/>
        <w:ind w:left="0" w:firstLine="0"/>
        <w:rPr>
          <w:lang w:val="de-DE"/>
        </w:rPr>
      </w:pPr>
    </w:p>
    <w:p w14:paraId="35414136" w14:textId="77777777" w:rsidR="00261AC3" w:rsidRPr="0049187C" w:rsidRDefault="00B00716" w:rsidP="0049187C">
      <w:pPr>
        <w:spacing w:after="0" w:line="240" w:lineRule="auto"/>
        <w:ind w:left="0" w:firstLine="0"/>
        <w:rPr>
          <w:lang w:val="de-DE"/>
        </w:rPr>
      </w:pPr>
      <w:r w:rsidRPr="0049187C">
        <w:rPr>
          <w:lang w:val="de-DE"/>
        </w:rPr>
        <w:t>Das karzinogene Potenzial von Denosumab wurde nicht in Langzeitstudien mit Tieren untersucht.</w:t>
      </w:r>
    </w:p>
    <w:p w14:paraId="236F8937" w14:textId="77777777" w:rsidR="00F83928" w:rsidRPr="0049187C" w:rsidRDefault="00F83928" w:rsidP="0049187C">
      <w:pPr>
        <w:spacing w:after="0" w:line="240" w:lineRule="auto"/>
        <w:ind w:left="0" w:firstLine="0"/>
        <w:rPr>
          <w:lang w:val="de-DE"/>
        </w:rPr>
      </w:pPr>
    </w:p>
    <w:p w14:paraId="08EFB93B" w14:textId="77777777" w:rsidR="00261AC3" w:rsidRPr="0049187C" w:rsidRDefault="00B00716" w:rsidP="0049187C">
      <w:pPr>
        <w:spacing w:after="0" w:line="240" w:lineRule="auto"/>
        <w:ind w:left="0" w:firstLine="0"/>
        <w:rPr>
          <w:lang w:val="de-DE"/>
        </w:rPr>
      </w:pPr>
      <w:r w:rsidRPr="0049187C">
        <w:rPr>
          <w:lang w:val="de-DE"/>
        </w:rPr>
        <w:t>In präklinischen Studien mit Knockout</w:t>
      </w:r>
      <w:r w:rsidRPr="0049187C">
        <w:rPr>
          <w:lang w:val="de-DE"/>
        </w:rPr>
        <w:noBreakHyphen/>
        <w:t>Mäusen ohne RANK oder RANKL wurde beim Fötus eine Beeinträchtigung der Lymphknotenbildung beobachtet. Ebenso wurde bei Knockout</w:t>
      </w:r>
      <w:r w:rsidRPr="0049187C">
        <w:rPr>
          <w:lang w:val="de-DE"/>
        </w:rPr>
        <w:noBreakHyphen/>
        <w:t>Mäusen ohne</w:t>
      </w:r>
      <w:r w:rsidR="005D2908" w:rsidRPr="0049187C">
        <w:rPr>
          <w:lang w:val="de-DE"/>
        </w:rPr>
        <w:t xml:space="preserve"> </w:t>
      </w:r>
      <w:r w:rsidRPr="0049187C">
        <w:rPr>
          <w:lang w:val="de-DE"/>
        </w:rPr>
        <w:t>RANK oder RANKL eine fehlende Milchproduktion aufgrund einer Hemmung der</w:t>
      </w:r>
      <w:r w:rsidR="005D2908" w:rsidRPr="0049187C">
        <w:rPr>
          <w:lang w:val="de-DE"/>
        </w:rPr>
        <w:t xml:space="preserve"> </w:t>
      </w:r>
      <w:r w:rsidRPr="0049187C">
        <w:rPr>
          <w:lang w:val="de-DE"/>
        </w:rPr>
        <w:t>Brustdrüsenreifung (lobulo</w:t>
      </w:r>
      <w:r w:rsidRPr="0049187C">
        <w:rPr>
          <w:lang w:val="de-DE"/>
        </w:rPr>
        <w:noBreakHyphen/>
        <w:t>alveoläre Drüsenentwicklung während der Trächtigkeit) beobachtet.</w:t>
      </w:r>
    </w:p>
    <w:p w14:paraId="6FA1D363" w14:textId="77777777" w:rsidR="00F83928" w:rsidRPr="0049187C" w:rsidRDefault="00F83928" w:rsidP="0049187C">
      <w:pPr>
        <w:spacing w:after="0" w:line="240" w:lineRule="auto"/>
        <w:ind w:left="0" w:firstLine="0"/>
        <w:rPr>
          <w:lang w:val="de-DE"/>
        </w:rPr>
      </w:pPr>
    </w:p>
    <w:p w14:paraId="2E377DB1" w14:textId="77777777" w:rsidR="00261AC3" w:rsidRPr="0049187C" w:rsidRDefault="00B00716" w:rsidP="0049187C">
      <w:pPr>
        <w:spacing w:after="0" w:line="240" w:lineRule="auto"/>
        <w:ind w:left="0" w:firstLine="0"/>
        <w:rPr>
          <w:lang w:val="de-DE"/>
        </w:rPr>
      </w:pPr>
      <w:r w:rsidRPr="0049187C">
        <w:rPr>
          <w:lang w:val="de-DE"/>
        </w:rPr>
        <w:t>In einer Studie mit Javaneraffen, bei denen Denosumab während eines dem ersten Trimester entsprechenden Zeitraums mit AUC</w:t>
      </w:r>
      <w:r w:rsidRPr="0049187C">
        <w:rPr>
          <w:lang w:val="de-DE"/>
        </w:rPr>
        <w:noBreakHyphen/>
        <w:t>Expositionen angewendet wurde, die bis zu 99</w:t>
      </w:r>
      <w:r w:rsidRPr="0049187C">
        <w:rPr>
          <w:lang w:val="de-DE"/>
        </w:rPr>
        <w:noBreakHyphen/>
        <w:t>fach höher waren als die humantherapeutische Dosis (60 mg alle 6 Monate), gab es keinen Nachweis mütterlicher oder fetaler Schädigung. Fetale Lymphknoten wurden in dieser Studie nicht untersucht.</w:t>
      </w:r>
    </w:p>
    <w:p w14:paraId="21DDCB8A" w14:textId="77777777" w:rsidR="00F83928" w:rsidRPr="0049187C" w:rsidRDefault="00F83928" w:rsidP="0049187C">
      <w:pPr>
        <w:spacing w:after="0" w:line="240" w:lineRule="auto"/>
        <w:ind w:left="0" w:firstLine="0"/>
        <w:rPr>
          <w:lang w:val="de-DE"/>
        </w:rPr>
      </w:pPr>
    </w:p>
    <w:p w14:paraId="54D6379C" w14:textId="77777777" w:rsidR="00261AC3" w:rsidRPr="0049187C" w:rsidRDefault="00B00716" w:rsidP="0049187C">
      <w:pPr>
        <w:spacing w:after="0" w:line="240" w:lineRule="auto"/>
        <w:ind w:left="0" w:firstLine="0"/>
        <w:rPr>
          <w:lang w:val="de-DE"/>
        </w:rPr>
      </w:pPr>
      <w:r w:rsidRPr="0049187C">
        <w:rPr>
          <w:lang w:val="de-DE"/>
        </w:rPr>
        <w:t>In einer weiteren Studie bei Javaneraffen, bei denen Denosumab während der gesamten Trächtigkeit mit AUC</w:t>
      </w:r>
      <w:r w:rsidRPr="0049187C">
        <w:rPr>
          <w:lang w:val="de-DE"/>
        </w:rPr>
        <w:noBreakHyphen/>
        <w:t>Expositionen angewendet wurde, die 119</w:t>
      </w:r>
      <w:r w:rsidRPr="0049187C">
        <w:rPr>
          <w:lang w:val="de-DE"/>
        </w:rPr>
        <w:noBreakHyphen/>
        <w:t>fach höher waren als die humantherapeutische Dosis (60 mg alle 6 Monate), gab es einen Anstieg von Fehlgeburten und postnataler Mortalität; abnormes Knochenwachstum mit dem Ergebnis reduzierter Knochenstärke, reduzierte Hämatopoese und Zahnfehlstellungen; Fehlen von peripheren Lymphknoten; vermindertes neonatales Wachstum. Es</w:t>
      </w:r>
      <w:r w:rsidR="005D2908" w:rsidRPr="0049187C">
        <w:rPr>
          <w:lang w:val="de-DE"/>
        </w:rPr>
        <w:t> </w:t>
      </w:r>
      <w:r w:rsidRPr="0049187C">
        <w:rPr>
          <w:lang w:val="de-DE"/>
        </w:rPr>
        <w:t>wurde kein NOAEL (</w:t>
      </w:r>
      <w:r w:rsidRPr="0049187C">
        <w:rPr>
          <w:i/>
          <w:lang w:val="de-DE"/>
        </w:rPr>
        <w:t>no observed adverse effect level</w:t>
      </w:r>
      <w:r w:rsidRPr="0049187C">
        <w:rPr>
          <w:lang w:val="de-DE"/>
        </w:rPr>
        <w:t xml:space="preserve"> – Dosis ohne beobachtete schädigende Wirkung) für den Einfluss auf die Reproduktion ermittelt. Nach einem Zeitraum von 6 Monaten nach der Geburt zeigte sich eine Wiederherstellung der knochenbezogenen Veränderungen, und es gab keine Auswirkungen auf den Zahndurchbruch. Die Auswirkungen auf Lymphknoten und</w:t>
      </w:r>
      <w:r w:rsidR="005D2908" w:rsidRPr="0049187C">
        <w:rPr>
          <w:lang w:val="de-DE"/>
        </w:rPr>
        <w:t xml:space="preserve"> </w:t>
      </w:r>
      <w:r w:rsidRPr="0049187C">
        <w:rPr>
          <w:lang w:val="de-DE"/>
        </w:rPr>
        <w:t>Zahnfehlstellungen persistierten jedoch, und bei einem Tier wurde geringe bis mäßige Mineralisierung in mehreren Geweben beobachtet (Zusammenhang mit der Behandlung ungewiss). Es gab keinen Nachweis für eine maternale Schädigung vor der Entbindung; gelegentlich traten unerwünschte maternale Effekte während der Entbindung auf. Die Entwicklung der maternalen Brustdrüse war normal.</w:t>
      </w:r>
    </w:p>
    <w:p w14:paraId="39204AA4" w14:textId="77777777" w:rsidR="00F83928" w:rsidRPr="0049187C" w:rsidRDefault="00F83928" w:rsidP="0049187C">
      <w:pPr>
        <w:spacing w:after="0" w:line="240" w:lineRule="auto"/>
        <w:ind w:left="0" w:firstLine="0"/>
        <w:rPr>
          <w:lang w:val="de-DE"/>
        </w:rPr>
      </w:pPr>
    </w:p>
    <w:p w14:paraId="26DC4FCB" w14:textId="77777777" w:rsidR="00261AC3" w:rsidRPr="0049187C" w:rsidRDefault="00B00716" w:rsidP="0049187C">
      <w:pPr>
        <w:spacing w:after="0" w:line="240" w:lineRule="auto"/>
        <w:ind w:left="0" w:firstLine="0"/>
        <w:rPr>
          <w:lang w:val="de-DE"/>
        </w:rPr>
      </w:pPr>
      <w:r w:rsidRPr="0049187C">
        <w:rPr>
          <w:lang w:val="de-DE"/>
        </w:rPr>
        <w:t>In präklinischen Studien zur Knochenqualität bei Affen unter Langzeitbehandlung mit Denosumab ging eine Reduktion des Knochenumsatzes mit einer Verbesserung der Knochenfestigkeit und mit normaler Knochenhistologie einher. Bei ovarektomierten Affen, die mit Denosumab behandelt wurden, waren die Calciumspiegel vorübergehend verringert und die Parathormonspiegel vorübergehend erhöht.</w:t>
      </w:r>
    </w:p>
    <w:p w14:paraId="6CEDECE5" w14:textId="77777777" w:rsidR="00F83928" w:rsidRPr="0049187C" w:rsidRDefault="00F83928" w:rsidP="0049187C">
      <w:pPr>
        <w:spacing w:after="0" w:line="240" w:lineRule="auto"/>
        <w:ind w:left="0" w:firstLine="0"/>
        <w:rPr>
          <w:lang w:val="de-DE"/>
        </w:rPr>
      </w:pPr>
    </w:p>
    <w:p w14:paraId="7EA5F856" w14:textId="77777777" w:rsidR="00261AC3" w:rsidRPr="0049187C" w:rsidRDefault="00B00716" w:rsidP="0049187C">
      <w:pPr>
        <w:keepNext/>
        <w:keepLines/>
        <w:spacing w:after="0" w:line="240" w:lineRule="auto"/>
        <w:ind w:left="0" w:firstLine="0"/>
        <w:rPr>
          <w:lang w:val="de-DE"/>
        </w:rPr>
      </w:pPr>
      <w:r w:rsidRPr="0049187C">
        <w:rPr>
          <w:lang w:val="de-DE"/>
        </w:rPr>
        <w:t>In transgenen männlichen Mäusen, die humane RANK</w:t>
      </w:r>
      <w:r w:rsidRPr="0049187C">
        <w:rPr>
          <w:lang w:val="de-DE"/>
        </w:rPr>
        <w:noBreakHyphen/>
        <w:t>Liganden (huRANKL) exprimieren („Knockin</w:t>
      </w:r>
      <w:r w:rsidRPr="0049187C">
        <w:rPr>
          <w:lang w:val="de-DE"/>
        </w:rPr>
        <w:noBreakHyphen/>
        <w:t>Mäuse“) und bei denen eine transkortikale Fraktur ausgelöst worden war, verzögerte Denosumab im Vergleich zur Kontrolle den Abbau des Knorpels und den Umbau des Fraktur</w:t>
      </w:r>
      <w:r w:rsidRPr="0049187C">
        <w:rPr>
          <w:lang w:val="de-DE"/>
        </w:rPr>
        <w:noBreakHyphen/>
        <w:t>Kallus. Die biomechanische Festigkeit war jedoch nicht nachteilig beeinflusst.</w:t>
      </w:r>
    </w:p>
    <w:p w14:paraId="4034F1DB" w14:textId="77777777" w:rsidR="00F83928" w:rsidRPr="0049187C" w:rsidRDefault="00F83928" w:rsidP="0049187C">
      <w:pPr>
        <w:spacing w:after="0" w:line="240" w:lineRule="auto"/>
        <w:ind w:left="0" w:firstLine="0"/>
        <w:rPr>
          <w:lang w:val="de-DE"/>
        </w:rPr>
      </w:pPr>
    </w:p>
    <w:p w14:paraId="4A2F26B7" w14:textId="77777777" w:rsidR="00261AC3" w:rsidRPr="0049187C" w:rsidRDefault="00B00716" w:rsidP="0049187C">
      <w:pPr>
        <w:spacing w:after="0" w:line="240" w:lineRule="auto"/>
        <w:ind w:left="0" w:firstLine="0"/>
        <w:rPr>
          <w:lang w:val="de-DE"/>
        </w:rPr>
      </w:pPr>
      <w:r w:rsidRPr="0049187C">
        <w:rPr>
          <w:lang w:val="de-DE"/>
        </w:rPr>
        <w:t>Knockout</w:t>
      </w:r>
      <w:r w:rsidRPr="0049187C">
        <w:rPr>
          <w:lang w:val="de-DE"/>
        </w:rPr>
        <w:noBreakHyphen/>
        <w:t>Mäuse (siehe Abschnitt 4.6) ohne RANK oder RANKL zeigten reduziertes Körpergewicht, reduziertes Knochenwachstum und Fehlen des Zahndurchbruchs. Bei neonatalen Ratten ging die RANKL</w:t>
      </w:r>
      <w:r w:rsidRPr="0049187C">
        <w:rPr>
          <w:lang w:val="de-DE"/>
        </w:rPr>
        <w:noBreakHyphen/>
        <w:t>Inhibition (Ziel der Denosumab</w:t>
      </w:r>
      <w:r w:rsidRPr="0049187C">
        <w:rPr>
          <w:lang w:val="de-DE"/>
        </w:rPr>
        <w:noBreakHyphen/>
        <w:t>Therapie) mit hohen Dosierungen eines Konstrukts aus Osteoprotegerin, das an Fc gebunden war (OPG</w:t>
      </w:r>
      <w:r w:rsidRPr="0049187C">
        <w:rPr>
          <w:lang w:val="de-DE"/>
        </w:rPr>
        <w:noBreakHyphen/>
        <w:t>Fc), mit einer Inhibition des Knochenwachstums und des Zahndurchbruchs einher. Diese Änderungen waren in diesem Modell teilweise reversibel, wenn die Anwendung von RANKL</w:t>
      </w:r>
      <w:r w:rsidRPr="0049187C">
        <w:rPr>
          <w:lang w:val="de-DE"/>
        </w:rPr>
        <w:noBreakHyphen/>
        <w:t>Inhibitoren abgesetzt wurde. Adoleszente Primaten, die mit den 27</w:t>
      </w:r>
      <w:r w:rsidRPr="0049187C">
        <w:rPr>
          <w:lang w:val="de-DE"/>
        </w:rPr>
        <w:noBreakHyphen/>
        <w:t xml:space="preserve"> und</w:t>
      </w:r>
      <w:r w:rsidR="00D059C0" w:rsidRPr="0049187C">
        <w:rPr>
          <w:lang w:val="de-DE"/>
        </w:rPr>
        <w:t xml:space="preserve"> </w:t>
      </w:r>
      <w:r w:rsidRPr="0049187C">
        <w:rPr>
          <w:lang w:val="de-DE"/>
        </w:rPr>
        <w:t>150</w:t>
      </w:r>
      <w:r w:rsidRPr="0049187C">
        <w:rPr>
          <w:lang w:val="de-DE"/>
        </w:rPr>
        <w:noBreakHyphen/>
        <w:t>fachen (10 und 50 mg/kg Dosis) Dosierungen der klinischen Exposition von Denosumab behandelt wurden, zeigten abnormale Wachstumsfugen. Daher könnte die Behandlung mit Denosumab bei Kindern mit offenen Wachstumsfugen zu einem beeinträchtigten Knochenwachstum und zu einer Hemmung des Zahndurchbruchs führen.</w:t>
      </w:r>
    </w:p>
    <w:p w14:paraId="0DED1140" w14:textId="77777777" w:rsidR="00261AC3" w:rsidRPr="0049187C" w:rsidRDefault="00261AC3" w:rsidP="0049187C">
      <w:pPr>
        <w:spacing w:after="0" w:line="240" w:lineRule="auto"/>
        <w:ind w:left="0" w:firstLine="0"/>
        <w:rPr>
          <w:lang w:val="de-DE"/>
        </w:rPr>
      </w:pPr>
    </w:p>
    <w:p w14:paraId="5ABB84C3" w14:textId="77777777" w:rsidR="00F83928" w:rsidRPr="0049187C" w:rsidRDefault="00F83928" w:rsidP="0049187C">
      <w:pPr>
        <w:spacing w:after="0" w:line="240" w:lineRule="auto"/>
        <w:ind w:left="0" w:firstLine="0"/>
        <w:rPr>
          <w:lang w:val="de-DE"/>
        </w:rPr>
      </w:pPr>
    </w:p>
    <w:p w14:paraId="66E115BD" w14:textId="77777777" w:rsidR="00261AC3" w:rsidRPr="0049187C" w:rsidRDefault="00B00716" w:rsidP="0049187C">
      <w:pPr>
        <w:keepNext/>
        <w:keepLines/>
        <w:tabs>
          <w:tab w:val="left" w:pos="567"/>
        </w:tabs>
        <w:spacing w:after="0" w:line="240" w:lineRule="auto"/>
        <w:ind w:left="0" w:firstLine="0"/>
        <w:rPr>
          <w:b/>
          <w:lang w:val="de-DE"/>
        </w:rPr>
      </w:pPr>
      <w:r w:rsidRPr="0049187C">
        <w:rPr>
          <w:b/>
          <w:lang w:val="de-DE"/>
        </w:rPr>
        <w:t>6.</w:t>
      </w:r>
      <w:r w:rsidRPr="0049187C">
        <w:rPr>
          <w:b/>
          <w:lang w:val="de-DE"/>
        </w:rPr>
        <w:tab/>
        <w:t>PHARMAZEUTISCHE ANGABEN</w:t>
      </w:r>
    </w:p>
    <w:p w14:paraId="640BD8E3" w14:textId="77777777" w:rsidR="00F83928" w:rsidRPr="0049187C" w:rsidRDefault="00F83928" w:rsidP="0049187C">
      <w:pPr>
        <w:keepNext/>
        <w:keepLines/>
        <w:spacing w:after="0" w:line="240" w:lineRule="auto"/>
        <w:ind w:left="0" w:firstLine="0"/>
        <w:rPr>
          <w:lang w:val="de-DE"/>
        </w:rPr>
      </w:pPr>
    </w:p>
    <w:p w14:paraId="358C6584" w14:textId="77777777" w:rsidR="00261AC3" w:rsidRPr="0049187C" w:rsidRDefault="00B00716" w:rsidP="0049187C">
      <w:pPr>
        <w:keepNext/>
        <w:keepLines/>
        <w:tabs>
          <w:tab w:val="left" w:pos="567"/>
        </w:tabs>
        <w:spacing w:after="0" w:line="240" w:lineRule="auto"/>
        <w:ind w:left="0" w:firstLine="0"/>
        <w:rPr>
          <w:b/>
          <w:lang w:val="de-DE"/>
        </w:rPr>
      </w:pPr>
      <w:r w:rsidRPr="0049187C">
        <w:rPr>
          <w:b/>
          <w:lang w:val="de-DE"/>
        </w:rPr>
        <w:t>6.1</w:t>
      </w:r>
      <w:r w:rsidRPr="0049187C">
        <w:rPr>
          <w:b/>
          <w:lang w:val="de-DE"/>
        </w:rPr>
        <w:tab/>
        <w:t>Liste der sonstigen Bestandteile</w:t>
      </w:r>
    </w:p>
    <w:p w14:paraId="661F45C1" w14:textId="77777777" w:rsidR="00F83928" w:rsidRPr="0049187C" w:rsidRDefault="00F83928" w:rsidP="0049187C">
      <w:pPr>
        <w:keepNext/>
        <w:keepLines/>
        <w:spacing w:after="0" w:line="240" w:lineRule="auto"/>
        <w:ind w:left="0" w:firstLine="0"/>
        <w:rPr>
          <w:lang w:val="de-DE"/>
        </w:rPr>
      </w:pPr>
    </w:p>
    <w:p w14:paraId="58C3DDEB" w14:textId="77777777" w:rsidR="00261AC3" w:rsidRPr="0049187C" w:rsidRDefault="00B00716" w:rsidP="0049187C">
      <w:pPr>
        <w:spacing w:after="0" w:line="240" w:lineRule="auto"/>
        <w:ind w:left="0" w:firstLine="0"/>
        <w:rPr>
          <w:lang w:val="de-DE"/>
        </w:rPr>
      </w:pPr>
      <w:r w:rsidRPr="0049187C">
        <w:rPr>
          <w:lang w:val="de-DE"/>
        </w:rPr>
        <w:t>Essigsäure 99 %*</w:t>
      </w:r>
    </w:p>
    <w:p w14:paraId="6D257448" w14:textId="77777777" w:rsidR="00261AC3" w:rsidRPr="0049187C" w:rsidRDefault="00B00716" w:rsidP="0049187C">
      <w:pPr>
        <w:spacing w:after="0" w:line="240" w:lineRule="auto"/>
        <w:ind w:left="0" w:firstLine="0"/>
        <w:rPr>
          <w:lang w:val="de-DE"/>
        </w:rPr>
      </w:pPr>
      <w:r w:rsidRPr="0049187C">
        <w:rPr>
          <w:lang w:val="de-DE"/>
        </w:rPr>
        <w:t>Sorbitol (E 420)</w:t>
      </w:r>
    </w:p>
    <w:p w14:paraId="50EAEE48" w14:textId="77777777" w:rsidR="00261AC3" w:rsidRPr="0049187C" w:rsidRDefault="00B00716" w:rsidP="0049187C">
      <w:pPr>
        <w:spacing w:after="0" w:line="240" w:lineRule="auto"/>
        <w:ind w:left="0" w:firstLine="0"/>
        <w:rPr>
          <w:lang w:val="de-DE"/>
        </w:rPr>
      </w:pPr>
      <w:r w:rsidRPr="0049187C">
        <w:rPr>
          <w:lang w:val="de-DE"/>
        </w:rPr>
        <w:t>Polysorbat 20</w:t>
      </w:r>
    </w:p>
    <w:p w14:paraId="5FC4315F" w14:textId="77777777" w:rsidR="002E5640" w:rsidRPr="0049187C" w:rsidRDefault="00B00716" w:rsidP="0049187C">
      <w:pPr>
        <w:spacing w:after="0" w:line="240" w:lineRule="auto"/>
        <w:ind w:left="0" w:firstLine="0"/>
        <w:rPr>
          <w:lang w:val="de-DE"/>
        </w:rPr>
      </w:pPr>
      <w:r w:rsidRPr="0049187C">
        <w:rPr>
          <w:lang w:val="de-DE"/>
        </w:rPr>
        <w:t>Natriumhydroxid (zur pH</w:t>
      </w:r>
      <w:r w:rsidRPr="0049187C">
        <w:rPr>
          <w:lang w:val="de-DE"/>
        </w:rPr>
        <w:noBreakHyphen/>
        <w:t>Wert</w:t>
      </w:r>
      <w:r w:rsidRPr="0049187C">
        <w:rPr>
          <w:lang w:val="de-DE"/>
        </w:rPr>
        <w:noBreakHyphen/>
        <w:t>Einstellung)*</w:t>
      </w:r>
    </w:p>
    <w:p w14:paraId="04A6F4F6" w14:textId="77777777" w:rsidR="002E5640" w:rsidRPr="0049187C" w:rsidRDefault="00B00716" w:rsidP="0049187C">
      <w:pPr>
        <w:spacing w:after="0" w:line="240" w:lineRule="auto"/>
        <w:ind w:left="0" w:firstLine="0"/>
        <w:rPr>
          <w:lang w:val="de-DE"/>
        </w:rPr>
      </w:pPr>
      <w:r w:rsidRPr="0049187C">
        <w:rPr>
          <w:lang w:val="de-DE"/>
        </w:rPr>
        <w:t>Salzsäure (zur pH-Wert-Einstellung)</w:t>
      </w:r>
    </w:p>
    <w:p w14:paraId="141046FB" w14:textId="77777777" w:rsidR="00261AC3" w:rsidRPr="0049187C" w:rsidRDefault="00B00716" w:rsidP="0049187C">
      <w:pPr>
        <w:spacing w:after="0" w:line="240" w:lineRule="auto"/>
        <w:ind w:left="0" w:firstLine="0"/>
        <w:rPr>
          <w:lang w:val="de-DE"/>
        </w:rPr>
      </w:pPr>
      <w:r w:rsidRPr="0049187C">
        <w:rPr>
          <w:lang w:val="de-DE"/>
        </w:rPr>
        <w:t>Wasser für Injektionszwecke</w:t>
      </w:r>
    </w:p>
    <w:p w14:paraId="4F7FB4D8" w14:textId="77777777" w:rsidR="00261AC3" w:rsidRPr="0049187C" w:rsidRDefault="00B00716" w:rsidP="0049187C">
      <w:pPr>
        <w:spacing w:after="0" w:line="240" w:lineRule="auto"/>
        <w:ind w:left="0" w:firstLine="0"/>
        <w:rPr>
          <w:lang w:val="de-DE"/>
        </w:rPr>
      </w:pPr>
      <w:r w:rsidRPr="0049187C">
        <w:rPr>
          <w:lang w:val="de-DE"/>
        </w:rPr>
        <w:t>* Der Acetatpuffer wird durch Mischen von Essigsäure mit Natriumhydroxid gebildet.</w:t>
      </w:r>
    </w:p>
    <w:p w14:paraId="71499C01" w14:textId="77777777" w:rsidR="00F83928" w:rsidRPr="0049187C" w:rsidRDefault="00F83928" w:rsidP="0049187C">
      <w:pPr>
        <w:spacing w:after="0" w:line="240" w:lineRule="auto"/>
        <w:ind w:left="0" w:firstLine="0"/>
        <w:rPr>
          <w:lang w:val="de-DE"/>
        </w:rPr>
      </w:pPr>
    </w:p>
    <w:p w14:paraId="2FF2D4E4" w14:textId="77777777" w:rsidR="00261AC3" w:rsidRPr="0049187C" w:rsidRDefault="00B00716" w:rsidP="0049187C">
      <w:pPr>
        <w:keepNext/>
        <w:keepLines/>
        <w:tabs>
          <w:tab w:val="left" w:pos="567"/>
        </w:tabs>
        <w:spacing w:after="0" w:line="240" w:lineRule="auto"/>
        <w:ind w:left="0" w:firstLine="0"/>
        <w:rPr>
          <w:b/>
          <w:lang w:val="de-DE"/>
        </w:rPr>
      </w:pPr>
      <w:r w:rsidRPr="0049187C">
        <w:rPr>
          <w:b/>
          <w:lang w:val="de-DE"/>
        </w:rPr>
        <w:t>6.2</w:t>
      </w:r>
      <w:r w:rsidRPr="0049187C">
        <w:rPr>
          <w:b/>
          <w:lang w:val="de-DE"/>
        </w:rPr>
        <w:tab/>
        <w:t>Inkompatibilitäten</w:t>
      </w:r>
    </w:p>
    <w:p w14:paraId="11DDF27E" w14:textId="77777777" w:rsidR="00F83928" w:rsidRPr="0049187C" w:rsidRDefault="00F83928" w:rsidP="0049187C">
      <w:pPr>
        <w:keepNext/>
        <w:keepLines/>
        <w:spacing w:after="0" w:line="240" w:lineRule="auto"/>
        <w:ind w:left="0" w:firstLine="0"/>
        <w:rPr>
          <w:lang w:val="de-DE"/>
        </w:rPr>
      </w:pPr>
    </w:p>
    <w:p w14:paraId="0AAC8014" w14:textId="77777777" w:rsidR="00261AC3" w:rsidRPr="0049187C" w:rsidRDefault="00B00716" w:rsidP="0049187C">
      <w:pPr>
        <w:spacing w:after="0" w:line="240" w:lineRule="auto"/>
        <w:ind w:left="0" w:firstLine="0"/>
        <w:rPr>
          <w:lang w:val="de-DE"/>
        </w:rPr>
      </w:pPr>
      <w:r w:rsidRPr="0049187C">
        <w:rPr>
          <w:lang w:val="de-DE"/>
        </w:rPr>
        <w:t>Da keine Kompatibilitätsstudien durchgeführt wurden, darf dieses Arzneimittel nicht mit anderen Arzneimitteln gemischt werden.</w:t>
      </w:r>
    </w:p>
    <w:p w14:paraId="16BA2A81" w14:textId="77777777" w:rsidR="00F83928" w:rsidRPr="0049187C" w:rsidRDefault="00F83928" w:rsidP="0049187C">
      <w:pPr>
        <w:spacing w:after="0" w:line="240" w:lineRule="auto"/>
        <w:ind w:left="0" w:firstLine="0"/>
        <w:rPr>
          <w:lang w:val="de-DE"/>
        </w:rPr>
      </w:pPr>
    </w:p>
    <w:p w14:paraId="7EFD42EB" w14:textId="77777777" w:rsidR="00261AC3" w:rsidRPr="0049187C" w:rsidRDefault="00B00716" w:rsidP="0049187C">
      <w:pPr>
        <w:keepNext/>
        <w:keepLines/>
        <w:tabs>
          <w:tab w:val="left" w:pos="567"/>
        </w:tabs>
        <w:spacing w:after="0" w:line="240" w:lineRule="auto"/>
        <w:ind w:left="0" w:firstLine="0"/>
        <w:rPr>
          <w:b/>
          <w:lang w:val="de-DE"/>
        </w:rPr>
      </w:pPr>
      <w:r w:rsidRPr="0049187C">
        <w:rPr>
          <w:b/>
          <w:lang w:val="de-DE"/>
        </w:rPr>
        <w:t>6.3</w:t>
      </w:r>
      <w:r w:rsidRPr="0049187C">
        <w:rPr>
          <w:b/>
          <w:lang w:val="de-DE"/>
        </w:rPr>
        <w:tab/>
        <w:t>Dauer der Haltbarkeit</w:t>
      </w:r>
    </w:p>
    <w:p w14:paraId="54FD2A14" w14:textId="77777777" w:rsidR="00F83928" w:rsidRPr="0049187C" w:rsidRDefault="00F83928" w:rsidP="0049187C">
      <w:pPr>
        <w:keepNext/>
        <w:keepLines/>
        <w:spacing w:after="0" w:line="240" w:lineRule="auto"/>
        <w:ind w:left="0" w:firstLine="0"/>
        <w:rPr>
          <w:lang w:val="de-DE"/>
        </w:rPr>
      </w:pPr>
    </w:p>
    <w:p w14:paraId="0F443316" w14:textId="77777777" w:rsidR="00261AC3" w:rsidRPr="0049187C" w:rsidRDefault="00B00716" w:rsidP="0049187C">
      <w:pPr>
        <w:spacing w:after="0" w:line="240" w:lineRule="auto"/>
        <w:ind w:left="0" w:firstLine="0"/>
        <w:rPr>
          <w:lang w:val="de-DE"/>
        </w:rPr>
      </w:pPr>
      <w:r w:rsidRPr="0049187C">
        <w:rPr>
          <w:lang w:val="de-DE"/>
        </w:rPr>
        <w:t>3 </w:t>
      </w:r>
      <w:r w:rsidR="00FD7DFF" w:rsidRPr="0049187C">
        <w:rPr>
          <w:lang w:val="de-DE"/>
        </w:rPr>
        <w:t>Jahre.</w:t>
      </w:r>
    </w:p>
    <w:p w14:paraId="46688319" w14:textId="77777777" w:rsidR="00F83928" w:rsidRPr="0049187C" w:rsidRDefault="00F83928" w:rsidP="0049187C">
      <w:pPr>
        <w:spacing w:after="0" w:line="240" w:lineRule="auto"/>
        <w:ind w:left="0" w:firstLine="0"/>
        <w:rPr>
          <w:lang w:val="de-DE"/>
        </w:rPr>
      </w:pPr>
    </w:p>
    <w:p w14:paraId="327A2116" w14:textId="77777777" w:rsidR="00261AC3" w:rsidRPr="0049187C" w:rsidRDefault="00B00716" w:rsidP="0049187C">
      <w:pPr>
        <w:spacing w:after="0" w:line="240" w:lineRule="auto"/>
        <w:ind w:left="0" w:firstLine="0"/>
        <w:rPr>
          <w:lang w:val="de-DE"/>
        </w:rPr>
      </w:pPr>
      <w:r w:rsidRPr="0049187C">
        <w:rPr>
          <w:lang w:val="de-DE"/>
        </w:rPr>
        <w:t xml:space="preserve">Jubbonti </w:t>
      </w:r>
      <w:r w:rsidR="00FD7DFF" w:rsidRPr="0049187C">
        <w:rPr>
          <w:lang w:val="de-DE"/>
        </w:rPr>
        <w:t>kann nach der Entnahme aus dem Kühlschrank bis zu</w:t>
      </w:r>
      <w:r w:rsidRPr="0049187C">
        <w:rPr>
          <w:lang w:val="de-DE"/>
        </w:rPr>
        <w:t> 30 </w:t>
      </w:r>
      <w:r w:rsidR="00FD7DFF" w:rsidRPr="0049187C">
        <w:rPr>
          <w:lang w:val="de-DE"/>
        </w:rPr>
        <w:t xml:space="preserve">Tage </w:t>
      </w:r>
      <w:r w:rsidR="00D60FC2" w:rsidRPr="0049187C">
        <w:rPr>
          <w:lang w:val="de-DE"/>
        </w:rPr>
        <w:t xml:space="preserve">bei Raumtemperatur (bis zu 25 °C) </w:t>
      </w:r>
      <w:r w:rsidRPr="0049187C">
        <w:rPr>
          <w:noProof/>
          <w:lang w:val="de-DE"/>
        </w:rPr>
        <w:t xml:space="preserve">im Umkarton </w:t>
      </w:r>
      <w:r w:rsidR="00FD7DFF" w:rsidRPr="0049187C">
        <w:rPr>
          <w:lang w:val="de-DE"/>
        </w:rPr>
        <w:t>aufbewahrt werden</w:t>
      </w:r>
      <w:r w:rsidRPr="0049187C">
        <w:rPr>
          <w:lang w:val="de-DE"/>
        </w:rPr>
        <w:t>, um den Inhalt vor Licht zu schützen</w:t>
      </w:r>
      <w:r w:rsidR="00FD7DFF" w:rsidRPr="0049187C">
        <w:rPr>
          <w:lang w:val="de-DE"/>
        </w:rPr>
        <w:t>. Es muss innerhalb dieser</w:t>
      </w:r>
      <w:r w:rsidRPr="0049187C">
        <w:rPr>
          <w:lang w:val="de-DE"/>
        </w:rPr>
        <w:t> 3</w:t>
      </w:r>
      <w:r w:rsidR="00FD7DFF" w:rsidRPr="0049187C">
        <w:rPr>
          <w:lang w:val="de-DE"/>
        </w:rPr>
        <w:t>0</w:t>
      </w:r>
      <w:r w:rsidRPr="0049187C">
        <w:rPr>
          <w:lang w:val="de-DE"/>
        </w:rPr>
        <w:noBreakHyphen/>
      </w:r>
      <w:r w:rsidR="00FD7DFF" w:rsidRPr="0049187C">
        <w:rPr>
          <w:lang w:val="de-DE"/>
        </w:rPr>
        <w:t>Tage</w:t>
      </w:r>
      <w:r w:rsidRPr="0049187C">
        <w:rPr>
          <w:lang w:val="de-DE"/>
        </w:rPr>
        <w:noBreakHyphen/>
      </w:r>
      <w:r w:rsidR="00FD7DFF" w:rsidRPr="0049187C">
        <w:rPr>
          <w:lang w:val="de-DE"/>
        </w:rPr>
        <w:t>Frist verwendet werden.</w:t>
      </w:r>
    </w:p>
    <w:p w14:paraId="12541C04" w14:textId="77777777" w:rsidR="00F83928" w:rsidRPr="0049187C" w:rsidRDefault="00F83928" w:rsidP="0049187C">
      <w:pPr>
        <w:spacing w:after="0" w:line="240" w:lineRule="auto"/>
        <w:ind w:left="0" w:firstLine="0"/>
        <w:rPr>
          <w:lang w:val="de-DE"/>
        </w:rPr>
      </w:pPr>
    </w:p>
    <w:p w14:paraId="3FC382D2" w14:textId="77777777" w:rsidR="00261AC3" w:rsidRPr="0049187C" w:rsidRDefault="00B00716" w:rsidP="0049187C">
      <w:pPr>
        <w:keepNext/>
        <w:keepLines/>
        <w:tabs>
          <w:tab w:val="left" w:pos="567"/>
        </w:tabs>
        <w:spacing w:after="0" w:line="240" w:lineRule="auto"/>
        <w:ind w:left="0" w:firstLine="0"/>
        <w:rPr>
          <w:b/>
          <w:lang w:val="de-DE"/>
        </w:rPr>
      </w:pPr>
      <w:r w:rsidRPr="0049187C">
        <w:rPr>
          <w:b/>
          <w:lang w:val="de-DE"/>
        </w:rPr>
        <w:t>6.4</w:t>
      </w:r>
      <w:r w:rsidRPr="0049187C">
        <w:rPr>
          <w:b/>
          <w:lang w:val="de-DE"/>
        </w:rPr>
        <w:tab/>
        <w:t>Besondere Vorsichtsmaßnahmen für die Aufbewahrung</w:t>
      </w:r>
    </w:p>
    <w:p w14:paraId="4A7E8310" w14:textId="77777777" w:rsidR="00F83928" w:rsidRPr="0049187C" w:rsidRDefault="00F83928" w:rsidP="0049187C">
      <w:pPr>
        <w:keepNext/>
        <w:keepLines/>
        <w:spacing w:after="0" w:line="240" w:lineRule="auto"/>
        <w:ind w:left="0" w:firstLine="0"/>
        <w:rPr>
          <w:lang w:val="de-DE"/>
        </w:rPr>
      </w:pPr>
    </w:p>
    <w:p w14:paraId="7276CF4E" w14:textId="77777777" w:rsidR="00261AC3" w:rsidRPr="0049187C" w:rsidRDefault="00B00716" w:rsidP="0049187C">
      <w:pPr>
        <w:spacing w:after="0" w:line="240" w:lineRule="auto"/>
        <w:ind w:left="0" w:firstLine="0"/>
        <w:rPr>
          <w:lang w:val="de-DE"/>
        </w:rPr>
      </w:pPr>
      <w:r w:rsidRPr="0049187C">
        <w:rPr>
          <w:lang w:val="de-DE"/>
        </w:rPr>
        <w:t>Im Kühlschrank lagern (2 °C – 8 °C).</w:t>
      </w:r>
    </w:p>
    <w:p w14:paraId="52FBE303" w14:textId="77777777" w:rsidR="00261AC3" w:rsidRPr="0049187C" w:rsidRDefault="00B00716" w:rsidP="0049187C">
      <w:pPr>
        <w:spacing w:after="0" w:line="240" w:lineRule="auto"/>
        <w:ind w:left="0" w:firstLine="0"/>
        <w:rPr>
          <w:lang w:val="de-DE"/>
        </w:rPr>
      </w:pPr>
      <w:r w:rsidRPr="0049187C">
        <w:rPr>
          <w:lang w:val="de-DE"/>
        </w:rPr>
        <w:t>Nicht einfrieren.</w:t>
      </w:r>
    </w:p>
    <w:p w14:paraId="2440D7B6" w14:textId="77777777" w:rsidR="00261AC3" w:rsidRPr="0049187C" w:rsidRDefault="00B00716" w:rsidP="0049187C">
      <w:pPr>
        <w:spacing w:after="0" w:line="240" w:lineRule="auto"/>
        <w:ind w:left="0" w:firstLine="0"/>
        <w:rPr>
          <w:lang w:val="de-DE"/>
        </w:rPr>
      </w:pPr>
      <w:r w:rsidRPr="0049187C">
        <w:rPr>
          <w:lang w:val="de-DE"/>
        </w:rPr>
        <w:t>Die Fertigspritze</w:t>
      </w:r>
      <w:r w:rsidR="00FD7DFF" w:rsidRPr="0049187C">
        <w:rPr>
          <w:lang w:val="de-DE"/>
        </w:rPr>
        <w:t xml:space="preserve"> im </w:t>
      </w:r>
      <w:r w:rsidR="0089103E" w:rsidRPr="0049187C">
        <w:rPr>
          <w:lang w:val="de-DE"/>
        </w:rPr>
        <w:t>Umk</w:t>
      </w:r>
      <w:r w:rsidR="00FD7DFF" w:rsidRPr="0049187C">
        <w:rPr>
          <w:lang w:val="de-DE"/>
        </w:rPr>
        <w:t>arton aufbewahren, um den Inhalt vor Licht zu schützen.</w:t>
      </w:r>
    </w:p>
    <w:p w14:paraId="66A030FD" w14:textId="77777777" w:rsidR="00F83928" w:rsidRPr="0049187C" w:rsidRDefault="00F83928" w:rsidP="0049187C">
      <w:pPr>
        <w:spacing w:after="0" w:line="240" w:lineRule="auto"/>
        <w:ind w:left="0" w:firstLine="0"/>
        <w:rPr>
          <w:lang w:val="de-DE"/>
        </w:rPr>
      </w:pPr>
    </w:p>
    <w:p w14:paraId="2A844BE1" w14:textId="77777777" w:rsidR="00261AC3" w:rsidRPr="0049187C" w:rsidRDefault="00B00716" w:rsidP="0049187C">
      <w:pPr>
        <w:keepNext/>
        <w:keepLines/>
        <w:tabs>
          <w:tab w:val="left" w:pos="567"/>
        </w:tabs>
        <w:spacing w:after="0" w:line="240" w:lineRule="auto"/>
        <w:ind w:left="0" w:firstLine="0"/>
        <w:rPr>
          <w:b/>
          <w:lang w:val="de-DE"/>
        </w:rPr>
      </w:pPr>
      <w:r w:rsidRPr="0049187C">
        <w:rPr>
          <w:b/>
          <w:lang w:val="de-DE"/>
        </w:rPr>
        <w:t>6.5</w:t>
      </w:r>
      <w:r w:rsidRPr="0049187C">
        <w:rPr>
          <w:b/>
          <w:lang w:val="de-DE"/>
        </w:rPr>
        <w:tab/>
        <w:t>Art und Inhalt des Behältnisses</w:t>
      </w:r>
    </w:p>
    <w:p w14:paraId="305FB4C8" w14:textId="77777777" w:rsidR="00F83928" w:rsidRPr="0049187C" w:rsidRDefault="00F83928" w:rsidP="0049187C">
      <w:pPr>
        <w:keepNext/>
        <w:keepLines/>
        <w:spacing w:after="0" w:line="240" w:lineRule="auto"/>
        <w:ind w:left="0" w:firstLine="0"/>
        <w:rPr>
          <w:lang w:val="de-DE"/>
        </w:rPr>
      </w:pPr>
    </w:p>
    <w:p w14:paraId="62A71F6A" w14:textId="77777777" w:rsidR="00261AC3" w:rsidRPr="0049187C" w:rsidRDefault="00B00716" w:rsidP="0049187C">
      <w:pPr>
        <w:spacing w:after="0" w:line="240" w:lineRule="auto"/>
        <w:ind w:left="0" w:firstLine="0"/>
        <w:rPr>
          <w:lang w:val="de-DE"/>
        </w:rPr>
      </w:pPr>
      <w:r w:rsidRPr="0049187C">
        <w:rPr>
          <w:lang w:val="de-DE"/>
        </w:rPr>
        <w:t>1 </w:t>
      </w:r>
      <w:r w:rsidR="00FD7DFF" w:rsidRPr="0049187C">
        <w:rPr>
          <w:lang w:val="de-DE"/>
        </w:rPr>
        <w:t>ml Lösung in einer Fertigspritze zum Einmalgebrauch aus Glas Typ I mit</w:t>
      </w:r>
      <w:r w:rsidRPr="0049187C">
        <w:rPr>
          <w:lang w:val="de-DE"/>
        </w:rPr>
        <w:t> 2</w:t>
      </w:r>
      <w:r w:rsidR="002E5640" w:rsidRPr="0049187C">
        <w:rPr>
          <w:lang w:val="de-DE"/>
        </w:rPr>
        <w:t>9</w:t>
      </w:r>
      <w:r w:rsidRPr="0049187C">
        <w:rPr>
          <w:lang w:val="de-DE"/>
        </w:rPr>
        <w:t> </w:t>
      </w:r>
      <w:r w:rsidR="00FD7DFF" w:rsidRPr="0049187C">
        <w:rPr>
          <w:lang w:val="de-DE"/>
        </w:rPr>
        <w:t>Gauge</w:t>
      </w:r>
      <w:r w:rsidRPr="0049187C">
        <w:rPr>
          <w:lang w:val="de-DE"/>
        </w:rPr>
        <w:noBreakHyphen/>
      </w:r>
      <w:r w:rsidR="00FD7DFF" w:rsidRPr="0049187C">
        <w:rPr>
          <w:lang w:val="de-DE"/>
        </w:rPr>
        <w:t xml:space="preserve">Injektionsnadel, hergestellt aus rostfreiem Stahl, mit </w:t>
      </w:r>
      <w:r w:rsidR="00D60FC2" w:rsidRPr="0049187C">
        <w:rPr>
          <w:lang w:val="de-DE"/>
        </w:rPr>
        <w:t>Schutzvorrichtung</w:t>
      </w:r>
      <w:r w:rsidR="002E5640" w:rsidRPr="0049187C">
        <w:rPr>
          <w:lang w:val="de-DE"/>
        </w:rPr>
        <w:t>, einer Nadelkappe aus Gummi (thermoplastisches Elastomer)</w:t>
      </w:r>
      <w:r w:rsidR="00B74B46" w:rsidRPr="0049187C">
        <w:rPr>
          <w:lang w:val="de-DE"/>
        </w:rPr>
        <w:t xml:space="preserve"> einem Kolbenstopfen aus Gummi (Bromobutyl-Kautschuk) und einem Kolben aus Kunststoff</w:t>
      </w:r>
      <w:r w:rsidR="00FD7DFF" w:rsidRPr="0049187C">
        <w:rPr>
          <w:lang w:val="de-DE"/>
        </w:rPr>
        <w:t>.</w:t>
      </w:r>
    </w:p>
    <w:p w14:paraId="406D1FA4" w14:textId="77777777" w:rsidR="00F83928" w:rsidRPr="0049187C" w:rsidRDefault="00F83928" w:rsidP="0049187C">
      <w:pPr>
        <w:spacing w:after="0" w:line="240" w:lineRule="auto"/>
        <w:ind w:left="0" w:firstLine="0"/>
        <w:rPr>
          <w:lang w:val="de-DE"/>
        </w:rPr>
      </w:pPr>
    </w:p>
    <w:p w14:paraId="3563B344" w14:textId="77777777" w:rsidR="00261AC3" w:rsidRPr="0049187C" w:rsidRDefault="00B00716" w:rsidP="0049187C">
      <w:pPr>
        <w:spacing w:after="0" w:line="240" w:lineRule="auto"/>
        <w:ind w:left="0" w:firstLine="0"/>
        <w:rPr>
          <w:lang w:val="de-DE"/>
        </w:rPr>
      </w:pPr>
      <w:r w:rsidRPr="0049187C">
        <w:rPr>
          <w:lang w:val="de-DE"/>
        </w:rPr>
        <w:t xml:space="preserve">Packungsgröße mit einer Fertigspritze mit </w:t>
      </w:r>
      <w:r w:rsidR="00B74B46" w:rsidRPr="0049187C">
        <w:rPr>
          <w:lang w:val="de-DE"/>
        </w:rPr>
        <w:t>S</w:t>
      </w:r>
      <w:r w:rsidRPr="0049187C">
        <w:rPr>
          <w:lang w:val="de-DE"/>
        </w:rPr>
        <w:t>chutz</w:t>
      </w:r>
      <w:r w:rsidR="00D60FC2" w:rsidRPr="0049187C">
        <w:rPr>
          <w:lang w:val="de-DE"/>
        </w:rPr>
        <w:t>vorrichtung</w:t>
      </w:r>
      <w:r w:rsidRPr="0049187C">
        <w:rPr>
          <w:lang w:val="de-DE"/>
        </w:rPr>
        <w:t>.</w:t>
      </w:r>
    </w:p>
    <w:p w14:paraId="4CE105A1" w14:textId="77777777" w:rsidR="00F83928" w:rsidRPr="0049187C" w:rsidRDefault="00F83928" w:rsidP="0049187C">
      <w:pPr>
        <w:spacing w:after="0" w:line="240" w:lineRule="auto"/>
        <w:ind w:left="0" w:firstLine="0"/>
        <w:rPr>
          <w:lang w:val="de-DE"/>
        </w:rPr>
      </w:pPr>
    </w:p>
    <w:p w14:paraId="6FA1C7BA" w14:textId="77777777" w:rsidR="00261AC3" w:rsidRPr="0049187C" w:rsidRDefault="00B00716" w:rsidP="0049187C">
      <w:pPr>
        <w:keepNext/>
        <w:keepLines/>
        <w:tabs>
          <w:tab w:val="left" w:pos="567"/>
        </w:tabs>
        <w:spacing w:after="0" w:line="240" w:lineRule="auto"/>
        <w:ind w:left="0" w:firstLine="0"/>
        <w:rPr>
          <w:b/>
          <w:lang w:val="de-DE"/>
        </w:rPr>
      </w:pPr>
      <w:r w:rsidRPr="0049187C">
        <w:rPr>
          <w:b/>
          <w:lang w:val="de-DE"/>
        </w:rPr>
        <w:t>6.6</w:t>
      </w:r>
      <w:r w:rsidRPr="0049187C">
        <w:rPr>
          <w:b/>
          <w:lang w:val="de-DE"/>
        </w:rPr>
        <w:tab/>
        <w:t>Besondere Vorsichtsmaßnahmen für die Beseitigung und sonstige Hinweise zur Handhabung</w:t>
      </w:r>
    </w:p>
    <w:p w14:paraId="2C782D66" w14:textId="77777777" w:rsidR="00F83928" w:rsidRPr="0049187C" w:rsidRDefault="00F83928" w:rsidP="0049187C">
      <w:pPr>
        <w:keepNext/>
        <w:keepLines/>
        <w:spacing w:after="0" w:line="240" w:lineRule="auto"/>
        <w:ind w:left="0" w:firstLine="0"/>
        <w:rPr>
          <w:lang w:val="de-DE"/>
        </w:rPr>
      </w:pPr>
    </w:p>
    <w:p w14:paraId="19725B3A" w14:textId="77777777" w:rsidR="00261AC3" w:rsidRPr="0049187C" w:rsidRDefault="00B00716" w:rsidP="0049187C">
      <w:pPr>
        <w:numPr>
          <w:ilvl w:val="0"/>
          <w:numId w:val="3"/>
        </w:numPr>
        <w:tabs>
          <w:tab w:val="left" w:pos="567"/>
        </w:tabs>
        <w:spacing w:after="0" w:line="240" w:lineRule="auto"/>
        <w:ind w:left="0" w:firstLine="0"/>
        <w:rPr>
          <w:lang w:val="de-DE"/>
        </w:rPr>
      </w:pPr>
      <w:r w:rsidRPr="0049187C">
        <w:rPr>
          <w:lang w:val="de-DE"/>
        </w:rPr>
        <w:t xml:space="preserve">Vor der Anwendung sollte die Lösung </w:t>
      </w:r>
      <w:r w:rsidR="00D82B78" w:rsidRPr="0049187C">
        <w:rPr>
          <w:lang w:val="de-DE"/>
        </w:rPr>
        <w:t xml:space="preserve">optisch überprüft </w:t>
      </w:r>
      <w:r w:rsidRPr="0049187C">
        <w:rPr>
          <w:lang w:val="de-DE"/>
        </w:rPr>
        <w:t xml:space="preserve">werden. Injizieren Sie die Lösung nicht, falls sie trübe </w:t>
      </w:r>
      <w:r w:rsidR="006F067C" w:rsidRPr="0049187C">
        <w:rPr>
          <w:lang w:val="de-DE"/>
        </w:rPr>
        <w:t>ist oder sichtbare Partikel enthält</w:t>
      </w:r>
      <w:r w:rsidRPr="0049187C">
        <w:rPr>
          <w:lang w:val="de-DE"/>
        </w:rPr>
        <w:t>.</w:t>
      </w:r>
    </w:p>
    <w:p w14:paraId="53228A40" w14:textId="77777777" w:rsidR="00261AC3" w:rsidRPr="0049187C" w:rsidRDefault="00B00716" w:rsidP="0049187C">
      <w:pPr>
        <w:numPr>
          <w:ilvl w:val="0"/>
          <w:numId w:val="3"/>
        </w:numPr>
        <w:tabs>
          <w:tab w:val="left" w:pos="567"/>
        </w:tabs>
        <w:spacing w:after="0" w:line="240" w:lineRule="auto"/>
        <w:ind w:left="0" w:firstLine="0"/>
        <w:rPr>
          <w:lang w:val="de-DE"/>
        </w:rPr>
      </w:pPr>
      <w:r w:rsidRPr="0049187C">
        <w:rPr>
          <w:lang w:val="de-DE"/>
        </w:rPr>
        <w:t>Nicht schütteln.</w:t>
      </w:r>
    </w:p>
    <w:p w14:paraId="6F1E8C58" w14:textId="77777777" w:rsidR="00261AC3" w:rsidRPr="0049187C" w:rsidRDefault="00B00716" w:rsidP="0049187C">
      <w:pPr>
        <w:numPr>
          <w:ilvl w:val="0"/>
          <w:numId w:val="3"/>
        </w:numPr>
        <w:tabs>
          <w:tab w:val="left" w:pos="567"/>
        </w:tabs>
        <w:spacing w:after="0" w:line="240" w:lineRule="auto"/>
        <w:ind w:left="0" w:firstLine="0"/>
        <w:rPr>
          <w:lang w:val="de-DE"/>
        </w:rPr>
      </w:pPr>
      <w:r w:rsidRPr="0049187C">
        <w:rPr>
          <w:lang w:val="de-DE"/>
        </w:rPr>
        <w:t>Um Beschwerden an der Injektionsstelle zu vermeiden, sollte die Fertigspritze vor der Injektion Raumtemperatur (bis zu 25 °C) erreichen und die Injektion langsam erfolgen.</w:t>
      </w:r>
    </w:p>
    <w:p w14:paraId="01FAF6AC" w14:textId="77777777" w:rsidR="00261AC3" w:rsidRPr="0049187C" w:rsidRDefault="00B00716" w:rsidP="0049187C">
      <w:pPr>
        <w:numPr>
          <w:ilvl w:val="0"/>
          <w:numId w:val="3"/>
        </w:numPr>
        <w:tabs>
          <w:tab w:val="left" w:pos="567"/>
        </w:tabs>
        <w:spacing w:after="0" w:line="240" w:lineRule="auto"/>
        <w:ind w:left="0" w:firstLine="0"/>
        <w:rPr>
          <w:lang w:val="de-DE"/>
        </w:rPr>
      </w:pPr>
      <w:r w:rsidRPr="0049187C">
        <w:rPr>
          <w:lang w:val="de-DE"/>
        </w:rPr>
        <w:t>Den gesamten Inhalt der Fertigspritze injizieren.</w:t>
      </w:r>
    </w:p>
    <w:p w14:paraId="13D5CAC7" w14:textId="77777777" w:rsidR="00F83928" w:rsidRPr="0049187C" w:rsidRDefault="00F83928" w:rsidP="0049187C">
      <w:pPr>
        <w:spacing w:after="0" w:line="240" w:lineRule="auto"/>
        <w:ind w:left="0" w:firstLine="0"/>
        <w:rPr>
          <w:lang w:val="de-DE"/>
        </w:rPr>
      </w:pPr>
    </w:p>
    <w:p w14:paraId="0BD0E0CE" w14:textId="77777777" w:rsidR="006F067C" w:rsidRPr="0049187C" w:rsidRDefault="00B00716" w:rsidP="0049187C">
      <w:pPr>
        <w:spacing w:after="0" w:line="240" w:lineRule="auto"/>
        <w:ind w:left="0" w:firstLine="0"/>
        <w:rPr>
          <w:lang w:val="de-DE"/>
        </w:rPr>
      </w:pPr>
      <w:r w:rsidRPr="0049187C">
        <w:rPr>
          <w:lang w:val="de-DE"/>
        </w:rPr>
        <w:t>Vollständige Gebrauchsanweisungen finden sich in der Packungsbeilage in Abschnitt 7 „</w:t>
      </w:r>
      <w:r w:rsidR="00E124B5" w:rsidRPr="0049187C">
        <w:rPr>
          <w:lang w:val="de-DE"/>
        </w:rPr>
        <w:t>Gebrauchsanweisung</w:t>
      </w:r>
      <w:r w:rsidRPr="0049187C">
        <w:rPr>
          <w:lang w:val="de-DE"/>
        </w:rPr>
        <w:t xml:space="preserve">“. </w:t>
      </w:r>
    </w:p>
    <w:p w14:paraId="674D0544" w14:textId="77777777" w:rsidR="006F067C" w:rsidRPr="0049187C" w:rsidRDefault="006F067C" w:rsidP="0049187C">
      <w:pPr>
        <w:spacing w:after="0" w:line="240" w:lineRule="auto"/>
        <w:ind w:left="0" w:firstLine="0"/>
        <w:rPr>
          <w:lang w:val="de-DE"/>
        </w:rPr>
      </w:pPr>
    </w:p>
    <w:p w14:paraId="10CFF805" w14:textId="77777777" w:rsidR="00261AC3" w:rsidRPr="0049187C" w:rsidRDefault="00B00716" w:rsidP="0049187C">
      <w:pPr>
        <w:spacing w:after="0" w:line="240" w:lineRule="auto"/>
        <w:ind w:left="0" w:firstLine="0"/>
        <w:rPr>
          <w:lang w:val="de-DE"/>
        </w:rPr>
      </w:pPr>
      <w:r w:rsidRPr="0049187C">
        <w:rPr>
          <w:lang w:val="de-DE"/>
        </w:rPr>
        <w:t>Nicht verwendetes Arzneimittel oder Abfallmaterial ist entsprechend den nationalen Anforderungen zu beseitigen.</w:t>
      </w:r>
    </w:p>
    <w:p w14:paraId="156A8407" w14:textId="77777777" w:rsidR="00261AC3" w:rsidRPr="0049187C" w:rsidRDefault="00261AC3" w:rsidP="0049187C">
      <w:pPr>
        <w:spacing w:after="0" w:line="240" w:lineRule="auto"/>
        <w:ind w:left="0" w:firstLine="0"/>
        <w:rPr>
          <w:lang w:val="de-DE"/>
        </w:rPr>
      </w:pPr>
    </w:p>
    <w:p w14:paraId="3257BA77" w14:textId="77777777" w:rsidR="00F83928" w:rsidRPr="0049187C" w:rsidRDefault="00F83928" w:rsidP="0049187C">
      <w:pPr>
        <w:spacing w:after="0" w:line="240" w:lineRule="auto"/>
        <w:ind w:left="0" w:firstLine="0"/>
        <w:rPr>
          <w:lang w:val="de-DE"/>
        </w:rPr>
      </w:pPr>
    </w:p>
    <w:p w14:paraId="6A992A5D" w14:textId="77777777" w:rsidR="00261AC3" w:rsidRPr="0049187C" w:rsidRDefault="00B00716" w:rsidP="0049187C">
      <w:pPr>
        <w:keepNext/>
        <w:keepLines/>
        <w:tabs>
          <w:tab w:val="left" w:pos="567"/>
        </w:tabs>
        <w:spacing w:after="0" w:line="240" w:lineRule="auto"/>
        <w:ind w:left="0" w:firstLine="0"/>
        <w:rPr>
          <w:b/>
          <w:lang w:val="de-DE"/>
        </w:rPr>
      </w:pPr>
      <w:r w:rsidRPr="0049187C">
        <w:rPr>
          <w:b/>
          <w:lang w:val="de-DE"/>
        </w:rPr>
        <w:t>7.</w:t>
      </w:r>
      <w:r w:rsidRPr="0049187C">
        <w:rPr>
          <w:b/>
          <w:lang w:val="de-DE"/>
        </w:rPr>
        <w:tab/>
        <w:t>INHABER DER ZULASSUNG</w:t>
      </w:r>
    </w:p>
    <w:p w14:paraId="10FB2866" w14:textId="77777777" w:rsidR="00F83928" w:rsidRPr="0049187C" w:rsidRDefault="00F83928" w:rsidP="0049187C">
      <w:pPr>
        <w:keepNext/>
        <w:keepLines/>
        <w:spacing w:after="0" w:line="240" w:lineRule="auto"/>
        <w:ind w:left="0" w:firstLine="0"/>
        <w:rPr>
          <w:lang w:val="de-DE"/>
        </w:rPr>
      </w:pPr>
    </w:p>
    <w:p w14:paraId="0E499924" w14:textId="77777777" w:rsidR="006F067C" w:rsidRPr="0049187C" w:rsidRDefault="00B00716" w:rsidP="0049187C">
      <w:pPr>
        <w:spacing w:after="0" w:line="240" w:lineRule="auto"/>
        <w:ind w:left="0" w:firstLine="0"/>
        <w:rPr>
          <w:lang w:val="de-DE"/>
        </w:rPr>
      </w:pPr>
      <w:bookmarkStart w:id="38" w:name="_Hlk124419338"/>
      <w:r w:rsidRPr="0049187C">
        <w:rPr>
          <w:lang w:val="de-DE"/>
        </w:rPr>
        <w:t>Sandoz GmbH</w:t>
      </w:r>
    </w:p>
    <w:p w14:paraId="3884A384" w14:textId="77777777" w:rsidR="006F067C" w:rsidRPr="0049187C" w:rsidRDefault="00B00716" w:rsidP="0049187C">
      <w:pPr>
        <w:spacing w:after="0" w:line="240" w:lineRule="auto"/>
        <w:ind w:left="0" w:firstLine="0"/>
        <w:rPr>
          <w:lang w:val="de-DE"/>
        </w:rPr>
      </w:pPr>
      <w:r w:rsidRPr="0049187C">
        <w:rPr>
          <w:lang w:val="de-DE"/>
        </w:rPr>
        <w:t>Biochemiestr. 10</w:t>
      </w:r>
    </w:p>
    <w:p w14:paraId="5381C396" w14:textId="77777777" w:rsidR="006F067C" w:rsidRPr="0049187C" w:rsidRDefault="00B00716" w:rsidP="0049187C">
      <w:pPr>
        <w:spacing w:after="0" w:line="240" w:lineRule="auto"/>
        <w:ind w:left="0" w:firstLine="0"/>
        <w:rPr>
          <w:lang w:val="de-DE"/>
        </w:rPr>
      </w:pPr>
      <w:r w:rsidRPr="0049187C">
        <w:rPr>
          <w:lang w:val="de-DE"/>
        </w:rPr>
        <w:t>6250 Kundl</w:t>
      </w:r>
    </w:p>
    <w:p w14:paraId="34393A05" w14:textId="77777777" w:rsidR="006F067C" w:rsidRPr="0049187C" w:rsidRDefault="00B00716" w:rsidP="0049187C">
      <w:pPr>
        <w:spacing w:after="0" w:line="240" w:lineRule="auto"/>
        <w:ind w:left="0" w:firstLine="0"/>
        <w:rPr>
          <w:lang w:val="de-DE"/>
        </w:rPr>
      </w:pPr>
      <w:r w:rsidRPr="0049187C">
        <w:rPr>
          <w:lang w:val="de-DE"/>
        </w:rPr>
        <w:t>Österreich</w:t>
      </w:r>
    </w:p>
    <w:bookmarkEnd w:id="38"/>
    <w:p w14:paraId="12739435" w14:textId="77777777" w:rsidR="00261AC3" w:rsidRPr="0049187C" w:rsidRDefault="00261AC3" w:rsidP="0049187C">
      <w:pPr>
        <w:spacing w:after="0" w:line="240" w:lineRule="auto"/>
        <w:ind w:left="0" w:firstLine="0"/>
        <w:rPr>
          <w:lang w:val="de-DE"/>
        </w:rPr>
      </w:pPr>
    </w:p>
    <w:p w14:paraId="7709662E" w14:textId="77777777" w:rsidR="00F83928" w:rsidRPr="0049187C" w:rsidRDefault="00F83928" w:rsidP="0049187C">
      <w:pPr>
        <w:spacing w:after="0" w:line="240" w:lineRule="auto"/>
        <w:ind w:left="0" w:firstLine="0"/>
        <w:rPr>
          <w:lang w:val="de-DE"/>
        </w:rPr>
      </w:pPr>
    </w:p>
    <w:p w14:paraId="3EA1E401" w14:textId="77777777" w:rsidR="00261AC3" w:rsidRPr="0049187C" w:rsidRDefault="00B00716" w:rsidP="0049187C">
      <w:pPr>
        <w:keepNext/>
        <w:keepLines/>
        <w:tabs>
          <w:tab w:val="left" w:pos="567"/>
        </w:tabs>
        <w:spacing w:after="0" w:line="240" w:lineRule="auto"/>
        <w:ind w:left="0" w:firstLine="0"/>
        <w:rPr>
          <w:b/>
          <w:lang w:val="de-DE"/>
        </w:rPr>
      </w:pPr>
      <w:r w:rsidRPr="0049187C">
        <w:rPr>
          <w:b/>
          <w:lang w:val="de-DE"/>
        </w:rPr>
        <w:t>8.</w:t>
      </w:r>
      <w:r w:rsidRPr="0049187C">
        <w:rPr>
          <w:b/>
          <w:lang w:val="de-DE"/>
        </w:rPr>
        <w:tab/>
        <w:t>ZULASSUNGSNUMMER(N</w:t>
      </w:r>
      <w:r w:rsidR="00032C81" w:rsidRPr="0049187C">
        <w:rPr>
          <w:b/>
          <w:lang w:val="de-DE"/>
        </w:rPr>
        <w:t>)</w:t>
      </w:r>
    </w:p>
    <w:p w14:paraId="63B4C66A" w14:textId="77777777" w:rsidR="00F83928" w:rsidRPr="0049187C" w:rsidRDefault="00F83928" w:rsidP="0049187C">
      <w:pPr>
        <w:keepNext/>
        <w:keepLines/>
        <w:spacing w:after="0" w:line="240" w:lineRule="auto"/>
        <w:ind w:left="0" w:firstLine="0"/>
        <w:rPr>
          <w:lang w:val="de-DE"/>
        </w:rPr>
      </w:pPr>
    </w:p>
    <w:p w14:paraId="292CB85C" w14:textId="77777777" w:rsidR="00261AC3" w:rsidRPr="0049187C" w:rsidRDefault="00B00716" w:rsidP="0049187C">
      <w:pPr>
        <w:spacing w:after="0" w:line="240" w:lineRule="auto"/>
        <w:ind w:left="0" w:firstLine="0"/>
        <w:rPr>
          <w:lang w:val="de-DE"/>
        </w:rPr>
      </w:pPr>
      <w:r w:rsidRPr="0049187C">
        <w:rPr>
          <w:lang w:val="de-DE"/>
        </w:rPr>
        <w:t>EU/1/</w:t>
      </w:r>
      <w:r w:rsidR="00983532" w:rsidRPr="0049187C">
        <w:rPr>
          <w:lang w:val="de-DE"/>
        </w:rPr>
        <w:t>24</w:t>
      </w:r>
      <w:r w:rsidRPr="0049187C">
        <w:rPr>
          <w:lang w:val="de-DE"/>
        </w:rPr>
        <w:t>/</w:t>
      </w:r>
      <w:r w:rsidR="00983532" w:rsidRPr="0049187C">
        <w:rPr>
          <w:lang w:val="de-DE"/>
        </w:rPr>
        <w:t>1813</w:t>
      </w:r>
      <w:r w:rsidRPr="0049187C">
        <w:rPr>
          <w:lang w:val="de-DE"/>
        </w:rPr>
        <w:t>/</w:t>
      </w:r>
      <w:r w:rsidR="00983532" w:rsidRPr="0049187C">
        <w:rPr>
          <w:lang w:val="de-DE"/>
        </w:rPr>
        <w:t>001</w:t>
      </w:r>
    </w:p>
    <w:p w14:paraId="33A971D2" w14:textId="77777777" w:rsidR="00261AC3" w:rsidRPr="0049187C" w:rsidRDefault="00261AC3" w:rsidP="0049187C">
      <w:pPr>
        <w:spacing w:after="0" w:line="240" w:lineRule="auto"/>
        <w:ind w:left="0" w:firstLine="0"/>
        <w:rPr>
          <w:lang w:val="de-DE"/>
        </w:rPr>
      </w:pPr>
    </w:p>
    <w:p w14:paraId="06805B50" w14:textId="77777777" w:rsidR="00F83928" w:rsidRPr="0049187C" w:rsidRDefault="00F83928" w:rsidP="0049187C">
      <w:pPr>
        <w:spacing w:after="0" w:line="240" w:lineRule="auto"/>
        <w:ind w:left="0" w:firstLine="0"/>
        <w:rPr>
          <w:lang w:val="de-DE"/>
        </w:rPr>
      </w:pPr>
    </w:p>
    <w:p w14:paraId="053BAD42" w14:textId="77777777" w:rsidR="00261AC3" w:rsidRPr="0049187C" w:rsidRDefault="00B00716" w:rsidP="0049187C">
      <w:pPr>
        <w:keepNext/>
        <w:keepLines/>
        <w:tabs>
          <w:tab w:val="left" w:pos="567"/>
        </w:tabs>
        <w:spacing w:after="0" w:line="240" w:lineRule="auto"/>
        <w:ind w:left="0" w:firstLine="0"/>
        <w:rPr>
          <w:b/>
          <w:lang w:val="de-DE"/>
        </w:rPr>
      </w:pPr>
      <w:r w:rsidRPr="0049187C">
        <w:rPr>
          <w:b/>
          <w:lang w:val="de-DE"/>
        </w:rPr>
        <w:t>9.</w:t>
      </w:r>
      <w:r w:rsidRPr="0049187C">
        <w:rPr>
          <w:b/>
          <w:lang w:val="de-DE"/>
        </w:rPr>
        <w:tab/>
        <w:t>DATUM DER ERTEILUNG DER ZULASSUNG/VERLÄNGERUNG DER ZULASSUNG</w:t>
      </w:r>
    </w:p>
    <w:p w14:paraId="5D72825C" w14:textId="77777777" w:rsidR="00F83928" w:rsidRPr="0049187C" w:rsidRDefault="00F83928" w:rsidP="0049187C">
      <w:pPr>
        <w:keepNext/>
        <w:keepLines/>
        <w:spacing w:after="0" w:line="240" w:lineRule="auto"/>
        <w:ind w:left="0" w:firstLine="0"/>
        <w:rPr>
          <w:lang w:val="de-DE"/>
        </w:rPr>
      </w:pPr>
    </w:p>
    <w:p w14:paraId="0CFFE4E8" w14:textId="77777777" w:rsidR="00261AC3" w:rsidRPr="0049187C" w:rsidRDefault="00B00716" w:rsidP="0049187C">
      <w:pPr>
        <w:spacing w:after="0" w:line="240" w:lineRule="auto"/>
        <w:ind w:left="0" w:firstLine="0"/>
        <w:rPr>
          <w:lang w:val="de-DE"/>
        </w:rPr>
      </w:pPr>
      <w:r w:rsidRPr="0049187C">
        <w:rPr>
          <w:lang w:val="de-DE"/>
        </w:rPr>
        <w:t>Datum der Erteilung der Zulassung:</w:t>
      </w:r>
      <w:r w:rsidR="003B06AF" w:rsidRPr="0049187C">
        <w:rPr>
          <w:lang w:val="de-DE"/>
        </w:rPr>
        <w:t xml:space="preserve"> 16. Mai 2024</w:t>
      </w:r>
    </w:p>
    <w:p w14:paraId="4FFD57D2" w14:textId="77777777" w:rsidR="00261AC3" w:rsidRPr="0049187C" w:rsidRDefault="00261AC3" w:rsidP="0049187C">
      <w:pPr>
        <w:spacing w:after="0" w:line="240" w:lineRule="auto"/>
        <w:ind w:left="0" w:firstLine="0"/>
        <w:rPr>
          <w:lang w:val="de-DE"/>
        </w:rPr>
      </w:pPr>
    </w:p>
    <w:p w14:paraId="451EEE54" w14:textId="77777777" w:rsidR="00F83928" w:rsidRPr="0049187C" w:rsidRDefault="00F83928" w:rsidP="0049187C">
      <w:pPr>
        <w:spacing w:after="0" w:line="240" w:lineRule="auto"/>
        <w:ind w:left="0" w:firstLine="0"/>
        <w:rPr>
          <w:lang w:val="de-DE"/>
        </w:rPr>
      </w:pPr>
    </w:p>
    <w:p w14:paraId="4EA9DA97" w14:textId="77777777" w:rsidR="00261AC3" w:rsidRPr="0049187C" w:rsidRDefault="00B00716" w:rsidP="0049187C">
      <w:pPr>
        <w:keepNext/>
        <w:keepLines/>
        <w:tabs>
          <w:tab w:val="left" w:pos="567"/>
        </w:tabs>
        <w:spacing w:after="0" w:line="240" w:lineRule="auto"/>
        <w:ind w:left="0" w:firstLine="0"/>
        <w:rPr>
          <w:b/>
          <w:lang w:val="de-DE"/>
        </w:rPr>
      </w:pPr>
      <w:r w:rsidRPr="0049187C">
        <w:rPr>
          <w:b/>
          <w:lang w:val="de-DE"/>
        </w:rPr>
        <w:t>10.</w:t>
      </w:r>
      <w:r w:rsidRPr="0049187C">
        <w:rPr>
          <w:b/>
          <w:lang w:val="de-DE"/>
        </w:rPr>
        <w:tab/>
        <w:t>STAND DER INFORMATION</w:t>
      </w:r>
    </w:p>
    <w:p w14:paraId="6533B708" w14:textId="77777777" w:rsidR="00261AC3" w:rsidRPr="0049187C" w:rsidRDefault="00261AC3" w:rsidP="0049187C">
      <w:pPr>
        <w:keepNext/>
        <w:keepLines/>
        <w:spacing w:after="0" w:line="240" w:lineRule="auto"/>
        <w:ind w:left="0" w:firstLine="0"/>
        <w:rPr>
          <w:lang w:val="de-DE"/>
        </w:rPr>
      </w:pPr>
    </w:p>
    <w:p w14:paraId="0C01A87E" w14:textId="77777777" w:rsidR="00261AC3" w:rsidRPr="0049187C" w:rsidRDefault="00B00716" w:rsidP="0049187C">
      <w:pPr>
        <w:spacing w:after="0" w:line="240" w:lineRule="auto"/>
        <w:ind w:left="0" w:firstLine="0"/>
        <w:rPr>
          <w:lang w:val="de-DE"/>
        </w:rPr>
      </w:pPr>
      <w:r w:rsidRPr="0049187C">
        <w:rPr>
          <w:lang w:val="de-DE"/>
        </w:rPr>
        <w:t>Ausführliche Informationen zu diesem Arzneimittel sind auf den Internetseiten der Europäischen Arzneimittel</w:t>
      </w:r>
      <w:r w:rsidRPr="0049187C">
        <w:rPr>
          <w:lang w:val="de-DE"/>
        </w:rPr>
        <w:noBreakHyphen/>
        <w:t xml:space="preserve">Agentur </w:t>
      </w:r>
      <w:hyperlink r:id="rId13" w:history="1">
        <w:r w:rsidR="009409CE" w:rsidRPr="0049187C">
          <w:rPr>
            <w:color w:val="0000FF"/>
            <w:u w:val="single" w:color="0000FF"/>
            <w:lang w:val="de-DE"/>
          </w:rPr>
          <w:t>https://www.ema.europa.eu</w:t>
        </w:r>
      </w:hyperlink>
      <w:hyperlink r:id="rId14" w:history="1">
        <w:r w:rsidRPr="0049187C">
          <w:rPr>
            <w:color w:val="auto"/>
            <w:lang w:val="de-DE"/>
          </w:rPr>
          <w:t xml:space="preserve"> </w:t>
        </w:r>
      </w:hyperlink>
      <w:r w:rsidRPr="0049187C">
        <w:rPr>
          <w:lang w:val="de-DE"/>
        </w:rPr>
        <w:t>verfügbar.</w:t>
      </w:r>
    </w:p>
    <w:p w14:paraId="36A9A38B" w14:textId="77777777" w:rsidR="00F826EF" w:rsidRPr="0049187C" w:rsidRDefault="00B00716" w:rsidP="0049187C">
      <w:pPr>
        <w:spacing w:after="0" w:line="240" w:lineRule="auto"/>
        <w:ind w:left="0" w:firstLine="0"/>
        <w:rPr>
          <w:lang w:val="de-DE"/>
        </w:rPr>
      </w:pPr>
      <w:r w:rsidRPr="0049187C">
        <w:rPr>
          <w:lang w:val="de-DE"/>
        </w:rPr>
        <w:br w:type="page"/>
      </w:r>
    </w:p>
    <w:p w14:paraId="24F3E70F" w14:textId="77777777" w:rsidR="00261AC3" w:rsidRPr="0049187C" w:rsidRDefault="00261AC3" w:rsidP="0049187C">
      <w:pPr>
        <w:spacing w:after="0" w:line="240" w:lineRule="auto"/>
        <w:ind w:left="0" w:firstLine="0"/>
        <w:jc w:val="center"/>
        <w:rPr>
          <w:lang w:val="de-DE"/>
        </w:rPr>
      </w:pPr>
    </w:p>
    <w:p w14:paraId="3BF402F1" w14:textId="77777777" w:rsidR="00261AC3" w:rsidRPr="0049187C" w:rsidRDefault="00261AC3" w:rsidP="0049187C">
      <w:pPr>
        <w:spacing w:after="0" w:line="240" w:lineRule="auto"/>
        <w:ind w:left="0" w:firstLine="0"/>
        <w:jc w:val="center"/>
        <w:rPr>
          <w:lang w:val="de-DE"/>
        </w:rPr>
      </w:pPr>
    </w:p>
    <w:p w14:paraId="1B219EE3" w14:textId="77777777" w:rsidR="00261AC3" w:rsidRPr="0049187C" w:rsidRDefault="00261AC3" w:rsidP="0049187C">
      <w:pPr>
        <w:spacing w:after="0" w:line="240" w:lineRule="auto"/>
        <w:ind w:left="0" w:firstLine="0"/>
        <w:jc w:val="center"/>
        <w:rPr>
          <w:lang w:val="de-DE"/>
        </w:rPr>
      </w:pPr>
    </w:p>
    <w:p w14:paraId="73D91AF1" w14:textId="77777777" w:rsidR="00261AC3" w:rsidRPr="0049187C" w:rsidRDefault="00261AC3" w:rsidP="0049187C">
      <w:pPr>
        <w:spacing w:after="0" w:line="240" w:lineRule="auto"/>
        <w:ind w:left="0" w:firstLine="0"/>
        <w:jc w:val="center"/>
        <w:rPr>
          <w:lang w:val="de-DE"/>
        </w:rPr>
      </w:pPr>
    </w:p>
    <w:p w14:paraId="6AEB7D65" w14:textId="77777777" w:rsidR="00261AC3" w:rsidRPr="0049187C" w:rsidRDefault="00261AC3" w:rsidP="0049187C">
      <w:pPr>
        <w:spacing w:after="0" w:line="240" w:lineRule="auto"/>
        <w:ind w:left="0" w:firstLine="0"/>
        <w:jc w:val="center"/>
        <w:rPr>
          <w:lang w:val="de-DE"/>
        </w:rPr>
      </w:pPr>
    </w:p>
    <w:p w14:paraId="6736709E" w14:textId="77777777" w:rsidR="00261AC3" w:rsidRPr="0049187C" w:rsidRDefault="00261AC3" w:rsidP="0049187C">
      <w:pPr>
        <w:spacing w:after="0" w:line="240" w:lineRule="auto"/>
        <w:ind w:left="0" w:firstLine="0"/>
        <w:jc w:val="center"/>
        <w:rPr>
          <w:lang w:val="de-DE"/>
        </w:rPr>
      </w:pPr>
    </w:p>
    <w:p w14:paraId="2E8B5104" w14:textId="77777777" w:rsidR="00261AC3" w:rsidRPr="0049187C" w:rsidRDefault="00261AC3" w:rsidP="0049187C">
      <w:pPr>
        <w:spacing w:after="0" w:line="240" w:lineRule="auto"/>
        <w:ind w:left="0" w:firstLine="0"/>
        <w:jc w:val="center"/>
        <w:rPr>
          <w:lang w:val="de-DE"/>
        </w:rPr>
      </w:pPr>
    </w:p>
    <w:p w14:paraId="31AFC458" w14:textId="77777777" w:rsidR="00261AC3" w:rsidRPr="0049187C" w:rsidRDefault="00261AC3" w:rsidP="0049187C">
      <w:pPr>
        <w:spacing w:after="0" w:line="240" w:lineRule="auto"/>
        <w:ind w:left="0" w:firstLine="0"/>
        <w:jc w:val="center"/>
        <w:rPr>
          <w:lang w:val="de-DE"/>
        </w:rPr>
      </w:pPr>
    </w:p>
    <w:p w14:paraId="3F0C3F28" w14:textId="77777777" w:rsidR="00261AC3" w:rsidRPr="0049187C" w:rsidRDefault="00261AC3" w:rsidP="0049187C">
      <w:pPr>
        <w:spacing w:after="0" w:line="240" w:lineRule="auto"/>
        <w:ind w:left="0" w:firstLine="0"/>
        <w:jc w:val="center"/>
        <w:rPr>
          <w:lang w:val="de-DE"/>
        </w:rPr>
      </w:pPr>
    </w:p>
    <w:p w14:paraId="53DFBD8B" w14:textId="77777777" w:rsidR="00261AC3" w:rsidRPr="0049187C" w:rsidRDefault="00261AC3" w:rsidP="0049187C">
      <w:pPr>
        <w:spacing w:after="0" w:line="240" w:lineRule="auto"/>
        <w:ind w:left="0" w:firstLine="0"/>
        <w:jc w:val="center"/>
        <w:rPr>
          <w:lang w:val="de-DE"/>
        </w:rPr>
      </w:pPr>
    </w:p>
    <w:p w14:paraId="4977596F" w14:textId="77777777" w:rsidR="00261AC3" w:rsidRPr="0049187C" w:rsidRDefault="00261AC3" w:rsidP="0049187C">
      <w:pPr>
        <w:spacing w:after="0" w:line="240" w:lineRule="auto"/>
        <w:ind w:left="0" w:firstLine="0"/>
        <w:jc w:val="center"/>
        <w:rPr>
          <w:lang w:val="de-DE"/>
        </w:rPr>
      </w:pPr>
    </w:p>
    <w:p w14:paraId="02AECC4C" w14:textId="77777777" w:rsidR="00261AC3" w:rsidRPr="0049187C" w:rsidRDefault="00261AC3" w:rsidP="0049187C">
      <w:pPr>
        <w:spacing w:after="0" w:line="240" w:lineRule="auto"/>
        <w:ind w:left="0" w:firstLine="0"/>
        <w:jc w:val="center"/>
        <w:rPr>
          <w:lang w:val="de-DE"/>
        </w:rPr>
      </w:pPr>
    </w:p>
    <w:p w14:paraId="06E03257" w14:textId="77777777" w:rsidR="00261AC3" w:rsidRPr="0049187C" w:rsidRDefault="00261AC3" w:rsidP="0049187C">
      <w:pPr>
        <w:spacing w:after="0" w:line="240" w:lineRule="auto"/>
        <w:ind w:left="0" w:firstLine="0"/>
        <w:jc w:val="center"/>
        <w:rPr>
          <w:lang w:val="de-DE"/>
        </w:rPr>
      </w:pPr>
    </w:p>
    <w:p w14:paraId="61F7E5F5" w14:textId="77777777" w:rsidR="00261AC3" w:rsidRPr="0049187C" w:rsidRDefault="00261AC3" w:rsidP="0049187C">
      <w:pPr>
        <w:spacing w:after="0" w:line="240" w:lineRule="auto"/>
        <w:ind w:left="0" w:firstLine="0"/>
        <w:jc w:val="center"/>
        <w:rPr>
          <w:lang w:val="de-DE"/>
        </w:rPr>
      </w:pPr>
    </w:p>
    <w:p w14:paraId="7E3DDB3B" w14:textId="77777777" w:rsidR="00261AC3" w:rsidRPr="0049187C" w:rsidRDefault="00261AC3" w:rsidP="0049187C">
      <w:pPr>
        <w:spacing w:after="0" w:line="240" w:lineRule="auto"/>
        <w:ind w:left="0" w:firstLine="0"/>
        <w:jc w:val="center"/>
        <w:rPr>
          <w:lang w:val="de-DE"/>
        </w:rPr>
      </w:pPr>
    </w:p>
    <w:p w14:paraId="2610654A" w14:textId="77777777" w:rsidR="00261AC3" w:rsidRPr="0049187C" w:rsidRDefault="00261AC3" w:rsidP="0049187C">
      <w:pPr>
        <w:spacing w:after="0" w:line="240" w:lineRule="auto"/>
        <w:ind w:left="0" w:firstLine="0"/>
        <w:jc w:val="center"/>
        <w:rPr>
          <w:lang w:val="de-DE"/>
        </w:rPr>
      </w:pPr>
    </w:p>
    <w:p w14:paraId="5E0A8F4A" w14:textId="77777777" w:rsidR="00261AC3" w:rsidRPr="0049187C" w:rsidRDefault="00261AC3" w:rsidP="0049187C">
      <w:pPr>
        <w:spacing w:after="0" w:line="240" w:lineRule="auto"/>
        <w:ind w:left="0" w:firstLine="0"/>
        <w:jc w:val="center"/>
        <w:rPr>
          <w:lang w:val="de-DE"/>
        </w:rPr>
      </w:pPr>
    </w:p>
    <w:p w14:paraId="5627E7B1" w14:textId="77777777" w:rsidR="00261AC3" w:rsidRPr="0049187C" w:rsidRDefault="00261AC3" w:rsidP="0049187C">
      <w:pPr>
        <w:spacing w:after="0" w:line="240" w:lineRule="auto"/>
        <w:ind w:left="0" w:firstLine="0"/>
        <w:jc w:val="center"/>
        <w:rPr>
          <w:lang w:val="de-DE"/>
        </w:rPr>
      </w:pPr>
    </w:p>
    <w:p w14:paraId="53F05B06" w14:textId="77777777" w:rsidR="00261AC3" w:rsidRPr="0049187C" w:rsidRDefault="00261AC3" w:rsidP="0049187C">
      <w:pPr>
        <w:spacing w:after="0" w:line="240" w:lineRule="auto"/>
        <w:ind w:left="0" w:firstLine="0"/>
        <w:jc w:val="center"/>
        <w:rPr>
          <w:lang w:val="de-DE"/>
        </w:rPr>
      </w:pPr>
    </w:p>
    <w:p w14:paraId="46E0DA55" w14:textId="77777777" w:rsidR="00261AC3" w:rsidRPr="0049187C" w:rsidRDefault="00261AC3" w:rsidP="0049187C">
      <w:pPr>
        <w:spacing w:after="0" w:line="240" w:lineRule="auto"/>
        <w:ind w:left="0" w:firstLine="0"/>
        <w:jc w:val="center"/>
        <w:rPr>
          <w:lang w:val="de-DE"/>
        </w:rPr>
      </w:pPr>
    </w:p>
    <w:p w14:paraId="3B24D0F6" w14:textId="77777777" w:rsidR="00261AC3" w:rsidRPr="0049187C" w:rsidRDefault="00261AC3" w:rsidP="0049187C">
      <w:pPr>
        <w:spacing w:after="0" w:line="240" w:lineRule="auto"/>
        <w:ind w:left="0" w:firstLine="0"/>
        <w:jc w:val="center"/>
        <w:rPr>
          <w:lang w:val="de-DE"/>
        </w:rPr>
      </w:pPr>
    </w:p>
    <w:p w14:paraId="0E713E4B" w14:textId="77777777" w:rsidR="00261AC3" w:rsidRPr="0049187C" w:rsidRDefault="00261AC3" w:rsidP="0049187C">
      <w:pPr>
        <w:spacing w:after="0" w:line="240" w:lineRule="auto"/>
        <w:ind w:left="0" w:firstLine="0"/>
        <w:jc w:val="center"/>
        <w:rPr>
          <w:lang w:val="de-DE"/>
        </w:rPr>
      </w:pPr>
    </w:p>
    <w:p w14:paraId="296F7D51" w14:textId="77777777" w:rsidR="00261AC3" w:rsidRPr="0049187C" w:rsidRDefault="00261AC3" w:rsidP="0049187C">
      <w:pPr>
        <w:spacing w:after="0" w:line="240" w:lineRule="auto"/>
        <w:ind w:left="0" w:firstLine="0"/>
        <w:jc w:val="center"/>
        <w:rPr>
          <w:lang w:val="de-DE"/>
        </w:rPr>
      </w:pPr>
    </w:p>
    <w:p w14:paraId="35275D80" w14:textId="77777777" w:rsidR="00261AC3" w:rsidRPr="0049187C" w:rsidRDefault="00B00716" w:rsidP="0049187C">
      <w:pPr>
        <w:pStyle w:val="TitalB"/>
        <w:rPr>
          <w:lang w:val="de-DE"/>
        </w:rPr>
      </w:pPr>
      <w:r w:rsidRPr="0049187C">
        <w:rPr>
          <w:lang w:val="de-DE"/>
        </w:rPr>
        <w:t>ANHANG II</w:t>
      </w:r>
    </w:p>
    <w:p w14:paraId="423ABF82" w14:textId="77777777" w:rsidR="00F83928" w:rsidRPr="0049187C" w:rsidRDefault="00F83928" w:rsidP="0049187C">
      <w:pPr>
        <w:spacing w:after="0" w:line="240" w:lineRule="auto"/>
        <w:ind w:left="0" w:firstLine="0"/>
        <w:jc w:val="center"/>
        <w:rPr>
          <w:lang w:val="de-DE"/>
        </w:rPr>
      </w:pPr>
    </w:p>
    <w:p w14:paraId="62D1A70E" w14:textId="77777777" w:rsidR="00261AC3" w:rsidRPr="0049187C" w:rsidRDefault="00B00716" w:rsidP="0049187C">
      <w:pPr>
        <w:tabs>
          <w:tab w:val="left" w:pos="1701"/>
        </w:tabs>
        <w:spacing w:after="0" w:line="240" w:lineRule="auto"/>
        <w:ind w:left="0" w:firstLine="0"/>
        <w:rPr>
          <w:lang w:val="de-DE"/>
        </w:rPr>
      </w:pPr>
      <w:r w:rsidRPr="0049187C">
        <w:rPr>
          <w:b/>
          <w:lang w:val="de-DE"/>
        </w:rPr>
        <w:t>A.</w:t>
      </w:r>
      <w:r w:rsidRPr="0049187C">
        <w:rPr>
          <w:b/>
          <w:lang w:val="de-DE"/>
        </w:rPr>
        <w:tab/>
      </w:r>
      <w:r w:rsidR="00FD7DFF" w:rsidRPr="0049187C">
        <w:rPr>
          <w:b/>
          <w:lang w:val="de-DE"/>
        </w:rPr>
        <w:t xml:space="preserve">HERSTELLER DES WIRKSTOFFS BIOLOGISCHEN URSPRUNGS UND HERSTELLER, </w:t>
      </w:r>
      <w:r w:rsidR="006F067C" w:rsidRPr="0049187C">
        <w:rPr>
          <w:b/>
          <w:lang w:val="de-DE"/>
        </w:rPr>
        <w:t xml:space="preserve">DER </w:t>
      </w:r>
      <w:r w:rsidR="00FD7DFF" w:rsidRPr="0049187C">
        <w:rPr>
          <w:b/>
          <w:lang w:val="de-DE"/>
        </w:rPr>
        <w:t xml:space="preserve">FÜR DIE CHARGENFREIGABE VERANTWORTLICH </w:t>
      </w:r>
      <w:r w:rsidR="00E46F88" w:rsidRPr="0049187C">
        <w:rPr>
          <w:b/>
          <w:lang w:val="de-DE"/>
        </w:rPr>
        <w:t>IST</w:t>
      </w:r>
    </w:p>
    <w:p w14:paraId="2002B335" w14:textId="77777777" w:rsidR="00F83928" w:rsidRPr="0049187C" w:rsidRDefault="00F83928" w:rsidP="0049187C">
      <w:pPr>
        <w:spacing w:after="0" w:line="240" w:lineRule="auto"/>
        <w:ind w:left="0" w:firstLine="0"/>
        <w:jc w:val="center"/>
        <w:rPr>
          <w:lang w:val="de-DE"/>
        </w:rPr>
      </w:pPr>
    </w:p>
    <w:p w14:paraId="22A1BA0B" w14:textId="77777777" w:rsidR="00261AC3" w:rsidRPr="0049187C" w:rsidRDefault="00B00716" w:rsidP="0049187C">
      <w:pPr>
        <w:pStyle w:val="ListParagraph"/>
        <w:numPr>
          <w:ilvl w:val="0"/>
          <w:numId w:val="23"/>
        </w:numPr>
        <w:tabs>
          <w:tab w:val="left" w:pos="1701"/>
        </w:tabs>
        <w:spacing w:after="0" w:line="240" w:lineRule="auto"/>
        <w:ind w:left="0" w:firstLine="0"/>
        <w:rPr>
          <w:lang w:val="de-DE"/>
        </w:rPr>
      </w:pPr>
      <w:r w:rsidRPr="0049187C">
        <w:rPr>
          <w:b/>
          <w:lang w:val="de-DE"/>
        </w:rPr>
        <w:t>BEDINGUNGEN ODER EINSCHRÄNKUNGEN FÜR DIE ABGABE UND DEN GEBRAUCH</w:t>
      </w:r>
    </w:p>
    <w:p w14:paraId="316AFDE8" w14:textId="77777777" w:rsidR="00F83928" w:rsidRPr="0049187C" w:rsidRDefault="00F83928" w:rsidP="0049187C">
      <w:pPr>
        <w:spacing w:after="0" w:line="240" w:lineRule="auto"/>
        <w:ind w:left="0" w:firstLine="0"/>
        <w:jc w:val="center"/>
        <w:rPr>
          <w:lang w:val="de-DE"/>
        </w:rPr>
      </w:pPr>
    </w:p>
    <w:p w14:paraId="709B72D0" w14:textId="77777777" w:rsidR="00261AC3" w:rsidRPr="0049187C" w:rsidRDefault="00B00716" w:rsidP="0049187C">
      <w:pPr>
        <w:tabs>
          <w:tab w:val="left" w:pos="1701"/>
        </w:tabs>
        <w:spacing w:after="0" w:line="240" w:lineRule="auto"/>
        <w:ind w:left="0" w:firstLine="0"/>
        <w:rPr>
          <w:lang w:val="de-DE"/>
        </w:rPr>
      </w:pPr>
      <w:r w:rsidRPr="0049187C">
        <w:rPr>
          <w:b/>
          <w:lang w:val="de-DE"/>
        </w:rPr>
        <w:t>C.</w:t>
      </w:r>
      <w:r w:rsidRPr="0049187C">
        <w:rPr>
          <w:b/>
          <w:lang w:val="de-DE"/>
        </w:rPr>
        <w:tab/>
      </w:r>
      <w:r w:rsidR="00FD7DFF" w:rsidRPr="0049187C">
        <w:rPr>
          <w:b/>
          <w:lang w:val="de-DE"/>
        </w:rPr>
        <w:t>SONSTIGE BEDINGUNGEN UND AUFLAGEN DER GENEHMIGUNG FÜR DAS INVERKEHRBRINGEN</w:t>
      </w:r>
    </w:p>
    <w:p w14:paraId="169084FC" w14:textId="77777777" w:rsidR="00F83928" w:rsidRPr="0049187C" w:rsidRDefault="00F83928" w:rsidP="0049187C">
      <w:pPr>
        <w:spacing w:after="0" w:line="240" w:lineRule="auto"/>
        <w:ind w:left="0" w:firstLine="0"/>
        <w:jc w:val="center"/>
        <w:rPr>
          <w:lang w:val="de-DE"/>
        </w:rPr>
      </w:pPr>
    </w:p>
    <w:p w14:paraId="414A6EEB" w14:textId="77777777" w:rsidR="00261AC3" w:rsidRPr="0049187C" w:rsidRDefault="00B00716" w:rsidP="0049187C">
      <w:pPr>
        <w:tabs>
          <w:tab w:val="left" w:pos="1701"/>
        </w:tabs>
        <w:spacing w:after="0" w:line="240" w:lineRule="auto"/>
        <w:ind w:left="0" w:firstLine="0"/>
        <w:rPr>
          <w:lang w:val="de-DE"/>
        </w:rPr>
      </w:pPr>
      <w:r w:rsidRPr="0049187C">
        <w:rPr>
          <w:b/>
          <w:lang w:val="de-DE"/>
        </w:rPr>
        <w:t>D.</w:t>
      </w:r>
      <w:r w:rsidRPr="0049187C">
        <w:rPr>
          <w:b/>
          <w:lang w:val="de-DE"/>
        </w:rPr>
        <w:tab/>
      </w:r>
      <w:r w:rsidR="00FD7DFF" w:rsidRPr="0049187C">
        <w:rPr>
          <w:b/>
          <w:lang w:val="de-DE"/>
        </w:rPr>
        <w:t>BEDINGUNGEN ODER EINSCHRÄNKUNGEN FÜR DIE SICHERE UND WIRKSAME ANWENDUNG DES ARZNEIMITTELS</w:t>
      </w:r>
    </w:p>
    <w:p w14:paraId="5F8E1020" w14:textId="77777777" w:rsidR="00261AC3" w:rsidRPr="0049187C" w:rsidRDefault="00261AC3" w:rsidP="0049187C">
      <w:pPr>
        <w:spacing w:after="0" w:line="240" w:lineRule="auto"/>
        <w:ind w:left="0" w:firstLine="0"/>
        <w:jc w:val="center"/>
        <w:rPr>
          <w:lang w:val="de-DE"/>
        </w:rPr>
      </w:pPr>
    </w:p>
    <w:p w14:paraId="680D84E6" w14:textId="77777777" w:rsidR="00D47004" w:rsidRPr="0049187C" w:rsidRDefault="00B00716" w:rsidP="0049187C">
      <w:pPr>
        <w:spacing w:after="0" w:line="240" w:lineRule="auto"/>
        <w:ind w:left="0" w:firstLine="0"/>
        <w:jc w:val="center"/>
        <w:rPr>
          <w:lang w:val="de-DE"/>
        </w:rPr>
      </w:pPr>
      <w:r w:rsidRPr="0049187C">
        <w:rPr>
          <w:lang w:val="de-DE"/>
        </w:rPr>
        <w:br w:type="page"/>
      </w:r>
    </w:p>
    <w:p w14:paraId="69B04D42" w14:textId="77777777" w:rsidR="00261AC3" w:rsidRPr="0049187C" w:rsidRDefault="00B00716" w:rsidP="0049187C">
      <w:pPr>
        <w:pStyle w:val="Heading1"/>
        <w:tabs>
          <w:tab w:val="left" w:pos="567"/>
        </w:tabs>
        <w:spacing w:after="0" w:line="240" w:lineRule="auto"/>
        <w:ind w:left="0" w:firstLine="0"/>
        <w:rPr>
          <w:lang w:val="de-DE"/>
        </w:rPr>
      </w:pPr>
      <w:r w:rsidRPr="0049187C">
        <w:rPr>
          <w:lang w:val="de-DE"/>
        </w:rPr>
        <w:t>A.</w:t>
      </w:r>
      <w:r w:rsidRPr="0049187C">
        <w:rPr>
          <w:lang w:val="de-DE"/>
        </w:rPr>
        <w:tab/>
        <w:t xml:space="preserve">HERSTELLER DES WIRKSTOFFS BIOLOGISCHEN URSPRUNGS UND HERSTELLER, </w:t>
      </w:r>
      <w:r w:rsidR="00E46F88" w:rsidRPr="0049187C">
        <w:rPr>
          <w:lang w:val="de-DE"/>
        </w:rPr>
        <w:t xml:space="preserve">DER </w:t>
      </w:r>
      <w:r w:rsidRPr="0049187C">
        <w:rPr>
          <w:lang w:val="de-DE"/>
        </w:rPr>
        <w:t xml:space="preserve">FÜR DIE CHARGENFREIGABE VERANTWORTLICH </w:t>
      </w:r>
      <w:r w:rsidR="00E46F88" w:rsidRPr="0049187C">
        <w:rPr>
          <w:lang w:val="de-DE"/>
        </w:rPr>
        <w:t>I</w:t>
      </w:r>
      <w:r w:rsidR="00823B82" w:rsidRPr="0049187C">
        <w:rPr>
          <w:lang w:val="de-DE"/>
        </w:rPr>
        <w:t>ST</w:t>
      </w:r>
    </w:p>
    <w:p w14:paraId="2B90D7C9" w14:textId="77777777" w:rsidR="00F83928" w:rsidRPr="0049187C" w:rsidRDefault="00F83928" w:rsidP="0049187C">
      <w:pPr>
        <w:spacing w:after="0" w:line="240" w:lineRule="auto"/>
        <w:ind w:left="0" w:firstLine="0"/>
        <w:rPr>
          <w:lang w:val="de-DE"/>
        </w:rPr>
      </w:pPr>
    </w:p>
    <w:p w14:paraId="6EB308B1" w14:textId="77777777" w:rsidR="00261AC3" w:rsidRPr="0049187C" w:rsidRDefault="00B00716" w:rsidP="0049187C">
      <w:pPr>
        <w:keepNext/>
        <w:keepLines/>
        <w:spacing w:after="0" w:line="240" w:lineRule="auto"/>
        <w:ind w:left="0" w:firstLine="0"/>
        <w:rPr>
          <w:u w:val="single"/>
          <w:lang w:val="de-DE"/>
        </w:rPr>
      </w:pPr>
      <w:r w:rsidRPr="0049187C">
        <w:rPr>
          <w:u w:val="single"/>
          <w:lang w:val="de-DE"/>
        </w:rPr>
        <w:t xml:space="preserve">Name und Anschrift </w:t>
      </w:r>
      <w:r w:rsidR="005F21E6" w:rsidRPr="0049187C">
        <w:rPr>
          <w:u w:val="single"/>
          <w:lang w:val="de-DE"/>
        </w:rPr>
        <w:t xml:space="preserve">des </w:t>
      </w:r>
      <w:r w:rsidRPr="0049187C">
        <w:rPr>
          <w:u w:val="single"/>
          <w:lang w:val="de-DE"/>
        </w:rPr>
        <w:t>Hersteller</w:t>
      </w:r>
      <w:r w:rsidR="005F21E6" w:rsidRPr="0049187C">
        <w:rPr>
          <w:u w:val="single"/>
          <w:lang w:val="de-DE"/>
        </w:rPr>
        <w:t>s</w:t>
      </w:r>
      <w:r w:rsidRPr="0049187C">
        <w:rPr>
          <w:u w:val="single"/>
          <w:lang w:val="de-DE"/>
        </w:rPr>
        <w:t xml:space="preserve"> des Wirkstoffs biologischen Ursprungs</w:t>
      </w:r>
    </w:p>
    <w:p w14:paraId="656163DC" w14:textId="77777777" w:rsidR="00F83928" w:rsidRPr="0049187C" w:rsidRDefault="00F83928" w:rsidP="0049187C">
      <w:pPr>
        <w:spacing w:after="0" w:line="240" w:lineRule="auto"/>
        <w:ind w:left="0" w:firstLine="0"/>
        <w:rPr>
          <w:lang w:val="de-DE"/>
        </w:rPr>
      </w:pPr>
    </w:p>
    <w:p w14:paraId="6440EEF9" w14:textId="77777777" w:rsidR="006F067C" w:rsidRPr="0049187C" w:rsidRDefault="00B00716" w:rsidP="0049187C">
      <w:pPr>
        <w:spacing w:after="0" w:line="240" w:lineRule="auto"/>
        <w:ind w:left="0" w:firstLine="0"/>
        <w:rPr>
          <w:noProof/>
          <w:lang w:val="de-DE"/>
        </w:rPr>
      </w:pPr>
      <w:r w:rsidRPr="0049187C">
        <w:rPr>
          <w:rStyle w:val="ui-provider"/>
          <w:lang w:val="de-DE"/>
        </w:rPr>
        <w:t>Novartis Pharmaceutical Manufacturing LLC</w:t>
      </w:r>
    </w:p>
    <w:p w14:paraId="2A1CB08F" w14:textId="77777777" w:rsidR="006F067C" w:rsidRPr="0049187C" w:rsidRDefault="00B00716" w:rsidP="0049187C">
      <w:pPr>
        <w:spacing w:after="0" w:line="240" w:lineRule="auto"/>
        <w:ind w:left="0" w:firstLine="0"/>
        <w:rPr>
          <w:noProof/>
          <w:lang w:val="de-DE"/>
        </w:rPr>
      </w:pPr>
      <w:r w:rsidRPr="0049187C">
        <w:rPr>
          <w:noProof/>
          <w:lang w:val="de-DE"/>
        </w:rPr>
        <w:t xml:space="preserve">Kolodvorska </w:t>
      </w:r>
      <w:r w:rsidRPr="0049187C">
        <w:rPr>
          <w:rStyle w:val="ui-provider"/>
          <w:lang w:val="de-DE"/>
        </w:rPr>
        <w:t>cesta</w:t>
      </w:r>
      <w:r w:rsidRPr="0049187C">
        <w:rPr>
          <w:noProof/>
          <w:lang w:val="de-DE"/>
        </w:rPr>
        <w:t> 27</w:t>
      </w:r>
    </w:p>
    <w:p w14:paraId="29AE1938" w14:textId="77777777" w:rsidR="006F067C" w:rsidRPr="0049187C" w:rsidRDefault="00B00716" w:rsidP="0049187C">
      <w:pPr>
        <w:spacing w:after="0" w:line="240" w:lineRule="auto"/>
        <w:ind w:left="0" w:firstLine="0"/>
        <w:rPr>
          <w:noProof/>
          <w:lang w:val="de-DE"/>
        </w:rPr>
      </w:pPr>
      <w:r w:rsidRPr="0049187C">
        <w:rPr>
          <w:noProof/>
          <w:lang w:val="de-DE"/>
        </w:rPr>
        <w:t>1234 Menges</w:t>
      </w:r>
    </w:p>
    <w:p w14:paraId="170A46D3" w14:textId="77777777" w:rsidR="00DD163D" w:rsidRPr="0049187C" w:rsidRDefault="00B00716" w:rsidP="0049187C">
      <w:pPr>
        <w:spacing w:after="0" w:line="240" w:lineRule="auto"/>
        <w:ind w:left="0" w:firstLine="0"/>
        <w:rPr>
          <w:lang w:val="de-DE"/>
        </w:rPr>
      </w:pPr>
      <w:r w:rsidRPr="0049187C">
        <w:rPr>
          <w:lang w:val="de-DE"/>
        </w:rPr>
        <w:t xml:space="preserve">Slowenien </w:t>
      </w:r>
    </w:p>
    <w:p w14:paraId="004BB917" w14:textId="77777777" w:rsidR="00F83928" w:rsidRPr="0049187C" w:rsidRDefault="00F83928" w:rsidP="0049187C">
      <w:pPr>
        <w:spacing w:after="0" w:line="240" w:lineRule="auto"/>
        <w:ind w:left="0" w:firstLine="0"/>
        <w:rPr>
          <w:lang w:val="de-DE"/>
        </w:rPr>
      </w:pPr>
    </w:p>
    <w:p w14:paraId="74084FD0" w14:textId="77777777" w:rsidR="00261AC3" w:rsidRPr="0049187C" w:rsidRDefault="00B00716" w:rsidP="0049187C">
      <w:pPr>
        <w:keepNext/>
        <w:keepLines/>
        <w:spacing w:after="0" w:line="240" w:lineRule="auto"/>
        <w:ind w:left="0" w:firstLine="0"/>
        <w:rPr>
          <w:u w:val="single"/>
          <w:lang w:val="de-DE"/>
        </w:rPr>
      </w:pPr>
      <w:r w:rsidRPr="0049187C">
        <w:rPr>
          <w:u w:val="single"/>
          <w:lang w:val="de-DE"/>
        </w:rPr>
        <w:t xml:space="preserve">Name und Anschrift </w:t>
      </w:r>
      <w:r w:rsidR="005F21E6" w:rsidRPr="0049187C">
        <w:rPr>
          <w:u w:val="single"/>
          <w:lang w:val="de-DE"/>
        </w:rPr>
        <w:t xml:space="preserve">des </w:t>
      </w:r>
      <w:r w:rsidRPr="0049187C">
        <w:rPr>
          <w:u w:val="single"/>
          <w:lang w:val="de-DE"/>
        </w:rPr>
        <w:t>Hersteller</w:t>
      </w:r>
      <w:r w:rsidR="005F21E6" w:rsidRPr="0049187C">
        <w:rPr>
          <w:u w:val="single"/>
          <w:lang w:val="de-DE"/>
        </w:rPr>
        <w:t>s</w:t>
      </w:r>
      <w:r w:rsidRPr="0049187C">
        <w:rPr>
          <w:u w:val="single"/>
          <w:lang w:val="de-DE"/>
        </w:rPr>
        <w:t xml:space="preserve">, </w:t>
      </w:r>
      <w:r w:rsidR="005F21E6" w:rsidRPr="0049187C">
        <w:rPr>
          <w:u w:val="single"/>
          <w:lang w:val="de-DE"/>
        </w:rPr>
        <w:t xml:space="preserve">der </w:t>
      </w:r>
      <w:r w:rsidRPr="0049187C">
        <w:rPr>
          <w:u w:val="single"/>
          <w:lang w:val="de-DE"/>
        </w:rPr>
        <w:t xml:space="preserve">für die Chargenfreigabe verantwortlich </w:t>
      </w:r>
      <w:r w:rsidR="005F21E6" w:rsidRPr="0049187C">
        <w:rPr>
          <w:u w:val="single"/>
          <w:lang w:val="de-DE"/>
        </w:rPr>
        <w:t>ist</w:t>
      </w:r>
    </w:p>
    <w:p w14:paraId="7DEAE20F" w14:textId="77777777" w:rsidR="00F83928" w:rsidRPr="0049187C" w:rsidRDefault="00F83928" w:rsidP="0049187C">
      <w:pPr>
        <w:spacing w:after="0" w:line="240" w:lineRule="auto"/>
        <w:ind w:left="0" w:firstLine="0"/>
        <w:rPr>
          <w:lang w:val="de-DE"/>
        </w:rPr>
      </w:pPr>
    </w:p>
    <w:p w14:paraId="36EF5FA6" w14:textId="77777777" w:rsidR="004736C1" w:rsidRPr="0049187C" w:rsidRDefault="00B00716" w:rsidP="0049187C">
      <w:pPr>
        <w:spacing w:after="0" w:line="240" w:lineRule="auto"/>
        <w:ind w:left="0" w:firstLine="0"/>
        <w:rPr>
          <w:noProof/>
          <w:lang w:val="de-DE"/>
        </w:rPr>
      </w:pPr>
      <w:r w:rsidRPr="0049187C">
        <w:rPr>
          <w:rStyle w:val="ui-provider"/>
          <w:lang w:val="de-DE"/>
        </w:rPr>
        <w:t>Novartis Pharmaceutical Manufacturing</w:t>
      </w:r>
      <w:r w:rsidRPr="0049187C">
        <w:rPr>
          <w:noProof/>
          <w:lang w:val="de-DE"/>
        </w:rPr>
        <w:t xml:space="preserve"> GmbH</w:t>
      </w:r>
    </w:p>
    <w:p w14:paraId="18352312" w14:textId="77777777" w:rsidR="004736C1" w:rsidRPr="0049187C" w:rsidRDefault="00B00716" w:rsidP="0049187C">
      <w:pPr>
        <w:spacing w:after="0" w:line="240" w:lineRule="auto"/>
        <w:ind w:left="0" w:firstLine="0"/>
        <w:rPr>
          <w:noProof/>
          <w:lang w:val="de-DE"/>
        </w:rPr>
      </w:pPr>
      <w:r w:rsidRPr="0049187C">
        <w:rPr>
          <w:noProof/>
          <w:lang w:val="de-DE"/>
        </w:rPr>
        <w:t>Biochemiestr. 10</w:t>
      </w:r>
    </w:p>
    <w:p w14:paraId="498F331E" w14:textId="77777777" w:rsidR="004736C1" w:rsidRPr="0049187C" w:rsidRDefault="00B00716" w:rsidP="0049187C">
      <w:pPr>
        <w:spacing w:after="0" w:line="240" w:lineRule="auto"/>
        <w:ind w:left="0" w:firstLine="0"/>
        <w:rPr>
          <w:noProof/>
          <w:lang w:val="de-DE"/>
        </w:rPr>
      </w:pPr>
      <w:r w:rsidRPr="0049187C">
        <w:rPr>
          <w:noProof/>
          <w:lang w:val="de-DE"/>
        </w:rPr>
        <w:t>6336 Langkampfen</w:t>
      </w:r>
    </w:p>
    <w:p w14:paraId="15A8EDFA" w14:textId="77777777" w:rsidR="004736C1" w:rsidRPr="0049187C" w:rsidRDefault="00B00716" w:rsidP="0049187C">
      <w:pPr>
        <w:spacing w:after="0" w:line="240" w:lineRule="auto"/>
        <w:ind w:left="0" w:firstLine="0"/>
        <w:rPr>
          <w:noProof/>
          <w:lang w:val="de-DE"/>
        </w:rPr>
      </w:pPr>
      <w:r w:rsidRPr="0049187C">
        <w:rPr>
          <w:noProof/>
          <w:lang w:val="de-DE"/>
        </w:rPr>
        <w:t>Österreich</w:t>
      </w:r>
    </w:p>
    <w:p w14:paraId="0CBE4EC3" w14:textId="77777777" w:rsidR="00261AC3" w:rsidRPr="0049187C" w:rsidRDefault="00261AC3" w:rsidP="0049187C">
      <w:pPr>
        <w:spacing w:after="0" w:line="240" w:lineRule="auto"/>
        <w:ind w:left="0" w:firstLine="0"/>
        <w:rPr>
          <w:lang w:val="de-DE"/>
        </w:rPr>
      </w:pPr>
    </w:p>
    <w:p w14:paraId="7BE0587E" w14:textId="77777777" w:rsidR="00F83928" w:rsidRPr="0049187C" w:rsidRDefault="00F83928" w:rsidP="0049187C">
      <w:pPr>
        <w:spacing w:after="0" w:line="240" w:lineRule="auto"/>
        <w:ind w:left="0" w:firstLine="0"/>
        <w:rPr>
          <w:lang w:val="de-DE"/>
        </w:rPr>
      </w:pPr>
    </w:p>
    <w:p w14:paraId="68AFC8D1" w14:textId="77777777" w:rsidR="00261AC3" w:rsidRPr="0049187C" w:rsidRDefault="00B00716" w:rsidP="0049187C">
      <w:pPr>
        <w:pStyle w:val="Heading1"/>
        <w:tabs>
          <w:tab w:val="left" w:pos="567"/>
        </w:tabs>
        <w:spacing w:after="0" w:line="240" w:lineRule="auto"/>
        <w:ind w:left="0" w:firstLine="0"/>
        <w:rPr>
          <w:lang w:val="de-DE"/>
        </w:rPr>
      </w:pPr>
      <w:r w:rsidRPr="0049187C">
        <w:rPr>
          <w:lang w:val="de-DE"/>
        </w:rPr>
        <w:t>B.</w:t>
      </w:r>
      <w:r w:rsidRPr="0049187C">
        <w:rPr>
          <w:lang w:val="de-DE"/>
        </w:rPr>
        <w:tab/>
      </w:r>
      <w:r w:rsidR="00FD7DFF" w:rsidRPr="0049187C">
        <w:rPr>
          <w:lang w:val="de-DE"/>
        </w:rPr>
        <w:t>BEDINGUNGEN ODER EINSCHRÄNKUNGEN FÜR DIE ABGABE UND DEN GEBRAUCH</w:t>
      </w:r>
    </w:p>
    <w:p w14:paraId="3AB7DB42" w14:textId="77777777" w:rsidR="00F83928" w:rsidRPr="0049187C" w:rsidRDefault="00F83928" w:rsidP="0049187C">
      <w:pPr>
        <w:spacing w:after="0" w:line="240" w:lineRule="auto"/>
        <w:ind w:left="0" w:firstLine="0"/>
        <w:rPr>
          <w:lang w:val="de-DE"/>
        </w:rPr>
      </w:pPr>
    </w:p>
    <w:p w14:paraId="3A634AF1" w14:textId="77777777" w:rsidR="00261AC3" w:rsidRPr="0049187C" w:rsidRDefault="00B00716" w:rsidP="0049187C">
      <w:pPr>
        <w:spacing w:after="0" w:line="240" w:lineRule="auto"/>
        <w:ind w:left="0" w:firstLine="0"/>
        <w:rPr>
          <w:lang w:val="de-DE"/>
        </w:rPr>
      </w:pPr>
      <w:r w:rsidRPr="0049187C">
        <w:rPr>
          <w:lang w:val="de-DE"/>
        </w:rPr>
        <w:t>Arzneimittel, das der Verschreibungspflicht unterliegt.</w:t>
      </w:r>
    </w:p>
    <w:p w14:paraId="0E3EE2D6" w14:textId="77777777" w:rsidR="00261AC3" w:rsidRPr="0049187C" w:rsidRDefault="00261AC3" w:rsidP="0049187C">
      <w:pPr>
        <w:spacing w:after="0" w:line="240" w:lineRule="auto"/>
        <w:ind w:left="0" w:firstLine="0"/>
        <w:rPr>
          <w:lang w:val="de-DE"/>
        </w:rPr>
      </w:pPr>
    </w:p>
    <w:p w14:paraId="1D90D2B5" w14:textId="77777777" w:rsidR="00F83928" w:rsidRPr="0049187C" w:rsidRDefault="00F83928" w:rsidP="0049187C">
      <w:pPr>
        <w:spacing w:after="0" w:line="240" w:lineRule="auto"/>
        <w:ind w:left="0" w:firstLine="0"/>
        <w:rPr>
          <w:lang w:val="de-DE"/>
        </w:rPr>
      </w:pPr>
    </w:p>
    <w:p w14:paraId="57F02E9D" w14:textId="77777777" w:rsidR="00261AC3" w:rsidRPr="0049187C" w:rsidRDefault="00B00716" w:rsidP="0049187C">
      <w:pPr>
        <w:pStyle w:val="Heading1"/>
        <w:tabs>
          <w:tab w:val="left" w:pos="567"/>
        </w:tabs>
        <w:spacing w:after="0" w:line="240" w:lineRule="auto"/>
        <w:ind w:left="0" w:firstLine="0"/>
        <w:rPr>
          <w:lang w:val="de-DE"/>
        </w:rPr>
      </w:pPr>
      <w:r w:rsidRPr="0049187C">
        <w:rPr>
          <w:lang w:val="de-DE"/>
        </w:rPr>
        <w:t>C.</w:t>
      </w:r>
      <w:r w:rsidRPr="0049187C">
        <w:rPr>
          <w:lang w:val="de-DE"/>
        </w:rPr>
        <w:tab/>
      </w:r>
      <w:r w:rsidR="00FD7DFF" w:rsidRPr="0049187C">
        <w:rPr>
          <w:lang w:val="de-DE"/>
        </w:rPr>
        <w:t>SONSTIGE BEDINGUNGEN UND AUFLAGEN DER GENEHMIGUNG FÜR DAS INVERKEHRBRINGEN</w:t>
      </w:r>
    </w:p>
    <w:p w14:paraId="3439141A" w14:textId="77777777" w:rsidR="00F83928" w:rsidRPr="0049187C" w:rsidRDefault="00F83928" w:rsidP="0049187C">
      <w:pPr>
        <w:spacing w:after="0" w:line="240" w:lineRule="auto"/>
        <w:ind w:left="0" w:firstLine="0"/>
        <w:rPr>
          <w:lang w:val="de-DE"/>
        </w:rPr>
      </w:pPr>
    </w:p>
    <w:p w14:paraId="0CC505D6" w14:textId="77777777" w:rsidR="00261AC3" w:rsidRPr="0049187C" w:rsidRDefault="00B00716" w:rsidP="0049187C">
      <w:pPr>
        <w:numPr>
          <w:ilvl w:val="0"/>
          <w:numId w:val="6"/>
        </w:numPr>
        <w:tabs>
          <w:tab w:val="left" w:pos="567"/>
        </w:tabs>
        <w:spacing w:after="0" w:line="240" w:lineRule="auto"/>
        <w:ind w:left="0" w:firstLine="0"/>
        <w:rPr>
          <w:b/>
          <w:bCs/>
          <w:lang w:val="de-DE"/>
        </w:rPr>
      </w:pPr>
      <w:r w:rsidRPr="0049187C">
        <w:rPr>
          <w:b/>
          <w:bCs/>
          <w:lang w:val="de-DE"/>
        </w:rPr>
        <w:t>Regelmäßig aktualisierte Unbedenklichkeitsberichte [Periodic Safety Update Reports (PSURs)]</w:t>
      </w:r>
    </w:p>
    <w:p w14:paraId="7D7D94CA" w14:textId="77777777" w:rsidR="00F83928" w:rsidRPr="0049187C" w:rsidRDefault="00F83928" w:rsidP="0049187C">
      <w:pPr>
        <w:spacing w:after="0" w:line="240" w:lineRule="auto"/>
        <w:ind w:left="0" w:firstLine="0"/>
        <w:rPr>
          <w:lang w:val="de-DE"/>
        </w:rPr>
      </w:pPr>
    </w:p>
    <w:p w14:paraId="55C21679" w14:textId="77777777" w:rsidR="00261AC3" w:rsidRPr="0049187C" w:rsidRDefault="00B00716" w:rsidP="0049187C">
      <w:pPr>
        <w:spacing w:after="0" w:line="240" w:lineRule="auto"/>
        <w:ind w:left="0" w:firstLine="0"/>
        <w:rPr>
          <w:lang w:val="de-DE"/>
        </w:rPr>
      </w:pPr>
      <w:r w:rsidRPr="0049187C">
        <w:rPr>
          <w:lang w:val="de-DE"/>
        </w:rPr>
        <w:t>Die Anforderungen an die Einreichung von PSURs für dieses Arzneimittel sind in der nach Artikel 107 c Absatz 7 der Richtlinie 2001/83/EG vorgesehenen und im europäischen Internetportal für Arzneimittel veröffentlichten Liste der in der Union festgelegten Stichtage (EURD</w:t>
      </w:r>
      <w:r w:rsidRPr="0049187C">
        <w:rPr>
          <w:lang w:val="de-DE"/>
        </w:rPr>
        <w:noBreakHyphen/>
        <w:t xml:space="preserve">Liste) </w:t>
      </w:r>
      <w:r w:rsidRPr="0049187C">
        <w:rPr>
          <w:lang w:val="de-DE"/>
        </w:rPr>
        <w:noBreakHyphen/>
        <w:t xml:space="preserve"> und allen künftigen Aktualisierungen </w:t>
      </w:r>
      <w:r w:rsidRPr="0049187C">
        <w:rPr>
          <w:lang w:val="de-DE"/>
        </w:rPr>
        <w:noBreakHyphen/>
        <w:t xml:space="preserve"> festgelegt.</w:t>
      </w:r>
    </w:p>
    <w:p w14:paraId="11E4FAFF" w14:textId="77777777" w:rsidR="00261AC3" w:rsidRPr="0049187C" w:rsidRDefault="00261AC3" w:rsidP="0049187C">
      <w:pPr>
        <w:spacing w:after="0" w:line="240" w:lineRule="auto"/>
        <w:ind w:left="0" w:firstLine="0"/>
        <w:rPr>
          <w:lang w:val="de-DE"/>
        </w:rPr>
      </w:pPr>
    </w:p>
    <w:p w14:paraId="187DD6B7" w14:textId="77777777" w:rsidR="00F83928" w:rsidRPr="0049187C" w:rsidRDefault="00F83928" w:rsidP="0049187C">
      <w:pPr>
        <w:spacing w:after="0" w:line="240" w:lineRule="auto"/>
        <w:ind w:left="0" w:firstLine="0"/>
        <w:rPr>
          <w:lang w:val="de-DE"/>
        </w:rPr>
      </w:pPr>
    </w:p>
    <w:p w14:paraId="2EA2E84C" w14:textId="77777777" w:rsidR="00261AC3" w:rsidRPr="0049187C" w:rsidRDefault="00B00716" w:rsidP="0049187C">
      <w:pPr>
        <w:pStyle w:val="Heading1"/>
        <w:tabs>
          <w:tab w:val="left" w:pos="567"/>
        </w:tabs>
        <w:spacing w:after="0" w:line="240" w:lineRule="auto"/>
        <w:ind w:left="0" w:firstLine="0"/>
        <w:rPr>
          <w:lang w:val="de-DE"/>
        </w:rPr>
      </w:pPr>
      <w:r w:rsidRPr="0049187C">
        <w:rPr>
          <w:lang w:val="de-DE"/>
        </w:rPr>
        <w:t>D.</w:t>
      </w:r>
      <w:r w:rsidRPr="0049187C">
        <w:rPr>
          <w:lang w:val="de-DE"/>
        </w:rPr>
        <w:tab/>
        <w:t>BEDINGUNGEN ODER EINSCHRÄNKUNGEN FÜR DIE SICHERE UND WIRKSAME ANWENDUNG DES ARZNEIMITTELS</w:t>
      </w:r>
    </w:p>
    <w:p w14:paraId="3AB67FD4" w14:textId="77777777" w:rsidR="00F83928" w:rsidRPr="0049187C" w:rsidRDefault="00F83928" w:rsidP="0049187C">
      <w:pPr>
        <w:spacing w:after="0" w:line="240" w:lineRule="auto"/>
        <w:ind w:left="0" w:firstLine="0"/>
        <w:rPr>
          <w:lang w:val="de-DE"/>
        </w:rPr>
      </w:pPr>
    </w:p>
    <w:p w14:paraId="0652C827" w14:textId="77777777" w:rsidR="00261AC3" w:rsidRPr="0049187C" w:rsidRDefault="00B00716" w:rsidP="0049187C">
      <w:pPr>
        <w:numPr>
          <w:ilvl w:val="0"/>
          <w:numId w:val="6"/>
        </w:numPr>
        <w:tabs>
          <w:tab w:val="left" w:pos="567"/>
        </w:tabs>
        <w:spacing w:after="0" w:line="240" w:lineRule="auto"/>
        <w:ind w:left="0" w:firstLine="0"/>
        <w:rPr>
          <w:b/>
          <w:bCs/>
          <w:lang w:val="de-DE"/>
        </w:rPr>
      </w:pPr>
      <w:r w:rsidRPr="0049187C">
        <w:rPr>
          <w:b/>
          <w:bCs/>
          <w:lang w:val="de-DE"/>
        </w:rPr>
        <w:t>Risikomanagement</w:t>
      </w:r>
      <w:r w:rsidRPr="0049187C">
        <w:rPr>
          <w:b/>
          <w:bCs/>
          <w:lang w:val="de-DE"/>
        </w:rPr>
        <w:noBreakHyphen/>
        <w:t>Plan (RMP)</w:t>
      </w:r>
    </w:p>
    <w:p w14:paraId="30D5355E" w14:textId="77777777" w:rsidR="00F83928" w:rsidRPr="0049187C" w:rsidRDefault="00F83928" w:rsidP="0049187C">
      <w:pPr>
        <w:spacing w:after="0" w:line="240" w:lineRule="auto"/>
        <w:ind w:left="0" w:firstLine="0"/>
        <w:rPr>
          <w:lang w:val="de-DE"/>
        </w:rPr>
      </w:pPr>
    </w:p>
    <w:p w14:paraId="7E6D2FA3" w14:textId="77777777" w:rsidR="00261AC3" w:rsidRPr="0049187C" w:rsidRDefault="00B00716" w:rsidP="0049187C">
      <w:pPr>
        <w:spacing w:after="0" w:line="240" w:lineRule="auto"/>
        <w:ind w:left="0" w:firstLine="0"/>
        <w:rPr>
          <w:lang w:val="de-DE"/>
        </w:rPr>
      </w:pPr>
      <w:r w:rsidRPr="0049187C">
        <w:rPr>
          <w:lang w:val="de-DE"/>
        </w:rPr>
        <w:t>Der Inhaber der Genehmigung für das Inverkehrbringen (MAH) führt die notwendigen, im vereinbarten RMP beschriebenen und in Modul 1.8.2 der Zulassung dargelegten</w:t>
      </w:r>
      <w:r w:rsidR="007935D7" w:rsidRPr="0049187C">
        <w:rPr>
          <w:lang w:val="de-DE"/>
        </w:rPr>
        <w:t xml:space="preserve"> </w:t>
      </w:r>
      <w:r w:rsidRPr="0049187C">
        <w:rPr>
          <w:lang w:val="de-DE"/>
        </w:rPr>
        <w:t>Pharmakovigilanzaktivitäten und Maßnahmen sowie alle künftigen vereinbarten Aktualisierungen des RMP durch.</w:t>
      </w:r>
    </w:p>
    <w:p w14:paraId="3DC96DE9" w14:textId="77777777" w:rsidR="00F83928" w:rsidRPr="0049187C" w:rsidRDefault="00F83928" w:rsidP="0049187C">
      <w:pPr>
        <w:spacing w:after="0" w:line="240" w:lineRule="auto"/>
        <w:ind w:left="0" w:firstLine="0"/>
        <w:rPr>
          <w:lang w:val="de-DE"/>
        </w:rPr>
      </w:pPr>
    </w:p>
    <w:p w14:paraId="738A5A7C" w14:textId="77777777" w:rsidR="00261AC3" w:rsidRPr="0049187C" w:rsidRDefault="00B00716" w:rsidP="0049187C">
      <w:pPr>
        <w:keepNext/>
        <w:keepLines/>
        <w:spacing w:after="0" w:line="240" w:lineRule="auto"/>
        <w:ind w:left="0" w:firstLine="0"/>
        <w:rPr>
          <w:lang w:val="de-DE"/>
        </w:rPr>
      </w:pPr>
      <w:r w:rsidRPr="0049187C">
        <w:rPr>
          <w:lang w:val="de-DE"/>
        </w:rPr>
        <w:t>Ein aktualisierter RMP ist einzureichen:</w:t>
      </w:r>
    </w:p>
    <w:p w14:paraId="1DBE34E5" w14:textId="77777777" w:rsidR="00261AC3" w:rsidRPr="0049187C" w:rsidRDefault="00B00716" w:rsidP="0049187C">
      <w:pPr>
        <w:keepNext/>
        <w:keepLines/>
        <w:numPr>
          <w:ilvl w:val="0"/>
          <w:numId w:val="6"/>
        </w:numPr>
        <w:tabs>
          <w:tab w:val="left" w:pos="1134"/>
        </w:tabs>
        <w:spacing w:after="0" w:line="240" w:lineRule="auto"/>
        <w:ind w:left="0" w:firstLine="0"/>
        <w:rPr>
          <w:lang w:val="de-DE"/>
        </w:rPr>
      </w:pPr>
      <w:r w:rsidRPr="0049187C">
        <w:rPr>
          <w:lang w:val="de-DE"/>
        </w:rPr>
        <w:t>nach Aufforderung durch die Europäische Arzneimittel</w:t>
      </w:r>
      <w:r w:rsidRPr="0049187C">
        <w:rPr>
          <w:lang w:val="de-DE"/>
        </w:rPr>
        <w:noBreakHyphen/>
        <w:t>Agentur;</w:t>
      </w:r>
    </w:p>
    <w:p w14:paraId="24FFF3C2" w14:textId="77777777" w:rsidR="00261AC3" w:rsidRPr="0049187C" w:rsidRDefault="00B00716" w:rsidP="0049187C">
      <w:pPr>
        <w:keepNext/>
        <w:keepLines/>
        <w:numPr>
          <w:ilvl w:val="0"/>
          <w:numId w:val="6"/>
        </w:numPr>
        <w:tabs>
          <w:tab w:val="left" w:pos="1134"/>
        </w:tabs>
        <w:spacing w:after="0" w:line="240" w:lineRule="auto"/>
        <w:ind w:left="0" w:firstLine="0"/>
        <w:rPr>
          <w:lang w:val="de-DE"/>
        </w:rPr>
      </w:pPr>
      <w:r w:rsidRPr="0049187C">
        <w:rPr>
          <w:lang w:val="de-DE"/>
        </w:rPr>
        <w:t>jedes Mal, wenn das Risikomanagement</w:t>
      </w:r>
      <w:r w:rsidRPr="0049187C">
        <w:rPr>
          <w:lang w:val="de-DE"/>
        </w:rPr>
        <w:noBreakHyphen/>
        <w:t>System geändert wird, insbesondere infolge neuer eingegangener Informationen, die zu einer wesentlichen Änderung des Nutzen</w:t>
      </w:r>
      <w:r w:rsidRPr="0049187C">
        <w:rPr>
          <w:lang w:val="de-DE"/>
        </w:rPr>
        <w:noBreakHyphen/>
        <w:t>Risiko</w:t>
      </w:r>
      <w:r w:rsidR="00D059C0" w:rsidRPr="0049187C">
        <w:rPr>
          <w:lang w:val="de-DE"/>
        </w:rPr>
        <w:t xml:space="preserve"> </w:t>
      </w:r>
      <w:r w:rsidRPr="0049187C">
        <w:rPr>
          <w:lang w:val="de-DE"/>
        </w:rPr>
        <w:t>Verhältnisses führen können oder infolge des Erreichens eines wichtigen Meilensteins (in Bezug auf Pharmakovigilanz oder Risikominimierung).</w:t>
      </w:r>
    </w:p>
    <w:p w14:paraId="0A3726A8" w14:textId="77777777" w:rsidR="00F83928" w:rsidRPr="0049187C" w:rsidRDefault="00F83928" w:rsidP="0049187C">
      <w:pPr>
        <w:keepNext/>
        <w:keepLines/>
        <w:spacing w:after="0" w:line="240" w:lineRule="auto"/>
        <w:ind w:left="0" w:firstLine="0"/>
        <w:rPr>
          <w:lang w:val="de-DE"/>
        </w:rPr>
      </w:pPr>
    </w:p>
    <w:p w14:paraId="00D2B1F5" w14:textId="77777777" w:rsidR="00261AC3" w:rsidRPr="0049187C" w:rsidRDefault="00B00716" w:rsidP="0049187C">
      <w:pPr>
        <w:keepNext/>
        <w:keepLines/>
        <w:numPr>
          <w:ilvl w:val="0"/>
          <w:numId w:val="6"/>
        </w:numPr>
        <w:tabs>
          <w:tab w:val="left" w:pos="567"/>
        </w:tabs>
        <w:spacing w:after="0" w:line="240" w:lineRule="auto"/>
        <w:ind w:left="0" w:firstLine="0"/>
        <w:rPr>
          <w:b/>
          <w:bCs/>
          <w:lang w:val="de-DE"/>
        </w:rPr>
      </w:pPr>
      <w:r w:rsidRPr="0049187C">
        <w:rPr>
          <w:b/>
          <w:bCs/>
          <w:lang w:val="de-DE"/>
        </w:rPr>
        <w:t>Zusätzliche Maßnahmen zur Risikominimierung</w:t>
      </w:r>
    </w:p>
    <w:p w14:paraId="2E01BCF3" w14:textId="77777777" w:rsidR="00F83928" w:rsidRPr="0049187C" w:rsidRDefault="00F83928" w:rsidP="0049187C">
      <w:pPr>
        <w:keepNext/>
        <w:keepLines/>
        <w:spacing w:after="0" w:line="240" w:lineRule="auto"/>
        <w:ind w:left="0" w:firstLine="0"/>
        <w:rPr>
          <w:lang w:val="de-DE"/>
        </w:rPr>
      </w:pPr>
    </w:p>
    <w:p w14:paraId="13BA91EB" w14:textId="77777777" w:rsidR="002B498A" w:rsidRPr="0049187C" w:rsidRDefault="00B00716" w:rsidP="0049187C">
      <w:pPr>
        <w:keepNext/>
        <w:keepLines/>
        <w:spacing w:after="0" w:line="240" w:lineRule="auto"/>
        <w:ind w:left="0" w:firstLine="0"/>
        <w:rPr>
          <w:lang w:val="de-DE"/>
        </w:rPr>
      </w:pPr>
      <w:r w:rsidRPr="0049187C">
        <w:rPr>
          <w:lang w:val="de-DE"/>
        </w:rPr>
        <w:t xml:space="preserve">Der Inhaber der Genehmigung für das Inverkehrbringen stellt sicher, dass eine Patientenerinnerungskarte zu </w:t>
      </w:r>
      <w:r w:rsidR="007906CD" w:rsidRPr="0049187C">
        <w:rPr>
          <w:iCs/>
          <w:lang w:val="de-DE"/>
        </w:rPr>
        <w:t>Osteonekrose des Kiefers</w:t>
      </w:r>
      <w:r w:rsidR="007906CD" w:rsidRPr="0049187C">
        <w:rPr>
          <w:i/>
          <w:iCs/>
          <w:lang w:val="de-DE"/>
        </w:rPr>
        <w:t xml:space="preserve"> </w:t>
      </w:r>
      <w:r w:rsidRPr="0049187C">
        <w:rPr>
          <w:lang w:val="de-DE"/>
        </w:rPr>
        <w:t xml:space="preserve">implementiert wird. </w:t>
      </w:r>
    </w:p>
    <w:p w14:paraId="777CA8F7" w14:textId="77777777" w:rsidR="00261AC3" w:rsidRPr="0049187C" w:rsidRDefault="00B00716" w:rsidP="0049187C">
      <w:pPr>
        <w:keepNext/>
        <w:keepLines/>
        <w:spacing w:after="0" w:line="240" w:lineRule="auto"/>
        <w:ind w:left="0" w:firstLine="0"/>
        <w:rPr>
          <w:lang w:val="de-DE"/>
        </w:rPr>
      </w:pPr>
      <w:r w:rsidRPr="0049187C">
        <w:rPr>
          <w:lang w:val="de-DE"/>
        </w:rPr>
        <w:br w:type="page"/>
      </w:r>
    </w:p>
    <w:p w14:paraId="046B03F5" w14:textId="77777777" w:rsidR="00261AC3" w:rsidRPr="0049187C" w:rsidRDefault="00261AC3" w:rsidP="0049187C">
      <w:pPr>
        <w:spacing w:after="0" w:line="240" w:lineRule="auto"/>
        <w:ind w:left="0" w:firstLine="0"/>
        <w:jc w:val="center"/>
        <w:rPr>
          <w:lang w:val="de-DE"/>
        </w:rPr>
      </w:pPr>
    </w:p>
    <w:p w14:paraId="18837F62" w14:textId="77777777" w:rsidR="00261AC3" w:rsidRPr="0049187C" w:rsidRDefault="00261AC3" w:rsidP="0049187C">
      <w:pPr>
        <w:spacing w:after="0" w:line="240" w:lineRule="auto"/>
        <w:ind w:left="0" w:firstLine="0"/>
        <w:jc w:val="center"/>
        <w:rPr>
          <w:lang w:val="de-DE"/>
        </w:rPr>
      </w:pPr>
    </w:p>
    <w:p w14:paraId="07BAA0FB" w14:textId="77777777" w:rsidR="00261AC3" w:rsidRPr="0049187C" w:rsidRDefault="00261AC3" w:rsidP="0049187C">
      <w:pPr>
        <w:spacing w:after="0" w:line="240" w:lineRule="auto"/>
        <w:ind w:left="0" w:firstLine="0"/>
        <w:jc w:val="center"/>
        <w:rPr>
          <w:lang w:val="de-DE"/>
        </w:rPr>
      </w:pPr>
    </w:p>
    <w:p w14:paraId="1DBE7083" w14:textId="77777777" w:rsidR="00261AC3" w:rsidRPr="0049187C" w:rsidRDefault="00261AC3" w:rsidP="0049187C">
      <w:pPr>
        <w:spacing w:after="0" w:line="240" w:lineRule="auto"/>
        <w:ind w:left="0" w:firstLine="0"/>
        <w:jc w:val="center"/>
        <w:rPr>
          <w:lang w:val="de-DE"/>
        </w:rPr>
      </w:pPr>
    </w:p>
    <w:p w14:paraId="2DEF1554" w14:textId="77777777" w:rsidR="00261AC3" w:rsidRPr="0049187C" w:rsidRDefault="00261AC3" w:rsidP="0049187C">
      <w:pPr>
        <w:spacing w:after="0" w:line="240" w:lineRule="auto"/>
        <w:ind w:left="0" w:firstLine="0"/>
        <w:jc w:val="center"/>
        <w:rPr>
          <w:lang w:val="de-DE"/>
        </w:rPr>
      </w:pPr>
    </w:p>
    <w:p w14:paraId="4811F2C9" w14:textId="77777777" w:rsidR="00261AC3" w:rsidRPr="0049187C" w:rsidRDefault="00261AC3" w:rsidP="0049187C">
      <w:pPr>
        <w:spacing w:after="0" w:line="240" w:lineRule="auto"/>
        <w:ind w:left="0" w:firstLine="0"/>
        <w:jc w:val="center"/>
        <w:rPr>
          <w:lang w:val="de-DE"/>
        </w:rPr>
      </w:pPr>
    </w:p>
    <w:p w14:paraId="739BD67E" w14:textId="77777777" w:rsidR="00261AC3" w:rsidRPr="0049187C" w:rsidRDefault="00261AC3" w:rsidP="0049187C">
      <w:pPr>
        <w:spacing w:after="0" w:line="240" w:lineRule="auto"/>
        <w:ind w:left="0" w:firstLine="0"/>
        <w:jc w:val="center"/>
        <w:rPr>
          <w:lang w:val="de-DE"/>
        </w:rPr>
      </w:pPr>
    </w:p>
    <w:p w14:paraId="3C8098EF" w14:textId="77777777" w:rsidR="00261AC3" w:rsidRPr="0049187C" w:rsidRDefault="00261AC3" w:rsidP="0049187C">
      <w:pPr>
        <w:spacing w:after="0" w:line="240" w:lineRule="auto"/>
        <w:ind w:left="0" w:firstLine="0"/>
        <w:jc w:val="center"/>
        <w:rPr>
          <w:lang w:val="de-DE"/>
        </w:rPr>
      </w:pPr>
    </w:p>
    <w:p w14:paraId="2C77D7BA" w14:textId="77777777" w:rsidR="00261AC3" w:rsidRPr="0049187C" w:rsidRDefault="00261AC3" w:rsidP="0049187C">
      <w:pPr>
        <w:spacing w:after="0" w:line="240" w:lineRule="auto"/>
        <w:ind w:left="0" w:firstLine="0"/>
        <w:jc w:val="center"/>
        <w:rPr>
          <w:lang w:val="de-DE"/>
        </w:rPr>
      </w:pPr>
    </w:p>
    <w:p w14:paraId="0C9BB851" w14:textId="77777777" w:rsidR="00261AC3" w:rsidRPr="0049187C" w:rsidRDefault="00261AC3" w:rsidP="0049187C">
      <w:pPr>
        <w:spacing w:after="0" w:line="240" w:lineRule="auto"/>
        <w:ind w:left="0" w:firstLine="0"/>
        <w:jc w:val="center"/>
        <w:rPr>
          <w:lang w:val="de-DE"/>
        </w:rPr>
      </w:pPr>
    </w:p>
    <w:p w14:paraId="4CFAA250" w14:textId="77777777" w:rsidR="00261AC3" w:rsidRPr="0049187C" w:rsidRDefault="00261AC3" w:rsidP="0049187C">
      <w:pPr>
        <w:spacing w:after="0" w:line="240" w:lineRule="auto"/>
        <w:ind w:left="0" w:firstLine="0"/>
        <w:jc w:val="center"/>
        <w:rPr>
          <w:lang w:val="de-DE"/>
        </w:rPr>
      </w:pPr>
    </w:p>
    <w:p w14:paraId="4631BB51" w14:textId="77777777" w:rsidR="00261AC3" w:rsidRPr="0049187C" w:rsidRDefault="00261AC3" w:rsidP="0049187C">
      <w:pPr>
        <w:spacing w:after="0" w:line="240" w:lineRule="auto"/>
        <w:ind w:left="0" w:firstLine="0"/>
        <w:jc w:val="center"/>
        <w:rPr>
          <w:lang w:val="de-DE"/>
        </w:rPr>
      </w:pPr>
    </w:p>
    <w:p w14:paraId="7CEBED9C" w14:textId="77777777" w:rsidR="00261AC3" w:rsidRPr="0049187C" w:rsidRDefault="00261AC3" w:rsidP="0049187C">
      <w:pPr>
        <w:spacing w:after="0" w:line="240" w:lineRule="auto"/>
        <w:ind w:left="0" w:firstLine="0"/>
        <w:jc w:val="center"/>
        <w:rPr>
          <w:lang w:val="de-DE"/>
        </w:rPr>
      </w:pPr>
    </w:p>
    <w:p w14:paraId="02077C0D" w14:textId="77777777" w:rsidR="00261AC3" w:rsidRPr="0049187C" w:rsidRDefault="00261AC3" w:rsidP="0049187C">
      <w:pPr>
        <w:spacing w:after="0" w:line="240" w:lineRule="auto"/>
        <w:ind w:left="0" w:firstLine="0"/>
        <w:jc w:val="center"/>
        <w:rPr>
          <w:lang w:val="de-DE"/>
        </w:rPr>
      </w:pPr>
    </w:p>
    <w:p w14:paraId="742EB44B" w14:textId="77777777" w:rsidR="00261AC3" w:rsidRPr="0049187C" w:rsidRDefault="00261AC3" w:rsidP="0049187C">
      <w:pPr>
        <w:spacing w:after="0" w:line="240" w:lineRule="auto"/>
        <w:ind w:left="0" w:firstLine="0"/>
        <w:jc w:val="center"/>
        <w:rPr>
          <w:lang w:val="de-DE"/>
        </w:rPr>
      </w:pPr>
    </w:p>
    <w:p w14:paraId="3EC79C95" w14:textId="77777777" w:rsidR="00261AC3" w:rsidRPr="0049187C" w:rsidRDefault="00261AC3" w:rsidP="0049187C">
      <w:pPr>
        <w:spacing w:after="0" w:line="240" w:lineRule="auto"/>
        <w:ind w:left="0" w:firstLine="0"/>
        <w:jc w:val="center"/>
        <w:rPr>
          <w:lang w:val="de-DE"/>
        </w:rPr>
      </w:pPr>
    </w:p>
    <w:p w14:paraId="0ACEC9F0" w14:textId="77777777" w:rsidR="00261AC3" w:rsidRPr="0049187C" w:rsidRDefault="00261AC3" w:rsidP="0049187C">
      <w:pPr>
        <w:spacing w:after="0" w:line="240" w:lineRule="auto"/>
        <w:ind w:left="0" w:firstLine="0"/>
        <w:jc w:val="center"/>
        <w:rPr>
          <w:lang w:val="de-DE"/>
        </w:rPr>
      </w:pPr>
    </w:p>
    <w:p w14:paraId="3A25AC71" w14:textId="77777777" w:rsidR="00261AC3" w:rsidRPr="0049187C" w:rsidRDefault="00261AC3" w:rsidP="0049187C">
      <w:pPr>
        <w:spacing w:after="0" w:line="240" w:lineRule="auto"/>
        <w:ind w:left="0" w:firstLine="0"/>
        <w:jc w:val="center"/>
        <w:rPr>
          <w:lang w:val="de-DE"/>
        </w:rPr>
      </w:pPr>
    </w:p>
    <w:p w14:paraId="525543FD" w14:textId="77777777" w:rsidR="00261AC3" w:rsidRPr="0049187C" w:rsidRDefault="00261AC3" w:rsidP="0049187C">
      <w:pPr>
        <w:spacing w:after="0" w:line="240" w:lineRule="auto"/>
        <w:ind w:left="0" w:firstLine="0"/>
        <w:jc w:val="center"/>
        <w:rPr>
          <w:lang w:val="de-DE"/>
        </w:rPr>
      </w:pPr>
    </w:p>
    <w:p w14:paraId="2C1E320E" w14:textId="77777777" w:rsidR="00261AC3" w:rsidRPr="0049187C" w:rsidRDefault="00261AC3" w:rsidP="0049187C">
      <w:pPr>
        <w:spacing w:after="0" w:line="240" w:lineRule="auto"/>
        <w:ind w:left="0" w:firstLine="0"/>
        <w:jc w:val="center"/>
        <w:rPr>
          <w:lang w:val="de-DE"/>
        </w:rPr>
      </w:pPr>
    </w:p>
    <w:p w14:paraId="1D730134" w14:textId="77777777" w:rsidR="00261AC3" w:rsidRPr="0049187C" w:rsidRDefault="00261AC3" w:rsidP="0049187C">
      <w:pPr>
        <w:spacing w:after="0" w:line="240" w:lineRule="auto"/>
        <w:ind w:left="0" w:firstLine="0"/>
        <w:jc w:val="center"/>
        <w:rPr>
          <w:lang w:val="de-DE"/>
        </w:rPr>
      </w:pPr>
    </w:p>
    <w:p w14:paraId="6001F19E" w14:textId="77777777" w:rsidR="00261AC3" w:rsidRPr="0049187C" w:rsidRDefault="00261AC3" w:rsidP="0049187C">
      <w:pPr>
        <w:spacing w:after="0" w:line="240" w:lineRule="auto"/>
        <w:ind w:left="0" w:firstLine="0"/>
        <w:jc w:val="center"/>
        <w:rPr>
          <w:lang w:val="de-DE"/>
        </w:rPr>
      </w:pPr>
    </w:p>
    <w:p w14:paraId="459F3069" w14:textId="77777777" w:rsidR="00F83928" w:rsidRPr="0049187C" w:rsidRDefault="00F83928" w:rsidP="0049187C">
      <w:pPr>
        <w:spacing w:after="0" w:line="240" w:lineRule="auto"/>
        <w:ind w:left="0" w:firstLine="0"/>
        <w:jc w:val="center"/>
        <w:rPr>
          <w:lang w:val="de-DE"/>
        </w:rPr>
      </w:pPr>
    </w:p>
    <w:p w14:paraId="07110936" w14:textId="77777777" w:rsidR="00261AC3" w:rsidRPr="0049187C" w:rsidRDefault="00B00716" w:rsidP="0049187C">
      <w:pPr>
        <w:spacing w:after="0" w:line="240" w:lineRule="auto"/>
        <w:ind w:left="0" w:firstLine="0"/>
        <w:jc w:val="center"/>
        <w:rPr>
          <w:lang w:val="de-DE"/>
        </w:rPr>
      </w:pPr>
      <w:r w:rsidRPr="0049187C">
        <w:rPr>
          <w:b/>
          <w:lang w:val="de-DE"/>
        </w:rPr>
        <w:t>ANHANG III</w:t>
      </w:r>
    </w:p>
    <w:p w14:paraId="339B00A9" w14:textId="77777777" w:rsidR="00F83928" w:rsidRPr="0049187C" w:rsidRDefault="00F83928" w:rsidP="0049187C">
      <w:pPr>
        <w:spacing w:after="0" w:line="240" w:lineRule="auto"/>
        <w:ind w:left="0" w:firstLine="0"/>
        <w:jc w:val="center"/>
        <w:rPr>
          <w:lang w:val="de-DE"/>
        </w:rPr>
      </w:pPr>
    </w:p>
    <w:p w14:paraId="5C751508" w14:textId="77777777" w:rsidR="002B498A" w:rsidRPr="0049187C" w:rsidRDefault="00B00716" w:rsidP="0049187C">
      <w:pPr>
        <w:spacing w:after="0" w:line="240" w:lineRule="auto"/>
        <w:ind w:left="0" w:firstLine="0"/>
        <w:jc w:val="center"/>
        <w:rPr>
          <w:b/>
          <w:lang w:val="de-DE"/>
        </w:rPr>
      </w:pPr>
      <w:r w:rsidRPr="0049187C">
        <w:rPr>
          <w:b/>
          <w:lang w:val="de-DE"/>
        </w:rPr>
        <w:t xml:space="preserve">ETIKETTIERUNG UND PACKUNGSBEILAGE </w:t>
      </w:r>
    </w:p>
    <w:p w14:paraId="12B4B23E" w14:textId="77777777" w:rsidR="00261AC3" w:rsidRPr="0049187C" w:rsidRDefault="00B00716" w:rsidP="0049187C">
      <w:pPr>
        <w:spacing w:after="0" w:line="240" w:lineRule="auto"/>
        <w:ind w:left="0" w:firstLine="0"/>
        <w:jc w:val="center"/>
        <w:rPr>
          <w:lang w:val="de-DE"/>
        </w:rPr>
      </w:pPr>
      <w:r w:rsidRPr="0049187C">
        <w:rPr>
          <w:lang w:val="de-DE"/>
        </w:rPr>
        <w:br w:type="page"/>
      </w:r>
    </w:p>
    <w:p w14:paraId="3926C24D" w14:textId="77777777" w:rsidR="00261AC3" w:rsidRPr="0049187C" w:rsidRDefault="00261AC3" w:rsidP="0049187C">
      <w:pPr>
        <w:spacing w:after="0" w:line="240" w:lineRule="auto"/>
        <w:ind w:left="0" w:firstLine="0"/>
        <w:jc w:val="center"/>
        <w:rPr>
          <w:lang w:val="de-DE"/>
        </w:rPr>
      </w:pPr>
    </w:p>
    <w:p w14:paraId="1EF8CC48" w14:textId="77777777" w:rsidR="00261AC3" w:rsidRPr="0049187C" w:rsidRDefault="00261AC3" w:rsidP="0049187C">
      <w:pPr>
        <w:spacing w:after="0" w:line="240" w:lineRule="auto"/>
        <w:ind w:left="0" w:firstLine="0"/>
        <w:jc w:val="center"/>
        <w:rPr>
          <w:lang w:val="de-DE"/>
        </w:rPr>
      </w:pPr>
    </w:p>
    <w:p w14:paraId="49C1A47F" w14:textId="77777777" w:rsidR="00261AC3" w:rsidRPr="0049187C" w:rsidRDefault="00261AC3" w:rsidP="0049187C">
      <w:pPr>
        <w:spacing w:after="0" w:line="240" w:lineRule="auto"/>
        <w:ind w:left="0" w:firstLine="0"/>
        <w:jc w:val="center"/>
        <w:rPr>
          <w:lang w:val="de-DE"/>
        </w:rPr>
      </w:pPr>
    </w:p>
    <w:p w14:paraId="24D07AC6" w14:textId="77777777" w:rsidR="00261AC3" w:rsidRPr="0049187C" w:rsidRDefault="00261AC3" w:rsidP="0049187C">
      <w:pPr>
        <w:spacing w:after="0" w:line="240" w:lineRule="auto"/>
        <w:ind w:left="0" w:firstLine="0"/>
        <w:jc w:val="center"/>
        <w:rPr>
          <w:lang w:val="de-DE"/>
        </w:rPr>
      </w:pPr>
    </w:p>
    <w:p w14:paraId="6D02C136" w14:textId="77777777" w:rsidR="00261AC3" w:rsidRPr="0049187C" w:rsidRDefault="00261AC3" w:rsidP="0049187C">
      <w:pPr>
        <w:spacing w:after="0" w:line="240" w:lineRule="auto"/>
        <w:ind w:left="0" w:firstLine="0"/>
        <w:jc w:val="center"/>
        <w:rPr>
          <w:lang w:val="de-DE"/>
        </w:rPr>
      </w:pPr>
    </w:p>
    <w:p w14:paraId="1DBB392B" w14:textId="77777777" w:rsidR="00261AC3" w:rsidRPr="0049187C" w:rsidRDefault="00261AC3" w:rsidP="0049187C">
      <w:pPr>
        <w:spacing w:after="0" w:line="240" w:lineRule="auto"/>
        <w:ind w:left="0" w:firstLine="0"/>
        <w:jc w:val="center"/>
        <w:rPr>
          <w:lang w:val="de-DE"/>
        </w:rPr>
      </w:pPr>
    </w:p>
    <w:p w14:paraId="328CE689" w14:textId="77777777" w:rsidR="00261AC3" w:rsidRPr="0049187C" w:rsidRDefault="00261AC3" w:rsidP="0049187C">
      <w:pPr>
        <w:spacing w:after="0" w:line="240" w:lineRule="auto"/>
        <w:ind w:left="0" w:firstLine="0"/>
        <w:jc w:val="center"/>
        <w:rPr>
          <w:lang w:val="de-DE"/>
        </w:rPr>
      </w:pPr>
    </w:p>
    <w:p w14:paraId="6274ED49" w14:textId="77777777" w:rsidR="00261AC3" w:rsidRPr="0049187C" w:rsidRDefault="00261AC3" w:rsidP="0049187C">
      <w:pPr>
        <w:spacing w:after="0" w:line="240" w:lineRule="auto"/>
        <w:ind w:left="0" w:firstLine="0"/>
        <w:jc w:val="center"/>
        <w:rPr>
          <w:lang w:val="de-DE"/>
        </w:rPr>
      </w:pPr>
    </w:p>
    <w:p w14:paraId="3ABFE95A" w14:textId="77777777" w:rsidR="00261AC3" w:rsidRPr="0049187C" w:rsidRDefault="00261AC3" w:rsidP="0049187C">
      <w:pPr>
        <w:spacing w:after="0" w:line="240" w:lineRule="auto"/>
        <w:ind w:left="0" w:firstLine="0"/>
        <w:jc w:val="center"/>
        <w:rPr>
          <w:lang w:val="de-DE"/>
        </w:rPr>
      </w:pPr>
    </w:p>
    <w:p w14:paraId="6F6807BF" w14:textId="77777777" w:rsidR="00261AC3" w:rsidRPr="0049187C" w:rsidRDefault="00261AC3" w:rsidP="0049187C">
      <w:pPr>
        <w:spacing w:after="0" w:line="240" w:lineRule="auto"/>
        <w:ind w:left="0" w:firstLine="0"/>
        <w:jc w:val="center"/>
        <w:rPr>
          <w:lang w:val="de-DE"/>
        </w:rPr>
      </w:pPr>
    </w:p>
    <w:p w14:paraId="04FE135D" w14:textId="77777777" w:rsidR="00261AC3" w:rsidRPr="0049187C" w:rsidRDefault="00261AC3" w:rsidP="0049187C">
      <w:pPr>
        <w:spacing w:after="0" w:line="240" w:lineRule="auto"/>
        <w:ind w:left="0" w:firstLine="0"/>
        <w:jc w:val="center"/>
        <w:rPr>
          <w:lang w:val="de-DE"/>
        </w:rPr>
      </w:pPr>
    </w:p>
    <w:p w14:paraId="22399CB2" w14:textId="77777777" w:rsidR="00261AC3" w:rsidRPr="0049187C" w:rsidRDefault="00261AC3" w:rsidP="0049187C">
      <w:pPr>
        <w:spacing w:after="0" w:line="240" w:lineRule="auto"/>
        <w:ind w:left="0" w:firstLine="0"/>
        <w:jc w:val="center"/>
        <w:rPr>
          <w:lang w:val="de-DE"/>
        </w:rPr>
      </w:pPr>
    </w:p>
    <w:p w14:paraId="173D1E33" w14:textId="77777777" w:rsidR="00261AC3" w:rsidRPr="0049187C" w:rsidRDefault="00261AC3" w:rsidP="0049187C">
      <w:pPr>
        <w:spacing w:after="0" w:line="240" w:lineRule="auto"/>
        <w:ind w:left="0" w:firstLine="0"/>
        <w:jc w:val="center"/>
        <w:rPr>
          <w:lang w:val="de-DE"/>
        </w:rPr>
      </w:pPr>
    </w:p>
    <w:p w14:paraId="1EBC5396" w14:textId="77777777" w:rsidR="00261AC3" w:rsidRPr="0049187C" w:rsidRDefault="00261AC3" w:rsidP="0049187C">
      <w:pPr>
        <w:spacing w:after="0" w:line="240" w:lineRule="auto"/>
        <w:ind w:left="0" w:firstLine="0"/>
        <w:jc w:val="center"/>
        <w:rPr>
          <w:lang w:val="de-DE"/>
        </w:rPr>
      </w:pPr>
    </w:p>
    <w:p w14:paraId="39DF58CA" w14:textId="77777777" w:rsidR="00261AC3" w:rsidRPr="0049187C" w:rsidRDefault="00261AC3" w:rsidP="0049187C">
      <w:pPr>
        <w:spacing w:after="0" w:line="240" w:lineRule="auto"/>
        <w:ind w:left="0" w:firstLine="0"/>
        <w:jc w:val="center"/>
        <w:rPr>
          <w:lang w:val="de-DE"/>
        </w:rPr>
      </w:pPr>
    </w:p>
    <w:p w14:paraId="485E192B" w14:textId="77777777" w:rsidR="00261AC3" w:rsidRPr="0049187C" w:rsidRDefault="00261AC3" w:rsidP="0049187C">
      <w:pPr>
        <w:spacing w:after="0" w:line="240" w:lineRule="auto"/>
        <w:ind w:left="0" w:firstLine="0"/>
        <w:jc w:val="center"/>
        <w:rPr>
          <w:lang w:val="de-DE"/>
        </w:rPr>
      </w:pPr>
    </w:p>
    <w:p w14:paraId="5CF87404" w14:textId="77777777" w:rsidR="00261AC3" w:rsidRPr="0049187C" w:rsidRDefault="00261AC3" w:rsidP="0049187C">
      <w:pPr>
        <w:spacing w:after="0" w:line="240" w:lineRule="auto"/>
        <w:ind w:left="0" w:firstLine="0"/>
        <w:jc w:val="center"/>
        <w:rPr>
          <w:lang w:val="de-DE"/>
        </w:rPr>
      </w:pPr>
    </w:p>
    <w:p w14:paraId="42879EC9" w14:textId="77777777" w:rsidR="00261AC3" w:rsidRPr="0049187C" w:rsidRDefault="00261AC3" w:rsidP="0049187C">
      <w:pPr>
        <w:spacing w:after="0" w:line="240" w:lineRule="auto"/>
        <w:ind w:left="0" w:firstLine="0"/>
        <w:jc w:val="center"/>
        <w:rPr>
          <w:lang w:val="de-DE"/>
        </w:rPr>
      </w:pPr>
    </w:p>
    <w:p w14:paraId="67E35CFC" w14:textId="77777777" w:rsidR="00261AC3" w:rsidRPr="0049187C" w:rsidRDefault="00261AC3" w:rsidP="0049187C">
      <w:pPr>
        <w:spacing w:after="0" w:line="240" w:lineRule="auto"/>
        <w:ind w:left="0" w:firstLine="0"/>
        <w:jc w:val="center"/>
        <w:rPr>
          <w:lang w:val="de-DE"/>
        </w:rPr>
      </w:pPr>
    </w:p>
    <w:p w14:paraId="187312D4" w14:textId="77777777" w:rsidR="00261AC3" w:rsidRPr="0049187C" w:rsidRDefault="00261AC3" w:rsidP="0049187C">
      <w:pPr>
        <w:spacing w:after="0" w:line="240" w:lineRule="auto"/>
        <w:ind w:left="0" w:firstLine="0"/>
        <w:jc w:val="center"/>
        <w:rPr>
          <w:lang w:val="de-DE"/>
        </w:rPr>
      </w:pPr>
    </w:p>
    <w:p w14:paraId="11A61C58" w14:textId="77777777" w:rsidR="00261AC3" w:rsidRPr="0049187C" w:rsidRDefault="00261AC3" w:rsidP="0049187C">
      <w:pPr>
        <w:spacing w:after="0" w:line="240" w:lineRule="auto"/>
        <w:ind w:left="0" w:firstLine="0"/>
        <w:jc w:val="center"/>
        <w:rPr>
          <w:lang w:val="de-DE"/>
        </w:rPr>
      </w:pPr>
    </w:p>
    <w:p w14:paraId="2C9A20D4" w14:textId="77777777" w:rsidR="00261AC3" w:rsidRPr="0049187C" w:rsidRDefault="00261AC3" w:rsidP="0049187C">
      <w:pPr>
        <w:spacing w:after="0" w:line="240" w:lineRule="auto"/>
        <w:ind w:left="0" w:firstLine="0"/>
        <w:jc w:val="center"/>
        <w:rPr>
          <w:lang w:val="de-DE"/>
        </w:rPr>
      </w:pPr>
    </w:p>
    <w:p w14:paraId="2FEA3C15" w14:textId="77777777" w:rsidR="00F83928" w:rsidRPr="0049187C" w:rsidRDefault="00F83928" w:rsidP="0049187C">
      <w:pPr>
        <w:spacing w:after="0" w:line="240" w:lineRule="auto"/>
        <w:ind w:left="0" w:firstLine="0"/>
        <w:jc w:val="center"/>
        <w:rPr>
          <w:lang w:val="de-DE"/>
        </w:rPr>
      </w:pPr>
    </w:p>
    <w:p w14:paraId="480FCE04" w14:textId="77777777" w:rsidR="00261AC3" w:rsidRPr="0049187C" w:rsidRDefault="00B00716" w:rsidP="0049187C">
      <w:pPr>
        <w:pStyle w:val="Heading1"/>
        <w:spacing w:after="0" w:line="240" w:lineRule="auto"/>
        <w:ind w:left="0" w:firstLine="0"/>
        <w:jc w:val="center"/>
        <w:rPr>
          <w:lang w:val="de-DE"/>
        </w:rPr>
      </w:pPr>
      <w:r w:rsidRPr="0049187C">
        <w:rPr>
          <w:lang w:val="de-DE"/>
        </w:rPr>
        <w:t>A. ETIKETTIERUNG</w:t>
      </w:r>
    </w:p>
    <w:p w14:paraId="215F47DF" w14:textId="77777777" w:rsidR="00F83928" w:rsidRPr="0049187C" w:rsidRDefault="00B00716" w:rsidP="0049187C">
      <w:pPr>
        <w:spacing w:after="0" w:line="240" w:lineRule="auto"/>
        <w:ind w:left="0" w:firstLine="0"/>
        <w:jc w:val="center"/>
        <w:rPr>
          <w:lang w:val="de-DE"/>
        </w:rPr>
      </w:pPr>
      <w:r w:rsidRPr="0049187C">
        <w:rPr>
          <w:lang w:val="de-DE"/>
        </w:rPr>
        <w:br w:type="page"/>
      </w:r>
    </w:p>
    <w:p w14:paraId="5F54F660" w14:textId="77777777" w:rsidR="00261AC3" w:rsidRPr="0049187C" w:rsidRDefault="00B00716" w:rsidP="0049187C">
      <w:pPr>
        <w:pBdr>
          <w:top w:val="single" w:sz="4" w:space="1" w:color="auto"/>
          <w:left w:val="single" w:sz="4" w:space="4" w:color="auto"/>
          <w:bottom w:val="single" w:sz="4" w:space="1" w:color="auto"/>
          <w:right w:val="single" w:sz="4" w:space="4" w:color="auto"/>
        </w:pBdr>
        <w:spacing w:after="0" w:line="240" w:lineRule="auto"/>
        <w:ind w:left="0" w:firstLine="0"/>
        <w:rPr>
          <w:lang w:val="de-DE"/>
        </w:rPr>
      </w:pPr>
      <w:r w:rsidRPr="0049187C">
        <w:rPr>
          <w:b/>
          <w:lang w:val="de-DE"/>
        </w:rPr>
        <w:t>ANGABEN AUF DER ÄUSSEREN UMHÜLLUNG</w:t>
      </w:r>
    </w:p>
    <w:p w14:paraId="597C9BD6" w14:textId="77777777" w:rsidR="00F83928" w:rsidRPr="0049187C" w:rsidRDefault="00F83928" w:rsidP="0049187C">
      <w:pPr>
        <w:pBdr>
          <w:top w:val="single" w:sz="4" w:space="1" w:color="auto"/>
          <w:left w:val="single" w:sz="4" w:space="4" w:color="auto"/>
          <w:bottom w:val="single" w:sz="4" w:space="1" w:color="auto"/>
          <w:right w:val="single" w:sz="4" w:space="4" w:color="auto"/>
        </w:pBdr>
        <w:spacing w:after="0" w:line="240" w:lineRule="auto"/>
        <w:ind w:left="0" w:firstLine="0"/>
        <w:rPr>
          <w:lang w:val="de-DE"/>
        </w:rPr>
      </w:pPr>
    </w:p>
    <w:p w14:paraId="1C734E37" w14:textId="77777777" w:rsidR="00261AC3" w:rsidRPr="0049187C" w:rsidRDefault="00B00716" w:rsidP="0049187C">
      <w:pPr>
        <w:pBdr>
          <w:top w:val="single" w:sz="4" w:space="1" w:color="auto"/>
          <w:left w:val="single" w:sz="4" w:space="4" w:color="auto"/>
          <w:bottom w:val="single" w:sz="4" w:space="1" w:color="auto"/>
          <w:right w:val="single" w:sz="4" w:space="4" w:color="auto"/>
        </w:pBdr>
        <w:spacing w:after="0" w:line="240" w:lineRule="auto"/>
        <w:ind w:left="0" w:firstLine="0"/>
        <w:rPr>
          <w:b/>
          <w:lang w:val="de-DE"/>
        </w:rPr>
      </w:pPr>
      <w:r w:rsidRPr="0049187C">
        <w:rPr>
          <w:b/>
          <w:lang w:val="de-DE"/>
        </w:rPr>
        <w:t>KARTON FÜR FERTIGSPRITZE</w:t>
      </w:r>
    </w:p>
    <w:p w14:paraId="0E8C55EC" w14:textId="77777777" w:rsidR="00261AC3" w:rsidRPr="0049187C" w:rsidRDefault="00261AC3" w:rsidP="0049187C">
      <w:pPr>
        <w:spacing w:after="0" w:line="240" w:lineRule="auto"/>
        <w:ind w:left="0" w:firstLine="0"/>
        <w:rPr>
          <w:lang w:val="de-DE"/>
        </w:rPr>
      </w:pPr>
    </w:p>
    <w:p w14:paraId="38C8EC37" w14:textId="77777777" w:rsidR="00F83928" w:rsidRPr="0049187C" w:rsidRDefault="00F83928" w:rsidP="0049187C">
      <w:pPr>
        <w:spacing w:after="0" w:line="240" w:lineRule="auto"/>
        <w:ind w:left="0" w:firstLine="0"/>
        <w:rPr>
          <w:lang w:val="de-DE"/>
        </w:rPr>
      </w:pPr>
    </w:p>
    <w:p w14:paraId="0F1ADDA3" w14:textId="77777777" w:rsidR="00592671" w:rsidRPr="0049187C" w:rsidRDefault="00B00716" w:rsidP="0049187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de-DE"/>
        </w:rPr>
      </w:pPr>
      <w:r w:rsidRPr="0049187C">
        <w:rPr>
          <w:b/>
          <w:lang w:val="de-DE"/>
        </w:rPr>
        <w:t>1.</w:t>
      </w:r>
      <w:r w:rsidR="00DE2C39" w:rsidRPr="0049187C">
        <w:rPr>
          <w:b/>
          <w:lang w:val="de-DE"/>
        </w:rPr>
        <w:tab/>
      </w:r>
      <w:r w:rsidRPr="0049187C">
        <w:rPr>
          <w:b/>
          <w:lang w:val="de-DE"/>
        </w:rPr>
        <w:t>BEZEICHNUNG DES ARZNEIMITTELS</w:t>
      </w:r>
      <w:r w:rsidRPr="0049187C">
        <w:rPr>
          <w:lang w:val="de-DE"/>
        </w:rPr>
        <w:t xml:space="preserve"> </w:t>
      </w:r>
    </w:p>
    <w:p w14:paraId="14B58006" w14:textId="77777777" w:rsidR="00261AC3" w:rsidRPr="0049187C" w:rsidRDefault="00261AC3" w:rsidP="0049187C">
      <w:pPr>
        <w:keepNext/>
        <w:keepLines/>
        <w:spacing w:after="0" w:line="240" w:lineRule="auto"/>
        <w:ind w:left="0" w:firstLine="0"/>
        <w:rPr>
          <w:lang w:val="de-DE"/>
        </w:rPr>
      </w:pPr>
    </w:p>
    <w:p w14:paraId="11FD1670" w14:textId="77777777" w:rsidR="00261AC3" w:rsidRPr="0049187C" w:rsidRDefault="00B00716" w:rsidP="0049187C">
      <w:pPr>
        <w:spacing w:after="0" w:line="240" w:lineRule="auto"/>
        <w:ind w:left="0" w:firstLine="0"/>
        <w:rPr>
          <w:lang w:val="de-DE"/>
        </w:rPr>
      </w:pPr>
      <w:r w:rsidRPr="0049187C">
        <w:rPr>
          <w:lang w:val="de-DE"/>
        </w:rPr>
        <w:t>Jubbonti</w:t>
      </w:r>
      <w:r w:rsidR="00093102" w:rsidRPr="0049187C">
        <w:rPr>
          <w:lang w:val="de-DE"/>
        </w:rPr>
        <w:t xml:space="preserve"> </w:t>
      </w:r>
      <w:r w:rsidRPr="0049187C">
        <w:rPr>
          <w:lang w:val="de-DE"/>
        </w:rPr>
        <w:t>60 </w:t>
      </w:r>
      <w:r w:rsidR="00FD7DFF" w:rsidRPr="0049187C">
        <w:rPr>
          <w:lang w:val="de-DE"/>
        </w:rPr>
        <w:t>mg Injektionslösung in einer Fertigspritze</w:t>
      </w:r>
    </w:p>
    <w:p w14:paraId="35527944" w14:textId="77777777" w:rsidR="00261AC3" w:rsidRPr="0049187C" w:rsidRDefault="00B00716" w:rsidP="0049187C">
      <w:pPr>
        <w:spacing w:after="0" w:line="240" w:lineRule="auto"/>
        <w:ind w:left="0" w:firstLine="0"/>
        <w:rPr>
          <w:lang w:val="de-DE"/>
        </w:rPr>
      </w:pPr>
      <w:r w:rsidRPr="0049187C">
        <w:rPr>
          <w:lang w:val="de-DE"/>
        </w:rPr>
        <w:t>Denosumab</w:t>
      </w:r>
      <w:r w:rsidR="0097480B" w:rsidRPr="0049187C">
        <w:rPr>
          <w:lang w:val="de-DE"/>
        </w:rPr>
        <w:t xml:space="preserve"> </w:t>
      </w:r>
      <w:r w:rsidR="0097480B" w:rsidRPr="0049187C">
        <w:rPr>
          <w:highlight w:val="lightGray"/>
          <w:lang w:val="de-DE"/>
        </w:rPr>
        <w:t>(denosumab)</w:t>
      </w:r>
    </w:p>
    <w:p w14:paraId="3802F07B" w14:textId="77777777" w:rsidR="00261AC3" w:rsidRPr="0049187C" w:rsidRDefault="00261AC3" w:rsidP="0049187C">
      <w:pPr>
        <w:spacing w:after="0" w:line="240" w:lineRule="auto"/>
        <w:ind w:left="0" w:firstLine="0"/>
        <w:rPr>
          <w:lang w:val="de-DE"/>
        </w:rPr>
      </w:pPr>
    </w:p>
    <w:p w14:paraId="63D08329" w14:textId="77777777" w:rsidR="00F83928" w:rsidRPr="0049187C" w:rsidRDefault="00F83928" w:rsidP="0049187C">
      <w:pPr>
        <w:spacing w:after="0" w:line="240" w:lineRule="auto"/>
        <w:ind w:left="0" w:firstLine="0"/>
        <w:rPr>
          <w:lang w:val="de-DE"/>
        </w:rPr>
      </w:pPr>
    </w:p>
    <w:p w14:paraId="5144ABFD" w14:textId="77777777" w:rsidR="00592671" w:rsidRPr="0049187C" w:rsidRDefault="00B00716" w:rsidP="0049187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de-DE"/>
        </w:rPr>
      </w:pPr>
      <w:r w:rsidRPr="0049187C">
        <w:rPr>
          <w:b/>
          <w:lang w:val="de-DE"/>
        </w:rPr>
        <w:t>2.</w:t>
      </w:r>
      <w:r w:rsidR="00DE2C39" w:rsidRPr="0049187C">
        <w:rPr>
          <w:b/>
          <w:lang w:val="de-DE"/>
        </w:rPr>
        <w:tab/>
      </w:r>
      <w:r w:rsidRPr="0049187C">
        <w:rPr>
          <w:b/>
          <w:lang w:val="de-DE"/>
        </w:rPr>
        <w:t>WIRKSTOFF</w:t>
      </w:r>
      <w:r w:rsidR="00341DD5" w:rsidRPr="0049187C">
        <w:rPr>
          <w:b/>
          <w:lang w:val="de-DE"/>
        </w:rPr>
        <w:t>(E)</w:t>
      </w:r>
      <w:r w:rsidRPr="0049187C">
        <w:rPr>
          <w:b/>
          <w:lang w:val="de-DE"/>
        </w:rPr>
        <w:t xml:space="preserve"> </w:t>
      </w:r>
    </w:p>
    <w:p w14:paraId="5286D88F" w14:textId="77777777" w:rsidR="00261AC3" w:rsidRPr="0049187C" w:rsidRDefault="00261AC3" w:rsidP="0049187C">
      <w:pPr>
        <w:keepNext/>
        <w:keepLines/>
        <w:spacing w:after="0" w:line="240" w:lineRule="auto"/>
        <w:ind w:left="0" w:firstLine="0"/>
        <w:rPr>
          <w:lang w:val="de-DE"/>
        </w:rPr>
      </w:pPr>
    </w:p>
    <w:p w14:paraId="1A2EC303" w14:textId="77777777" w:rsidR="00261AC3" w:rsidRPr="0049187C" w:rsidRDefault="00B00716" w:rsidP="0049187C">
      <w:pPr>
        <w:spacing w:after="0" w:line="240" w:lineRule="auto"/>
        <w:ind w:left="0" w:firstLine="0"/>
        <w:rPr>
          <w:lang w:val="de-DE"/>
        </w:rPr>
      </w:pPr>
      <w:r w:rsidRPr="0049187C">
        <w:rPr>
          <w:lang w:val="de-DE"/>
        </w:rPr>
        <w:t>1 </w:t>
      </w:r>
      <w:r w:rsidR="00FD7DFF" w:rsidRPr="0049187C">
        <w:rPr>
          <w:lang w:val="de-DE"/>
        </w:rPr>
        <w:t>ml Fertigspritze enthält</w:t>
      </w:r>
      <w:r w:rsidR="00093102" w:rsidRPr="0049187C">
        <w:rPr>
          <w:lang w:val="de-DE"/>
        </w:rPr>
        <w:t xml:space="preserve"> </w:t>
      </w:r>
      <w:r w:rsidRPr="0049187C">
        <w:rPr>
          <w:lang w:val="de-DE"/>
        </w:rPr>
        <w:t>60 </w:t>
      </w:r>
      <w:r w:rsidR="00FD7DFF" w:rsidRPr="0049187C">
        <w:rPr>
          <w:lang w:val="de-DE"/>
        </w:rPr>
        <w:t>mg Denosumab (6</w:t>
      </w:r>
      <w:r w:rsidRPr="0049187C">
        <w:rPr>
          <w:lang w:val="de-DE"/>
        </w:rPr>
        <w:t>0 </w:t>
      </w:r>
      <w:r w:rsidR="00FD7DFF" w:rsidRPr="0049187C">
        <w:rPr>
          <w:lang w:val="de-DE"/>
        </w:rPr>
        <w:t>mg/ml).</w:t>
      </w:r>
    </w:p>
    <w:p w14:paraId="0EFC147F" w14:textId="77777777" w:rsidR="00261AC3" w:rsidRPr="0049187C" w:rsidRDefault="00261AC3" w:rsidP="0049187C">
      <w:pPr>
        <w:spacing w:after="0" w:line="240" w:lineRule="auto"/>
        <w:ind w:left="0" w:firstLine="0"/>
        <w:rPr>
          <w:lang w:val="de-DE"/>
        </w:rPr>
      </w:pPr>
    </w:p>
    <w:p w14:paraId="77AB0DC5" w14:textId="77777777" w:rsidR="00F83928" w:rsidRPr="0049187C" w:rsidRDefault="00F83928" w:rsidP="0049187C">
      <w:pPr>
        <w:spacing w:after="0" w:line="240" w:lineRule="auto"/>
        <w:ind w:left="0" w:firstLine="0"/>
        <w:rPr>
          <w:lang w:val="de-DE"/>
        </w:rPr>
      </w:pPr>
    </w:p>
    <w:p w14:paraId="783C4343" w14:textId="77777777" w:rsidR="00592671" w:rsidRPr="0049187C" w:rsidRDefault="00B00716" w:rsidP="0049187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de-DE"/>
        </w:rPr>
      </w:pPr>
      <w:r w:rsidRPr="0049187C">
        <w:rPr>
          <w:b/>
          <w:lang w:val="de-DE"/>
        </w:rPr>
        <w:t>3.</w:t>
      </w:r>
      <w:r w:rsidR="00DE2C39" w:rsidRPr="0049187C">
        <w:rPr>
          <w:b/>
          <w:lang w:val="de-DE"/>
        </w:rPr>
        <w:tab/>
      </w:r>
      <w:r w:rsidRPr="0049187C">
        <w:rPr>
          <w:b/>
          <w:lang w:val="de-DE"/>
        </w:rPr>
        <w:t>SONSTIGE BESTANDTEILE</w:t>
      </w:r>
      <w:r w:rsidRPr="0049187C">
        <w:rPr>
          <w:lang w:val="de-DE"/>
        </w:rPr>
        <w:t xml:space="preserve"> </w:t>
      </w:r>
    </w:p>
    <w:p w14:paraId="3AED558E" w14:textId="77777777" w:rsidR="00261AC3" w:rsidRPr="0049187C" w:rsidRDefault="00261AC3" w:rsidP="0049187C">
      <w:pPr>
        <w:keepNext/>
        <w:keepLines/>
        <w:spacing w:after="0" w:line="240" w:lineRule="auto"/>
        <w:ind w:left="0" w:firstLine="0"/>
        <w:rPr>
          <w:lang w:val="de-DE"/>
        </w:rPr>
      </w:pPr>
    </w:p>
    <w:p w14:paraId="3DF7F7EF" w14:textId="77777777" w:rsidR="00261AC3" w:rsidRPr="0049187C" w:rsidRDefault="00B00716" w:rsidP="0049187C">
      <w:pPr>
        <w:spacing w:after="0" w:line="240" w:lineRule="auto"/>
        <w:ind w:left="0" w:firstLine="0"/>
        <w:rPr>
          <w:lang w:val="de-DE"/>
        </w:rPr>
      </w:pPr>
      <w:r w:rsidRPr="0049187C">
        <w:rPr>
          <w:lang w:val="de-DE"/>
        </w:rPr>
        <w:t xml:space="preserve">Sonstige Bestandteile: </w:t>
      </w:r>
      <w:r w:rsidR="00FD7DFF" w:rsidRPr="0049187C">
        <w:rPr>
          <w:lang w:val="de-DE"/>
        </w:rPr>
        <w:t>Essigsäure</w:t>
      </w:r>
      <w:r w:rsidRPr="0049187C">
        <w:rPr>
          <w:lang w:val="de-DE"/>
        </w:rPr>
        <w:t> 99 </w:t>
      </w:r>
      <w:r w:rsidR="00FD7DFF" w:rsidRPr="0049187C">
        <w:rPr>
          <w:lang w:val="de-DE"/>
        </w:rPr>
        <w:t>%, Sorbitol (E</w:t>
      </w:r>
      <w:r w:rsidRPr="0049187C">
        <w:rPr>
          <w:lang w:val="de-DE"/>
        </w:rPr>
        <w:t> 4</w:t>
      </w:r>
      <w:r w:rsidR="00FD7DFF" w:rsidRPr="0049187C">
        <w:rPr>
          <w:lang w:val="de-DE"/>
        </w:rPr>
        <w:t xml:space="preserve">20), </w:t>
      </w:r>
      <w:r w:rsidRPr="0049187C">
        <w:rPr>
          <w:lang w:val="de-DE"/>
        </w:rPr>
        <w:t xml:space="preserve">Salzsäure, Natriumhydroxid, </w:t>
      </w:r>
      <w:r w:rsidR="00FD7DFF" w:rsidRPr="0049187C">
        <w:rPr>
          <w:lang w:val="de-DE"/>
        </w:rPr>
        <w:t>Polysorbat</w:t>
      </w:r>
      <w:r w:rsidRPr="0049187C">
        <w:rPr>
          <w:lang w:val="de-DE"/>
        </w:rPr>
        <w:t> 2</w:t>
      </w:r>
      <w:r w:rsidR="00FD7DFF" w:rsidRPr="0049187C">
        <w:rPr>
          <w:lang w:val="de-DE"/>
        </w:rPr>
        <w:t>0, Wasser für Injektionszwecke.</w:t>
      </w:r>
    </w:p>
    <w:p w14:paraId="6CEF735F" w14:textId="77777777" w:rsidR="00261AC3" w:rsidRPr="0049187C" w:rsidRDefault="00261AC3" w:rsidP="0049187C">
      <w:pPr>
        <w:spacing w:after="0" w:line="240" w:lineRule="auto"/>
        <w:ind w:left="0" w:firstLine="0"/>
        <w:rPr>
          <w:lang w:val="de-DE"/>
        </w:rPr>
      </w:pPr>
    </w:p>
    <w:p w14:paraId="392A04C4" w14:textId="77777777" w:rsidR="00F83928" w:rsidRPr="0049187C" w:rsidRDefault="00F83928" w:rsidP="0049187C">
      <w:pPr>
        <w:spacing w:after="0" w:line="240" w:lineRule="auto"/>
        <w:ind w:left="0" w:firstLine="0"/>
        <w:rPr>
          <w:lang w:val="de-DE"/>
        </w:rPr>
      </w:pPr>
    </w:p>
    <w:p w14:paraId="1C05936B" w14:textId="77777777" w:rsidR="00592671" w:rsidRPr="0049187C" w:rsidRDefault="00B00716" w:rsidP="0049187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de-DE"/>
        </w:rPr>
      </w:pPr>
      <w:r w:rsidRPr="0049187C">
        <w:rPr>
          <w:b/>
          <w:lang w:val="de-DE"/>
        </w:rPr>
        <w:t>4.</w:t>
      </w:r>
      <w:r w:rsidR="00DE2C39" w:rsidRPr="0049187C">
        <w:rPr>
          <w:b/>
          <w:lang w:val="de-DE"/>
        </w:rPr>
        <w:tab/>
      </w:r>
      <w:r w:rsidRPr="0049187C">
        <w:rPr>
          <w:b/>
          <w:lang w:val="de-DE"/>
        </w:rPr>
        <w:t>DARREICHUNGSFORM UND INHALT</w:t>
      </w:r>
      <w:r w:rsidRPr="0049187C">
        <w:rPr>
          <w:lang w:val="de-DE"/>
        </w:rPr>
        <w:t xml:space="preserve"> </w:t>
      </w:r>
    </w:p>
    <w:p w14:paraId="1CF53CE6" w14:textId="77777777" w:rsidR="00261AC3" w:rsidRPr="0049187C" w:rsidRDefault="00261AC3" w:rsidP="0049187C">
      <w:pPr>
        <w:keepNext/>
        <w:keepLines/>
        <w:spacing w:after="0" w:line="240" w:lineRule="auto"/>
        <w:ind w:left="0" w:firstLine="0"/>
        <w:rPr>
          <w:lang w:val="de-DE"/>
        </w:rPr>
      </w:pPr>
    </w:p>
    <w:p w14:paraId="072E12E8" w14:textId="77777777" w:rsidR="00261AC3" w:rsidRPr="0049187C" w:rsidRDefault="00B00716" w:rsidP="0049187C">
      <w:pPr>
        <w:spacing w:after="0" w:line="240" w:lineRule="auto"/>
        <w:ind w:left="0" w:firstLine="0"/>
        <w:rPr>
          <w:lang w:val="de-DE"/>
        </w:rPr>
      </w:pPr>
      <w:r w:rsidRPr="0049187C">
        <w:rPr>
          <w:shd w:val="clear" w:color="auto" w:fill="C0C0C0"/>
          <w:lang w:val="de-DE"/>
        </w:rPr>
        <w:t>Injektionslösung</w:t>
      </w:r>
    </w:p>
    <w:p w14:paraId="0D980F79" w14:textId="77777777" w:rsidR="00261AC3" w:rsidRPr="0049187C" w:rsidRDefault="00B00716" w:rsidP="0049187C">
      <w:pPr>
        <w:spacing w:after="0" w:line="240" w:lineRule="auto"/>
        <w:ind w:left="0" w:firstLine="0"/>
        <w:rPr>
          <w:lang w:val="de-DE"/>
        </w:rPr>
      </w:pPr>
      <w:r w:rsidRPr="0049187C">
        <w:rPr>
          <w:lang w:val="de-DE"/>
        </w:rPr>
        <w:t>1 </w:t>
      </w:r>
      <w:r w:rsidR="00FD7DFF" w:rsidRPr="0049187C">
        <w:rPr>
          <w:lang w:val="de-DE"/>
        </w:rPr>
        <w:t xml:space="preserve">Fertigspritze mit </w:t>
      </w:r>
      <w:r w:rsidRPr="0049187C">
        <w:rPr>
          <w:lang w:val="de-DE"/>
        </w:rPr>
        <w:t>S</w:t>
      </w:r>
      <w:r w:rsidR="00FD7DFF" w:rsidRPr="0049187C">
        <w:rPr>
          <w:lang w:val="de-DE"/>
        </w:rPr>
        <w:t>chutz</w:t>
      </w:r>
      <w:r w:rsidR="00620AC4" w:rsidRPr="0049187C">
        <w:rPr>
          <w:lang w:val="de-DE"/>
        </w:rPr>
        <w:t>vorrichtung</w:t>
      </w:r>
      <w:r w:rsidR="00FD7DFF" w:rsidRPr="0049187C">
        <w:rPr>
          <w:lang w:val="de-DE"/>
        </w:rPr>
        <w:t>.</w:t>
      </w:r>
    </w:p>
    <w:p w14:paraId="1D96497C" w14:textId="77777777" w:rsidR="00261AC3" w:rsidRPr="0049187C" w:rsidRDefault="00261AC3" w:rsidP="0049187C">
      <w:pPr>
        <w:spacing w:after="0" w:line="240" w:lineRule="auto"/>
        <w:ind w:left="0" w:firstLine="0"/>
        <w:rPr>
          <w:lang w:val="de-DE"/>
        </w:rPr>
      </w:pPr>
    </w:p>
    <w:p w14:paraId="298DDA30" w14:textId="77777777" w:rsidR="00F83928" w:rsidRPr="0049187C" w:rsidRDefault="00F83928" w:rsidP="0049187C">
      <w:pPr>
        <w:spacing w:after="0" w:line="240" w:lineRule="auto"/>
        <w:ind w:left="0" w:firstLine="0"/>
        <w:rPr>
          <w:lang w:val="de-DE"/>
        </w:rPr>
      </w:pPr>
    </w:p>
    <w:p w14:paraId="41F8297F" w14:textId="77777777" w:rsidR="00592671" w:rsidRPr="0049187C" w:rsidRDefault="00B00716" w:rsidP="0049187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de-DE"/>
        </w:rPr>
      </w:pPr>
      <w:r w:rsidRPr="0049187C">
        <w:rPr>
          <w:b/>
          <w:lang w:val="de-DE"/>
        </w:rPr>
        <w:t>5.</w:t>
      </w:r>
      <w:r w:rsidR="00DE2C39" w:rsidRPr="0049187C">
        <w:rPr>
          <w:b/>
          <w:lang w:val="de-DE"/>
        </w:rPr>
        <w:tab/>
      </w:r>
      <w:r w:rsidRPr="0049187C">
        <w:rPr>
          <w:b/>
          <w:lang w:val="de-DE"/>
        </w:rPr>
        <w:t>HINWEISE ZUR UND ART</w:t>
      </w:r>
      <w:r w:rsidR="00341DD5" w:rsidRPr="0049187C">
        <w:rPr>
          <w:b/>
          <w:lang w:val="de-DE"/>
        </w:rPr>
        <w:t>(EN)</w:t>
      </w:r>
      <w:r w:rsidRPr="0049187C">
        <w:rPr>
          <w:b/>
          <w:lang w:val="de-DE"/>
        </w:rPr>
        <w:t xml:space="preserve"> DER ANWENDUNG</w:t>
      </w:r>
      <w:r w:rsidRPr="0049187C">
        <w:rPr>
          <w:lang w:val="de-DE"/>
        </w:rPr>
        <w:t xml:space="preserve"> </w:t>
      </w:r>
    </w:p>
    <w:p w14:paraId="685CC09B" w14:textId="77777777" w:rsidR="00261AC3" w:rsidRPr="0049187C" w:rsidRDefault="00261AC3" w:rsidP="0049187C">
      <w:pPr>
        <w:keepNext/>
        <w:keepLines/>
        <w:spacing w:after="0" w:line="240" w:lineRule="auto"/>
        <w:ind w:left="0" w:firstLine="0"/>
        <w:rPr>
          <w:lang w:val="de-DE"/>
        </w:rPr>
      </w:pPr>
    </w:p>
    <w:p w14:paraId="4955E17C" w14:textId="77777777" w:rsidR="00261AC3" w:rsidRPr="0049187C" w:rsidRDefault="00B00716" w:rsidP="0049187C">
      <w:pPr>
        <w:spacing w:after="0" w:line="240" w:lineRule="auto"/>
        <w:ind w:left="0" w:firstLine="0"/>
        <w:rPr>
          <w:lang w:val="de-DE"/>
        </w:rPr>
      </w:pPr>
      <w:r w:rsidRPr="0049187C">
        <w:rPr>
          <w:lang w:val="de-DE"/>
        </w:rPr>
        <w:t>Subkutane Anwendung.</w:t>
      </w:r>
    </w:p>
    <w:p w14:paraId="7EB83074" w14:textId="77777777" w:rsidR="004736C1" w:rsidRPr="0049187C" w:rsidRDefault="00B00716" w:rsidP="0049187C">
      <w:pPr>
        <w:spacing w:after="0" w:line="240" w:lineRule="auto"/>
        <w:ind w:left="0" w:firstLine="0"/>
        <w:rPr>
          <w:lang w:val="de-DE"/>
        </w:rPr>
      </w:pPr>
      <w:r w:rsidRPr="0049187C">
        <w:rPr>
          <w:lang w:val="de-DE"/>
        </w:rPr>
        <w:t>Packungsbeilage beachten.</w:t>
      </w:r>
    </w:p>
    <w:p w14:paraId="7B27CD3F" w14:textId="77777777" w:rsidR="00261AC3" w:rsidRPr="0049187C" w:rsidRDefault="00B00716" w:rsidP="0049187C">
      <w:pPr>
        <w:spacing w:after="0" w:line="240" w:lineRule="auto"/>
        <w:ind w:left="0" w:firstLine="0"/>
        <w:rPr>
          <w:lang w:val="de-DE"/>
        </w:rPr>
      </w:pPr>
      <w:r w:rsidRPr="0049187C">
        <w:rPr>
          <w:lang w:val="de-DE"/>
        </w:rPr>
        <w:t>Nicht schütteln.</w:t>
      </w:r>
    </w:p>
    <w:p w14:paraId="40F9D483" w14:textId="77777777" w:rsidR="004736C1" w:rsidRPr="0049187C" w:rsidRDefault="00B00716" w:rsidP="0049187C">
      <w:pPr>
        <w:spacing w:after="0" w:line="240" w:lineRule="auto"/>
        <w:ind w:left="0" w:firstLine="0"/>
        <w:rPr>
          <w:lang w:val="de-DE"/>
        </w:rPr>
      </w:pPr>
      <w:r w:rsidRPr="0049187C">
        <w:rPr>
          <w:lang w:val="de-DE"/>
        </w:rPr>
        <w:t>Nicht verwenden, wenn Sicherheitssiegel beschädigt sind.</w:t>
      </w:r>
    </w:p>
    <w:p w14:paraId="4B5A6B59" w14:textId="77777777" w:rsidR="004736C1" w:rsidRPr="0049187C" w:rsidRDefault="004736C1" w:rsidP="0049187C">
      <w:pPr>
        <w:spacing w:after="0" w:line="240" w:lineRule="auto"/>
        <w:ind w:left="0" w:firstLine="0"/>
        <w:rPr>
          <w:lang w:val="de-DE"/>
        </w:rPr>
      </w:pPr>
    </w:p>
    <w:p w14:paraId="66D5134A" w14:textId="77777777" w:rsidR="004736C1" w:rsidRPr="0049187C" w:rsidRDefault="004736C1" w:rsidP="0049187C">
      <w:pPr>
        <w:spacing w:after="0" w:line="240" w:lineRule="auto"/>
        <w:ind w:left="0" w:firstLine="0"/>
        <w:rPr>
          <w:lang w:val="de-DE"/>
        </w:rPr>
      </w:pPr>
    </w:p>
    <w:p w14:paraId="1751F58C" w14:textId="77777777" w:rsidR="00592671" w:rsidRPr="0049187C" w:rsidRDefault="00B00716" w:rsidP="0049187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de-DE"/>
        </w:rPr>
      </w:pPr>
      <w:r w:rsidRPr="0049187C">
        <w:rPr>
          <w:b/>
          <w:lang w:val="de-DE"/>
        </w:rPr>
        <w:t>6.</w:t>
      </w:r>
      <w:r w:rsidR="00DE2C39" w:rsidRPr="0049187C">
        <w:rPr>
          <w:b/>
          <w:lang w:val="de-DE"/>
        </w:rPr>
        <w:tab/>
      </w:r>
      <w:r w:rsidRPr="0049187C">
        <w:rPr>
          <w:b/>
          <w:lang w:val="de-DE"/>
        </w:rPr>
        <w:t>WARNHINWEIS, DASS DAS ARZNEIMITTEL FÜR KINDER UNZUGÄNGLICH AUFZUBEWAHREN IST</w:t>
      </w:r>
      <w:r w:rsidRPr="0049187C">
        <w:rPr>
          <w:lang w:val="de-DE"/>
        </w:rPr>
        <w:t xml:space="preserve"> </w:t>
      </w:r>
    </w:p>
    <w:p w14:paraId="3E45B268" w14:textId="77777777" w:rsidR="00261AC3" w:rsidRPr="0049187C" w:rsidRDefault="00261AC3" w:rsidP="0049187C">
      <w:pPr>
        <w:keepNext/>
        <w:keepLines/>
        <w:spacing w:after="0" w:line="240" w:lineRule="auto"/>
        <w:ind w:left="0" w:firstLine="0"/>
        <w:rPr>
          <w:lang w:val="de-DE"/>
        </w:rPr>
      </w:pPr>
    </w:p>
    <w:p w14:paraId="12DA229D" w14:textId="77777777" w:rsidR="00261AC3" w:rsidRPr="0049187C" w:rsidRDefault="00B00716" w:rsidP="0049187C">
      <w:pPr>
        <w:spacing w:after="0" w:line="240" w:lineRule="auto"/>
        <w:ind w:left="0" w:firstLine="0"/>
        <w:rPr>
          <w:lang w:val="de-DE"/>
        </w:rPr>
      </w:pPr>
      <w:r w:rsidRPr="0049187C">
        <w:rPr>
          <w:lang w:val="de-DE"/>
        </w:rPr>
        <w:t>Arzneimittel für Kinder unzugänglich aufbewahren.</w:t>
      </w:r>
    </w:p>
    <w:p w14:paraId="556EAAEA" w14:textId="77777777" w:rsidR="00261AC3" w:rsidRPr="0049187C" w:rsidRDefault="00261AC3" w:rsidP="0049187C">
      <w:pPr>
        <w:spacing w:after="0" w:line="240" w:lineRule="auto"/>
        <w:ind w:left="0" w:firstLine="0"/>
        <w:rPr>
          <w:lang w:val="de-DE"/>
        </w:rPr>
      </w:pPr>
    </w:p>
    <w:p w14:paraId="119FB099" w14:textId="77777777" w:rsidR="00F83928" w:rsidRPr="0049187C" w:rsidRDefault="00F83928" w:rsidP="0049187C">
      <w:pPr>
        <w:spacing w:after="0" w:line="240" w:lineRule="auto"/>
        <w:ind w:left="0" w:firstLine="0"/>
        <w:rPr>
          <w:lang w:val="de-DE"/>
        </w:rPr>
      </w:pPr>
    </w:p>
    <w:p w14:paraId="36468C0A" w14:textId="77777777" w:rsidR="00592671" w:rsidRPr="0049187C" w:rsidRDefault="00B00716" w:rsidP="0049187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de-DE"/>
        </w:rPr>
      </w:pPr>
      <w:r w:rsidRPr="0049187C">
        <w:rPr>
          <w:b/>
          <w:lang w:val="de-DE"/>
        </w:rPr>
        <w:t>7.</w:t>
      </w:r>
      <w:r w:rsidR="00DE2C39" w:rsidRPr="0049187C">
        <w:rPr>
          <w:b/>
          <w:lang w:val="de-DE"/>
        </w:rPr>
        <w:tab/>
      </w:r>
      <w:r w:rsidRPr="0049187C">
        <w:rPr>
          <w:b/>
          <w:lang w:val="de-DE"/>
        </w:rPr>
        <w:t>WEITERE WARNHINWEISE, FALLS ERFORDERLICH</w:t>
      </w:r>
      <w:r w:rsidRPr="0049187C">
        <w:rPr>
          <w:lang w:val="de-DE"/>
        </w:rPr>
        <w:t xml:space="preserve"> </w:t>
      </w:r>
    </w:p>
    <w:p w14:paraId="4B7726C9" w14:textId="77777777" w:rsidR="00261AC3" w:rsidRPr="0049187C" w:rsidRDefault="00261AC3" w:rsidP="0049187C">
      <w:pPr>
        <w:keepNext/>
        <w:keepLines/>
        <w:spacing w:after="0" w:line="240" w:lineRule="auto"/>
        <w:ind w:left="0" w:firstLine="0"/>
        <w:rPr>
          <w:lang w:val="de-DE"/>
        </w:rPr>
      </w:pPr>
    </w:p>
    <w:p w14:paraId="3517CDFA" w14:textId="77777777" w:rsidR="00F83928" w:rsidRPr="0049187C" w:rsidRDefault="00F83928" w:rsidP="0049187C">
      <w:pPr>
        <w:spacing w:after="0" w:line="240" w:lineRule="auto"/>
        <w:ind w:left="0" w:firstLine="0"/>
        <w:rPr>
          <w:lang w:val="de-DE"/>
        </w:rPr>
      </w:pPr>
    </w:p>
    <w:p w14:paraId="6D45CB4E" w14:textId="77777777" w:rsidR="00592671" w:rsidRPr="0049187C" w:rsidRDefault="00B00716" w:rsidP="0049187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de-DE"/>
        </w:rPr>
      </w:pPr>
      <w:r w:rsidRPr="0049187C">
        <w:rPr>
          <w:b/>
          <w:lang w:val="de-DE"/>
        </w:rPr>
        <w:t>8.</w:t>
      </w:r>
      <w:r w:rsidR="00DE2C39" w:rsidRPr="0049187C">
        <w:rPr>
          <w:b/>
          <w:lang w:val="de-DE"/>
        </w:rPr>
        <w:tab/>
      </w:r>
      <w:r w:rsidRPr="0049187C">
        <w:rPr>
          <w:b/>
          <w:lang w:val="de-DE"/>
        </w:rPr>
        <w:t>VERFALLDATUM</w:t>
      </w:r>
      <w:r w:rsidRPr="0049187C">
        <w:rPr>
          <w:lang w:val="de-DE"/>
        </w:rPr>
        <w:t xml:space="preserve"> </w:t>
      </w:r>
    </w:p>
    <w:p w14:paraId="29956739" w14:textId="77777777" w:rsidR="00261AC3" w:rsidRPr="0049187C" w:rsidRDefault="00261AC3" w:rsidP="0049187C">
      <w:pPr>
        <w:keepNext/>
        <w:keepLines/>
        <w:spacing w:after="0" w:line="240" w:lineRule="auto"/>
        <w:ind w:left="0" w:firstLine="0"/>
        <w:rPr>
          <w:lang w:val="de-DE"/>
        </w:rPr>
      </w:pPr>
    </w:p>
    <w:p w14:paraId="63A5C128" w14:textId="77777777" w:rsidR="00261AC3" w:rsidRPr="0049187C" w:rsidRDefault="00B00716" w:rsidP="0049187C">
      <w:pPr>
        <w:spacing w:after="0" w:line="240" w:lineRule="auto"/>
        <w:ind w:left="0" w:firstLine="0"/>
        <w:rPr>
          <w:lang w:val="de-DE"/>
        </w:rPr>
      </w:pPr>
      <w:r w:rsidRPr="0049187C">
        <w:rPr>
          <w:lang w:val="de-DE"/>
        </w:rPr>
        <w:t>verwendbar bis</w:t>
      </w:r>
    </w:p>
    <w:p w14:paraId="68F0185C" w14:textId="77777777" w:rsidR="00261AC3" w:rsidRPr="0049187C" w:rsidRDefault="00261AC3" w:rsidP="0049187C">
      <w:pPr>
        <w:spacing w:after="0" w:line="240" w:lineRule="auto"/>
        <w:ind w:left="0" w:firstLine="0"/>
        <w:rPr>
          <w:lang w:val="de-DE"/>
        </w:rPr>
      </w:pPr>
    </w:p>
    <w:p w14:paraId="5DE372C9" w14:textId="77777777" w:rsidR="00F83928" w:rsidRPr="0049187C" w:rsidRDefault="00F83928" w:rsidP="0049187C">
      <w:pPr>
        <w:spacing w:after="0" w:line="240" w:lineRule="auto"/>
        <w:ind w:left="0" w:firstLine="0"/>
        <w:rPr>
          <w:lang w:val="de-DE"/>
        </w:rPr>
      </w:pPr>
    </w:p>
    <w:p w14:paraId="79B78266" w14:textId="77777777" w:rsidR="00592671" w:rsidRPr="0049187C" w:rsidRDefault="00B00716" w:rsidP="0049187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de-DE"/>
        </w:rPr>
      </w:pPr>
      <w:r w:rsidRPr="0049187C">
        <w:rPr>
          <w:b/>
          <w:lang w:val="de-DE"/>
        </w:rPr>
        <w:t>9.</w:t>
      </w:r>
      <w:r w:rsidR="00DE2C39" w:rsidRPr="0049187C">
        <w:rPr>
          <w:b/>
          <w:lang w:val="de-DE"/>
        </w:rPr>
        <w:tab/>
      </w:r>
      <w:r w:rsidRPr="0049187C">
        <w:rPr>
          <w:b/>
          <w:lang w:val="de-DE"/>
        </w:rPr>
        <w:t>BESONDERE VORSICHTSMASSNAHMEN FÜR DIE AUFBEWAHRUNG</w:t>
      </w:r>
      <w:r w:rsidRPr="0049187C">
        <w:rPr>
          <w:lang w:val="de-DE"/>
        </w:rPr>
        <w:t xml:space="preserve"> </w:t>
      </w:r>
    </w:p>
    <w:p w14:paraId="10128D27" w14:textId="77777777" w:rsidR="00261AC3" w:rsidRPr="0049187C" w:rsidRDefault="00261AC3" w:rsidP="0049187C">
      <w:pPr>
        <w:keepNext/>
        <w:keepLines/>
        <w:spacing w:after="0" w:line="240" w:lineRule="auto"/>
        <w:ind w:left="0" w:firstLine="0"/>
        <w:rPr>
          <w:lang w:val="de-DE"/>
        </w:rPr>
      </w:pPr>
    </w:p>
    <w:p w14:paraId="32BDBBA7" w14:textId="77777777" w:rsidR="00261AC3" w:rsidRPr="0049187C" w:rsidRDefault="00B00716" w:rsidP="0049187C">
      <w:pPr>
        <w:keepNext/>
        <w:keepLines/>
        <w:spacing w:after="0" w:line="240" w:lineRule="auto"/>
        <w:ind w:left="0" w:firstLine="0"/>
        <w:rPr>
          <w:lang w:val="de-DE"/>
        </w:rPr>
      </w:pPr>
      <w:r w:rsidRPr="0049187C">
        <w:rPr>
          <w:lang w:val="de-DE"/>
        </w:rPr>
        <w:t>Im Kühlschrank lagern.</w:t>
      </w:r>
    </w:p>
    <w:p w14:paraId="33D4CF22" w14:textId="77777777" w:rsidR="00261AC3" w:rsidRPr="0049187C" w:rsidRDefault="00B00716" w:rsidP="0049187C">
      <w:pPr>
        <w:spacing w:after="0" w:line="240" w:lineRule="auto"/>
        <w:ind w:left="0" w:firstLine="0"/>
        <w:rPr>
          <w:lang w:val="de-DE"/>
        </w:rPr>
      </w:pPr>
      <w:r w:rsidRPr="0049187C">
        <w:rPr>
          <w:lang w:val="de-DE"/>
        </w:rPr>
        <w:t>Nicht einfrieren.</w:t>
      </w:r>
    </w:p>
    <w:p w14:paraId="061B208D" w14:textId="77777777" w:rsidR="00261AC3" w:rsidRPr="0049187C" w:rsidRDefault="00B00716" w:rsidP="0049187C">
      <w:pPr>
        <w:spacing w:after="0" w:line="240" w:lineRule="auto"/>
        <w:ind w:left="0" w:firstLine="0"/>
        <w:rPr>
          <w:lang w:val="de-DE"/>
        </w:rPr>
      </w:pPr>
      <w:r w:rsidRPr="0049187C">
        <w:rPr>
          <w:lang w:val="de-DE"/>
        </w:rPr>
        <w:t>D</w:t>
      </w:r>
      <w:r w:rsidR="004466EA" w:rsidRPr="0049187C">
        <w:rPr>
          <w:lang w:val="de-DE"/>
        </w:rPr>
        <w:t>ie Fertigspritze</w:t>
      </w:r>
      <w:r w:rsidRPr="0049187C">
        <w:rPr>
          <w:lang w:val="de-DE"/>
        </w:rPr>
        <w:t xml:space="preserve"> im Umkarton aufbewahren, um den Inhalt vor Licht zu schützen.</w:t>
      </w:r>
    </w:p>
    <w:p w14:paraId="59BC627D" w14:textId="77777777" w:rsidR="00261AC3" w:rsidRPr="0049187C" w:rsidRDefault="00261AC3" w:rsidP="0049187C">
      <w:pPr>
        <w:spacing w:after="0" w:line="240" w:lineRule="auto"/>
        <w:ind w:left="0" w:firstLine="0"/>
        <w:rPr>
          <w:lang w:val="de-DE"/>
        </w:rPr>
      </w:pPr>
    </w:p>
    <w:p w14:paraId="2B1B4821" w14:textId="77777777" w:rsidR="00F83928" w:rsidRPr="0049187C" w:rsidRDefault="00F83928" w:rsidP="0049187C">
      <w:pPr>
        <w:spacing w:after="0" w:line="240" w:lineRule="auto"/>
        <w:ind w:left="0" w:firstLine="0"/>
        <w:rPr>
          <w:lang w:val="de-DE"/>
        </w:rPr>
      </w:pPr>
    </w:p>
    <w:p w14:paraId="50AAD0FC" w14:textId="77777777" w:rsidR="00592671" w:rsidRPr="0049187C" w:rsidRDefault="00B00716" w:rsidP="0049187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de-DE"/>
        </w:rPr>
      </w:pPr>
      <w:r w:rsidRPr="0049187C">
        <w:rPr>
          <w:b/>
          <w:lang w:val="de-DE"/>
        </w:rPr>
        <w:t>10.</w:t>
      </w:r>
      <w:r w:rsidR="00DE2C39" w:rsidRPr="0049187C">
        <w:rPr>
          <w:b/>
          <w:lang w:val="de-DE"/>
        </w:rPr>
        <w:tab/>
      </w:r>
      <w:r w:rsidRPr="0049187C">
        <w:rPr>
          <w:b/>
          <w:lang w:val="de-DE"/>
        </w:rPr>
        <w:t>GEGEBENENFALLS BESONDERE VORSICHTSMASSNAHMEN FÜR DIE</w:t>
      </w:r>
      <w:r w:rsidR="00DE2C39" w:rsidRPr="0049187C">
        <w:rPr>
          <w:b/>
          <w:lang w:val="de-DE"/>
        </w:rPr>
        <w:t xml:space="preserve"> </w:t>
      </w:r>
      <w:r w:rsidRPr="0049187C">
        <w:rPr>
          <w:b/>
          <w:lang w:val="de-DE"/>
        </w:rPr>
        <w:t xml:space="preserve">BESEITIGUNG VON NICHT VERWENDETEM ARZNEIMITTEL ODER DAVON STAMMENDEN ABFALLMATERIALIEN </w:t>
      </w:r>
    </w:p>
    <w:p w14:paraId="442039D3" w14:textId="77777777" w:rsidR="00261AC3" w:rsidRPr="0049187C" w:rsidRDefault="00261AC3" w:rsidP="0049187C">
      <w:pPr>
        <w:keepNext/>
        <w:keepLines/>
        <w:spacing w:after="0" w:line="240" w:lineRule="auto"/>
        <w:ind w:left="0" w:firstLine="0"/>
        <w:rPr>
          <w:lang w:val="de-DE"/>
        </w:rPr>
      </w:pPr>
    </w:p>
    <w:p w14:paraId="23572B2C" w14:textId="77777777" w:rsidR="00F83928" w:rsidRPr="0049187C" w:rsidRDefault="00F83928" w:rsidP="0049187C">
      <w:pPr>
        <w:spacing w:after="0" w:line="240" w:lineRule="auto"/>
        <w:ind w:left="0" w:firstLine="0"/>
        <w:rPr>
          <w:lang w:val="de-DE"/>
        </w:rPr>
      </w:pPr>
    </w:p>
    <w:p w14:paraId="621FF074" w14:textId="77777777" w:rsidR="00592671" w:rsidRPr="0049187C" w:rsidRDefault="00B00716" w:rsidP="0049187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de-DE"/>
        </w:rPr>
      </w:pPr>
      <w:r w:rsidRPr="0049187C">
        <w:rPr>
          <w:b/>
          <w:lang w:val="de-DE"/>
        </w:rPr>
        <w:t>11.</w:t>
      </w:r>
      <w:r w:rsidR="00DE2C39" w:rsidRPr="0049187C">
        <w:rPr>
          <w:b/>
          <w:lang w:val="de-DE"/>
        </w:rPr>
        <w:tab/>
      </w:r>
      <w:r w:rsidRPr="0049187C">
        <w:rPr>
          <w:b/>
          <w:lang w:val="de-DE"/>
        </w:rPr>
        <w:t xml:space="preserve">NAME UND ANSCHRIFT DES PHARMAZEUTISCHEN UNTERNEHMERS </w:t>
      </w:r>
    </w:p>
    <w:p w14:paraId="7E587831" w14:textId="77777777" w:rsidR="00261AC3" w:rsidRPr="0049187C" w:rsidRDefault="00261AC3" w:rsidP="0049187C">
      <w:pPr>
        <w:keepNext/>
        <w:keepLines/>
        <w:spacing w:after="0" w:line="240" w:lineRule="auto"/>
        <w:ind w:left="0" w:firstLine="0"/>
        <w:rPr>
          <w:lang w:val="de-DE"/>
        </w:rPr>
      </w:pPr>
    </w:p>
    <w:p w14:paraId="2307D8C7" w14:textId="77777777" w:rsidR="004736C1" w:rsidRPr="0049187C" w:rsidRDefault="00B00716" w:rsidP="0049187C">
      <w:pPr>
        <w:spacing w:after="0" w:line="240" w:lineRule="auto"/>
        <w:ind w:left="0" w:firstLine="0"/>
        <w:rPr>
          <w:noProof/>
          <w:lang w:val="de-DE"/>
        </w:rPr>
      </w:pPr>
      <w:r w:rsidRPr="0049187C">
        <w:rPr>
          <w:noProof/>
          <w:lang w:val="de-DE"/>
        </w:rPr>
        <w:t>Sandoz GmbH</w:t>
      </w:r>
    </w:p>
    <w:p w14:paraId="7F141033" w14:textId="77777777" w:rsidR="004736C1" w:rsidRPr="0049187C" w:rsidRDefault="00B00716" w:rsidP="0049187C">
      <w:pPr>
        <w:spacing w:after="0" w:line="240" w:lineRule="auto"/>
        <w:ind w:left="0" w:firstLine="0"/>
        <w:rPr>
          <w:noProof/>
          <w:lang w:val="de-DE"/>
        </w:rPr>
      </w:pPr>
      <w:r w:rsidRPr="0049187C">
        <w:rPr>
          <w:noProof/>
          <w:lang w:val="de-DE"/>
        </w:rPr>
        <w:t>Biochemiestr. 10</w:t>
      </w:r>
    </w:p>
    <w:p w14:paraId="3FBE606D" w14:textId="77777777" w:rsidR="004736C1" w:rsidRPr="0049187C" w:rsidRDefault="00B00716" w:rsidP="0049187C">
      <w:pPr>
        <w:spacing w:after="0" w:line="240" w:lineRule="auto"/>
        <w:ind w:left="0" w:firstLine="0"/>
        <w:rPr>
          <w:noProof/>
          <w:lang w:val="de-DE"/>
        </w:rPr>
      </w:pPr>
      <w:r w:rsidRPr="0049187C">
        <w:rPr>
          <w:noProof/>
          <w:lang w:val="de-DE"/>
        </w:rPr>
        <w:t>6250 Kundl</w:t>
      </w:r>
    </w:p>
    <w:p w14:paraId="0585FEA8" w14:textId="77777777" w:rsidR="00093102" w:rsidRPr="0049187C" w:rsidRDefault="00B00716" w:rsidP="0049187C">
      <w:pPr>
        <w:spacing w:after="0" w:line="240" w:lineRule="auto"/>
        <w:ind w:left="0" w:firstLine="0"/>
        <w:rPr>
          <w:lang w:val="de-DE"/>
        </w:rPr>
      </w:pPr>
      <w:r w:rsidRPr="0049187C">
        <w:rPr>
          <w:lang w:val="de-DE"/>
        </w:rPr>
        <w:t>Österreich</w:t>
      </w:r>
    </w:p>
    <w:p w14:paraId="00872A55" w14:textId="77777777" w:rsidR="00261AC3" w:rsidRPr="0049187C" w:rsidRDefault="00261AC3" w:rsidP="0049187C">
      <w:pPr>
        <w:spacing w:after="0" w:line="240" w:lineRule="auto"/>
        <w:ind w:left="0" w:firstLine="0"/>
        <w:rPr>
          <w:lang w:val="de-DE"/>
        </w:rPr>
      </w:pPr>
    </w:p>
    <w:p w14:paraId="5C6FB44D" w14:textId="77777777" w:rsidR="00F83928" w:rsidRPr="0049187C" w:rsidRDefault="00F83928" w:rsidP="0049187C">
      <w:pPr>
        <w:spacing w:after="0" w:line="240" w:lineRule="auto"/>
        <w:ind w:left="0" w:firstLine="0"/>
        <w:rPr>
          <w:lang w:val="de-DE"/>
        </w:rPr>
      </w:pPr>
    </w:p>
    <w:p w14:paraId="4464DB5F" w14:textId="77777777" w:rsidR="00261AC3" w:rsidRPr="0049187C" w:rsidRDefault="00B00716" w:rsidP="0049187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de-DE"/>
        </w:rPr>
      </w:pPr>
      <w:r w:rsidRPr="0049187C">
        <w:rPr>
          <w:b/>
          <w:lang w:val="de-DE"/>
        </w:rPr>
        <w:t>12.</w:t>
      </w:r>
      <w:r w:rsidR="00DE2C39" w:rsidRPr="0049187C">
        <w:rPr>
          <w:b/>
          <w:lang w:val="de-DE"/>
        </w:rPr>
        <w:tab/>
      </w:r>
      <w:r w:rsidRPr="0049187C">
        <w:rPr>
          <w:b/>
          <w:lang w:val="de-DE"/>
        </w:rPr>
        <w:t>ZULASSUNGSNUMMER</w:t>
      </w:r>
      <w:r w:rsidR="00032C81" w:rsidRPr="0049187C">
        <w:rPr>
          <w:b/>
          <w:lang w:val="de-DE"/>
        </w:rPr>
        <w:t>(</w:t>
      </w:r>
      <w:r w:rsidR="00F741F7" w:rsidRPr="0049187C">
        <w:rPr>
          <w:b/>
          <w:lang w:val="de-DE"/>
        </w:rPr>
        <w:t>N</w:t>
      </w:r>
      <w:r w:rsidR="00032C81" w:rsidRPr="0049187C">
        <w:rPr>
          <w:b/>
          <w:lang w:val="de-DE"/>
        </w:rPr>
        <w:t>)</w:t>
      </w:r>
      <w:r w:rsidR="004B6A78" w:rsidRPr="0049187C">
        <w:rPr>
          <w:b/>
          <w:lang w:val="de-DE"/>
        </w:rPr>
        <w:t xml:space="preserve"> </w:t>
      </w:r>
    </w:p>
    <w:p w14:paraId="6C4091F1" w14:textId="77777777" w:rsidR="00F77327" w:rsidRPr="0049187C" w:rsidRDefault="00F77327" w:rsidP="0049187C">
      <w:pPr>
        <w:spacing w:after="0" w:line="240" w:lineRule="auto"/>
        <w:ind w:left="0" w:firstLine="0"/>
        <w:rPr>
          <w:lang w:val="de-DE"/>
        </w:rPr>
      </w:pPr>
    </w:p>
    <w:p w14:paraId="042BC0DE" w14:textId="77777777" w:rsidR="00261AC3" w:rsidRPr="0049187C" w:rsidRDefault="00B00716" w:rsidP="0049187C">
      <w:pPr>
        <w:spacing w:after="0" w:line="240" w:lineRule="auto"/>
        <w:ind w:left="0" w:firstLine="0"/>
        <w:rPr>
          <w:lang w:val="de-DE"/>
        </w:rPr>
      </w:pPr>
      <w:r w:rsidRPr="0049187C">
        <w:rPr>
          <w:lang w:val="de-DE"/>
        </w:rPr>
        <w:t>EU/1/</w:t>
      </w:r>
      <w:r w:rsidR="00983532" w:rsidRPr="0049187C">
        <w:rPr>
          <w:lang w:val="de-DE"/>
        </w:rPr>
        <w:t>24</w:t>
      </w:r>
      <w:r w:rsidRPr="0049187C">
        <w:rPr>
          <w:lang w:val="de-DE"/>
        </w:rPr>
        <w:t>/</w:t>
      </w:r>
      <w:r w:rsidR="00983532" w:rsidRPr="0049187C">
        <w:rPr>
          <w:lang w:val="de-DE"/>
        </w:rPr>
        <w:t>1813</w:t>
      </w:r>
      <w:r w:rsidRPr="0049187C">
        <w:rPr>
          <w:lang w:val="de-DE"/>
        </w:rPr>
        <w:t>/</w:t>
      </w:r>
      <w:r w:rsidR="00983532" w:rsidRPr="0049187C">
        <w:rPr>
          <w:lang w:val="de-DE"/>
        </w:rPr>
        <w:t>001</w:t>
      </w:r>
    </w:p>
    <w:p w14:paraId="1D92B0EF" w14:textId="77777777" w:rsidR="00261AC3" w:rsidRPr="0049187C" w:rsidRDefault="00261AC3" w:rsidP="0049187C">
      <w:pPr>
        <w:spacing w:after="0" w:line="240" w:lineRule="auto"/>
        <w:ind w:left="0" w:firstLine="0"/>
        <w:rPr>
          <w:lang w:val="de-DE"/>
        </w:rPr>
      </w:pPr>
    </w:p>
    <w:p w14:paraId="1F9A81B7" w14:textId="77777777" w:rsidR="00F83928" w:rsidRPr="0049187C" w:rsidRDefault="00F83928" w:rsidP="0049187C">
      <w:pPr>
        <w:spacing w:after="0" w:line="240" w:lineRule="auto"/>
        <w:ind w:left="0" w:firstLine="0"/>
        <w:rPr>
          <w:lang w:val="de-DE"/>
        </w:rPr>
      </w:pPr>
    </w:p>
    <w:p w14:paraId="056F0880" w14:textId="77777777" w:rsidR="00592671" w:rsidRPr="0049187C" w:rsidRDefault="00B00716" w:rsidP="0049187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de-DE"/>
        </w:rPr>
      </w:pPr>
      <w:r w:rsidRPr="0049187C">
        <w:rPr>
          <w:b/>
          <w:lang w:val="de-DE"/>
        </w:rPr>
        <w:t>13.</w:t>
      </w:r>
      <w:r w:rsidR="00DE2C39" w:rsidRPr="0049187C">
        <w:rPr>
          <w:b/>
          <w:lang w:val="de-DE"/>
        </w:rPr>
        <w:tab/>
      </w:r>
      <w:r w:rsidRPr="0049187C">
        <w:rPr>
          <w:b/>
          <w:lang w:val="de-DE"/>
        </w:rPr>
        <w:t>CHARGENBEZEICHNUNG</w:t>
      </w:r>
      <w:r w:rsidRPr="0049187C">
        <w:rPr>
          <w:lang w:val="de-DE"/>
        </w:rPr>
        <w:t xml:space="preserve"> </w:t>
      </w:r>
    </w:p>
    <w:p w14:paraId="0FA5C0C3" w14:textId="77777777" w:rsidR="00261AC3" w:rsidRPr="0049187C" w:rsidRDefault="00261AC3" w:rsidP="0049187C">
      <w:pPr>
        <w:keepNext/>
        <w:keepLines/>
        <w:spacing w:after="0" w:line="240" w:lineRule="auto"/>
        <w:ind w:left="0" w:firstLine="0"/>
        <w:rPr>
          <w:lang w:val="de-DE"/>
        </w:rPr>
      </w:pPr>
    </w:p>
    <w:p w14:paraId="64E0BD66" w14:textId="77777777" w:rsidR="00261AC3" w:rsidRPr="0049187C" w:rsidRDefault="00B00716" w:rsidP="0049187C">
      <w:pPr>
        <w:spacing w:after="0" w:line="240" w:lineRule="auto"/>
        <w:ind w:left="0" w:firstLine="0"/>
        <w:rPr>
          <w:lang w:val="de-DE"/>
        </w:rPr>
      </w:pPr>
      <w:r w:rsidRPr="0049187C">
        <w:rPr>
          <w:lang w:val="de-DE"/>
        </w:rPr>
        <w:t>Ch.</w:t>
      </w:r>
      <w:r w:rsidRPr="0049187C">
        <w:rPr>
          <w:lang w:val="de-DE"/>
        </w:rPr>
        <w:noBreakHyphen/>
        <w:t>B.</w:t>
      </w:r>
    </w:p>
    <w:p w14:paraId="1CCED39D" w14:textId="77777777" w:rsidR="00261AC3" w:rsidRPr="0049187C" w:rsidRDefault="00261AC3" w:rsidP="0049187C">
      <w:pPr>
        <w:spacing w:after="0" w:line="240" w:lineRule="auto"/>
        <w:ind w:left="0" w:firstLine="0"/>
        <w:rPr>
          <w:lang w:val="de-DE"/>
        </w:rPr>
      </w:pPr>
    </w:p>
    <w:p w14:paraId="4598F48B" w14:textId="77777777" w:rsidR="00F83928" w:rsidRPr="0049187C" w:rsidRDefault="00F83928" w:rsidP="0049187C">
      <w:pPr>
        <w:spacing w:after="0" w:line="240" w:lineRule="auto"/>
        <w:ind w:left="0" w:firstLine="0"/>
        <w:rPr>
          <w:lang w:val="de-DE"/>
        </w:rPr>
      </w:pPr>
    </w:p>
    <w:p w14:paraId="17EA4F6A" w14:textId="77777777" w:rsidR="00592671" w:rsidRPr="0049187C" w:rsidRDefault="00B00716" w:rsidP="0049187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de-DE"/>
        </w:rPr>
      </w:pPr>
      <w:r w:rsidRPr="0049187C">
        <w:rPr>
          <w:b/>
          <w:lang w:val="de-DE"/>
        </w:rPr>
        <w:t>14.</w:t>
      </w:r>
      <w:r w:rsidR="00DE2C39" w:rsidRPr="0049187C">
        <w:rPr>
          <w:b/>
          <w:lang w:val="de-DE"/>
        </w:rPr>
        <w:tab/>
      </w:r>
      <w:r w:rsidRPr="0049187C">
        <w:rPr>
          <w:b/>
          <w:lang w:val="de-DE"/>
        </w:rPr>
        <w:t>VERKAUFSABGRENZUNG</w:t>
      </w:r>
      <w:r w:rsidRPr="0049187C">
        <w:rPr>
          <w:lang w:val="de-DE"/>
        </w:rPr>
        <w:t xml:space="preserve"> </w:t>
      </w:r>
    </w:p>
    <w:p w14:paraId="12F563F6" w14:textId="77777777" w:rsidR="00261AC3" w:rsidRPr="0049187C" w:rsidRDefault="00261AC3" w:rsidP="0049187C">
      <w:pPr>
        <w:keepNext/>
        <w:keepLines/>
        <w:spacing w:after="0" w:line="240" w:lineRule="auto"/>
        <w:ind w:left="0" w:firstLine="0"/>
        <w:rPr>
          <w:lang w:val="de-DE"/>
        </w:rPr>
      </w:pPr>
    </w:p>
    <w:p w14:paraId="6B088EA9" w14:textId="77777777" w:rsidR="00F83928" w:rsidRPr="0049187C" w:rsidRDefault="00F83928" w:rsidP="0049187C">
      <w:pPr>
        <w:spacing w:after="0" w:line="240" w:lineRule="auto"/>
        <w:ind w:left="0" w:firstLine="0"/>
        <w:rPr>
          <w:lang w:val="de-DE"/>
        </w:rPr>
      </w:pPr>
    </w:p>
    <w:p w14:paraId="4255CF5F" w14:textId="77777777" w:rsidR="00592671" w:rsidRPr="0049187C" w:rsidRDefault="00B00716" w:rsidP="0049187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de-DE"/>
        </w:rPr>
      </w:pPr>
      <w:r w:rsidRPr="0049187C">
        <w:rPr>
          <w:b/>
          <w:lang w:val="de-DE"/>
        </w:rPr>
        <w:t>15.</w:t>
      </w:r>
      <w:r w:rsidR="00DE2C39" w:rsidRPr="0049187C">
        <w:rPr>
          <w:b/>
          <w:lang w:val="de-DE"/>
        </w:rPr>
        <w:tab/>
      </w:r>
      <w:r w:rsidRPr="0049187C">
        <w:rPr>
          <w:b/>
          <w:lang w:val="de-DE"/>
        </w:rPr>
        <w:t>HINWEISE FÜR DEN GEBRAUCH</w:t>
      </w:r>
      <w:r w:rsidRPr="0049187C">
        <w:rPr>
          <w:lang w:val="de-DE"/>
        </w:rPr>
        <w:t xml:space="preserve"> </w:t>
      </w:r>
    </w:p>
    <w:p w14:paraId="71015197" w14:textId="77777777" w:rsidR="00261AC3" w:rsidRPr="0049187C" w:rsidRDefault="00261AC3" w:rsidP="0049187C">
      <w:pPr>
        <w:keepNext/>
        <w:keepLines/>
        <w:spacing w:after="0" w:line="240" w:lineRule="auto"/>
        <w:ind w:left="0" w:firstLine="0"/>
        <w:rPr>
          <w:lang w:val="de-DE"/>
        </w:rPr>
      </w:pPr>
    </w:p>
    <w:p w14:paraId="5AA40524" w14:textId="77777777" w:rsidR="00F83928" w:rsidRPr="0049187C" w:rsidRDefault="00F83928" w:rsidP="0049187C">
      <w:pPr>
        <w:spacing w:after="0" w:line="240" w:lineRule="auto"/>
        <w:ind w:left="0" w:firstLine="0"/>
        <w:rPr>
          <w:lang w:val="de-DE"/>
        </w:rPr>
      </w:pPr>
    </w:p>
    <w:p w14:paraId="61661682" w14:textId="77777777" w:rsidR="00592671" w:rsidRPr="0049187C" w:rsidRDefault="00B00716" w:rsidP="0049187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de-DE"/>
        </w:rPr>
      </w:pPr>
      <w:r w:rsidRPr="0049187C">
        <w:rPr>
          <w:b/>
          <w:lang w:val="de-DE"/>
        </w:rPr>
        <w:t>16.</w:t>
      </w:r>
      <w:r w:rsidR="00DE2C39" w:rsidRPr="0049187C">
        <w:rPr>
          <w:b/>
          <w:lang w:val="de-DE"/>
        </w:rPr>
        <w:tab/>
      </w:r>
      <w:r w:rsidRPr="0049187C">
        <w:rPr>
          <w:b/>
          <w:lang w:val="de-DE"/>
        </w:rPr>
        <w:t>ANGABEN IN BLINDENSCHRIFT</w:t>
      </w:r>
      <w:r w:rsidRPr="0049187C">
        <w:rPr>
          <w:lang w:val="de-DE"/>
        </w:rPr>
        <w:t xml:space="preserve"> </w:t>
      </w:r>
    </w:p>
    <w:p w14:paraId="247A70AA" w14:textId="77777777" w:rsidR="00261AC3" w:rsidRPr="0049187C" w:rsidRDefault="00261AC3" w:rsidP="0049187C">
      <w:pPr>
        <w:keepNext/>
        <w:keepLines/>
        <w:spacing w:after="0" w:line="240" w:lineRule="auto"/>
        <w:ind w:left="0" w:firstLine="0"/>
        <w:rPr>
          <w:lang w:val="de-DE"/>
        </w:rPr>
      </w:pPr>
    </w:p>
    <w:p w14:paraId="0840F1C5" w14:textId="77777777" w:rsidR="00261AC3" w:rsidRPr="0049187C" w:rsidRDefault="00B00716" w:rsidP="0049187C">
      <w:pPr>
        <w:spacing w:after="0" w:line="240" w:lineRule="auto"/>
        <w:ind w:left="0" w:firstLine="0"/>
        <w:rPr>
          <w:lang w:val="de-DE"/>
        </w:rPr>
      </w:pPr>
      <w:r w:rsidRPr="0049187C">
        <w:rPr>
          <w:lang w:val="de-DE"/>
        </w:rPr>
        <w:t>Jubbonti</w:t>
      </w:r>
    </w:p>
    <w:p w14:paraId="3E87B509" w14:textId="77777777" w:rsidR="00261AC3" w:rsidRPr="0049187C" w:rsidRDefault="00261AC3" w:rsidP="0049187C">
      <w:pPr>
        <w:spacing w:after="0" w:line="240" w:lineRule="auto"/>
        <w:ind w:left="0" w:firstLine="0"/>
        <w:rPr>
          <w:lang w:val="de-DE"/>
        </w:rPr>
      </w:pPr>
    </w:p>
    <w:p w14:paraId="7738E306" w14:textId="77777777" w:rsidR="00F83928" w:rsidRPr="0049187C" w:rsidRDefault="00F83928" w:rsidP="0049187C">
      <w:pPr>
        <w:spacing w:after="0" w:line="240" w:lineRule="auto"/>
        <w:ind w:left="0" w:firstLine="0"/>
        <w:rPr>
          <w:lang w:val="de-DE"/>
        </w:rPr>
      </w:pPr>
    </w:p>
    <w:p w14:paraId="5C6A4554" w14:textId="77777777" w:rsidR="00592671" w:rsidRPr="0049187C" w:rsidRDefault="00B00716" w:rsidP="0049187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de-DE"/>
        </w:rPr>
      </w:pPr>
      <w:r w:rsidRPr="0049187C">
        <w:rPr>
          <w:b/>
          <w:lang w:val="de-DE"/>
        </w:rPr>
        <w:t>17.</w:t>
      </w:r>
      <w:r w:rsidR="00DE2C39" w:rsidRPr="0049187C">
        <w:rPr>
          <w:b/>
          <w:lang w:val="de-DE"/>
        </w:rPr>
        <w:tab/>
      </w:r>
      <w:r w:rsidRPr="0049187C">
        <w:rPr>
          <w:b/>
          <w:lang w:val="de-DE"/>
        </w:rPr>
        <w:t>INDIVIDUELLES ERKENNUNGSMERKMAL – 2D</w:t>
      </w:r>
      <w:r w:rsidRPr="0049187C">
        <w:rPr>
          <w:b/>
          <w:lang w:val="de-DE"/>
        </w:rPr>
        <w:noBreakHyphen/>
        <w:t>BARCODE</w:t>
      </w:r>
      <w:r w:rsidRPr="0049187C">
        <w:rPr>
          <w:i/>
          <w:lang w:val="de-DE"/>
        </w:rPr>
        <w:t xml:space="preserve"> </w:t>
      </w:r>
    </w:p>
    <w:p w14:paraId="73F293EF" w14:textId="77777777" w:rsidR="00261AC3" w:rsidRPr="0049187C" w:rsidRDefault="00261AC3" w:rsidP="0049187C">
      <w:pPr>
        <w:keepNext/>
        <w:keepLines/>
        <w:spacing w:after="0" w:line="240" w:lineRule="auto"/>
        <w:ind w:left="0" w:firstLine="0"/>
        <w:rPr>
          <w:lang w:val="de-DE"/>
        </w:rPr>
      </w:pPr>
    </w:p>
    <w:p w14:paraId="3C2231A8" w14:textId="77777777" w:rsidR="00261AC3" w:rsidRPr="0049187C" w:rsidRDefault="00B00716" w:rsidP="0049187C">
      <w:pPr>
        <w:spacing w:after="0" w:line="240" w:lineRule="auto"/>
        <w:ind w:left="0" w:firstLine="0"/>
        <w:rPr>
          <w:lang w:val="de-DE"/>
        </w:rPr>
      </w:pPr>
      <w:r w:rsidRPr="0049187C">
        <w:rPr>
          <w:shd w:val="clear" w:color="auto" w:fill="C0C0C0"/>
          <w:lang w:val="de-DE"/>
        </w:rPr>
        <w:t>2D</w:t>
      </w:r>
      <w:r w:rsidRPr="0049187C">
        <w:rPr>
          <w:shd w:val="clear" w:color="auto" w:fill="C0C0C0"/>
          <w:lang w:val="de-DE"/>
        </w:rPr>
        <w:noBreakHyphen/>
        <w:t>Barcode mit individuellem Erkennungsmerkmal.</w:t>
      </w:r>
    </w:p>
    <w:p w14:paraId="06D7E15C" w14:textId="77777777" w:rsidR="00261AC3" w:rsidRPr="0049187C" w:rsidRDefault="00261AC3" w:rsidP="0049187C">
      <w:pPr>
        <w:spacing w:after="0" w:line="240" w:lineRule="auto"/>
        <w:ind w:left="0" w:firstLine="0"/>
        <w:rPr>
          <w:lang w:val="de-DE"/>
        </w:rPr>
      </w:pPr>
    </w:p>
    <w:p w14:paraId="22ED4C68" w14:textId="77777777" w:rsidR="00F83928" w:rsidRPr="0049187C" w:rsidRDefault="00F83928" w:rsidP="0049187C">
      <w:pPr>
        <w:spacing w:after="0" w:line="240" w:lineRule="auto"/>
        <w:ind w:left="0" w:firstLine="0"/>
        <w:rPr>
          <w:lang w:val="de-DE"/>
        </w:rPr>
      </w:pPr>
    </w:p>
    <w:p w14:paraId="0498FE49" w14:textId="77777777" w:rsidR="00592671" w:rsidRPr="0049187C" w:rsidRDefault="00B00716" w:rsidP="0049187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de-DE"/>
        </w:rPr>
      </w:pPr>
      <w:r w:rsidRPr="0049187C">
        <w:rPr>
          <w:b/>
          <w:lang w:val="de-DE"/>
        </w:rPr>
        <w:t>18.</w:t>
      </w:r>
      <w:r w:rsidR="00DE2C39" w:rsidRPr="0049187C">
        <w:rPr>
          <w:b/>
          <w:lang w:val="de-DE"/>
        </w:rPr>
        <w:tab/>
      </w:r>
      <w:r w:rsidRPr="0049187C">
        <w:rPr>
          <w:b/>
          <w:lang w:val="de-DE"/>
        </w:rPr>
        <w:t>INDIVIDUELLES ERKENNUNGSMERKMAL – VOM MENSCHEN LESBARES FORMAT</w:t>
      </w:r>
      <w:r w:rsidRPr="0049187C">
        <w:rPr>
          <w:i/>
          <w:lang w:val="de-DE"/>
        </w:rPr>
        <w:t xml:space="preserve"> </w:t>
      </w:r>
    </w:p>
    <w:p w14:paraId="7C5FFB73" w14:textId="77777777" w:rsidR="00261AC3" w:rsidRPr="0049187C" w:rsidRDefault="00261AC3" w:rsidP="0049187C">
      <w:pPr>
        <w:keepNext/>
        <w:keepLines/>
        <w:spacing w:after="0" w:line="240" w:lineRule="auto"/>
        <w:ind w:left="0" w:firstLine="0"/>
        <w:rPr>
          <w:lang w:val="de-DE"/>
        </w:rPr>
      </w:pPr>
    </w:p>
    <w:p w14:paraId="093E6F2E" w14:textId="77777777" w:rsidR="00261AC3" w:rsidRPr="0049187C" w:rsidRDefault="00B00716" w:rsidP="0049187C">
      <w:pPr>
        <w:spacing w:after="0" w:line="240" w:lineRule="auto"/>
        <w:ind w:left="0" w:firstLine="0"/>
        <w:rPr>
          <w:lang w:val="de-DE"/>
        </w:rPr>
      </w:pPr>
      <w:r w:rsidRPr="0049187C">
        <w:rPr>
          <w:lang w:val="de-DE"/>
        </w:rPr>
        <w:t>PC</w:t>
      </w:r>
    </w:p>
    <w:p w14:paraId="3B3BE9B0" w14:textId="77777777" w:rsidR="00261AC3" w:rsidRPr="0049187C" w:rsidRDefault="00B00716" w:rsidP="0049187C">
      <w:pPr>
        <w:spacing w:after="0" w:line="240" w:lineRule="auto"/>
        <w:ind w:left="0" w:firstLine="0"/>
        <w:rPr>
          <w:lang w:val="de-DE"/>
        </w:rPr>
      </w:pPr>
      <w:r w:rsidRPr="0049187C">
        <w:rPr>
          <w:lang w:val="de-DE"/>
        </w:rPr>
        <w:t>SN</w:t>
      </w:r>
    </w:p>
    <w:p w14:paraId="0480E4B3" w14:textId="77777777" w:rsidR="00DE2C39" w:rsidRPr="0049187C" w:rsidRDefault="00B00716" w:rsidP="0049187C">
      <w:pPr>
        <w:spacing w:after="0" w:line="240" w:lineRule="auto"/>
        <w:ind w:left="0" w:firstLine="0"/>
        <w:rPr>
          <w:shd w:val="clear" w:color="auto" w:fill="C0C0C0"/>
          <w:lang w:val="de-DE"/>
        </w:rPr>
      </w:pPr>
      <w:r w:rsidRPr="0049187C">
        <w:rPr>
          <w:shd w:val="clear" w:color="auto" w:fill="C0C0C0"/>
          <w:lang w:val="de-DE"/>
        </w:rPr>
        <w:t>NN</w:t>
      </w:r>
    </w:p>
    <w:p w14:paraId="5FD25FBF" w14:textId="77777777" w:rsidR="00DE2C39" w:rsidRPr="0049187C" w:rsidRDefault="00B00716" w:rsidP="0049187C">
      <w:pPr>
        <w:spacing w:after="0" w:line="240" w:lineRule="auto"/>
        <w:ind w:left="0" w:firstLine="0"/>
        <w:rPr>
          <w:shd w:val="clear" w:color="auto" w:fill="C0C0C0"/>
          <w:lang w:val="de-DE"/>
        </w:rPr>
      </w:pPr>
      <w:r w:rsidRPr="0049187C">
        <w:rPr>
          <w:shd w:val="clear" w:color="auto" w:fill="C0C0C0"/>
          <w:lang w:val="de-DE"/>
        </w:rPr>
        <w:br w:type="page"/>
      </w:r>
    </w:p>
    <w:p w14:paraId="24B00F7C" w14:textId="77777777" w:rsidR="00261AC3" w:rsidRPr="0049187C" w:rsidRDefault="00B00716" w:rsidP="0049187C">
      <w:pPr>
        <w:pBdr>
          <w:top w:val="single" w:sz="4" w:space="1" w:color="auto"/>
          <w:left w:val="single" w:sz="4" w:space="4" w:color="auto"/>
          <w:bottom w:val="single" w:sz="4" w:space="1" w:color="auto"/>
          <w:right w:val="single" w:sz="4" w:space="4" w:color="auto"/>
        </w:pBdr>
        <w:spacing w:after="0" w:line="240" w:lineRule="auto"/>
        <w:ind w:left="0" w:firstLine="0"/>
        <w:rPr>
          <w:lang w:val="de-DE"/>
        </w:rPr>
      </w:pPr>
      <w:r w:rsidRPr="0049187C">
        <w:rPr>
          <w:b/>
          <w:lang w:val="de-DE"/>
        </w:rPr>
        <w:t>MINDESTANGABEN AUF BLISTERPACKUNGEN ODER FOLIENSTREIFEN</w:t>
      </w:r>
    </w:p>
    <w:p w14:paraId="114ECD82" w14:textId="77777777" w:rsidR="00F83928" w:rsidRPr="0049187C" w:rsidRDefault="00F83928" w:rsidP="0049187C">
      <w:pPr>
        <w:pBdr>
          <w:top w:val="single" w:sz="4" w:space="1" w:color="auto"/>
          <w:left w:val="single" w:sz="4" w:space="4" w:color="auto"/>
          <w:bottom w:val="single" w:sz="4" w:space="1" w:color="auto"/>
          <w:right w:val="single" w:sz="4" w:space="4" w:color="auto"/>
        </w:pBdr>
        <w:spacing w:after="0" w:line="240" w:lineRule="auto"/>
        <w:ind w:left="0" w:firstLine="0"/>
        <w:rPr>
          <w:lang w:val="de-DE"/>
        </w:rPr>
      </w:pPr>
    </w:p>
    <w:p w14:paraId="172EB651" w14:textId="77777777" w:rsidR="00261AC3" w:rsidRPr="0049187C" w:rsidRDefault="00B00716" w:rsidP="0049187C">
      <w:pPr>
        <w:pBdr>
          <w:top w:val="single" w:sz="4" w:space="1" w:color="auto"/>
          <w:left w:val="single" w:sz="4" w:space="4" w:color="auto"/>
          <w:bottom w:val="single" w:sz="4" w:space="1" w:color="auto"/>
          <w:right w:val="single" w:sz="4" w:space="4" w:color="auto"/>
        </w:pBdr>
        <w:spacing w:after="0" w:line="240" w:lineRule="auto"/>
        <w:ind w:left="0" w:firstLine="0"/>
        <w:rPr>
          <w:b/>
          <w:lang w:val="de-DE"/>
        </w:rPr>
      </w:pPr>
      <w:r w:rsidRPr="0049187C">
        <w:rPr>
          <w:b/>
          <w:lang w:val="de-DE"/>
        </w:rPr>
        <w:t>TEXT AUF BLISTERPACKUNG</w:t>
      </w:r>
    </w:p>
    <w:p w14:paraId="7614FCD7" w14:textId="77777777" w:rsidR="00261AC3" w:rsidRPr="0049187C" w:rsidRDefault="00261AC3" w:rsidP="0049187C">
      <w:pPr>
        <w:spacing w:after="0" w:line="240" w:lineRule="auto"/>
        <w:ind w:left="0" w:firstLine="0"/>
        <w:rPr>
          <w:lang w:val="de-DE"/>
        </w:rPr>
      </w:pPr>
    </w:p>
    <w:p w14:paraId="1E34C5E2" w14:textId="77777777" w:rsidR="00F83928" w:rsidRPr="0049187C" w:rsidRDefault="00F83928" w:rsidP="0049187C">
      <w:pPr>
        <w:spacing w:after="0" w:line="240" w:lineRule="auto"/>
        <w:ind w:left="0" w:firstLine="0"/>
        <w:rPr>
          <w:lang w:val="de-DE"/>
        </w:rPr>
      </w:pPr>
    </w:p>
    <w:p w14:paraId="699839A7" w14:textId="77777777" w:rsidR="00592671" w:rsidRPr="0049187C" w:rsidRDefault="00B00716" w:rsidP="0049187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de-DE"/>
        </w:rPr>
      </w:pPr>
      <w:r w:rsidRPr="0049187C">
        <w:rPr>
          <w:b/>
          <w:lang w:val="de-DE"/>
        </w:rPr>
        <w:t>1.</w:t>
      </w:r>
      <w:r w:rsidR="00DE2C39" w:rsidRPr="0049187C">
        <w:rPr>
          <w:b/>
          <w:lang w:val="de-DE"/>
        </w:rPr>
        <w:tab/>
      </w:r>
      <w:r w:rsidRPr="0049187C">
        <w:rPr>
          <w:b/>
          <w:lang w:val="de-DE"/>
        </w:rPr>
        <w:t xml:space="preserve">BEZEICHNUNG DES ARZNEIMITTELS </w:t>
      </w:r>
    </w:p>
    <w:p w14:paraId="0FE8B19C" w14:textId="77777777" w:rsidR="00261AC3" w:rsidRPr="0049187C" w:rsidRDefault="00261AC3" w:rsidP="0049187C">
      <w:pPr>
        <w:keepNext/>
        <w:keepLines/>
        <w:spacing w:after="0" w:line="240" w:lineRule="auto"/>
        <w:ind w:left="0" w:firstLine="0"/>
        <w:rPr>
          <w:lang w:val="de-DE"/>
        </w:rPr>
      </w:pPr>
    </w:p>
    <w:p w14:paraId="6CF25D66" w14:textId="77777777" w:rsidR="00261AC3" w:rsidRPr="0049187C" w:rsidRDefault="00B00716" w:rsidP="0049187C">
      <w:pPr>
        <w:spacing w:after="0" w:line="240" w:lineRule="auto"/>
        <w:ind w:left="0" w:firstLine="0"/>
        <w:rPr>
          <w:lang w:val="de-DE"/>
        </w:rPr>
      </w:pPr>
      <w:r w:rsidRPr="0049187C">
        <w:rPr>
          <w:lang w:val="de-DE"/>
        </w:rPr>
        <w:t>Jubbonti</w:t>
      </w:r>
      <w:r w:rsidR="00093102" w:rsidRPr="0049187C">
        <w:rPr>
          <w:lang w:val="de-DE"/>
        </w:rPr>
        <w:t xml:space="preserve"> </w:t>
      </w:r>
      <w:r w:rsidRPr="0049187C">
        <w:rPr>
          <w:lang w:val="de-DE"/>
        </w:rPr>
        <w:t>60 </w:t>
      </w:r>
      <w:r w:rsidR="00FD7DFF" w:rsidRPr="0049187C">
        <w:rPr>
          <w:lang w:val="de-DE"/>
        </w:rPr>
        <w:t>mg Injektion</w:t>
      </w:r>
    </w:p>
    <w:p w14:paraId="28F606F2" w14:textId="77777777" w:rsidR="00261AC3" w:rsidRPr="0049187C" w:rsidRDefault="00B00716" w:rsidP="0049187C">
      <w:pPr>
        <w:spacing w:after="0" w:line="240" w:lineRule="auto"/>
        <w:ind w:left="0" w:firstLine="0"/>
        <w:rPr>
          <w:lang w:val="de-DE"/>
        </w:rPr>
      </w:pPr>
      <w:r w:rsidRPr="0049187C">
        <w:rPr>
          <w:lang w:val="de-DE"/>
        </w:rPr>
        <w:t>Denosumab</w:t>
      </w:r>
      <w:r w:rsidR="0097480B" w:rsidRPr="0049187C">
        <w:rPr>
          <w:lang w:val="de-DE"/>
        </w:rPr>
        <w:t xml:space="preserve"> </w:t>
      </w:r>
      <w:r w:rsidR="0097480B" w:rsidRPr="0049187C">
        <w:rPr>
          <w:highlight w:val="lightGray"/>
          <w:lang w:val="de-DE"/>
        </w:rPr>
        <w:t>(denosumab)</w:t>
      </w:r>
    </w:p>
    <w:p w14:paraId="0175332E" w14:textId="77777777" w:rsidR="00261AC3" w:rsidRPr="0049187C" w:rsidRDefault="00261AC3" w:rsidP="0049187C">
      <w:pPr>
        <w:spacing w:after="0" w:line="240" w:lineRule="auto"/>
        <w:ind w:left="0" w:firstLine="0"/>
        <w:rPr>
          <w:lang w:val="de-DE"/>
        </w:rPr>
      </w:pPr>
    </w:p>
    <w:p w14:paraId="08392735" w14:textId="77777777" w:rsidR="00F83928" w:rsidRPr="0049187C" w:rsidRDefault="00F83928" w:rsidP="0049187C">
      <w:pPr>
        <w:spacing w:after="0" w:line="240" w:lineRule="auto"/>
        <w:ind w:left="0" w:firstLine="0"/>
        <w:rPr>
          <w:lang w:val="de-DE"/>
        </w:rPr>
      </w:pPr>
    </w:p>
    <w:p w14:paraId="13A1D847" w14:textId="77777777" w:rsidR="00592671" w:rsidRPr="0049187C" w:rsidRDefault="00B00716" w:rsidP="0049187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de-DE"/>
        </w:rPr>
      </w:pPr>
      <w:r w:rsidRPr="0049187C">
        <w:rPr>
          <w:b/>
          <w:lang w:val="de-DE"/>
        </w:rPr>
        <w:t>2</w:t>
      </w:r>
      <w:r w:rsidR="00DE2C39" w:rsidRPr="0049187C">
        <w:rPr>
          <w:b/>
          <w:lang w:val="de-DE"/>
        </w:rPr>
        <w:t>.</w:t>
      </w:r>
      <w:r w:rsidR="00DE2C39" w:rsidRPr="0049187C">
        <w:rPr>
          <w:b/>
          <w:lang w:val="de-DE"/>
        </w:rPr>
        <w:tab/>
      </w:r>
      <w:r w:rsidRPr="0049187C">
        <w:rPr>
          <w:b/>
          <w:lang w:val="de-DE"/>
        </w:rPr>
        <w:t xml:space="preserve">NAME DES PHARMAZEUTISCHEN UNTERNEHMERS </w:t>
      </w:r>
    </w:p>
    <w:p w14:paraId="42F2C75D" w14:textId="77777777" w:rsidR="00261AC3" w:rsidRPr="0049187C" w:rsidRDefault="00261AC3" w:rsidP="0049187C">
      <w:pPr>
        <w:keepNext/>
        <w:keepLines/>
        <w:spacing w:after="0" w:line="240" w:lineRule="auto"/>
        <w:ind w:left="0" w:firstLine="0"/>
        <w:rPr>
          <w:lang w:val="de-DE"/>
        </w:rPr>
      </w:pPr>
    </w:p>
    <w:p w14:paraId="76D71961" w14:textId="77777777" w:rsidR="00261AC3" w:rsidRPr="0049187C" w:rsidRDefault="00261AC3" w:rsidP="0049187C">
      <w:pPr>
        <w:spacing w:after="0" w:line="240" w:lineRule="auto"/>
        <w:ind w:left="0" w:firstLine="0"/>
        <w:rPr>
          <w:lang w:val="de-DE"/>
        </w:rPr>
      </w:pPr>
    </w:p>
    <w:p w14:paraId="34F597A0" w14:textId="77777777" w:rsidR="00F83928" w:rsidRPr="0049187C" w:rsidRDefault="00F83928" w:rsidP="0049187C">
      <w:pPr>
        <w:spacing w:after="0" w:line="240" w:lineRule="auto"/>
        <w:ind w:left="0" w:firstLine="0"/>
        <w:rPr>
          <w:lang w:val="de-DE"/>
        </w:rPr>
      </w:pPr>
    </w:p>
    <w:p w14:paraId="4CC6927E" w14:textId="77777777" w:rsidR="00FA28BE" w:rsidRPr="0049187C" w:rsidRDefault="00B00716" w:rsidP="0049187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de-DE"/>
        </w:rPr>
      </w:pPr>
      <w:r w:rsidRPr="0049187C">
        <w:rPr>
          <w:b/>
          <w:lang w:val="de-DE"/>
        </w:rPr>
        <w:t>3.</w:t>
      </w:r>
      <w:r w:rsidR="00DE2C39" w:rsidRPr="0049187C">
        <w:rPr>
          <w:b/>
          <w:lang w:val="de-DE"/>
        </w:rPr>
        <w:tab/>
      </w:r>
      <w:r w:rsidRPr="0049187C">
        <w:rPr>
          <w:b/>
          <w:lang w:val="de-DE"/>
        </w:rPr>
        <w:t xml:space="preserve">VERFALLDATUM </w:t>
      </w:r>
    </w:p>
    <w:p w14:paraId="78EEBC8B" w14:textId="77777777" w:rsidR="00261AC3" w:rsidRPr="0049187C" w:rsidRDefault="00261AC3" w:rsidP="0049187C">
      <w:pPr>
        <w:keepNext/>
        <w:keepLines/>
        <w:spacing w:after="0" w:line="240" w:lineRule="auto"/>
        <w:ind w:left="0" w:firstLine="0"/>
        <w:rPr>
          <w:lang w:val="de-DE"/>
        </w:rPr>
      </w:pPr>
    </w:p>
    <w:p w14:paraId="79C4195A" w14:textId="77777777" w:rsidR="00261AC3" w:rsidRPr="0049187C" w:rsidRDefault="00B00716" w:rsidP="0049187C">
      <w:pPr>
        <w:spacing w:after="0" w:line="240" w:lineRule="auto"/>
        <w:ind w:left="0" w:firstLine="0"/>
        <w:rPr>
          <w:lang w:val="de-DE"/>
        </w:rPr>
      </w:pPr>
      <w:r w:rsidRPr="0049187C">
        <w:rPr>
          <w:lang w:val="de-DE"/>
        </w:rPr>
        <w:t>EXP</w:t>
      </w:r>
    </w:p>
    <w:p w14:paraId="730D9172" w14:textId="77777777" w:rsidR="00261AC3" w:rsidRPr="0049187C" w:rsidRDefault="00261AC3" w:rsidP="0049187C">
      <w:pPr>
        <w:spacing w:after="0" w:line="240" w:lineRule="auto"/>
        <w:ind w:left="0" w:firstLine="0"/>
        <w:rPr>
          <w:lang w:val="de-DE"/>
        </w:rPr>
      </w:pPr>
    </w:p>
    <w:p w14:paraId="6A91B713" w14:textId="77777777" w:rsidR="00F83928" w:rsidRPr="0049187C" w:rsidRDefault="00F83928" w:rsidP="0049187C">
      <w:pPr>
        <w:spacing w:after="0" w:line="240" w:lineRule="auto"/>
        <w:ind w:left="0" w:firstLine="0"/>
        <w:rPr>
          <w:lang w:val="de-DE"/>
        </w:rPr>
      </w:pPr>
    </w:p>
    <w:p w14:paraId="73294D0F" w14:textId="77777777" w:rsidR="00FA28BE" w:rsidRPr="0049187C" w:rsidRDefault="00B00716" w:rsidP="0049187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de-DE"/>
        </w:rPr>
      </w:pPr>
      <w:r w:rsidRPr="0049187C">
        <w:rPr>
          <w:b/>
          <w:lang w:val="de-DE"/>
        </w:rPr>
        <w:t>4.</w:t>
      </w:r>
      <w:r w:rsidR="00DE2C39" w:rsidRPr="0049187C">
        <w:rPr>
          <w:b/>
          <w:lang w:val="de-DE"/>
        </w:rPr>
        <w:tab/>
      </w:r>
      <w:r w:rsidRPr="0049187C">
        <w:rPr>
          <w:b/>
          <w:lang w:val="de-DE"/>
        </w:rPr>
        <w:t xml:space="preserve">CHARGENBEZEICHNUNG </w:t>
      </w:r>
    </w:p>
    <w:p w14:paraId="127E2DA4" w14:textId="77777777" w:rsidR="00261AC3" w:rsidRPr="0049187C" w:rsidRDefault="00261AC3" w:rsidP="0049187C">
      <w:pPr>
        <w:keepNext/>
        <w:keepLines/>
        <w:spacing w:after="0" w:line="240" w:lineRule="auto"/>
        <w:ind w:left="0" w:firstLine="0"/>
        <w:rPr>
          <w:lang w:val="de-DE"/>
        </w:rPr>
      </w:pPr>
    </w:p>
    <w:p w14:paraId="0DA9A35B" w14:textId="77777777" w:rsidR="00261AC3" w:rsidRPr="0049187C" w:rsidRDefault="00B00716" w:rsidP="0049187C">
      <w:pPr>
        <w:spacing w:after="0" w:line="240" w:lineRule="auto"/>
        <w:ind w:left="0" w:firstLine="0"/>
        <w:rPr>
          <w:lang w:val="de-DE"/>
        </w:rPr>
      </w:pPr>
      <w:r w:rsidRPr="0049187C">
        <w:rPr>
          <w:lang w:val="de-DE"/>
        </w:rPr>
        <w:t>Lot</w:t>
      </w:r>
    </w:p>
    <w:p w14:paraId="3FEC8511" w14:textId="77777777" w:rsidR="00261AC3" w:rsidRPr="0049187C" w:rsidRDefault="00261AC3" w:rsidP="0049187C">
      <w:pPr>
        <w:spacing w:after="0" w:line="240" w:lineRule="auto"/>
        <w:ind w:left="0" w:firstLine="0"/>
        <w:rPr>
          <w:lang w:val="de-DE"/>
        </w:rPr>
      </w:pPr>
    </w:p>
    <w:p w14:paraId="6FB9C10D" w14:textId="77777777" w:rsidR="00F83928" w:rsidRPr="0049187C" w:rsidRDefault="00F83928" w:rsidP="0049187C">
      <w:pPr>
        <w:spacing w:after="0" w:line="240" w:lineRule="auto"/>
        <w:ind w:left="0" w:firstLine="0"/>
        <w:rPr>
          <w:lang w:val="de-DE"/>
        </w:rPr>
      </w:pPr>
    </w:p>
    <w:p w14:paraId="443014CC" w14:textId="77777777" w:rsidR="00FA28BE" w:rsidRPr="0049187C" w:rsidRDefault="00B00716" w:rsidP="0049187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de-DE"/>
        </w:rPr>
      </w:pPr>
      <w:r w:rsidRPr="0049187C">
        <w:rPr>
          <w:b/>
          <w:lang w:val="de-DE"/>
        </w:rPr>
        <w:t>5.</w:t>
      </w:r>
      <w:r w:rsidR="00DE2C39" w:rsidRPr="0049187C">
        <w:rPr>
          <w:b/>
          <w:lang w:val="de-DE"/>
        </w:rPr>
        <w:tab/>
      </w:r>
      <w:r w:rsidRPr="0049187C">
        <w:rPr>
          <w:b/>
          <w:lang w:val="de-DE"/>
        </w:rPr>
        <w:t xml:space="preserve">WEITERE ANGABEN </w:t>
      </w:r>
    </w:p>
    <w:p w14:paraId="039AA05E" w14:textId="77777777" w:rsidR="00261AC3" w:rsidRPr="0049187C" w:rsidRDefault="00261AC3" w:rsidP="0049187C">
      <w:pPr>
        <w:keepNext/>
        <w:keepLines/>
        <w:spacing w:after="0" w:line="240" w:lineRule="auto"/>
        <w:ind w:left="0" w:firstLine="0"/>
        <w:rPr>
          <w:lang w:val="de-DE"/>
        </w:rPr>
      </w:pPr>
    </w:p>
    <w:p w14:paraId="5E06E9D9" w14:textId="77777777" w:rsidR="00261AC3" w:rsidRPr="0049187C" w:rsidRDefault="00B00716" w:rsidP="0049187C">
      <w:pPr>
        <w:spacing w:after="0" w:line="240" w:lineRule="auto"/>
        <w:ind w:left="0" w:firstLine="0"/>
        <w:rPr>
          <w:lang w:val="de-DE"/>
        </w:rPr>
      </w:pPr>
      <w:r w:rsidRPr="0049187C">
        <w:rPr>
          <w:lang w:val="de-DE"/>
        </w:rPr>
        <w:t>s.c.</w:t>
      </w:r>
    </w:p>
    <w:p w14:paraId="4A461069" w14:textId="77777777" w:rsidR="00F83928" w:rsidRPr="0049187C" w:rsidRDefault="00F83928" w:rsidP="0049187C">
      <w:pPr>
        <w:spacing w:after="0" w:line="240" w:lineRule="auto"/>
        <w:ind w:left="0" w:firstLine="0"/>
        <w:rPr>
          <w:lang w:val="de-DE"/>
        </w:rPr>
      </w:pPr>
    </w:p>
    <w:p w14:paraId="7CF0592B" w14:textId="77777777" w:rsidR="00DE2C39" w:rsidRPr="0049187C" w:rsidRDefault="00B00716" w:rsidP="0049187C">
      <w:pPr>
        <w:spacing w:after="0" w:line="240" w:lineRule="auto"/>
        <w:ind w:left="0" w:firstLine="0"/>
        <w:rPr>
          <w:lang w:val="de-DE"/>
        </w:rPr>
      </w:pPr>
      <w:r w:rsidRPr="0049187C">
        <w:rPr>
          <w:noProof/>
          <w:lang w:val="de-DE"/>
        </w:rPr>
        <w:drawing>
          <wp:inline distT="0" distB="0" distL="0" distR="0" wp14:anchorId="66682C20" wp14:editId="4571B53F">
            <wp:extent cx="1571190" cy="1189608"/>
            <wp:effectExtent l="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84765" cy="1199886"/>
                    </a:xfrm>
                    <a:prstGeom prst="rect">
                      <a:avLst/>
                    </a:prstGeom>
                  </pic:spPr>
                </pic:pic>
              </a:graphicData>
            </a:graphic>
          </wp:inline>
        </w:drawing>
      </w:r>
    </w:p>
    <w:p w14:paraId="2B99BC56" w14:textId="77777777" w:rsidR="00DE2C39" w:rsidRPr="0049187C" w:rsidRDefault="00B00716" w:rsidP="0049187C">
      <w:pPr>
        <w:spacing w:after="0" w:line="240" w:lineRule="auto"/>
        <w:ind w:left="0" w:firstLine="0"/>
        <w:rPr>
          <w:lang w:val="de-DE"/>
        </w:rPr>
      </w:pPr>
      <w:r w:rsidRPr="0049187C">
        <w:rPr>
          <w:lang w:val="de-DE"/>
        </w:rPr>
        <w:br w:type="page"/>
      </w:r>
    </w:p>
    <w:p w14:paraId="43DAF081" w14:textId="77777777" w:rsidR="00261AC3" w:rsidRPr="0049187C" w:rsidRDefault="00B00716" w:rsidP="0049187C">
      <w:pPr>
        <w:pBdr>
          <w:top w:val="single" w:sz="4" w:space="1" w:color="auto"/>
          <w:left w:val="single" w:sz="4" w:space="4" w:color="auto"/>
          <w:bottom w:val="single" w:sz="4" w:space="1" w:color="auto"/>
          <w:right w:val="single" w:sz="4" w:space="4" w:color="auto"/>
        </w:pBdr>
        <w:spacing w:after="0" w:line="240" w:lineRule="auto"/>
        <w:ind w:left="0" w:firstLine="0"/>
        <w:rPr>
          <w:lang w:val="de-DE"/>
        </w:rPr>
      </w:pPr>
      <w:r w:rsidRPr="0049187C">
        <w:rPr>
          <w:b/>
          <w:lang w:val="de-DE"/>
        </w:rPr>
        <w:t>MINDESTANGABEN AUF KLEINEN BEHÄLTNISSEN</w:t>
      </w:r>
    </w:p>
    <w:p w14:paraId="414966B8" w14:textId="77777777" w:rsidR="00F83928" w:rsidRPr="0049187C" w:rsidRDefault="00F83928" w:rsidP="0049187C">
      <w:pPr>
        <w:pBdr>
          <w:top w:val="single" w:sz="4" w:space="1" w:color="auto"/>
          <w:left w:val="single" w:sz="4" w:space="4" w:color="auto"/>
          <w:bottom w:val="single" w:sz="4" w:space="1" w:color="auto"/>
          <w:right w:val="single" w:sz="4" w:space="4" w:color="auto"/>
        </w:pBdr>
        <w:spacing w:after="0" w:line="240" w:lineRule="auto"/>
        <w:ind w:left="0" w:firstLine="0"/>
        <w:rPr>
          <w:lang w:val="de-DE"/>
        </w:rPr>
      </w:pPr>
    </w:p>
    <w:p w14:paraId="37F6833A" w14:textId="77777777" w:rsidR="00261AC3" w:rsidRPr="0049187C" w:rsidRDefault="00B00716" w:rsidP="0049187C">
      <w:pPr>
        <w:pBdr>
          <w:top w:val="single" w:sz="4" w:space="1" w:color="auto"/>
          <w:left w:val="single" w:sz="4" w:space="4" w:color="auto"/>
          <w:bottom w:val="single" w:sz="4" w:space="1" w:color="auto"/>
          <w:right w:val="single" w:sz="4" w:space="4" w:color="auto"/>
        </w:pBdr>
        <w:spacing w:after="0" w:line="240" w:lineRule="auto"/>
        <w:ind w:left="0" w:firstLine="0"/>
        <w:rPr>
          <w:b/>
          <w:lang w:val="de-DE"/>
        </w:rPr>
      </w:pPr>
      <w:r w:rsidRPr="0049187C">
        <w:rPr>
          <w:b/>
          <w:lang w:val="de-DE"/>
        </w:rPr>
        <w:t>ETIKETT FÜR SPRITZE</w:t>
      </w:r>
    </w:p>
    <w:p w14:paraId="07150E82" w14:textId="77777777" w:rsidR="00261AC3" w:rsidRPr="0049187C" w:rsidRDefault="00261AC3" w:rsidP="0049187C">
      <w:pPr>
        <w:spacing w:after="0" w:line="240" w:lineRule="auto"/>
        <w:ind w:left="0" w:firstLine="0"/>
        <w:rPr>
          <w:lang w:val="de-DE"/>
        </w:rPr>
      </w:pPr>
    </w:p>
    <w:p w14:paraId="4DDA3AD0" w14:textId="77777777" w:rsidR="00F83928" w:rsidRPr="0049187C" w:rsidRDefault="00F83928" w:rsidP="0049187C">
      <w:pPr>
        <w:spacing w:after="0" w:line="240" w:lineRule="auto"/>
        <w:ind w:left="0" w:firstLine="0"/>
        <w:rPr>
          <w:lang w:val="de-DE"/>
        </w:rPr>
      </w:pPr>
    </w:p>
    <w:p w14:paraId="480F1022" w14:textId="77777777" w:rsidR="00724FE1" w:rsidRPr="0049187C" w:rsidRDefault="00B00716" w:rsidP="0049187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de-DE"/>
        </w:rPr>
      </w:pPr>
      <w:r w:rsidRPr="0049187C">
        <w:rPr>
          <w:b/>
          <w:lang w:val="de-DE"/>
        </w:rPr>
        <w:t>1.</w:t>
      </w:r>
      <w:r w:rsidR="00CE795D" w:rsidRPr="0049187C">
        <w:rPr>
          <w:b/>
          <w:lang w:val="de-DE"/>
        </w:rPr>
        <w:tab/>
      </w:r>
      <w:r w:rsidRPr="0049187C">
        <w:rPr>
          <w:b/>
          <w:lang w:val="de-DE"/>
        </w:rPr>
        <w:t xml:space="preserve">BEZEICHNUNG DES ARZNEIMITTELS SOWIE ART(EN) DER ANWENDUNG </w:t>
      </w:r>
    </w:p>
    <w:p w14:paraId="04EAC8A3" w14:textId="77777777" w:rsidR="00261AC3" w:rsidRPr="0049187C" w:rsidRDefault="00261AC3" w:rsidP="0049187C">
      <w:pPr>
        <w:keepNext/>
        <w:keepLines/>
        <w:spacing w:after="0" w:line="240" w:lineRule="auto"/>
        <w:ind w:left="0" w:firstLine="0"/>
        <w:rPr>
          <w:lang w:val="de-DE"/>
        </w:rPr>
      </w:pPr>
    </w:p>
    <w:p w14:paraId="3E1FD85A" w14:textId="77777777" w:rsidR="00A90EE8" w:rsidRPr="0049187C" w:rsidRDefault="00B00716" w:rsidP="0049187C">
      <w:pPr>
        <w:spacing w:after="0" w:line="240" w:lineRule="auto"/>
        <w:ind w:left="0" w:firstLine="0"/>
        <w:rPr>
          <w:lang w:val="de-DE"/>
        </w:rPr>
      </w:pPr>
      <w:r w:rsidRPr="0049187C">
        <w:rPr>
          <w:lang w:val="de-DE"/>
        </w:rPr>
        <w:t>Jubbonti</w:t>
      </w:r>
      <w:r w:rsidR="00093102" w:rsidRPr="0049187C">
        <w:rPr>
          <w:lang w:val="de-DE"/>
        </w:rPr>
        <w:t xml:space="preserve"> </w:t>
      </w:r>
      <w:r w:rsidR="00261AC3" w:rsidRPr="0049187C">
        <w:rPr>
          <w:lang w:val="de-DE"/>
        </w:rPr>
        <w:t>60 </w:t>
      </w:r>
      <w:r w:rsidR="00FD7DFF" w:rsidRPr="0049187C">
        <w:rPr>
          <w:lang w:val="de-DE"/>
        </w:rPr>
        <w:t xml:space="preserve">mg </w:t>
      </w:r>
      <w:r w:rsidRPr="0049187C">
        <w:rPr>
          <w:lang w:val="de-DE"/>
        </w:rPr>
        <w:t>Injektion</w:t>
      </w:r>
    </w:p>
    <w:p w14:paraId="66BBC4F1" w14:textId="77777777" w:rsidR="00261AC3" w:rsidRPr="0049187C" w:rsidRDefault="00B00716" w:rsidP="0049187C">
      <w:pPr>
        <w:spacing w:after="0" w:line="240" w:lineRule="auto"/>
        <w:ind w:left="0" w:firstLine="0"/>
        <w:rPr>
          <w:lang w:val="de-DE"/>
        </w:rPr>
      </w:pPr>
      <w:r w:rsidRPr="0049187C">
        <w:rPr>
          <w:lang w:val="de-DE"/>
        </w:rPr>
        <w:t>Denosumab</w:t>
      </w:r>
      <w:r w:rsidR="0097480B" w:rsidRPr="0049187C">
        <w:rPr>
          <w:lang w:val="de-DE"/>
        </w:rPr>
        <w:t xml:space="preserve"> </w:t>
      </w:r>
      <w:r w:rsidR="0097480B" w:rsidRPr="0049187C">
        <w:rPr>
          <w:highlight w:val="lightGray"/>
          <w:lang w:val="de-DE"/>
        </w:rPr>
        <w:t>(denosumab)</w:t>
      </w:r>
    </w:p>
    <w:p w14:paraId="4C7F3FFF" w14:textId="77777777" w:rsidR="00261AC3" w:rsidRPr="0049187C" w:rsidRDefault="00B00716" w:rsidP="0049187C">
      <w:pPr>
        <w:spacing w:after="0" w:line="240" w:lineRule="auto"/>
        <w:ind w:left="0" w:firstLine="0"/>
        <w:rPr>
          <w:lang w:val="de-DE"/>
        </w:rPr>
      </w:pPr>
      <w:r w:rsidRPr="0049187C">
        <w:rPr>
          <w:lang w:val="de-DE"/>
        </w:rPr>
        <w:t>s.c.</w:t>
      </w:r>
    </w:p>
    <w:p w14:paraId="48C6E96F" w14:textId="77777777" w:rsidR="00261AC3" w:rsidRPr="0049187C" w:rsidRDefault="00261AC3" w:rsidP="0049187C">
      <w:pPr>
        <w:spacing w:after="0" w:line="240" w:lineRule="auto"/>
        <w:ind w:left="0" w:firstLine="0"/>
        <w:rPr>
          <w:lang w:val="de-DE"/>
        </w:rPr>
      </w:pPr>
    </w:p>
    <w:p w14:paraId="11F63253" w14:textId="77777777" w:rsidR="00F83928" w:rsidRPr="0049187C" w:rsidRDefault="00F83928" w:rsidP="0049187C">
      <w:pPr>
        <w:spacing w:after="0" w:line="240" w:lineRule="auto"/>
        <w:ind w:left="0" w:firstLine="0"/>
        <w:rPr>
          <w:lang w:val="de-DE"/>
        </w:rPr>
      </w:pPr>
    </w:p>
    <w:p w14:paraId="2CF55C51" w14:textId="77777777" w:rsidR="00724FE1" w:rsidRPr="0049187C" w:rsidRDefault="00B00716" w:rsidP="0049187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de-DE"/>
        </w:rPr>
      </w:pPr>
      <w:r w:rsidRPr="0049187C">
        <w:rPr>
          <w:b/>
          <w:lang w:val="de-DE"/>
        </w:rPr>
        <w:t>2.</w:t>
      </w:r>
      <w:r w:rsidR="00CE795D" w:rsidRPr="0049187C">
        <w:rPr>
          <w:b/>
          <w:lang w:val="de-DE"/>
        </w:rPr>
        <w:tab/>
      </w:r>
      <w:r w:rsidRPr="0049187C">
        <w:rPr>
          <w:b/>
          <w:lang w:val="de-DE"/>
        </w:rPr>
        <w:t xml:space="preserve">HINWEISE ZUR ANWENDUNG </w:t>
      </w:r>
    </w:p>
    <w:p w14:paraId="5BE351D0" w14:textId="77777777" w:rsidR="00261AC3" w:rsidRPr="0049187C" w:rsidRDefault="00261AC3" w:rsidP="0049187C">
      <w:pPr>
        <w:keepNext/>
        <w:keepLines/>
        <w:spacing w:after="0" w:line="240" w:lineRule="auto"/>
        <w:ind w:left="0" w:firstLine="0"/>
        <w:rPr>
          <w:lang w:val="de-DE"/>
        </w:rPr>
      </w:pPr>
    </w:p>
    <w:p w14:paraId="3AC66FDB" w14:textId="77777777" w:rsidR="00F83928" w:rsidRPr="0049187C" w:rsidRDefault="00F83928" w:rsidP="0049187C">
      <w:pPr>
        <w:spacing w:after="0" w:line="240" w:lineRule="auto"/>
        <w:ind w:left="0" w:firstLine="0"/>
        <w:rPr>
          <w:lang w:val="de-DE"/>
        </w:rPr>
      </w:pPr>
    </w:p>
    <w:p w14:paraId="69BDEF7C" w14:textId="77777777" w:rsidR="00724FE1" w:rsidRPr="0049187C" w:rsidRDefault="00B00716" w:rsidP="0049187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de-DE"/>
        </w:rPr>
      </w:pPr>
      <w:r w:rsidRPr="0049187C">
        <w:rPr>
          <w:b/>
          <w:lang w:val="de-DE"/>
        </w:rPr>
        <w:t>3.</w:t>
      </w:r>
      <w:r w:rsidR="00CE795D" w:rsidRPr="0049187C">
        <w:rPr>
          <w:b/>
          <w:lang w:val="de-DE"/>
        </w:rPr>
        <w:tab/>
      </w:r>
      <w:r w:rsidRPr="0049187C">
        <w:rPr>
          <w:b/>
          <w:lang w:val="de-DE"/>
        </w:rPr>
        <w:t xml:space="preserve">VERFALLDATUM </w:t>
      </w:r>
    </w:p>
    <w:p w14:paraId="36995A77" w14:textId="77777777" w:rsidR="00261AC3" w:rsidRPr="0049187C" w:rsidRDefault="00261AC3" w:rsidP="0049187C">
      <w:pPr>
        <w:keepNext/>
        <w:keepLines/>
        <w:spacing w:after="0" w:line="240" w:lineRule="auto"/>
        <w:ind w:left="0" w:firstLine="0"/>
        <w:rPr>
          <w:lang w:val="de-DE"/>
        </w:rPr>
      </w:pPr>
    </w:p>
    <w:p w14:paraId="343048B8" w14:textId="77777777" w:rsidR="00261AC3" w:rsidRPr="0049187C" w:rsidRDefault="00B00716" w:rsidP="0049187C">
      <w:pPr>
        <w:spacing w:after="0" w:line="240" w:lineRule="auto"/>
        <w:ind w:left="0" w:firstLine="0"/>
        <w:rPr>
          <w:lang w:val="de-DE"/>
        </w:rPr>
      </w:pPr>
      <w:r w:rsidRPr="0049187C">
        <w:rPr>
          <w:lang w:val="de-DE"/>
        </w:rPr>
        <w:t>EXP</w:t>
      </w:r>
    </w:p>
    <w:p w14:paraId="3B628B3E" w14:textId="77777777" w:rsidR="00261AC3" w:rsidRPr="0049187C" w:rsidRDefault="00261AC3" w:rsidP="0049187C">
      <w:pPr>
        <w:spacing w:after="0" w:line="240" w:lineRule="auto"/>
        <w:ind w:left="0" w:firstLine="0"/>
        <w:rPr>
          <w:lang w:val="de-DE"/>
        </w:rPr>
      </w:pPr>
    </w:p>
    <w:p w14:paraId="4E849F8A" w14:textId="77777777" w:rsidR="00F83928" w:rsidRPr="0049187C" w:rsidRDefault="00F83928" w:rsidP="0049187C">
      <w:pPr>
        <w:spacing w:after="0" w:line="240" w:lineRule="auto"/>
        <w:ind w:left="0" w:firstLine="0"/>
        <w:rPr>
          <w:lang w:val="de-DE"/>
        </w:rPr>
      </w:pPr>
    </w:p>
    <w:p w14:paraId="50E95F0D" w14:textId="77777777" w:rsidR="00724FE1" w:rsidRPr="0049187C" w:rsidRDefault="00B00716" w:rsidP="0049187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de-DE"/>
        </w:rPr>
      </w:pPr>
      <w:r w:rsidRPr="0049187C">
        <w:rPr>
          <w:b/>
          <w:lang w:val="de-DE"/>
        </w:rPr>
        <w:t>4.</w:t>
      </w:r>
      <w:r w:rsidR="00CE795D" w:rsidRPr="0049187C">
        <w:rPr>
          <w:b/>
          <w:lang w:val="de-DE"/>
        </w:rPr>
        <w:tab/>
      </w:r>
      <w:r w:rsidRPr="0049187C">
        <w:rPr>
          <w:b/>
          <w:lang w:val="de-DE"/>
        </w:rPr>
        <w:t xml:space="preserve">CHARGENBEZEICHNUNG </w:t>
      </w:r>
    </w:p>
    <w:p w14:paraId="23F06179" w14:textId="77777777" w:rsidR="00261AC3" w:rsidRPr="0049187C" w:rsidRDefault="00261AC3" w:rsidP="0049187C">
      <w:pPr>
        <w:keepNext/>
        <w:keepLines/>
        <w:spacing w:after="0" w:line="240" w:lineRule="auto"/>
        <w:ind w:left="0" w:firstLine="0"/>
        <w:rPr>
          <w:lang w:val="de-DE"/>
        </w:rPr>
      </w:pPr>
    </w:p>
    <w:p w14:paraId="57D81A13" w14:textId="77777777" w:rsidR="00261AC3" w:rsidRPr="0049187C" w:rsidRDefault="00B00716" w:rsidP="0049187C">
      <w:pPr>
        <w:spacing w:after="0" w:line="240" w:lineRule="auto"/>
        <w:ind w:left="0" w:firstLine="0"/>
        <w:rPr>
          <w:lang w:val="de-DE"/>
        </w:rPr>
      </w:pPr>
      <w:r w:rsidRPr="0049187C">
        <w:rPr>
          <w:lang w:val="de-DE"/>
        </w:rPr>
        <w:t>Lot</w:t>
      </w:r>
    </w:p>
    <w:p w14:paraId="186D30CF" w14:textId="77777777" w:rsidR="00261AC3" w:rsidRPr="0049187C" w:rsidRDefault="00261AC3" w:rsidP="0049187C">
      <w:pPr>
        <w:spacing w:after="0" w:line="240" w:lineRule="auto"/>
        <w:ind w:left="0" w:firstLine="0"/>
        <w:rPr>
          <w:lang w:val="de-DE"/>
        </w:rPr>
      </w:pPr>
    </w:p>
    <w:p w14:paraId="2FF629E0" w14:textId="77777777" w:rsidR="00F83928" w:rsidRPr="0049187C" w:rsidRDefault="00F83928" w:rsidP="0049187C">
      <w:pPr>
        <w:spacing w:after="0" w:line="240" w:lineRule="auto"/>
        <w:ind w:left="0" w:firstLine="0"/>
        <w:rPr>
          <w:lang w:val="de-DE"/>
        </w:rPr>
      </w:pPr>
    </w:p>
    <w:p w14:paraId="11B14474" w14:textId="77777777" w:rsidR="00724FE1" w:rsidRPr="0049187C" w:rsidRDefault="00B00716" w:rsidP="0049187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de-DE"/>
        </w:rPr>
      </w:pPr>
      <w:r w:rsidRPr="0049187C">
        <w:rPr>
          <w:b/>
          <w:lang w:val="de-DE"/>
        </w:rPr>
        <w:t>5.</w:t>
      </w:r>
      <w:r w:rsidR="00CE795D" w:rsidRPr="0049187C">
        <w:rPr>
          <w:b/>
          <w:lang w:val="de-DE"/>
        </w:rPr>
        <w:tab/>
      </w:r>
      <w:r w:rsidRPr="0049187C">
        <w:rPr>
          <w:b/>
          <w:lang w:val="de-DE"/>
        </w:rPr>
        <w:t xml:space="preserve">INHALT NACH GEWICHT, VOLUMEN ODER EINHEITEN </w:t>
      </w:r>
    </w:p>
    <w:p w14:paraId="589BD3F5" w14:textId="77777777" w:rsidR="00261AC3" w:rsidRPr="0049187C" w:rsidRDefault="00261AC3" w:rsidP="0049187C">
      <w:pPr>
        <w:keepNext/>
        <w:keepLines/>
        <w:spacing w:after="0" w:line="240" w:lineRule="auto"/>
        <w:ind w:left="0" w:firstLine="0"/>
        <w:rPr>
          <w:lang w:val="de-DE"/>
        </w:rPr>
      </w:pPr>
    </w:p>
    <w:p w14:paraId="6D1F3239" w14:textId="77777777" w:rsidR="00F83928" w:rsidRPr="0049187C" w:rsidRDefault="00F83928" w:rsidP="0049187C">
      <w:pPr>
        <w:spacing w:after="0" w:line="240" w:lineRule="auto"/>
        <w:ind w:left="0" w:firstLine="0"/>
        <w:rPr>
          <w:lang w:val="de-DE"/>
        </w:rPr>
      </w:pPr>
    </w:p>
    <w:p w14:paraId="60D694D7" w14:textId="77777777" w:rsidR="00724FE1" w:rsidRPr="0049187C" w:rsidRDefault="00B00716" w:rsidP="0049187C">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0" w:firstLine="0"/>
        <w:rPr>
          <w:lang w:val="de-DE"/>
        </w:rPr>
      </w:pPr>
      <w:r w:rsidRPr="0049187C">
        <w:rPr>
          <w:b/>
          <w:lang w:val="de-DE"/>
        </w:rPr>
        <w:t>6.</w:t>
      </w:r>
      <w:r w:rsidR="00CE795D" w:rsidRPr="0049187C">
        <w:rPr>
          <w:b/>
          <w:lang w:val="de-DE"/>
        </w:rPr>
        <w:tab/>
      </w:r>
      <w:r w:rsidRPr="0049187C">
        <w:rPr>
          <w:b/>
          <w:lang w:val="de-DE"/>
        </w:rPr>
        <w:t xml:space="preserve">WEITERE ANGABEN </w:t>
      </w:r>
    </w:p>
    <w:p w14:paraId="2318D7BF" w14:textId="77777777" w:rsidR="00CE795D" w:rsidRPr="0049187C" w:rsidRDefault="00CE795D" w:rsidP="0049187C">
      <w:pPr>
        <w:keepNext/>
        <w:keepLines/>
        <w:spacing w:after="0" w:line="240" w:lineRule="auto"/>
        <w:ind w:left="0" w:firstLine="0"/>
        <w:rPr>
          <w:lang w:val="de-DE"/>
        </w:rPr>
      </w:pPr>
    </w:p>
    <w:p w14:paraId="0B19737C" w14:textId="77777777" w:rsidR="00CE795D" w:rsidRPr="0049187C" w:rsidRDefault="00B00716" w:rsidP="0049187C">
      <w:pPr>
        <w:spacing w:after="0" w:line="240" w:lineRule="auto"/>
        <w:ind w:left="0" w:firstLine="0"/>
        <w:rPr>
          <w:lang w:val="de-DE"/>
        </w:rPr>
      </w:pPr>
      <w:r w:rsidRPr="0049187C">
        <w:rPr>
          <w:lang w:val="de-DE"/>
        </w:rPr>
        <w:br w:type="page"/>
      </w:r>
    </w:p>
    <w:p w14:paraId="6A701F41" w14:textId="77777777" w:rsidR="00261AC3" w:rsidRPr="0049187C" w:rsidRDefault="00B00716" w:rsidP="0049187C">
      <w:pPr>
        <w:keepNext/>
        <w:keepLines/>
        <w:widowControl w:val="0"/>
        <w:pBdr>
          <w:top w:val="single" w:sz="4" w:space="1" w:color="auto"/>
          <w:left w:val="single" w:sz="4" w:space="4" w:color="auto"/>
          <w:bottom w:val="single" w:sz="4" w:space="1" w:color="auto"/>
          <w:right w:val="single" w:sz="4" w:space="4" w:color="auto"/>
        </w:pBdr>
        <w:spacing w:after="0" w:line="240" w:lineRule="auto"/>
        <w:ind w:left="0" w:firstLine="0"/>
        <w:rPr>
          <w:b/>
          <w:bCs/>
          <w:lang w:val="de-DE"/>
        </w:rPr>
      </w:pPr>
      <w:r w:rsidRPr="0049187C">
        <w:rPr>
          <w:b/>
          <w:bCs/>
          <w:lang w:val="de-DE"/>
        </w:rPr>
        <w:t xml:space="preserve">TEXT </w:t>
      </w:r>
      <w:r w:rsidR="00EE3DA2" w:rsidRPr="0049187C">
        <w:rPr>
          <w:b/>
          <w:bCs/>
          <w:lang w:val="de-DE"/>
        </w:rPr>
        <w:t xml:space="preserve">KALENDERKARTE </w:t>
      </w:r>
      <w:r w:rsidRPr="0049187C">
        <w:rPr>
          <w:b/>
          <w:bCs/>
          <w:lang w:val="de-DE"/>
        </w:rPr>
        <w:t>(in der Packung enthalten)</w:t>
      </w:r>
    </w:p>
    <w:p w14:paraId="6A6BFE31" w14:textId="77777777" w:rsidR="00261AC3" w:rsidRPr="0049187C" w:rsidRDefault="00261AC3" w:rsidP="0049187C">
      <w:pPr>
        <w:keepNext/>
        <w:keepLines/>
        <w:widowControl w:val="0"/>
        <w:pBdr>
          <w:top w:val="single" w:sz="4" w:space="1" w:color="auto"/>
          <w:left w:val="single" w:sz="4" w:space="4" w:color="auto"/>
          <w:bottom w:val="single" w:sz="4" w:space="1" w:color="auto"/>
          <w:right w:val="single" w:sz="4" w:space="4" w:color="auto"/>
        </w:pBdr>
        <w:spacing w:after="0" w:line="240" w:lineRule="auto"/>
        <w:ind w:left="0" w:firstLine="0"/>
        <w:rPr>
          <w:lang w:val="de-DE"/>
        </w:rPr>
      </w:pPr>
    </w:p>
    <w:p w14:paraId="4C038820" w14:textId="77777777" w:rsidR="00F83928" w:rsidRPr="0049187C" w:rsidRDefault="00F83928" w:rsidP="0049187C">
      <w:pPr>
        <w:spacing w:after="0" w:line="240" w:lineRule="auto"/>
        <w:ind w:left="0" w:firstLine="0"/>
        <w:rPr>
          <w:lang w:val="de-DE"/>
        </w:rPr>
      </w:pPr>
    </w:p>
    <w:p w14:paraId="3E8A03CC" w14:textId="77777777" w:rsidR="00261AC3" w:rsidRPr="0049187C" w:rsidRDefault="00B00716" w:rsidP="0049187C">
      <w:pPr>
        <w:spacing w:after="0" w:line="240" w:lineRule="auto"/>
        <w:ind w:left="0" w:firstLine="0"/>
        <w:rPr>
          <w:lang w:val="de-DE"/>
        </w:rPr>
      </w:pPr>
      <w:r w:rsidRPr="0049187C">
        <w:rPr>
          <w:lang w:val="de-DE"/>
        </w:rPr>
        <w:t>Jubbonti</w:t>
      </w:r>
      <w:r w:rsidR="00093102" w:rsidRPr="0049187C">
        <w:rPr>
          <w:lang w:val="de-DE"/>
        </w:rPr>
        <w:t xml:space="preserve"> </w:t>
      </w:r>
      <w:r w:rsidRPr="0049187C">
        <w:rPr>
          <w:lang w:val="de-DE"/>
        </w:rPr>
        <w:t>60 </w:t>
      </w:r>
      <w:r w:rsidR="00FD7DFF" w:rsidRPr="0049187C">
        <w:rPr>
          <w:lang w:val="de-DE"/>
        </w:rPr>
        <w:t>mg Injektion</w:t>
      </w:r>
    </w:p>
    <w:p w14:paraId="4FC09096" w14:textId="77777777" w:rsidR="00261AC3" w:rsidRPr="0049187C" w:rsidRDefault="00B00716" w:rsidP="0049187C">
      <w:pPr>
        <w:spacing w:after="0" w:line="240" w:lineRule="auto"/>
        <w:ind w:left="0" w:firstLine="0"/>
        <w:rPr>
          <w:lang w:val="de-DE"/>
        </w:rPr>
      </w:pPr>
      <w:r w:rsidRPr="0049187C">
        <w:rPr>
          <w:lang w:val="de-DE"/>
        </w:rPr>
        <w:t>Denosumab</w:t>
      </w:r>
      <w:r w:rsidR="0097480B" w:rsidRPr="0049187C">
        <w:rPr>
          <w:lang w:val="de-DE"/>
        </w:rPr>
        <w:t xml:space="preserve"> </w:t>
      </w:r>
      <w:r w:rsidR="0097480B" w:rsidRPr="0049187C">
        <w:rPr>
          <w:highlight w:val="lightGray"/>
          <w:lang w:val="de-DE"/>
        </w:rPr>
        <w:t>(denosumab)</w:t>
      </w:r>
    </w:p>
    <w:p w14:paraId="29779E6A" w14:textId="77777777" w:rsidR="00F83928" w:rsidRPr="0049187C" w:rsidRDefault="00F83928" w:rsidP="0049187C">
      <w:pPr>
        <w:spacing w:after="0" w:line="240" w:lineRule="auto"/>
        <w:ind w:left="0" w:firstLine="0"/>
        <w:rPr>
          <w:lang w:val="de-DE"/>
        </w:rPr>
      </w:pPr>
    </w:p>
    <w:p w14:paraId="6D050CC4" w14:textId="77777777" w:rsidR="00261AC3" w:rsidRPr="0049187C" w:rsidRDefault="00B00716" w:rsidP="0049187C">
      <w:pPr>
        <w:spacing w:after="0" w:line="240" w:lineRule="auto"/>
        <w:ind w:left="0" w:firstLine="0"/>
        <w:rPr>
          <w:lang w:val="de-DE"/>
        </w:rPr>
      </w:pPr>
      <w:r w:rsidRPr="0049187C">
        <w:rPr>
          <w:lang w:val="de-DE"/>
        </w:rPr>
        <w:t>s.c.</w:t>
      </w:r>
    </w:p>
    <w:p w14:paraId="75C7A73F" w14:textId="77777777" w:rsidR="00F83928" w:rsidRPr="0049187C" w:rsidRDefault="00F83928" w:rsidP="0049187C">
      <w:pPr>
        <w:spacing w:after="0" w:line="240" w:lineRule="auto"/>
        <w:ind w:left="0" w:firstLine="0"/>
        <w:rPr>
          <w:lang w:val="de-DE"/>
        </w:rPr>
      </w:pPr>
    </w:p>
    <w:p w14:paraId="07681965" w14:textId="77777777" w:rsidR="00261AC3" w:rsidRPr="0049187C" w:rsidRDefault="00B00716" w:rsidP="0049187C">
      <w:pPr>
        <w:spacing w:after="0" w:line="240" w:lineRule="auto"/>
        <w:ind w:left="0" w:firstLine="0"/>
        <w:rPr>
          <w:lang w:val="de-DE"/>
        </w:rPr>
      </w:pPr>
      <w:r w:rsidRPr="0049187C">
        <w:rPr>
          <w:lang w:val="de-DE"/>
        </w:rPr>
        <w:t>Nächste Injektion in 6 Monaten:</w:t>
      </w:r>
    </w:p>
    <w:p w14:paraId="3FA2F4C2" w14:textId="77777777" w:rsidR="00F83928" w:rsidRPr="0049187C" w:rsidRDefault="00F83928" w:rsidP="0049187C">
      <w:pPr>
        <w:spacing w:after="0" w:line="240" w:lineRule="auto"/>
        <w:ind w:left="0" w:firstLine="0"/>
        <w:rPr>
          <w:lang w:val="de-DE"/>
        </w:rPr>
      </w:pPr>
    </w:p>
    <w:p w14:paraId="699491BD" w14:textId="77777777" w:rsidR="00261AC3" w:rsidRPr="0049187C" w:rsidRDefault="00B00716" w:rsidP="0049187C">
      <w:pPr>
        <w:spacing w:after="0" w:line="240" w:lineRule="auto"/>
        <w:ind w:left="0" w:firstLine="0"/>
        <w:rPr>
          <w:lang w:val="de-DE"/>
        </w:rPr>
      </w:pPr>
      <w:r w:rsidRPr="0049187C">
        <w:rPr>
          <w:lang w:val="de-DE"/>
        </w:rPr>
        <w:t xml:space="preserve">Wenden Sie </w:t>
      </w:r>
      <w:r w:rsidR="00EE3DA2" w:rsidRPr="0049187C">
        <w:rPr>
          <w:lang w:val="de-DE"/>
        </w:rPr>
        <w:t xml:space="preserve">Jubbonti </w:t>
      </w:r>
      <w:r w:rsidRPr="0049187C">
        <w:rPr>
          <w:lang w:val="de-DE"/>
        </w:rPr>
        <w:t>so lange an, wie von Ihrem Arzt verordnet.</w:t>
      </w:r>
    </w:p>
    <w:p w14:paraId="03A7E2A5" w14:textId="77777777" w:rsidR="00F83928" w:rsidRPr="0049187C" w:rsidRDefault="00F83928" w:rsidP="0049187C">
      <w:pPr>
        <w:spacing w:after="0" w:line="240" w:lineRule="auto"/>
        <w:ind w:left="0" w:firstLine="0"/>
        <w:rPr>
          <w:lang w:val="de-DE"/>
        </w:rPr>
      </w:pPr>
    </w:p>
    <w:p w14:paraId="5AAE8565" w14:textId="77777777" w:rsidR="00261AC3" w:rsidRPr="0049187C" w:rsidRDefault="00261AC3" w:rsidP="0049187C">
      <w:pPr>
        <w:spacing w:after="0" w:line="240" w:lineRule="auto"/>
        <w:ind w:left="0" w:firstLine="0"/>
        <w:rPr>
          <w:lang w:val="de-DE"/>
        </w:rPr>
      </w:pPr>
    </w:p>
    <w:p w14:paraId="74404908" w14:textId="77777777" w:rsidR="00261AC3" w:rsidRPr="0049187C" w:rsidRDefault="00B00716" w:rsidP="0049187C">
      <w:pPr>
        <w:spacing w:after="0" w:line="240" w:lineRule="auto"/>
        <w:ind w:left="0" w:firstLine="0"/>
        <w:rPr>
          <w:lang w:val="de-DE"/>
        </w:rPr>
      </w:pPr>
      <w:r w:rsidRPr="0049187C">
        <w:rPr>
          <w:lang w:val="de-DE"/>
        </w:rPr>
        <w:br w:type="page"/>
      </w:r>
    </w:p>
    <w:p w14:paraId="613EB3D6" w14:textId="77777777" w:rsidR="00261AC3" w:rsidRPr="0049187C" w:rsidRDefault="00261AC3" w:rsidP="0049187C">
      <w:pPr>
        <w:spacing w:after="0" w:line="240" w:lineRule="auto"/>
        <w:ind w:left="0" w:firstLine="0"/>
        <w:jc w:val="center"/>
        <w:rPr>
          <w:lang w:val="de-DE"/>
        </w:rPr>
      </w:pPr>
    </w:p>
    <w:p w14:paraId="3D86035E" w14:textId="77777777" w:rsidR="00261AC3" w:rsidRPr="0049187C" w:rsidRDefault="00261AC3" w:rsidP="0049187C">
      <w:pPr>
        <w:spacing w:after="0" w:line="240" w:lineRule="auto"/>
        <w:ind w:left="0" w:firstLine="0"/>
        <w:jc w:val="center"/>
        <w:rPr>
          <w:lang w:val="de-DE"/>
        </w:rPr>
      </w:pPr>
    </w:p>
    <w:p w14:paraId="593BF2D5" w14:textId="77777777" w:rsidR="00261AC3" w:rsidRPr="0049187C" w:rsidRDefault="00261AC3" w:rsidP="0049187C">
      <w:pPr>
        <w:spacing w:after="0" w:line="240" w:lineRule="auto"/>
        <w:ind w:left="0" w:firstLine="0"/>
        <w:jc w:val="center"/>
        <w:rPr>
          <w:lang w:val="de-DE"/>
        </w:rPr>
      </w:pPr>
    </w:p>
    <w:p w14:paraId="6BDFAC5E" w14:textId="77777777" w:rsidR="00261AC3" w:rsidRPr="0049187C" w:rsidRDefault="00261AC3" w:rsidP="0049187C">
      <w:pPr>
        <w:spacing w:after="0" w:line="240" w:lineRule="auto"/>
        <w:ind w:left="0" w:firstLine="0"/>
        <w:jc w:val="center"/>
        <w:rPr>
          <w:lang w:val="de-DE"/>
        </w:rPr>
      </w:pPr>
    </w:p>
    <w:p w14:paraId="7EE48DED" w14:textId="77777777" w:rsidR="00261AC3" w:rsidRPr="0049187C" w:rsidRDefault="00261AC3" w:rsidP="0049187C">
      <w:pPr>
        <w:spacing w:after="0" w:line="240" w:lineRule="auto"/>
        <w:ind w:left="0" w:firstLine="0"/>
        <w:jc w:val="center"/>
        <w:rPr>
          <w:lang w:val="de-DE"/>
        </w:rPr>
      </w:pPr>
    </w:p>
    <w:p w14:paraId="2125C000" w14:textId="77777777" w:rsidR="00261AC3" w:rsidRPr="0049187C" w:rsidRDefault="00261AC3" w:rsidP="0049187C">
      <w:pPr>
        <w:spacing w:after="0" w:line="240" w:lineRule="auto"/>
        <w:ind w:left="0" w:firstLine="0"/>
        <w:jc w:val="center"/>
        <w:rPr>
          <w:lang w:val="de-DE"/>
        </w:rPr>
      </w:pPr>
    </w:p>
    <w:p w14:paraId="40438010" w14:textId="77777777" w:rsidR="00261AC3" w:rsidRPr="0049187C" w:rsidRDefault="00261AC3" w:rsidP="0049187C">
      <w:pPr>
        <w:spacing w:after="0" w:line="240" w:lineRule="auto"/>
        <w:ind w:left="0" w:firstLine="0"/>
        <w:jc w:val="center"/>
        <w:rPr>
          <w:lang w:val="de-DE"/>
        </w:rPr>
      </w:pPr>
    </w:p>
    <w:p w14:paraId="7894CB43" w14:textId="77777777" w:rsidR="00261AC3" w:rsidRPr="0049187C" w:rsidRDefault="00261AC3" w:rsidP="0049187C">
      <w:pPr>
        <w:spacing w:after="0" w:line="240" w:lineRule="auto"/>
        <w:ind w:left="0" w:firstLine="0"/>
        <w:jc w:val="center"/>
        <w:rPr>
          <w:lang w:val="de-DE"/>
        </w:rPr>
      </w:pPr>
    </w:p>
    <w:p w14:paraId="7F46C74A" w14:textId="77777777" w:rsidR="00261AC3" w:rsidRPr="0049187C" w:rsidRDefault="00261AC3" w:rsidP="0049187C">
      <w:pPr>
        <w:spacing w:after="0" w:line="240" w:lineRule="auto"/>
        <w:ind w:left="0" w:firstLine="0"/>
        <w:jc w:val="center"/>
        <w:rPr>
          <w:lang w:val="de-DE"/>
        </w:rPr>
      </w:pPr>
    </w:p>
    <w:p w14:paraId="59586F1F" w14:textId="77777777" w:rsidR="00261AC3" w:rsidRPr="0049187C" w:rsidRDefault="00261AC3" w:rsidP="0049187C">
      <w:pPr>
        <w:spacing w:after="0" w:line="240" w:lineRule="auto"/>
        <w:ind w:left="0" w:firstLine="0"/>
        <w:jc w:val="center"/>
        <w:rPr>
          <w:lang w:val="de-DE"/>
        </w:rPr>
      </w:pPr>
    </w:p>
    <w:p w14:paraId="30ABE13D" w14:textId="77777777" w:rsidR="00261AC3" w:rsidRPr="0049187C" w:rsidRDefault="00261AC3" w:rsidP="0049187C">
      <w:pPr>
        <w:spacing w:after="0" w:line="240" w:lineRule="auto"/>
        <w:ind w:left="0" w:firstLine="0"/>
        <w:jc w:val="center"/>
        <w:rPr>
          <w:lang w:val="de-DE"/>
        </w:rPr>
      </w:pPr>
    </w:p>
    <w:p w14:paraId="4CECA6FE" w14:textId="77777777" w:rsidR="00261AC3" w:rsidRPr="0049187C" w:rsidRDefault="00261AC3" w:rsidP="0049187C">
      <w:pPr>
        <w:spacing w:after="0" w:line="240" w:lineRule="auto"/>
        <w:ind w:left="0" w:firstLine="0"/>
        <w:jc w:val="center"/>
        <w:rPr>
          <w:lang w:val="de-DE"/>
        </w:rPr>
      </w:pPr>
    </w:p>
    <w:p w14:paraId="2DCF4334" w14:textId="77777777" w:rsidR="00261AC3" w:rsidRPr="0049187C" w:rsidRDefault="00261AC3" w:rsidP="0049187C">
      <w:pPr>
        <w:spacing w:after="0" w:line="240" w:lineRule="auto"/>
        <w:ind w:left="0" w:firstLine="0"/>
        <w:jc w:val="center"/>
        <w:rPr>
          <w:lang w:val="de-DE"/>
        </w:rPr>
      </w:pPr>
    </w:p>
    <w:p w14:paraId="0351EF12" w14:textId="77777777" w:rsidR="00261AC3" w:rsidRPr="0049187C" w:rsidRDefault="00261AC3" w:rsidP="0049187C">
      <w:pPr>
        <w:spacing w:after="0" w:line="240" w:lineRule="auto"/>
        <w:ind w:left="0" w:firstLine="0"/>
        <w:jc w:val="center"/>
        <w:rPr>
          <w:lang w:val="de-DE"/>
        </w:rPr>
      </w:pPr>
    </w:p>
    <w:p w14:paraId="794D3C75" w14:textId="77777777" w:rsidR="00261AC3" w:rsidRPr="0049187C" w:rsidRDefault="00261AC3" w:rsidP="0049187C">
      <w:pPr>
        <w:spacing w:after="0" w:line="240" w:lineRule="auto"/>
        <w:ind w:left="0" w:firstLine="0"/>
        <w:jc w:val="center"/>
        <w:rPr>
          <w:lang w:val="de-DE"/>
        </w:rPr>
      </w:pPr>
    </w:p>
    <w:p w14:paraId="23155A2E" w14:textId="77777777" w:rsidR="00261AC3" w:rsidRPr="0049187C" w:rsidRDefault="00261AC3" w:rsidP="0049187C">
      <w:pPr>
        <w:spacing w:after="0" w:line="240" w:lineRule="auto"/>
        <w:ind w:left="0" w:firstLine="0"/>
        <w:jc w:val="center"/>
        <w:rPr>
          <w:lang w:val="de-DE"/>
        </w:rPr>
      </w:pPr>
    </w:p>
    <w:p w14:paraId="05316311" w14:textId="77777777" w:rsidR="00261AC3" w:rsidRPr="0049187C" w:rsidRDefault="00261AC3" w:rsidP="0049187C">
      <w:pPr>
        <w:spacing w:after="0" w:line="240" w:lineRule="auto"/>
        <w:ind w:left="0" w:firstLine="0"/>
        <w:jc w:val="center"/>
        <w:rPr>
          <w:lang w:val="de-DE"/>
        </w:rPr>
      </w:pPr>
    </w:p>
    <w:p w14:paraId="52B23A2C" w14:textId="77777777" w:rsidR="00261AC3" w:rsidRPr="0049187C" w:rsidRDefault="00261AC3" w:rsidP="0049187C">
      <w:pPr>
        <w:spacing w:after="0" w:line="240" w:lineRule="auto"/>
        <w:ind w:left="0" w:firstLine="0"/>
        <w:jc w:val="center"/>
        <w:rPr>
          <w:lang w:val="de-DE"/>
        </w:rPr>
      </w:pPr>
    </w:p>
    <w:p w14:paraId="1A6E9044" w14:textId="77777777" w:rsidR="00261AC3" w:rsidRPr="0049187C" w:rsidRDefault="00261AC3" w:rsidP="0049187C">
      <w:pPr>
        <w:spacing w:after="0" w:line="240" w:lineRule="auto"/>
        <w:ind w:left="0" w:firstLine="0"/>
        <w:jc w:val="center"/>
        <w:rPr>
          <w:lang w:val="de-DE"/>
        </w:rPr>
      </w:pPr>
    </w:p>
    <w:p w14:paraId="1EA131DC" w14:textId="77777777" w:rsidR="00261AC3" w:rsidRPr="0049187C" w:rsidRDefault="00261AC3" w:rsidP="0049187C">
      <w:pPr>
        <w:spacing w:after="0" w:line="240" w:lineRule="auto"/>
        <w:ind w:left="0" w:firstLine="0"/>
        <w:jc w:val="center"/>
        <w:rPr>
          <w:lang w:val="de-DE"/>
        </w:rPr>
      </w:pPr>
    </w:p>
    <w:p w14:paraId="29027E65" w14:textId="77777777" w:rsidR="00261AC3" w:rsidRPr="0049187C" w:rsidRDefault="00261AC3" w:rsidP="0049187C">
      <w:pPr>
        <w:spacing w:after="0" w:line="240" w:lineRule="auto"/>
        <w:ind w:left="0" w:firstLine="0"/>
        <w:jc w:val="center"/>
        <w:rPr>
          <w:lang w:val="de-DE"/>
        </w:rPr>
      </w:pPr>
    </w:p>
    <w:p w14:paraId="5FB7A861" w14:textId="77777777" w:rsidR="00261AC3" w:rsidRPr="0049187C" w:rsidRDefault="00261AC3" w:rsidP="0049187C">
      <w:pPr>
        <w:spacing w:after="0" w:line="240" w:lineRule="auto"/>
        <w:ind w:left="0" w:firstLine="0"/>
        <w:jc w:val="center"/>
        <w:rPr>
          <w:lang w:val="de-DE"/>
        </w:rPr>
      </w:pPr>
    </w:p>
    <w:p w14:paraId="23C37A37" w14:textId="77777777" w:rsidR="00F83928" w:rsidRPr="0049187C" w:rsidRDefault="00F83928" w:rsidP="0049187C">
      <w:pPr>
        <w:spacing w:after="0" w:line="240" w:lineRule="auto"/>
        <w:ind w:left="0" w:firstLine="0"/>
        <w:jc w:val="center"/>
        <w:rPr>
          <w:lang w:val="de-DE"/>
        </w:rPr>
      </w:pPr>
    </w:p>
    <w:p w14:paraId="1D3455D1" w14:textId="77777777" w:rsidR="00326DA4" w:rsidRPr="0049187C" w:rsidRDefault="00B00716" w:rsidP="0049187C">
      <w:pPr>
        <w:pStyle w:val="Heading1"/>
        <w:spacing w:after="0" w:line="240" w:lineRule="auto"/>
        <w:ind w:left="0" w:firstLine="0"/>
        <w:jc w:val="center"/>
        <w:rPr>
          <w:lang w:val="de-DE"/>
        </w:rPr>
      </w:pPr>
      <w:r w:rsidRPr="0049187C">
        <w:rPr>
          <w:lang w:val="de-DE"/>
        </w:rPr>
        <w:t xml:space="preserve">B. PACKUNGSBEILAGE </w:t>
      </w:r>
    </w:p>
    <w:p w14:paraId="7BCCF17D" w14:textId="77777777" w:rsidR="00F83928" w:rsidRPr="0049187C" w:rsidRDefault="00B00716" w:rsidP="0049187C">
      <w:pPr>
        <w:pStyle w:val="TitalA"/>
        <w:ind w:firstLine="0"/>
      </w:pPr>
      <w:r w:rsidRPr="0049187C">
        <w:br w:type="page"/>
      </w:r>
    </w:p>
    <w:p w14:paraId="00593BF4" w14:textId="77777777" w:rsidR="00261AC3" w:rsidRPr="0049187C" w:rsidRDefault="00B00716" w:rsidP="0049187C">
      <w:pPr>
        <w:spacing w:after="0" w:line="240" w:lineRule="auto"/>
        <w:ind w:left="0" w:firstLine="0"/>
        <w:jc w:val="center"/>
        <w:rPr>
          <w:lang w:val="de-DE"/>
        </w:rPr>
      </w:pPr>
      <w:r w:rsidRPr="0049187C">
        <w:rPr>
          <w:b/>
          <w:lang w:val="de-DE"/>
        </w:rPr>
        <w:t>Gebrauchsinformation: Information für Anwender</w:t>
      </w:r>
    </w:p>
    <w:p w14:paraId="7A5DB6B6" w14:textId="77777777" w:rsidR="00F83928" w:rsidRPr="0049187C" w:rsidRDefault="00F83928" w:rsidP="0049187C">
      <w:pPr>
        <w:spacing w:after="0" w:line="240" w:lineRule="auto"/>
        <w:ind w:left="0" w:firstLine="0"/>
        <w:jc w:val="center"/>
        <w:rPr>
          <w:lang w:val="de-DE"/>
        </w:rPr>
      </w:pPr>
    </w:p>
    <w:p w14:paraId="7837515C" w14:textId="77777777" w:rsidR="00261AC3" w:rsidRPr="0049187C" w:rsidRDefault="00B00716" w:rsidP="0049187C">
      <w:pPr>
        <w:spacing w:after="0" w:line="240" w:lineRule="auto"/>
        <w:ind w:left="0" w:firstLine="0"/>
        <w:jc w:val="center"/>
        <w:rPr>
          <w:b/>
          <w:lang w:val="de-DE"/>
        </w:rPr>
      </w:pPr>
      <w:r w:rsidRPr="0049187C">
        <w:rPr>
          <w:b/>
          <w:lang w:val="de-DE"/>
        </w:rPr>
        <w:t>Jubbonti</w:t>
      </w:r>
      <w:r w:rsidR="00093102" w:rsidRPr="0049187C">
        <w:rPr>
          <w:b/>
          <w:lang w:val="de-DE"/>
        </w:rPr>
        <w:t xml:space="preserve"> </w:t>
      </w:r>
      <w:r w:rsidRPr="0049187C">
        <w:rPr>
          <w:b/>
          <w:lang w:val="de-DE"/>
        </w:rPr>
        <w:t>60 </w:t>
      </w:r>
      <w:r w:rsidR="00FD7DFF" w:rsidRPr="0049187C">
        <w:rPr>
          <w:b/>
          <w:lang w:val="de-DE"/>
        </w:rPr>
        <w:t>mg Injektionslösung in einer Fertigspritze</w:t>
      </w:r>
    </w:p>
    <w:p w14:paraId="7D393E90" w14:textId="77777777" w:rsidR="00261AC3" w:rsidRPr="0049187C" w:rsidRDefault="00B00716" w:rsidP="0049187C">
      <w:pPr>
        <w:spacing w:after="0" w:line="240" w:lineRule="auto"/>
        <w:ind w:left="0" w:firstLine="0"/>
        <w:jc w:val="center"/>
        <w:rPr>
          <w:bCs/>
          <w:lang w:val="de-DE"/>
        </w:rPr>
      </w:pPr>
      <w:r w:rsidRPr="0049187C">
        <w:rPr>
          <w:bCs/>
          <w:lang w:val="de-DE"/>
        </w:rPr>
        <w:t>Denosumab</w:t>
      </w:r>
      <w:r w:rsidR="0097480B" w:rsidRPr="0049187C">
        <w:rPr>
          <w:bCs/>
          <w:lang w:val="de-DE"/>
        </w:rPr>
        <w:t xml:space="preserve"> (</w:t>
      </w:r>
      <w:r w:rsidR="0097480B" w:rsidRPr="0049187C">
        <w:rPr>
          <w:lang w:val="de-DE"/>
        </w:rPr>
        <w:t>denosumab)</w:t>
      </w:r>
    </w:p>
    <w:p w14:paraId="18221C2A" w14:textId="77777777" w:rsidR="00F83928" w:rsidRPr="0049187C" w:rsidRDefault="00F83928" w:rsidP="0049187C">
      <w:pPr>
        <w:spacing w:after="0" w:line="240" w:lineRule="auto"/>
        <w:ind w:left="0" w:firstLine="0"/>
        <w:jc w:val="center"/>
        <w:rPr>
          <w:lang w:val="de-DE"/>
        </w:rPr>
      </w:pPr>
    </w:p>
    <w:p w14:paraId="6F9F48DA" w14:textId="77777777" w:rsidR="00EE3DA2" w:rsidRPr="0049187C" w:rsidRDefault="00B00716" w:rsidP="0049187C">
      <w:pPr>
        <w:spacing w:after="0" w:line="240" w:lineRule="auto"/>
        <w:ind w:left="0" w:firstLine="0"/>
        <w:rPr>
          <w:lang w:val="de-DE"/>
        </w:rPr>
      </w:pPr>
      <w:r w:rsidRPr="0049187C">
        <w:rPr>
          <w:noProof/>
          <w:lang w:val="de-DE"/>
        </w:rPr>
        <w:drawing>
          <wp:inline distT="0" distB="0" distL="0" distR="0" wp14:anchorId="364301C3" wp14:editId="43A76171">
            <wp:extent cx="200025" cy="171450"/>
            <wp:effectExtent l="0" t="0" r="0" b="0"/>
            <wp:docPr id="29"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436821" name="Picture 2" descr="BT_1000x858px"/>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49187C">
        <w:rPr>
          <w:lang w:val="de-DE"/>
        </w:rPr>
        <w:t>Dieses Arzneimittel unterliegt einer zusätzlichen Überwachung. Dies ermöglicht eine schnelle Identifizierung neuer Erkenntnisse über die Sicherheit. Sie können dabei helfen, indem Sie jede auftretende Nebenwirkung melden. Hinweise zur Meldung von Nebenwirkungen, siehe Ende Abschnitt</w:t>
      </w:r>
      <w:r w:rsidR="00182BA0" w:rsidRPr="0049187C">
        <w:rPr>
          <w:lang w:val="de-DE"/>
        </w:rPr>
        <w:t> </w:t>
      </w:r>
      <w:r w:rsidRPr="0049187C">
        <w:rPr>
          <w:lang w:val="de-DE"/>
        </w:rPr>
        <w:t>4.</w:t>
      </w:r>
    </w:p>
    <w:p w14:paraId="4CBACBFB" w14:textId="77777777" w:rsidR="00EE3DA2" w:rsidRPr="0049187C" w:rsidRDefault="00EE3DA2" w:rsidP="0049187C">
      <w:pPr>
        <w:spacing w:after="0" w:line="240" w:lineRule="auto"/>
        <w:ind w:left="0" w:firstLine="0"/>
        <w:rPr>
          <w:b/>
          <w:lang w:val="de-DE"/>
        </w:rPr>
      </w:pPr>
    </w:p>
    <w:p w14:paraId="35302E88" w14:textId="77777777" w:rsidR="00261AC3" w:rsidRPr="0049187C" w:rsidRDefault="00B00716" w:rsidP="0049187C">
      <w:pPr>
        <w:spacing w:after="0" w:line="240" w:lineRule="auto"/>
        <w:ind w:left="0" w:firstLine="0"/>
        <w:rPr>
          <w:lang w:val="de-DE"/>
        </w:rPr>
      </w:pPr>
      <w:r w:rsidRPr="0049187C">
        <w:rPr>
          <w:b/>
          <w:lang w:val="de-DE"/>
        </w:rPr>
        <w:t>Lesen Sie die gesamte Packungsbeilage sorgfältig durch, bevor Sie mit der Anwendung dieses Arzneimittels beginnen, denn sie enthält wichtige Informationen.</w:t>
      </w:r>
    </w:p>
    <w:p w14:paraId="1475E2C9" w14:textId="77777777" w:rsidR="00261AC3" w:rsidRPr="0049187C" w:rsidRDefault="00B00716" w:rsidP="0049187C">
      <w:pPr>
        <w:numPr>
          <w:ilvl w:val="0"/>
          <w:numId w:val="34"/>
        </w:numPr>
        <w:tabs>
          <w:tab w:val="left" w:pos="567"/>
        </w:tabs>
        <w:spacing w:after="0" w:line="240" w:lineRule="auto"/>
        <w:ind w:left="0" w:firstLine="0"/>
        <w:rPr>
          <w:lang w:val="de-DE"/>
        </w:rPr>
      </w:pPr>
      <w:r w:rsidRPr="0049187C">
        <w:rPr>
          <w:lang w:val="de-DE"/>
        </w:rPr>
        <w:t>Heben Sie die Packungsbeilage auf. Vielleicht möchten Sie diese später nochmals lesen.</w:t>
      </w:r>
    </w:p>
    <w:p w14:paraId="098A0886" w14:textId="77777777" w:rsidR="00261AC3" w:rsidRPr="0049187C" w:rsidRDefault="00B00716" w:rsidP="0049187C">
      <w:pPr>
        <w:numPr>
          <w:ilvl w:val="0"/>
          <w:numId w:val="34"/>
        </w:numPr>
        <w:tabs>
          <w:tab w:val="left" w:pos="567"/>
        </w:tabs>
        <w:spacing w:after="0" w:line="240" w:lineRule="auto"/>
        <w:ind w:left="0" w:firstLine="0"/>
        <w:rPr>
          <w:lang w:val="de-DE"/>
        </w:rPr>
      </w:pPr>
      <w:r w:rsidRPr="0049187C">
        <w:rPr>
          <w:lang w:val="de-DE"/>
        </w:rPr>
        <w:t>Wenn Sie weitere Fragen haben, wenden Sie sich an Ihren Arzt oder Apotheker.</w:t>
      </w:r>
    </w:p>
    <w:p w14:paraId="0F75A572" w14:textId="77777777" w:rsidR="00261AC3" w:rsidRPr="0049187C" w:rsidRDefault="00B00716" w:rsidP="0049187C">
      <w:pPr>
        <w:numPr>
          <w:ilvl w:val="0"/>
          <w:numId w:val="34"/>
        </w:numPr>
        <w:tabs>
          <w:tab w:val="left" w:pos="567"/>
        </w:tabs>
        <w:spacing w:after="0" w:line="240" w:lineRule="auto"/>
        <w:ind w:left="0" w:firstLine="0"/>
        <w:rPr>
          <w:lang w:val="de-DE"/>
        </w:rPr>
      </w:pPr>
      <w:r w:rsidRPr="0049187C">
        <w:rPr>
          <w:lang w:val="de-DE"/>
        </w:rPr>
        <w:t>Dieses Arzneimittel wurde Ihnen persönlich verschrieben. Geben Sie es nicht an Dritte weiter.</w:t>
      </w:r>
      <w:r w:rsidR="0076060B" w:rsidRPr="0049187C">
        <w:rPr>
          <w:lang w:val="de-DE"/>
        </w:rPr>
        <w:t xml:space="preserve"> </w:t>
      </w:r>
      <w:r w:rsidRPr="0049187C">
        <w:rPr>
          <w:lang w:val="de-DE"/>
        </w:rPr>
        <w:t>Es kann anderen Menschen schaden, auch wenn diese die gleichen Beschwerden haben wie Sie.</w:t>
      </w:r>
    </w:p>
    <w:p w14:paraId="2F58B2B3" w14:textId="77777777" w:rsidR="00261AC3" w:rsidRPr="0049187C" w:rsidRDefault="00B00716" w:rsidP="0049187C">
      <w:pPr>
        <w:numPr>
          <w:ilvl w:val="0"/>
          <w:numId w:val="34"/>
        </w:numPr>
        <w:tabs>
          <w:tab w:val="left" w:pos="567"/>
        </w:tabs>
        <w:spacing w:after="0" w:line="240" w:lineRule="auto"/>
        <w:ind w:left="0" w:firstLine="0"/>
        <w:rPr>
          <w:lang w:val="de-DE"/>
        </w:rPr>
      </w:pPr>
      <w:r w:rsidRPr="0049187C">
        <w:rPr>
          <w:lang w:val="de-DE"/>
        </w:rPr>
        <w:t>Wenn Sie Nebenwirkungen bemerken, wenden Sie sich an Ihren Arzt oder Apotheker. Dies gilt auch für Nebenwirkungen, die nicht in dieser Packungsbeilage angegeben sind. Siehe Abschnitt 4.</w:t>
      </w:r>
    </w:p>
    <w:p w14:paraId="78CC3DE9" w14:textId="77777777" w:rsidR="00261AC3" w:rsidRPr="0049187C" w:rsidRDefault="00B00716" w:rsidP="0049187C">
      <w:pPr>
        <w:numPr>
          <w:ilvl w:val="0"/>
          <w:numId w:val="34"/>
        </w:numPr>
        <w:tabs>
          <w:tab w:val="left" w:pos="567"/>
        </w:tabs>
        <w:spacing w:after="0" w:line="240" w:lineRule="auto"/>
        <w:ind w:left="0" w:firstLine="0"/>
        <w:rPr>
          <w:lang w:val="de-DE"/>
        </w:rPr>
      </w:pPr>
      <w:r w:rsidRPr="0049187C">
        <w:rPr>
          <w:lang w:val="de-DE"/>
        </w:rPr>
        <w:t xml:space="preserve">Ihr Arzt wird Ihnen eine Patientenerinnerungskarte mit wichtigen Sicherheitsinformationen aushändigen, die Sie vor und während der Behandlung mit </w:t>
      </w:r>
      <w:r w:rsidR="00EE3DA2" w:rsidRPr="0049187C">
        <w:rPr>
          <w:lang w:val="de-DE"/>
        </w:rPr>
        <w:t>Jubbonti</w:t>
      </w:r>
      <w:r w:rsidRPr="0049187C">
        <w:rPr>
          <w:lang w:val="de-DE"/>
        </w:rPr>
        <w:t xml:space="preserve"> kennen müssen.</w:t>
      </w:r>
    </w:p>
    <w:p w14:paraId="4E701F63" w14:textId="77777777" w:rsidR="00F83928" w:rsidRPr="0049187C" w:rsidRDefault="00F83928" w:rsidP="0049187C">
      <w:pPr>
        <w:spacing w:after="0" w:line="240" w:lineRule="auto"/>
        <w:ind w:left="0" w:firstLine="0"/>
        <w:rPr>
          <w:lang w:val="de-DE"/>
        </w:rPr>
      </w:pPr>
    </w:p>
    <w:p w14:paraId="3E70E9AA" w14:textId="77777777" w:rsidR="00261AC3" w:rsidRPr="0049187C" w:rsidRDefault="00B00716" w:rsidP="0049187C">
      <w:pPr>
        <w:keepNext/>
        <w:keepLines/>
        <w:spacing w:after="0" w:line="240" w:lineRule="auto"/>
        <w:ind w:left="0" w:firstLine="0"/>
        <w:rPr>
          <w:b/>
          <w:bCs/>
          <w:lang w:val="de-DE"/>
        </w:rPr>
      </w:pPr>
      <w:r w:rsidRPr="0049187C">
        <w:rPr>
          <w:b/>
          <w:bCs/>
          <w:lang w:val="de-DE"/>
        </w:rPr>
        <w:t>Was in dieser Packungsbeilage steht</w:t>
      </w:r>
    </w:p>
    <w:p w14:paraId="0CC0EA4A" w14:textId="77777777" w:rsidR="00261AC3" w:rsidRPr="0049187C" w:rsidRDefault="00B00716" w:rsidP="0049187C">
      <w:pPr>
        <w:tabs>
          <w:tab w:val="left" w:pos="567"/>
        </w:tabs>
        <w:spacing w:after="0" w:line="240" w:lineRule="auto"/>
        <w:ind w:left="0" w:firstLine="0"/>
        <w:rPr>
          <w:lang w:val="de-DE"/>
        </w:rPr>
      </w:pPr>
      <w:r w:rsidRPr="0049187C">
        <w:rPr>
          <w:lang w:val="de-DE"/>
        </w:rPr>
        <w:t>1.</w:t>
      </w:r>
      <w:r w:rsidRPr="0049187C">
        <w:rPr>
          <w:lang w:val="de-DE"/>
        </w:rPr>
        <w:tab/>
      </w:r>
      <w:r w:rsidR="00FD7DFF" w:rsidRPr="0049187C">
        <w:rPr>
          <w:lang w:val="de-DE"/>
        </w:rPr>
        <w:t xml:space="preserve">Was ist </w:t>
      </w:r>
      <w:r w:rsidR="00EE3DA2" w:rsidRPr="0049187C">
        <w:rPr>
          <w:lang w:val="de-DE"/>
        </w:rPr>
        <w:t>Jubbonti</w:t>
      </w:r>
      <w:r w:rsidR="00FD7DFF" w:rsidRPr="0049187C">
        <w:rPr>
          <w:lang w:val="de-DE"/>
        </w:rPr>
        <w:t xml:space="preserve"> und wofür wird es angewendet?</w:t>
      </w:r>
    </w:p>
    <w:p w14:paraId="5FE8CFF4" w14:textId="77777777" w:rsidR="00261AC3" w:rsidRPr="0049187C" w:rsidRDefault="00B00716" w:rsidP="0049187C">
      <w:pPr>
        <w:tabs>
          <w:tab w:val="left" w:pos="567"/>
        </w:tabs>
        <w:spacing w:after="0" w:line="240" w:lineRule="auto"/>
        <w:ind w:left="0" w:firstLine="0"/>
        <w:rPr>
          <w:lang w:val="de-DE"/>
        </w:rPr>
      </w:pPr>
      <w:r w:rsidRPr="0049187C">
        <w:rPr>
          <w:lang w:val="de-DE"/>
        </w:rPr>
        <w:t>2.</w:t>
      </w:r>
      <w:r w:rsidRPr="0049187C">
        <w:rPr>
          <w:lang w:val="de-DE"/>
        </w:rPr>
        <w:tab/>
      </w:r>
      <w:r w:rsidR="00FD7DFF" w:rsidRPr="0049187C">
        <w:rPr>
          <w:lang w:val="de-DE"/>
        </w:rPr>
        <w:t xml:space="preserve">Was sollten Sie vor der Anwendung von </w:t>
      </w:r>
      <w:r w:rsidR="00EE3DA2" w:rsidRPr="0049187C">
        <w:rPr>
          <w:lang w:val="de-DE"/>
        </w:rPr>
        <w:t>Jubbonti</w:t>
      </w:r>
      <w:r w:rsidR="00FD7DFF" w:rsidRPr="0049187C">
        <w:rPr>
          <w:lang w:val="de-DE"/>
        </w:rPr>
        <w:t xml:space="preserve"> beachten?</w:t>
      </w:r>
    </w:p>
    <w:p w14:paraId="017EB0E4" w14:textId="77777777" w:rsidR="00261AC3" w:rsidRPr="0049187C" w:rsidRDefault="00B00716" w:rsidP="0049187C">
      <w:pPr>
        <w:tabs>
          <w:tab w:val="left" w:pos="567"/>
        </w:tabs>
        <w:spacing w:after="0" w:line="240" w:lineRule="auto"/>
        <w:ind w:left="0" w:firstLine="0"/>
        <w:rPr>
          <w:lang w:val="de-DE"/>
        </w:rPr>
      </w:pPr>
      <w:r w:rsidRPr="0049187C">
        <w:rPr>
          <w:lang w:val="de-DE"/>
        </w:rPr>
        <w:t>3.</w:t>
      </w:r>
      <w:r w:rsidRPr="0049187C">
        <w:rPr>
          <w:lang w:val="de-DE"/>
        </w:rPr>
        <w:tab/>
      </w:r>
      <w:r w:rsidR="00FD7DFF" w:rsidRPr="0049187C">
        <w:rPr>
          <w:lang w:val="de-DE"/>
        </w:rPr>
        <w:t xml:space="preserve">Wie ist </w:t>
      </w:r>
      <w:r w:rsidR="00EE3DA2" w:rsidRPr="0049187C">
        <w:rPr>
          <w:lang w:val="de-DE"/>
        </w:rPr>
        <w:t>Jubbonti</w:t>
      </w:r>
      <w:r w:rsidR="00FD7DFF" w:rsidRPr="0049187C">
        <w:rPr>
          <w:lang w:val="de-DE"/>
        </w:rPr>
        <w:t xml:space="preserve"> anzuwenden?</w:t>
      </w:r>
    </w:p>
    <w:p w14:paraId="7454C7DB" w14:textId="77777777" w:rsidR="00261AC3" w:rsidRPr="0049187C" w:rsidRDefault="00B00716" w:rsidP="0049187C">
      <w:pPr>
        <w:tabs>
          <w:tab w:val="left" w:pos="567"/>
        </w:tabs>
        <w:spacing w:after="0" w:line="240" w:lineRule="auto"/>
        <w:ind w:left="0" w:firstLine="0"/>
        <w:rPr>
          <w:lang w:val="de-DE"/>
        </w:rPr>
      </w:pPr>
      <w:r w:rsidRPr="0049187C">
        <w:rPr>
          <w:lang w:val="de-DE"/>
        </w:rPr>
        <w:t>4.</w:t>
      </w:r>
      <w:r w:rsidRPr="0049187C">
        <w:rPr>
          <w:lang w:val="de-DE"/>
        </w:rPr>
        <w:tab/>
      </w:r>
      <w:r w:rsidR="00FD7DFF" w:rsidRPr="0049187C">
        <w:rPr>
          <w:lang w:val="de-DE"/>
        </w:rPr>
        <w:t>Welche Nebenwirkungen sind möglich?</w:t>
      </w:r>
    </w:p>
    <w:p w14:paraId="73842321" w14:textId="77777777" w:rsidR="00261AC3" w:rsidRPr="0049187C" w:rsidRDefault="00B00716" w:rsidP="0049187C">
      <w:pPr>
        <w:tabs>
          <w:tab w:val="left" w:pos="567"/>
        </w:tabs>
        <w:spacing w:after="0" w:line="240" w:lineRule="auto"/>
        <w:ind w:left="0" w:firstLine="0"/>
        <w:rPr>
          <w:lang w:val="de-DE"/>
        </w:rPr>
      </w:pPr>
      <w:r w:rsidRPr="0049187C">
        <w:rPr>
          <w:lang w:val="de-DE"/>
        </w:rPr>
        <w:t>5.</w:t>
      </w:r>
      <w:r w:rsidRPr="0049187C">
        <w:rPr>
          <w:lang w:val="de-DE"/>
        </w:rPr>
        <w:tab/>
      </w:r>
      <w:r w:rsidR="00FD7DFF" w:rsidRPr="0049187C">
        <w:rPr>
          <w:lang w:val="de-DE"/>
        </w:rPr>
        <w:t xml:space="preserve">Wie ist </w:t>
      </w:r>
      <w:r w:rsidR="00EE3DA2" w:rsidRPr="0049187C">
        <w:rPr>
          <w:lang w:val="de-DE"/>
        </w:rPr>
        <w:t>Jubbonti</w:t>
      </w:r>
      <w:r w:rsidR="00FD7DFF" w:rsidRPr="0049187C">
        <w:rPr>
          <w:lang w:val="de-DE"/>
        </w:rPr>
        <w:t xml:space="preserve"> aufzubewahren?</w:t>
      </w:r>
    </w:p>
    <w:p w14:paraId="2F44970F" w14:textId="77777777" w:rsidR="00261AC3" w:rsidRPr="0049187C" w:rsidRDefault="00B00716" w:rsidP="0049187C">
      <w:pPr>
        <w:tabs>
          <w:tab w:val="left" w:pos="567"/>
        </w:tabs>
        <w:spacing w:after="0" w:line="240" w:lineRule="auto"/>
        <w:ind w:left="0" w:firstLine="0"/>
        <w:rPr>
          <w:lang w:val="de-DE"/>
        </w:rPr>
      </w:pPr>
      <w:r w:rsidRPr="0049187C">
        <w:rPr>
          <w:lang w:val="de-DE"/>
        </w:rPr>
        <w:t>6.</w:t>
      </w:r>
      <w:r w:rsidRPr="0049187C">
        <w:rPr>
          <w:lang w:val="de-DE"/>
        </w:rPr>
        <w:tab/>
      </w:r>
      <w:r w:rsidR="00FD7DFF" w:rsidRPr="0049187C">
        <w:rPr>
          <w:lang w:val="de-DE"/>
        </w:rPr>
        <w:t>Inhalt der Packung und weitere Informationen</w:t>
      </w:r>
    </w:p>
    <w:p w14:paraId="7563EDD7" w14:textId="77777777" w:rsidR="00EE3DA2" w:rsidRPr="0049187C" w:rsidRDefault="00B00716" w:rsidP="0049187C">
      <w:pPr>
        <w:tabs>
          <w:tab w:val="left" w:pos="567"/>
        </w:tabs>
        <w:spacing w:after="0" w:line="240" w:lineRule="auto"/>
        <w:ind w:left="0" w:firstLine="0"/>
        <w:rPr>
          <w:lang w:val="de-DE"/>
        </w:rPr>
      </w:pPr>
      <w:r w:rsidRPr="0049187C">
        <w:rPr>
          <w:lang w:val="de-DE"/>
        </w:rPr>
        <w:t>7.</w:t>
      </w:r>
      <w:r w:rsidRPr="0049187C">
        <w:rPr>
          <w:lang w:val="de-DE"/>
        </w:rPr>
        <w:tab/>
        <w:t>Gebrauchsanleitung</w:t>
      </w:r>
    </w:p>
    <w:p w14:paraId="15A857AE" w14:textId="77777777" w:rsidR="00261AC3" w:rsidRPr="0049187C" w:rsidRDefault="00261AC3" w:rsidP="0049187C">
      <w:pPr>
        <w:spacing w:after="0" w:line="240" w:lineRule="auto"/>
        <w:ind w:left="0" w:firstLine="0"/>
        <w:rPr>
          <w:lang w:val="de-DE"/>
        </w:rPr>
      </w:pPr>
    </w:p>
    <w:p w14:paraId="76386A60" w14:textId="77777777" w:rsidR="00F83928" w:rsidRPr="0049187C" w:rsidRDefault="00F83928" w:rsidP="0049187C">
      <w:pPr>
        <w:spacing w:after="0" w:line="240" w:lineRule="auto"/>
        <w:ind w:left="0" w:firstLine="0"/>
        <w:rPr>
          <w:lang w:val="de-DE"/>
        </w:rPr>
      </w:pPr>
    </w:p>
    <w:p w14:paraId="6D55DF9B" w14:textId="77777777" w:rsidR="00261AC3" w:rsidRPr="0049187C" w:rsidRDefault="00B00716" w:rsidP="0049187C">
      <w:pPr>
        <w:keepNext/>
        <w:keepLines/>
        <w:tabs>
          <w:tab w:val="left" w:pos="567"/>
        </w:tabs>
        <w:spacing w:after="0" w:line="240" w:lineRule="auto"/>
        <w:ind w:left="0" w:firstLine="0"/>
        <w:rPr>
          <w:lang w:val="de-DE"/>
        </w:rPr>
      </w:pPr>
      <w:r w:rsidRPr="0049187C">
        <w:rPr>
          <w:b/>
          <w:lang w:val="de-DE"/>
        </w:rPr>
        <w:t>1.</w:t>
      </w:r>
      <w:r w:rsidRPr="0049187C">
        <w:rPr>
          <w:b/>
          <w:lang w:val="de-DE"/>
        </w:rPr>
        <w:tab/>
        <w:t xml:space="preserve">Was ist </w:t>
      </w:r>
      <w:r w:rsidR="00EE3DA2" w:rsidRPr="0049187C">
        <w:rPr>
          <w:b/>
          <w:lang w:val="de-DE"/>
        </w:rPr>
        <w:t>Jubbonti</w:t>
      </w:r>
      <w:r w:rsidRPr="0049187C">
        <w:rPr>
          <w:b/>
          <w:lang w:val="de-DE"/>
        </w:rPr>
        <w:t xml:space="preserve"> und wofür wird es angewendet?</w:t>
      </w:r>
    </w:p>
    <w:p w14:paraId="12702B88" w14:textId="77777777" w:rsidR="00F83928" w:rsidRPr="0049187C" w:rsidRDefault="00F83928" w:rsidP="0049187C">
      <w:pPr>
        <w:keepNext/>
        <w:keepLines/>
        <w:spacing w:after="0" w:line="240" w:lineRule="auto"/>
        <w:ind w:left="0" w:firstLine="0"/>
        <w:rPr>
          <w:lang w:val="de-DE"/>
        </w:rPr>
      </w:pPr>
    </w:p>
    <w:p w14:paraId="7442BB5F" w14:textId="77777777" w:rsidR="00261AC3" w:rsidRPr="0049187C" w:rsidRDefault="00B00716" w:rsidP="0049187C">
      <w:pPr>
        <w:keepNext/>
        <w:keepLines/>
        <w:spacing w:after="0" w:line="240" w:lineRule="auto"/>
        <w:ind w:left="0" w:firstLine="0"/>
        <w:rPr>
          <w:b/>
          <w:bCs/>
          <w:lang w:val="de-DE"/>
        </w:rPr>
      </w:pPr>
      <w:r w:rsidRPr="0049187C">
        <w:rPr>
          <w:b/>
          <w:bCs/>
          <w:lang w:val="de-DE"/>
        </w:rPr>
        <w:t xml:space="preserve">Was </w:t>
      </w:r>
      <w:r w:rsidR="00EE3DA2" w:rsidRPr="0049187C">
        <w:rPr>
          <w:b/>
          <w:bCs/>
          <w:lang w:val="de-DE"/>
        </w:rPr>
        <w:t>Jubbonti</w:t>
      </w:r>
      <w:r w:rsidRPr="0049187C">
        <w:rPr>
          <w:b/>
          <w:bCs/>
          <w:lang w:val="de-DE"/>
        </w:rPr>
        <w:t xml:space="preserve"> ist und wie es funktioniert</w:t>
      </w:r>
    </w:p>
    <w:p w14:paraId="3F1B29D7" w14:textId="77777777" w:rsidR="00F83928" w:rsidRPr="0049187C" w:rsidRDefault="00F83928" w:rsidP="0049187C">
      <w:pPr>
        <w:spacing w:after="0" w:line="240" w:lineRule="auto"/>
        <w:ind w:left="0" w:firstLine="0"/>
        <w:rPr>
          <w:lang w:val="de-DE"/>
        </w:rPr>
      </w:pPr>
    </w:p>
    <w:p w14:paraId="1021008A" w14:textId="77777777" w:rsidR="00261AC3" w:rsidRPr="0049187C" w:rsidRDefault="00B00716" w:rsidP="0049187C">
      <w:pPr>
        <w:spacing w:after="0" w:line="240" w:lineRule="auto"/>
        <w:ind w:left="0" w:firstLine="0"/>
        <w:rPr>
          <w:lang w:val="de-DE"/>
        </w:rPr>
      </w:pPr>
      <w:r w:rsidRPr="0049187C">
        <w:rPr>
          <w:lang w:val="de-DE"/>
        </w:rPr>
        <w:t>Jubbonti</w:t>
      </w:r>
      <w:r w:rsidR="00FD7DFF" w:rsidRPr="0049187C">
        <w:rPr>
          <w:lang w:val="de-DE"/>
        </w:rPr>
        <w:t xml:space="preserve"> enthält Denosumab, einen Eiweißstoff (monoklonaler Antikörper), der die Wirkung eines anderen Eiweißstoffes beeinflusst, um Osteoporose und Knochenschwund zu behandeln. Die Behandlung mit </w:t>
      </w:r>
      <w:r w:rsidRPr="0049187C">
        <w:rPr>
          <w:lang w:val="de-DE"/>
        </w:rPr>
        <w:t>Jubbonti</w:t>
      </w:r>
      <w:r w:rsidR="00FD7DFF" w:rsidRPr="0049187C">
        <w:rPr>
          <w:lang w:val="de-DE"/>
        </w:rPr>
        <w:t xml:space="preserve"> stärkt den Knochen und verringert die Wahrscheinlichkeit, dass er bricht.</w:t>
      </w:r>
    </w:p>
    <w:p w14:paraId="5D1E6308" w14:textId="77777777" w:rsidR="00F83928" w:rsidRPr="0049187C" w:rsidRDefault="00F83928" w:rsidP="0049187C">
      <w:pPr>
        <w:spacing w:after="0" w:line="240" w:lineRule="auto"/>
        <w:ind w:left="0" w:firstLine="0"/>
        <w:rPr>
          <w:lang w:val="de-DE"/>
        </w:rPr>
      </w:pPr>
    </w:p>
    <w:p w14:paraId="71CA0CE2" w14:textId="77777777" w:rsidR="00261AC3" w:rsidRPr="0049187C" w:rsidRDefault="00B00716" w:rsidP="0049187C">
      <w:pPr>
        <w:spacing w:after="0" w:line="240" w:lineRule="auto"/>
        <w:ind w:left="0" w:firstLine="0"/>
        <w:rPr>
          <w:lang w:val="de-DE"/>
        </w:rPr>
      </w:pPr>
      <w:r w:rsidRPr="0049187C">
        <w:rPr>
          <w:lang w:val="de-DE"/>
        </w:rPr>
        <w:t>Der Knochen ist ein lebendes Gewebe und wird ständig erneuert. Östrogene helfen den Knochen gesund zu halten. Nach der Menopause sinken die Östrogenspiegel, hierdurch können die Knochen dünn und zerbrechlich werden. Dies kann möglicherweise zu einer Krankheit führen, die Osteoporose genannt wird. Osteoporose kann auch bei Männern aufgrund mehrerer Ursachen auftreten, einschließlich Alterns und/oder eines niedrigen Spiegels des männlichen Hormons Testosteron. Sie kann auch bei Patienten auftreten, die Glucocorticoide erhalten. Viele Patienten mit Osteoporose zeigen keine Symptome, haben aber trotzdem ein Risiko, Knochenbrüche zu erleiden, insbesondere an der Wirbelsäule, der Hüfte und am Handgelenk.</w:t>
      </w:r>
    </w:p>
    <w:p w14:paraId="6F5D3847" w14:textId="77777777" w:rsidR="00F83928" w:rsidRPr="0049187C" w:rsidRDefault="00F83928" w:rsidP="0049187C">
      <w:pPr>
        <w:spacing w:after="0" w:line="240" w:lineRule="auto"/>
        <w:ind w:left="0" w:firstLine="0"/>
        <w:rPr>
          <w:lang w:val="de-DE"/>
        </w:rPr>
      </w:pPr>
    </w:p>
    <w:p w14:paraId="6644F77F" w14:textId="77777777" w:rsidR="00261AC3" w:rsidRPr="0049187C" w:rsidRDefault="00B00716" w:rsidP="0049187C">
      <w:pPr>
        <w:spacing w:after="0" w:line="240" w:lineRule="auto"/>
        <w:ind w:left="0" w:firstLine="0"/>
        <w:rPr>
          <w:lang w:val="de-DE"/>
        </w:rPr>
      </w:pPr>
      <w:r w:rsidRPr="0049187C">
        <w:rPr>
          <w:lang w:val="de-DE"/>
        </w:rPr>
        <w:t>Operationen oder Arzneimittel, die die Bildung von Östrogenen oder Testosteron bei Patienten mit Brust</w:t>
      </w:r>
      <w:r w:rsidRPr="0049187C">
        <w:rPr>
          <w:lang w:val="de-DE"/>
        </w:rPr>
        <w:noBreakHyphen/>
        <w:t xml:space="preserve"> oder Prostatakrebs unterbrechen, können ebenfalls zu Knochenschwund führen. Die Knochen werden schwächer und können leichter brechen.</w:t>
      </w:r>
    </w:p>
    <w:p w14:paraId="7ED7BF24" w14:textId="77777777" w:rsidR="00F83928" w:rsidRPr="0049187C" w:rsidRDefault="00F83928" w:rsidP="0049187C">
      <w:pPr>
        <w:spacing w:after="0" w:line="240" w:lineRule="auto"/>
        <w:ind w:left="0" w:firstLine="0"/>
        <w:rPr>
          <w:lang w:val="de-DE"/>
        </w:rPr>
      </w:pPr>
    </w:p>
    <w:p w14:paraId="35CCB985" w14:textId="77777777" w:rsidR="00261AC3" w:rsidRPr="0049187C" w:rsidRDefault="00B00716" w:rsidP="0049187C">
      <w:pPr>
        <w:keepNext/>
        <w:keepLines/>
        <w:spacing w:after="0" w:line="240" w:lineRule="auto"/>
        <w:ind w:left="0" w:firstLine="0"/>
        <w:rPr>
          <w:b/>
          <w:bCs/>
          <w:lang w:val="de-DE"/>
        </w:rPr>
      </w:pPr>
      <w:r w:rsidRPr="0049187C">
        <w:rPr>
          <w:b/>
          <w:bCs/>
          <w:lang w:val="de-DE"/>
        </w:rPr>
        <w:t xml:space="preserve">Wofür wird </w:t>
      </w:r>
      <w:r w:rsidR="00EE3DA2" w:rsidRPr="0049187C">
        <w:rPr>
          <w:b/>
          <w:bCs/>
          <w:lang w:val="de-DE"/>
        </w:rPr>
        <w:t>Jubbonti</w:t>
      </w:r>
      <w:r w:rsidRPr="0049187C">
        <w:rPr>
          <w:b/>
          <w:bCs/>
          <w:lang w:val="de-DE"/>
        </w:rPr>
        <w:t xml:space="preserve"> angewendet?</w:t>
      </w:r>
    </w:p>
    <w:p w14:paraId="09F5FD75" w14:textId="77777777" w:rsidR="00F83928" w:rsidRPr="0049187C" w:rsidRDefault="00F83928" w:rsidP="0049187C">
      <w:pPr>
        <w:keepNext/>
        <w:keepLines/>
        <w:spacing w:after="0" w:line="240" w:lineRule="auto"/>
        <w:ind w:left="0" w:firstLine="0"/>
        <w:rPr>
          <w:lang w:val="de-DE"/>
        </w:rPr>
      </w:pPr>
    </w:p>
    <w:p w14:paraId="3D0938B0" w14:textId="77777777" w:rsidR="00261AC3" w:rsidRPr="0049187C" w:rsidRDefault="00B00716" w:rsidP="0049187C">
      <w:pPr>
        <w:keepNext/>
        <w:keepLines/>
        <w:spacing w:after="0" w:line="240" w:lineRule="auto"/>
        <w:ind w:left="0" w:firstLine="0"/>
        <w:rPr>
          <w:lang w:val="de-DE"/>
        </w:rPr>
      </w:pPr>
      <w:r w:rsidRPr="0049187C">
        <w:rPr>
          <w:lang w:val="de-DE"/>
        </w:rPr>
        <w:t>Jubbonti</w:t>
      </w:r>
      <w:r w:rsidR="00FD7DFF" w:rsidRPr="0049187C">
        <w:rPr>
          <w:lang w:val="de-DE"/>
        </w:rPr>
        <w:t xml:space="preserve"> wird angewendet zur Behandlung von:</w:t>
      </w:r>
    </w:p>
    <w:p w14:paraId="25D080D8" w14:textId="77777777" w:rsidR="00261AC3" w:rsidRPr="0049187C" w:rsidRDefault="00B00716" w:rsidP="0049187C">
      <w:pPr>
        <w:numPr>
          <w:ilvl w:val="0"/>
          <w:numId w:val="9"/>
        </w:numPr>
        <w:tabs>
          <w:tab w:val="left" w:pos="567"/>
        </w:tabs>
        <w:spacing w:after="0" w:line="240" w:lineRule="auto"/>
        <w:ind w:left="0" w:firstLine="0"/>
        <w:rPr>
          <w:lang w:val="de-DE"/>
        </w:rPr>
      </w:pPr>
      <w:r w:rsidRPr="0049187C">
        <w:rPr>
          <w:lang w:val="de-DE"/>
        </w:rPr>
        <w:t>Osteoporose bei Frauen nach der Menopause (postmenopausal) und Männern mit erhöhtem Risiko für Frakturen (Knochenbrüche) zur Verminderung des Risikos von Knochenbrüchen der Wirbelsäule, Knochenbrüchen außerhalb der Wirbelsäule sowie Hüftfrakturen.</w:t>
      </w:r>
    </w:p>
    <w:p w14:paraId="4AEBAE31" w14:textId="77777777" w:rsidR="00261AC3" w:rsidRPr="0049187C" w:rsidRDefault="00B00716" w:rsidP="0049187C">
      <w:pPr>
        <w:numPr>
          <w:ilvl w:val="0"/>
          <w:numId w:val="9"/>
        </w:numPr>
        <w:tabs>
          <w:tab w:val="left" w:pos="567"/>
        </w:tabs>
        <w:spacing w:after="0" w:line="240" w:lineRule="auto"/>
        <w:ind w:left="0" w:firstLine="0"/>
        <w:rPr>
          <w:lang w:val="de-DE"/>
        </w:rPr>
      </w:pPr>
      <w:r w:rsidRPr="0049187C">
        <w:rPr>
          <w:lang w:val="de-DE"/>
        </w:rPr>
        <w:t>Knochenschwund aufgrund einer Verringerung der Hormonspiegel (Testosteron), die durch eine Operation oder medikamentöse Behandlung bei Patienten mit Prostatakrebs verursacht wurde.</w:t>
      </w:r>
    </w:p>
    <w:p w14:paraId="4E8671D4" w14:textId="77777777" w:rsidR="00261AC3" w:rsidRPr="0049187C" w:rsidRDefault="00B00716" w:rsidP="0049187C">
      <w:pPr>
        <w:numPr>
          <w:ilvl w:val="0"/>
          <w:numId w:val="9"/>
        </w:numPr>
        <w:tabs>
          <w:tab w:val="left" w:pos="567"/>
        </w:tabs>
        <w:spacing w:after="0" w:line="240" w:lineRule="auto"/>
        <w:ind w:left="0" w:firstLine="0"/>
        <w:rPr>
          <w:lang w:val="de-DE"/>
        </w:rPr>
      </w:pPr>
      <w:r w:rsidRPr="0049187C">
        <w:rPr>
          <w:lang w:val="de-DE"/>
        </w:rPr>
        <w:t>Knochenschwund aufgrund einer Langzeitbehandlung mit Glucocorticoiden bei Patienten mit erhöhtem Frakturrisiko.</w:t>
      </w:r>
    </w:p>
    <w:p w14:paraId="16C9BEAA" w14:textId="77777777" w:rsidR="00F83928" w:rsidRPr="0049187C" w:rsidRDefault="00F83928" w:rsidP="0049187C">
      <w:pPr>
        <w:spacing w:after="0" w:line="240" w:lineRule="auto"/>
        <w:ind w:left="0" w:firstLine="0"/>
        <w:rPr>
          <w:lang w:val="de-DE"/>
        </w:rPr>
      </w:pPr>
    </w:p>
    <w:p w14:paraId="54A441C5" w14:textId="77777777" w:rsidR="00261AC3" w:rsidRPr="0049187C" w:rsidRDefault="00B00716" w:rsidP="0049187C">
      <w:pPr>
        <w:tabs>
          <w:tab w:val="left" w:pos="567"/>
        </w:tabs>
        <w:spacing w:after="0" w:line="240" w:lineRule="auto"/>
        <w:ind w:left="0" w:firstLine="0"/>
        <w:rPr>
          <w:lang w:val="de-DE"/>
        </w:rPr>
      </w:pPr>
      <w:r w:rsidRPr="0049187C">
        <w:rPr>
          <w:b/>
          <w:lang w:val="de-DE"/>
        </w:rPr>
        <w:t>2.</w:t>
      </w:r>
      <w:r w:rsidRPr="0049187C">
        <w:rPr>
          <w:b/>
          <w:lang w:val="de-DE"/>
        </w:rPr>
        <w:tab/>
        <w:t xml:space="preserve">Was sollten Sie vor der Anwendung von </w:t>
      </w:r>
      <w:r w:rsidR="00EE3DA2" w:rsidRPr="0049187C">
        <w:rPr>
          <w:b/>
          <w:lang w:val="de-DE"/>
        </w:rPr>
        <w:t>Jubbonti</w:t>
      </w:r>
      <w:r w:rsidRPr="0049187C">
        <w:rPr>
          <w:b/>
          <w:lang w:val="de-DE"/>
        </w:rPr>
        <w:t xml:space="preserve"> beachten?</w:t>
      </w:r>
    </w:p>
    <w:p w14:paraId="3C7BFD61" w14:textId="77777777" w:rsidR="00F83928" w:rsidRPr="0049187C" w:rsidRDefault="00F83928" w:rsidP="0049187C">
      <w:pPr>
        <w:spacing w:after="0" w:line="240" w:lineRule="auto"/>
        <w:ind w:left="0" w:firstLine="0"/>
        <w:rPr>
          <w:lang w:val="de-DE"/>
        </w:rPr>
      </w:pPr>
    </w:p>
    <w:p w14:paraId="7BB451C5" w14:textId="77777777" w:rsidR="00261AC3" w:rsidRPr="0049187C" w:rsidRDefault="00B00716" w:rsidP="0049187C">
      <w:pPr>
        <w:keepNext/>
        <w:keepLines/>
        <w:spacing w:after="0" w:line="240" w:lineRule="auto"/>
        <w:ind w:left="0" w:firstLine="0"/>
        <w:rPr>
          <w:b/>
          <w:bCs/>
          <w:lang w:val="de-DE"/>
        </w:rPr>
      </w:pPr>
      <w:r w:rsidRPr="0049187C">
        <w:rPr>
          <w:b/>
          <w:bCs/>
          <w:lang w:val="de-DE"/>
        </w:rPr>
        <w:t>Jubbonti</w:t>
      </w:r>
      <w:r w:rsidR="00FD7DFF" w:rsidRPr="0049187C">
        <w:rPr>
          <w:b/>
          <w:bCs/>
          <w:lang w:val="de-DE"/>
        </w:rPr>
        <w:t xml:space="preserve"> darf nicht angewendet werden,</w:t>
      </w:r>
    </w:p>
    <w:p w14:paraId="4FB1E31C" w14:textId="77777777" w:rsidR="00F83928" w:rsidRPr="0049187C" w:rsidRDefault="00F83928" w:rsidP="0049187C">
      <w:pPr>
        <w:spacing w:after="0" w:line="240" w:lineRule="auto"/>
        <w:ind w:left="0" w:firstLine="0"/>
        <w:rPr>
          <w:lang w:val="de-DE"/>
        </w:rPr>
      </w:pPr>
    </w:p>
    <w:p w14:paraId="76627C6A" w14:textId="77777777" w:rsidR="00261AC3" w:rsidRPr="0049187C" w:rsidRDefault="00B00716" w:rsidP="0049187C">
      <w:pPr>
        <w:numPr>
          <w:ilvl w:val="0"/>
          <w:numId w:val="10"/>
        </w:numPr>
        <w:tabs>
          <w:tab w:val="left" w:pos="567"/>
        </w:tabs>
        <w:spacing w:after="0" w:line="240" w:lineRule="auto"/>
        <w:ind w:left="0" w:firstLine="0"/>
        <w:rPr>
          <w:lang w:val="de-DE"/>
        </w:rPr>
      </w:pPr>
      <w:r w:rsidRPr="0049187C">
        <w:rPr>
          <w:lang w:val="de-DE"/>
        </w:rPr>
        <w:t>wenn Sie einen niedrigen Calciumspiegel im Blut haben (Hypokalzämie).</w:t>
      </w:r>
    </w:p>
    <w:p w14:paraId="3B4BE725" w14:textId="77777777" w:rsidR="00261AC3" w:rsidRPr="0049187C" w:rsidRDefault="00B00716" w:rsidP="0049187C">
      <w:pPr>
        <w:numPr>
          <w:ilvl w:val="0"/>
          <w:numId w:val="10"/>
        </w:numPr>
        <w:tabs>
          <w:tab w:val="left" w:pos="567"/>
        </w:tabs>
        <w:spacing w:after="0" w:line="240" w:lineRule="auto"/>
        <w:ind w:left="0" w:firstLine="0"/>
        <w:rPr>
          <w:lang w:val="de-DE"/>
        </w:rPr>
      </w:pPr>
      <w:r w:rsidRPr="0049187C">
        <w:rPr>
          <w:lang w:val="de-DE"/>
        </w:rPr>
        <w:t>wenn Sie allergisch gegen Denosumab oder einen der in Abschnitt 6. genannten sonstigen Bestandteile dieses Arzneimittels sind.</w:t>
      </w:r>
    </w:p>
    <w:p w14:paraId="69EF3B00" w14:textId="77777777" w:rsidR="00F83928" w:rsidRPr="0049187C" w:rsidRDefault="00F83928" w:rsidP="0049187C">
      <w:pPr>
        <w:spacing w:after="0" w:line="240" w:lineRule="auto"/>
        <w:ind w:left="0" w:firstLine="0"/>
        <w:rPr>
          <w:lang w:val="de-DE"/>
        </w:rPr>
      </w:pPr>
    </w:p>
    <w:p w14:paraId="19B7508F" w14:textId="77777777" w:rsidR="00261AC3" w:rsidRPr="0049187C" w:rsidRDefault="00B00716" w:rsidP="0049187C">
      <w:pPr>
        <w:keepNext/>
        <w:keepLines/>
        <w:spacing w:after="0" w:line="240" w:lineRule="auto"/>
        <w:ind w:left="0" w:firstLine="0"/>
        <w:rPr>
          <w:b/>
          <w:bCs/>
          <w:lang w:val="de-DE"/>
        </w:rPr>
      </w:pPr>
      <w:r w:rsidRPr="0049187C">
        <w:rPr>
          <w:b/>
          <w:bCs/>
          <w:lang w:val="de-DE"/>
        </w:rPr>
        <w:t>Warnhinweise und Vorsichtsmaßnahmen</w:t>
      </w:r>
    </w:p>
    <w:p w14:paraId="289A4475" w14:textId="77777777" w:rsidR="00F83928" w:rsidRPr="0049187C" w:rsidRDefault="00F83928" w:rsidP="0049187C">
      <w:pPr>
        <w:spacing w:after="0" w:line="240" w:lineRule="auto"/>
        <w:ind w:left="0" w:firstLine="0"/>
        <w:rPr>
          <w:lang w:val="de-DE"/>
        </w:rPr>
      </w:pPr>
    </w:p>
    <w:p w14:paraId="4141136C" w14:textId="77777777" w:rsidR="00261AC3" w:rsidRPr="0049187C" w:rsidRDefault="00B00716" w:rsidP="0049187C">
      <w:pPr>
        <w:spacing w:after="0" w:line="240" w:lineRule="auto"/>
        <w:ind w:left="0" w:firstLine="0"/>
        <w:rPr>
          <w:lang w:val="de-DE"/>
        </w:rPr>
      </w:pPr>
      <w:r w:rsidRPr="0049187C">
        <w:rPr>
          <w:lang w:val="de-DE"/>
        </w:rPr>
        <w:t xml:space="preserve">Bitte sprechen Sie mit Ihrem Arzt oder Apotheker, bevor </w:t>
      </w:r>
      <w:r w:rsidR="002C7B65" w:rsidRPr="0049187C">
        <w:rPr>
          <w:lang w:val="de-DE"/>
        </w:rPr>
        <w:t>S</w:t>
      </w:r>
      <w:r w:rsidRPr="0049187C">
        <w:rPr>
          <w:lang w:val="de-DE"/>
        </w:rPr>
        <w:t xml:space="preserve">ie </w:t>
      </w:r>
      <w:r w:rsidR="00EE3DA2" w:rsidRPr="0049187C">
        <w:rPr>
          <w:lang w:val="de-DE"/>
        </w:rPr>
        <w:t>Jubbonti</w:t>
      </w:r>
      <w:r w:rsidRPr="0049187C">
        <w:rPr>
          <w:lang w:val="de-DE"/>
        </w:rPr>
        <w:t xml:space="preserve"> anwenden.</w:t>
      </w:r>
    </w:p>
    <w:p w14:paraId="7892E4AE" w14:textId="77777777" w:rsidR="00F83928" w:rsidRPr="0049187C" w:rsidRDefault="00F83928" w:rsidP="0049187C">
      <w:pPr>
        <w:spacing w:after="0" w:line="240" w:lineRule="auto"/>
        <w:ind w:left="0" w:firstLine="0"/>
        <w:rPr>
          <w:lang w:val="de-DE"/>
        </w:rPr>
      </w:pPr>
    </w:p>
    <w:p w14:paraId="365BEE3C" w14:textId="77777777" w:rsidR="00261AC3" w:rsidRPr="0049187C" w:rsidRDefault="00B00716" w:rsidP="0049187C">
      <w:pPr>
        <w:spacing w:after="0" w:line="240" w:lineRule="auto"/>
        <w:ind w:left="0" w:firstLine="0"/>
        <w:rPr>
          <w:lang w:val="de-DE"/>
        </w:rPr>
      </w:pPr>
      <w:r w:rsidRPr="0049187C">
        <w:rPr>
          <w:lang w:val="de-DE"/>
        </w:rPr>
        <w:t xml:space="preserve">Während Sie mit </w:t>
      </w:r>
      <w:r w:rsidR="00EE3DA2" w:rsidRPr="0049187C">
        <w:rPr>
          <w:lang w:val="de-DE"/>
        </w:rPr>
        <w:t>Jubbonti</w:t>
      </w:r>
      <w:r w:rsidRPr="0049187C">
        <w:rPr>
          <w:lang w:val="de-DE"/>
        </w:rPr>
        <w:t xml:space="preserve"> behandelt werden, könnten Sie eine Hautinfektion mit Symptomen wie einer geschwollenen, geröteten Stelle an Ihrer Haut entwickeln, am häufigsten im unteren Bereich der Beine, die sich heiß und schmerzhaft anfühlt (</w:t>
      </w:r>
      <w:r w:rsidR="00336FFE" w:rsidRPr="0049187C">
        <w:rPr>
          <w:lang w:val="de-DE"/>
        </w:rPr>
        <w:t>Zellulitis</w:t>
      </w:r>
      <w:r w:rsidRPr="0049187C">
        <w:rPr>
          <w:lang w:val="de-DE"/>
        </w:rPr>
        <w:t>) und mit Fiebersymptomen einhergehen kann. Bitte informieren Sie Ihren Arzt unverzüglich, wenn Sie eines dieser Symptome entwickeln.</w:t>
      </w:r>
    </w:p>
    <w:p w14:paraId="7FCF338F" w14:textId="77777777" w:rsidR="00F83928" w:rsidRPr="0049187C" w:rsidRDefault="00F83928" w:rsidP="0049187C">
      <w:pPr>
        <w:spacing w:after="0" w:line="240" w:lineRule="auto"/>
        <w:ind w:left="0" w:firstLine="0"/>
        <w:rPr>
          <w:lang w:val="de-DE"/>
        </w:rPr>
      </w:pPr>
    </w:p>
    <w:p w14:paraId="4AF9E4E4" w14:textId="77777777" w:rsidR="00261AC3" w:rsidRPr="0049187C" w:rsidRDefault="00B00716" w:rsidP="0049187C">
      <w:pPr>
        <w:spacing w:after="0" w:line="240" w:lineRule="auto"/>
        <w:ind w:left="0" w:firstLine="0"/>
        <w:rPr>
          <w:lang w:val="de-DE"/>
        </w:rPr>
      </w:pPr>
      <w:r w:rsidRPr="0049187C">
        <w:rPr>
          <w:lang w:val="de-DE"/>
        </w:rPr>
        <w:t xml:space="preserve">Sie sollten ergänzend Calcium und Vitamin D zu sich nehmen, während Sie mit </w:t>
      </w:r>
      <w:r w:rsidR="00EE3DA2" w:rsidRPr="0049187C">
        <w:rPr>
          <w:lang w:val="de-DE"/>
        </w:rPr>
        <w:t>Jubbonti</w:t>
      </w:r>
      <w:r w:rsidRPr="0049187C">
        <w:rPr>
          <w:lang w:val="de-DE"/>
        </w:rPr>
        <w:t xml:space="preserve"> behandelt werden. Ihr Arzt wird dies mit Ihnen besprechen.</w:t>
      </w:r>
    </w:p>
    <w:p w14:paraId="6FCEE70D" w14:textId="77777777" w:rsidR="00F83928" w:rsidRPr="0049187C" w:rsidRDefault="00F83928" w:rsidP="0049187C">
      <w:pPr>
        <w:spacing w:after="0" w:line="240" w:lineRule="auto"/>
        <w:ind w:left="0" w:firstLine="0"/>
        <w:rPr>
          <w:lang w:val="de-DE"/>
        </w:rPr>
      </w:pPr>
    </w:p>
    <w:p w14:paraId="6F82D0F6" w14:textId="77777777" w:rsidR="00261AC3" w:rsidRPr="0049187C" w:rsidRDefault="00B00716" w:rsidP="0049187C">
      <w:pPr>
        <w:spacing w:after="0" w:line="240" w:lineRule="auto"/>
        <w:ind w:left="0" w:firstLine="0"/>
        <w:rPr>
          <w:lang w:val="de-DE"/>
        </w:rPr>
      </w:pPr>
      <w:r w:rsidRPr="0049187C">
        <w:rPr>
          <w:lang w:val="de-DE"/>
        </w:rPr>
        <w:t xml:space="preserve">Während Sie mit </w:t>
      </w:r>
      <w:r w:rsidR="00EE3DA2" w:rsidRPr="0049187C">
        <w:rPr>
          <w:lang w:val="de-DE"/>
        </w:rPr>
        <w:t>Jubbonti</w:t>
      </w:r>
      <w:r w:rsidRPr="0049187C">
        <w:rPr>
          <w:lang w:val="de-DE"/>
        </w:rPr>
        <w:t xml:space="preserve"> behandelt werden, haben Sie möglicherweise niedrige Calciumspiegel in Ihrem Blut. Bitte informieren Sie Ihren Arzt unverzüglich, wenn Sie eines der folgenden Symptome bemerken: Spasmen, Zuckungen oder Muskelkrämpfe und/oder Taubheit oder Kribbeln in Ihren Fingern, Zehen oder um Ihren Mund und/oder Krampfanfälle, Verwirrtheit oder Bewusstlosigkeit.</w:t>
      </w:r>
    </w:p>
    <w:p w14:paraId="0897554C" w14:textId="77777777" w:rsidR="00F83928" w:rsidRPr="0049187C" w:rsidRDefault="00F83928" w:rsidP="0049187C">
      <w:pPr>
        <w:spacing w:after="0" w:line="240" w:lineRule="auto"/>
        <w:ind w:left="0" w:firstLine="0"/>
        <w:rPr>
          <w:lang w:val="de-DE"/>
        </w:rPr>
      </w:pPr>
    </w:p>
    <w:p w14:paraId="30AFF5B0" w14:textId="77777777" w:rsidR="004466EA" w:rsidRPr="0049187C" w:rsidRDefault="00B00716" w:rsidP="0049187C">
      <w:pPr>
        <w:spacing w:after="0" w:line="240" w:lineRule="auto"/>
        <w:ind w:left="0" w:firstLine="0"/>
        <w:rPr>
          <w:lang w:val="de-DE"/>
        </w:rPr>
      </w:pPr>
      <w:r w:rsidRPr="0049187C">
        <w:rPr>
          <w:lang w:val="de-DE"/>
        </w:rPr>
        <w:t>In seltenen Fällen wurde über schwergradig niedrige Calciumspiegel im Blut berichtet, die zu Hospitalisierung und sogar lebensbedrohlichen Reaktionen führten. Daher werden die Calciumspiegel im Blut vor jeder Anwendung und bei Patienten mit einer Veranlagung für eine Hypokalzämie innerhalb von zwei Wochen nach der Anfangsdosis kontrolliert (mit einem Bluttest).</w:t>
      </w:r>
    </w:p>
    <w:p w14:paraId="697139CD" w14:textId="77777777" w:rsidR="004466EA" w:rsidRPr="0049187C" w:rsidRDefault="004466EA" w:rsidP="0049187C">
      <w:pPr>
        <w:spacing w:after="0" w:line="240" w:lineRule="auto"/>
        <w:ind w:left="0" w:firstLine="0"/>
        <w:rPr>
          <w:lang w:val="de-DE"/>
        </w:rPr>
      </w:pPr>
    </w:p>
    <w:p w14:paraId="37C357A6" w14:textId="77777777" w:rsidR="00261AC3" w:rsidRPr="0049187C" w:rsidRDefault="00B00716" w:rsidP="0049187C">
      <w:pPr>
        <w:spacing w:after="0" w:line="240" w:lineRule="auto"/>
        <w:ind w:left="0" w:firstLine="0"/>
        <w:rPr>
          <w:lang w:val="de-DE"/>
        </w:rPr>
      </w:pPr>
      <w:r w:rsidRPr="0049187C">
        <w:rPr>
          <w:lang w:val="de-DE"/>
        </w:rPr>
        <w:t>Bitte informieren Sie Ihren Arzt, falls Sie unter schweren Nierenproblemen oder Nierenversagen leiden oder jemals litten, falls bei Ihnen eine Dialyse notwendig war oder falls Sie Arzneimittel einnehmen, die Glucocorticoide genannt werden (wie zum Beispiel Prednisolon oder Dexamethason). Dies könnte Ihr Risiko erhöhen, einen niedrigen Blutcalciumspiegel zu entwickeln, wenn Sie nicht ergänzend Calcium zu sich nehmen.</w:t>
      </w:r>
    </w:p>
    <w:p w14:paraId="5C063D8A" w14:textId="77777777" w:rsidR="00F83928" w:rsidRPr="0049187C" w:rsidRDefault="00F83928" w:rsidP="0049187C">
      <w:pPr>
        <w:spacing w:after="0" w:line="240" w:lineRule="auto"/>
        <w:ind w:left="0" w:firstLine="0"/>
        <w:rPr>
          <w:lang w:val="de-DE"/>
        </w:rPr>
      </w:pPr>
    </w:p>
    <w:p w14:paraId="7673C6D9" w14:textId="77777777" w:rsidR="00261AC3" w:rsidRPr="0049187C" w:rsidRDefault="00B00716" w:rsidP="0049187C">
      <w:pPr>
        <w:keepNext/>
        <w:keepLines/>
        <w:spacing w:after="0" w:line="240" w:lineRule="auto"/>
        <w:ind w:left="0" w:firstLine="0"/>
        <w:rPr>
          <w:u w:val="single"/>
          <w:lang w:val="de-DE"/>
        </w:rPr>
      </w:pPr>
      <w:r w:rsidRPr="0049187C">
        <w:rPr>
          <w:u w:val="single"/>
          <w:lang w:val="de-DE"/>
        </w:rPr>
        <w:t>Probleme in Ihrem Mundraum, mit Ihren Zähnen oder Ihrem Kiefer</w:t>
      </w:r>
    </w:p>
    <w:p w14:paraId="52A06C5D" w14:textId="77777777" w:rsidR="00261AC3" w:rsidRPr="0049187C" w:rsidRDefault="00B00716" w:rsidP="0049187C">
      <w:pPr>
        <w:spacing w:after="0" w:line="240" w:lineRule="auto"/>
        <w:ind w:left="0" w:firstLine="0"/>
        <w:rPr>
          <w:lang w:val="de-DE"/>
        </w:rPr>
      </w:pPr>
      <w:r w:rsidRPr="0049187C">
        <w:rPr>
          <w:lang w:val="de-DE"/>
        </w:rPr>
        <w:t xml:space="preserve">Eine als </w:t>
      </w:r>
      <w:r w:rsidR="007906CD" w:rsidRPr="0049187C">
        <w:rPr>
          <w:iCs/>
          <w:lang w:val="de-DE"/>
        </w:rPr>
        <w:t>Osteonekrose des Kiefers</w:t>
      </w:r>
      <w:r w:rsidR="007906CD" w:rsidRPr="0049187C">
        <w:rPr>
          <w:i/>
          <w:iCs/>
          <w:lang w:val="de-DE"/>
        </w:rPr>
        <w:t xml:space="preserve"> </w:t>
      </w:r>
      <w:r w:rsidRPr="0049187C">
        <w:rPr>
          <w:lang w:val="de-DE"/>
        </w:rPr>
        <w:t>(ONJ; Schädigung des Kieferknochens) bezeichnete Nebenwirkung wurde selten (kann bis zu 1 von 1</w:t>
      </w:r>
      <w:r w:rsidR="00EE3DA2" w:rsidRPr="0049187C">
        <w:rPr>
          <w:lang w:val="de-DE"/>
        </w:rPr>
        <w:t> </w:t>
      </w:r>
      <w:r w:rsidRPr="0049187C">
        <w:rPr>
          <w:lang w:val="de-DE"/>
        </w:rPr>
        <w:t xml:space="preserve">000 Personen betreffen) bei Patienten berichtet, die </w:t>
      </w:r>
      <w:r w:rsidR="00EE3DA2" w:rsidRPr="0049187C">
        <w:rPr>
          <w:lang w:val="de-DE"/>
        </w:rPr>
        <w:t xml:space="preserve">Denosumab </w:t>
      </w:r>
      <w:r w:rsidRPr="0049187C">
        <w:rPr>
          <w:lang w:val="de-DE"/>
        </w:rPr>
        <w:t>aufgrund von Osteoporose erhielten. Das Risiko einer ONJ steigt bei Patienten, welche für eine längere Zeit behandelt wurden (kann bis zu 1 von 200 Patienten betreffen, wenn diese 10 Jahre behandelt wurden). ONJ kann auch nach Beendigung der Therapie auftreten. Es ist wichtig zu versuchen, die Entstehung von ONJ zu verhindern, da es sich um einen schmerzhaften Zustand handelt, der schwierig zu behandeln sein kann. Um das Risiko der Entstehung von ONJ zu vermindern, befolgen Sie die folgenden Vorsichtsmaßnahmen:</w:t>
      </w:r>
    </w:p>
    <w:p w14:paraId="6F6A1D99" w14:textId="77777777" w:rsidR="00F83928" w:rsidRPr="0049187C" w:rsidRDefault="00F83928" w:rsidP="0049187C">
      <w:pPr>
        <w:spacing w:after="0" w:line="240" w:lineRule="auto"/>
        <w:ind w:left="0" w:firstLine="0"/>
        <w:rPr>
          <w:lang w:val="de-DE"/>
        </w:rPr>
      </w:pPr>
    </w:p>
    <w:p w14:paraId="54FE7369" w14:textId="77777777" w:rsidR="00261AC3" w:rsidRPr="0049187C" w:rsidRDefault="00B00716" w:rsidP="0049187C">
      <w:pPr>
        <w:keepNext/>
        <w:keepLines/>
        <w:spacing w:after="0" w:line="240" w:lineRule="auto"/>
        <w:ind w:left="0" w:firstLine="0"/>
        <w:rPr>
          <w:lang w:val="de-DE"/>
        </w:rPr>
      </w:pPr>
      <w:r w:rsidRPr="0049187C">
        <w:rPr>
          <w:lang w:val="de-DE"/>
        </w:rPr>
        <w:t>Teilen Sie Ihrem Arzt oder Ihrem medizinischen Fachpersonal (Angehörige eines Gesundheitsberufes) vor Beginn der Behandlung mit, wenn Sie:</w:t>
      </w:r>
    </w:p>
    <w:p w14:paraId="409E74A9" w14:textId="77777777" w:rsidR="00F83928" w:rsidRPr="0049187C" w:rsidRDefault="00F83928" w:rsidP="0049187C">
      <w:pPr>
        <w:keepNext/>
        <w:keepLines/>
        <w:spacing w:after="0" w:line="240" w:lineRule="auto"/>
        <w:ind w:left="0" w:firstLine="0"/>
        <w:rPr>
          <w:lang w:val="de-DE"/>
        </w:rPr>
      </w:pPr>
    </w:p>
    <w:p w14:paraId="19EE585B" w14:textId="77777777" w:rsidR="00261AC3" w:rsidRPr="0049187C" w:rsidRDefault="00B00716" w:rsidP="0049187C">
      <w:pPr>
        <w:keepNext/>
        <w:keepLines/>
        <w:numPr>
          <w:ilvl w:val="0"/>
          <w:numId w:val="11"/>
        </w:numPr>
        <w:tabs>
          <w:tab w:val="left" w:pos="567"/>
        </w:tabs>
        <w:spacing w:after="0" w:line="240" w:lineRule="auto"/>
        <w:ind w:left="0" w:firstLine="0"/>
        <w:rPr>
          <w:lang w:val="de-DE"/>
        </w:rPr>
      </w:pPr>
      <w:r w:rsidRPr="0049187C">
        <w:rPr>
          <w:lang w:val="de-DE"/>
        </w:rPr>
        <w:t>Probleme jeglicher Art mit Ihrem Mundraum oder mit Ihren Zähnen haben wie schlechte Zahngesundheit, Zahnfleischerkrankung oder eine geplante Zahnentfernung.</w:t>
      </w:r>
    </w:p>
    <w:p w14:paraId="67C0502E" w14:textId="77777777" w:rsidR="00261AC3" w:rsidRPr="0049187C" w:rsidRDefault="00B00716" w:rsidP="0049187C">
      <w:pPr>
        <w:numPr>
          <w:ilvl w:val="0"/>
          <w:numId w:val="11"/>
        </w:numPr>
        <w:tabs>
          <w:tab w:val="left" w:pos="567"/>
        </w:tabs>
        <w:spacing w:after="0" w:line="240" w:lineRule="auto"/>
        <w:ind w:left="0" w:firstLine="0"/>
        <w:rPr>
          <w:lang w:val="de-DE"/>
        </w:rPr>
      </w:pPr>
      <w:r w:rsidRPr="0049187C">
        <w:rPr>
          <w:lang w:val="de-DE"/>
        </w:rPr>
        <w:t>keine routinemäßige zahnärztliche Versorgung erhalten oder seit längerer Zeit keine zahnärztliche Untersuchung haben durchführen lassen.</w:t>
      </w:r>
    </w:p>
    <w:p w14:paraId="57D0EC98" w14:textId="77777777" w:rsidR="00261AC3" w:rsidRPr="0049187C" w:rsidRDefault="00B00716" w:rsidP="0049187C">
      <w:pPr>
        <w:numPr>
          <w:ilvl w:val="0"/>
          <w:numId w:val="11"/>
        </w:numPr>
        <w:tabs>
          <w:tab w:val="left" w:pos="567"/>
        </w:tabs>
        <w:spacing w:after="0" w:line="240" w:lineRule="auto"/>
        <w:ind w:left="0" w:firstLine="0"/>
        <w:rPr>
          <w:lang w:val="de-DE"/>
        </w:rPr>
      </w:pPr>
      <w:r w:rsidRPr="0049187C">
        <w:rPr>
          <w:lang w:val="de-DE"/>
        </w:rPr>
        <w:t>Raucher sind (da dies das Risiko für Zahnprobleme erhöhen kann).</w:t>
      </w:r>
    </w:p>
    <w:p w14:paraId="0511750A" w14:textId="77777777" w:rsidR="00261AC3" w:rsidRPr="0049187C" w:rsidRDefault="00B00716" w:rsidP="0049187C">
      <w:pPr>
        <w:numPr>
          <w:ilvl w:val="0"/>
          <w:numId w:val="11"/>
        </w:numPr>
        <w:tabs>
          <w:tab w:val="left" w:pos="567"/>
        </w:tabs>
        <w:spacing w:after="0" w:line="240" w:lineRule="auto"/>
        <w:ind w:left="0" w:firstLine="0"/>
        <w:rPr>
          <w:lang w:val="de-DE"/>
        </w:rPr>
      </w:pPr>
      <w:r w:rsidRPr="0049187C">
        <w:rPr>
          <w:lang w:val="de-DE"/>
        </w:rPr>
        <w:t>zuvor mit Bisphosphonaten behandelt worden sind (werden eingesetzt zur Behandlung oder Vermeidung von Knochenerkrankungen).</w:t>
      </w:r>
    </w:p>
    <w:p w14:paraId="09C3B0BE" w14:textId="77777777" w:rsidR="00261AC3" w:rsidRPr="0049187C" w:rsidRDefault="00B00716" w:rsidP="0049187C">
      <w:pPr>
        <w:numPr>
          <w:ilvl w:val="0"/>
          <w:numId w:val="11"/>
        </w:numPr>
        <w:tabs>
          <w:tab w:val="left" w:pos="567"/>
        </w:tabs>
        <w:spacing w:after="0" w:line="240" w:lineRule="auto"/>
        <w:ind w:left="0" w:firstLine="0"/>
        <w:rPr>
          <w:lang w:val="de-DE"/>
        </w:rPr>
      </w:pPr>
      <w:r w:rsidRPr="0049187C">
        <w:rPr>
          <w:lang w:val="de-DE"/>
        </w:rPr>
        <w:t>Medikamente einnehmen, die als Kortikosteroide bezeichnet werden (wie Prednisolon oder Dexamethason).</w:t>
      </w:r>
    </w:p>
    <w:p w14:paraId="33600DAA" w14:textId="77777777" w:rsidR="00261AC3" w:rsidRPr="0049187C" w:rsidRDefault="00B00716" w:rsidP="0049187C">
      <w:pPr>
        <w:numPr>
          <w:ilvl w:val="0"/>
          <w:numId w:val="11"/>
        </w:numPr>
        <w:tabs>
          <w:tab w:val="left" w:pos="567"/>
        </w:tabs>
        <w:spacing w:after="0" w:line="240" w:lineRule="auto"/>
        <w:ind w:left="0" w:firstLine="0"/>
        <w:rPr>
          <w:lang w:val="de-DE"/>
        </w:rPr>
      </w:pPr>
      <w:r w:rsidRPr="0049187C">
        <w:rPr>
          <w:lang w:val="de-DE"/>
        </w:rPr>
        <w:t>an Krebs leiden.</w:t>
      </w:r>
    </w:p>
    <w:p w14:paraId="06F905C8" w14:textId="77777777" w:rsidR="00261AC3" w:rsidRPr="0049187C" w:rsidRDefault="00B00716" w:rsidP="0049187C">
      <w:pPr>
        <w:spacing w:after="0" w:line="240" w:lineRule="auto"/>
        <w:ind w:left="0" w:firstLine="0"/>
        <w:rPr>
          <w:lang w:val="de-DE"/>
        </w:rPr>
      </w:pPr>
      <w:r w:rsidRPr="0049187C">
        <w:rPr>
          <w:lang w:val="de-DE"/>
        </w:rPr>
        <w:t xml:space="preserve">Ihr Arzt fordert Sie möglicherweise auf, eine zahnärztliche Untersuchung durchführen zu lassen, bevor Sie mit einer </w:t>
      </w:r>
      <w:r w:rsidR="00D0286F" w:rsidRPr="0049187C">
        <w:rPr>
          <w:lang w:val="de-DE"/>
        </w:rPr>
        <w:t>Jubbonti</w:t>
      </w:r>
      <w:r w:rsidRPr="0049187C">
        <w:rPr>
          <w:lang w:val="de-DE"/>
        </w:rPr>
        <w:noBreakHyphen/>
        <w:t>Behandlung beginnen.</w:t>
      </w:r>
    </w:p>
    <w:p w14:paraId="1A5F8706" w14:textId="77777777" w:rsidR="00F83928" w:rsidRPr="0049187C" w:rsidRDefault="00F83928" w:rsidP="0049187C">
      <w:pPr>
        <w:spacing w:after="0" w:line="240" w:lineRule="auto"/>
        <w:ind w:left="0" w:firstLine="0"/>
        <w:rPr>
          <w:lang w:val="de-DE"/>
        </w:rPr>
      </w:pPr>
    </w:p>
    <w:p w14:paraId="5DCBC1F3" w14:textId="77777777" w:rsidR="00261AC3" w:rsidRPr="0049187C" w:rsidRDefault="00B00716" w:rsidP="0049187C">
      <w:pPr>
        <w:spacing w:after="0" w:line="240" w:lineRule="auto"/>
        <w:ind w:left="0" w:firstLine="0"/>
        <w:rPr>
          <w:lang w:val="de-DE"/>
        </w:rPr>
      </w:pPr>
      <w:r w:rsidRPr="0049187C">
        <w:rPr>
          <w:lang w:val="de-DE"/>
        </w:rPr>
        <w:t>Während der Behandlung sollten Sie eine gute Mundhygiene einhalten und zahnärztliche</w:t>
      </w:r>
      <w:r w:rsidR="00AD43EC" w:rsidRPr="0049187C">
        <w:rPr>
          <w:lang w:val="de-DE"/>
        </w:rPr>
        <w:t xml:space="preserve"> </w:t>
      </w:r>
      <w:r w:rsidRPr="0049187C">
        <w:rPr>
          <w:lang w:val="de-DE"/>
        </w:rPr>
        <w:t xml:space="preserve">Routineuntersuchungen durchführen lassen. Wenn Sie Zahnprothesen tragen, sollten Sie sicherstellen, dass diese richtig passen. Sollten Sie unter zahnärztlicher Behandlung stehen oder sich einem zahnärztlichen Eingriff unterziehen (z. B. Zahnentfernungen), informieren Sie Ihren Arzt über Ihre zahnärztliche Behandlung und teilen Ihrem Zahnarzt mit, dass Sie mit </w:t>
      </w:r>
      <w:r w:rsidR="00D0286F" w:rsidRPr="0049187C">
        <w:rPr>
          <w:lang w:val="de-DE"/>
        </w:rPr>
        <w:t>Jubbonti</w:t>
      </w:r>
      <w:r w:rsidRPr="0049187C">
        <w:rPr>
          <w:lang w:val="de-DE"/>
        </w:rPr>
        <w:t xml:space="preserve"> behandelt werden.</w:t>
      </w:r>
    </w:p>
    <w:p w14:paraId="6CDC8022" w14:textId="77777777" w:rsidR="00F83928" w:rsidRPr="0049187C" w:rsidRDefault="00F83928" w:rsidP="0049187C">
      <w:pPr>
        <w:spacing w:after="0" w:line="240" w:lineRule="auto"/>
        <w:ind w:left="0" w:firstLine="0"/>
        <w:rPr>
          <w:lang w:val="de-DE"/>
        </w:rPr>
      </w:pPr>
    </w:p>
    <w:p w14:paraId="622C9807" w14:textId="77777777" w:rsidR="00261AC3" w:rsidRPr="0049187C" w:rsidRDefault="00B00716" w:rsidP="0049187C">
      <w:pPr>
        <w:spacing w:after="0" w:line="240" w:lineRule="auto"/>
        <w:ind w:left="0" w:firstLine="0"/>
        <w:rPr>
          <w:lang w:val="de-DE"/>
        </w:rPr>
      </w:pPr>
      <w:r w:rsidRPr="0049187C">
        <w:rPr>
          <w:lang w:val="de-DE"/>
        </w:rPr>
        <w:t>Bitte kontaktieren Sie Ihren Arzt und Zahnarzt unverzüglich, wenn Sie Probleme jeglicher Art mit</w:t>
      </w:r>
      <w:r w:rsidR="00AD43EC" w:rsidRPr="0049187C">
        <w:rPr>
          <w:lang w:val="de-DE"/>
        </w:rPr>
        <w:t xml:space="preserve"> </w:t>
      </w:r>
      <w:r w:rsidRPr="0049187C">
        <w:rPr>
          <w:lang w:val="de-DE"/>
        </w:rPr>
        <w:t>Ihrem Mundraum oder mit Ihren Zähnen wahrnehmen, wie lockere Zähne, Schmerzen oder</w:t>
      </w:r>
      <w:r w:rsidR="00AD43EC" w:rsidRPr="0049187C">
        <w:rPr>
          <w:lang w:val="de-DE"/>
        </w:rPr>
        <w:t xml:space="preserve"> </w:t>
      </w:r>
      <w:r w:rsidRPr="0049187C">
        <w:rPr>
          <w:lang w:val="de-DE"/>
        </w:rPr>
        <w:t>Schwellungen, nicht heilende wunde Stellen oder Ausfluss, da dies Anzeichen von ONJ sein könnten.</w:t>
      </w:r>
    </w:p>
    <w:p w14:paraId="63D13229" w14:textId="77777777" w:rsidR="00F83928" w:rsidRPr="0049187C" w:rsidRDefault="00F83928" w:rsidP="0049187C">
      <w:pPr>
        <w:spacing w:after="0" w:line="240" w:lineRule="auto"/>
        <w:ind w:left="0" w:firstLine="0"/>
        <w:rPr>
          <w:lang w:val="de-DE"/>
        </w:rPr>
      </w:pPr>
    </w:p>
    <w:p w14:paraId="6B7E4521" w14:textId="77777777" w:rsidR="00261AC3" w:rsidRPr="0049187C" w:rsidRDefault="00B00716" w:rsidP="0049187C">
      <w:pPr>
        <w:keepNext/>
        <w:keepLines/>
        <w:spacing w:after="0" w:line="240" w:lineRule="auto"/>
        <w:ind w:left="0" w:firstLine="0"/>
        <w:rPr>
          <w:u w:val="single"/>
          <w:lang w:val="de-DE"/>
        </w:rPr>
      </w:pPr>
      <w:r w:rsidRPr="0049187C">
        <w:rPr>
          <w:u w:val="single"/>
          <w:lang w:val="de-DE"/>
        </w:rPr>
        <w:t>Ungewöhnliche Frakturen des Oberschenkelknochens</w:t>
      </w:r>
    </w:p>
    <w:p w14:paraId="662EF4F4" w14:textId="77777777" w:rsidR="00261AC3" w:rsidRPr="0049187C" w:rsidRDefault="00B00716" w:rsidP="0049187C">
      <w:pPr>
        <w:spacing w:after="0" w:line="240" w:lineRule="auto"/>
        <w:ind w:left="0" w:firstLine="0"/>
        <w:rPr>
          <w:lang w:val="de-DE"/>
        </w:rPr>
      </w:pPr>
      <w:r w:rsidRPr="0049187C">
        <w:rPr>
          <w:lang w:val="de-DE"/>
        </w:rPr>
        <w:t xml:space="preserve">Bei einigen Patienten traten während der Behandlung mit </w:t>
      </w:r>
      <w:r w:rsidR="00D0286F" w:rsidRPr="0049187C">
        <w:rPr>
          <w:lang w:val="de-DE"/>
        </w:rPr>
        <w:t xml:space="preserve">Denosumab </w:t>
      </w:r>
      <w:r w:rsidRPr="0049187C">
        <w:rPr>
          <w:lang w:val="de-DE"/>
        </w:rPr>
        <w:t>ungewöhnliche Frakturen des Oberschenkelknochens auf. Kontaktieren Sie Ihren Arzt, wenn Sie neu auftretende oder ungewöhnliche Hüft</w:t>
      </w:r>
      <w:r w:rsidRPr="0049187C">
        <w:rPr>
          <w:lang w:val="de-DE"/>
        </w:rPr>
        <w:noBreakHyphen/>
        <w:t>, Leisten</w:t>
      </w:r>
      <w:r w:rsidRPr="0049187C">
        <w:rPr>
          <w:lang w:val="de-DE"/>
        </w:rPr>
        <w:noBreakHyphen/>
        <w:t xml:space="preserve"> oder Oberschenkelschmerzen wahrnehmen.</w:t>
      </w:r>
    </w:p>
    <w:p w14:paraId="3278191F" w14:textId="77777777" w:rsidR="00F83928" w:rsidRPr="0049187C" w:rsidRDefault="00F83928" w:rsidP="0049187C">
      <w:pPr>
        <w:spacing w:after="0" w:line="240" w:lineRule="auto"/>
        <w:ind w:left="0" w:firstLine="0"/>
        <w:rPr>
          <w:lang w:val="de-DE"/>
        </w:rPr>
      </w:pPr>
    </w:p>
    <w:p w14:paraId="446883FE" w14:textId="77777777" w:rsidR="00261AC3" w:rsidRPr="0049187C" w:rsidRDefault="00B00716" w:rsidP="0049187C">
      <w:pPr>
        <w:spacing w:after="0" w:line="240" w:lineRule="auto"/>
        <w:ind w:left="0" w:firstLine="0"/>
        <w:rPr>
          <w:lang w:val="de-DE"/>
        </w:rPr>
      </w:pPr>
      <w:r w:rsidRPr="0049187C">
        <w:rPr>
          <w:b/>
          <w:lang w:val="de-DE"/>
        </w:rPr>
        <w:t>Kinder und Jugendliche</w:t>
      </w:r>
    </w:p>
    <w:p w14:paraId="789C76EB" w14:textId="77777777" w:rsidR="00F83928" w:rsidRPr="0049187C" w:rsidRDefault="00F83928" w:rsidP="0049187C">
      <w:pPr>
        <w:spacing w:after="0" w:line="240" w:lineRule="auto"/>
        <w:ind w:left="0" w:firstLine="0"/>
        <w:rPr>
          <w:lang w:val="de-DE"/>
        </w:rPr>
      </w:pPr>
    </w:p>
    <w:p w14:paraId="258B18CC" w14:textId="77777777" w:rsidR="00261AC3" w:rsidRPr="0049187C" w:rsidRDefault="00B00716" w:rsidP="0049187C">
      <w:pPr>
        <w:spacing w:after="0" w:line="240" w:lineRule="auto"/>
        <w:ind w:left="0" w:firstLine="0"/>
        <w:rPr>
          <w:lang w:val="de-DE"/>
        </w:rPr>
      </w:pPr>
      <w:r w:rsidRPr="0049187C">
        <w:rPr>
          <w:lang w:val="de-DE"/>
        </w:rPr>
        <w:t>Jubbonti</w:t>
      </w:r>
      <w:r w:rsidR="00FD7DFF" w:rsidRPr="0049187C">
        <w:rPr>
          <w:lang w:val="de-DE"/>
        </w:rPr>
        <w:t xml:space="preserve"> darf nicht bei Kindern und Jugendlichen unter</w:t>
      </w:r>
      <w:r w:rsidRPr="0049187C">
        <w:rPr>
          <w:lang w:val="de-DE"/>
        </w:rPr>
        <w:t> 18 </w:t>
      </w:r>
      <w:r w:rsidR="00FD7DFF" w:rsidRPr="0049187C">
        <w:rPr>
          <w:lang w:val="de-DE"/>
        </w:rPr>
        <w:t xml:space="preserve">Jahren angewendet werden. </w:t>
      </w:r>
    </w:p>
    <w:p w14:paraId="644314A9" w14:textId="77777777" w:rsidR="00F83928" w:rsidRPr="0049187C" w:rsidRDefault="00F83928" w:rsidP="0049187C">
      <w:pPr>
        <w:spacing w:after="0" w:line="240" w:lineRule="auto"/>
        <w:ind w:left="0" w:firstLine="0"/>
        <w:rPr>
          <w:lang w:val="de-DE"/>
        </w:rPr>
      </w:pPr>
    </w:p>
    <w:p w14:paraId="7C7C8D54" w14:textId="77777777" w:rsidR="00261AC3" w:rsidRPr="0049187C" w:rsidRDefault="00B00716" w:rsidP="0049187C">
      <w:pPr>
        <w:keepNext/>
        <w:keepLines/>
        <w:spacing w:after="0" w:line="240" w:lineRule="auto"/>
        <w:ind w:left="0" w:firstLine="0"/>
        <w:rPr>
          <w:b/>
          <w:bCs/>
          <w:lang w:val="de-DE"/>
        </w:rPr>
      </w:pPr>
      <w:r w:rsidRPr="0049187C">
        <w:rPr>
          <w:b/>
          <w:bCs/>
          <w:lang w:val="de-DE"/>
        </w:rPr>
        <w:t xml:space="preserve">Anwendung von </w:t>
      </w:r>
      <w:r w:rsidR="00D0286F" w:rsidRPr="0049187C">
        <w:rPr>
          <w:b/>
          <w:bCs/>
          <w:lang w:val="de-DE"/>
        </w:rPr>
        <w:t>Jubbonti</w:t>
      </w:r>
      <w:r w:rsidRPr="0049187C">
        <w:rPr>
          <w:b/>
          <w:bCs/>
          <w:lang w:val="de-DE"/>
        </w:rPr>
        <w:t xml:space="preserve"> zusammen mit anderen Arzneimitteln</w:t>
      </w:r>
    </w:p>
    <w:p w14:paraId="5146CBF9" w14:textId="77777777" w:rsidR="00F83928" w:rsidRPr="0049187C" w:rsidRDefault="00F83928" w:rsidP="0049187C">
      <w:pPr>
        <w:spacing w:after="0" w:line="240" w:lineRule="auto"/>
        <w:ind w:left="0" w:firstLine="0"/>
        <w:rPr>
          <w:lang w:val="de-DE"/>
        </w:rPr>
      </w:pPr>
    </w:p>
    <w:p w14:paraId="240BDE0F" w14:textId="77777777" w:rsidR="00261AC3" w:rsidRPr="0049187C" w:rsidRDefault="00B00716" w:rsidP="0049187C">
      <w:pPr>
        <w:spacing w:after="0" w:line="240" w:lineRule="auto"/>
        <w:ind w:left="0" w:firstLine="0"/>
        <w:rPr>
          <w:lang w:val="de-DE"/>
        </w:rPr>
      </w:pPr>
      <w:r w:rsidRPr="0049187C">
        <w:rPr>
          <w:lang w:val="de-DE"/>
        </w:rPr>
        <w:t xml:space="preserve">Informieren Sie Ihren Arzt oder Apotheker, wenn Sie andere Arzneimittel einnehmen, </w:t>
      </w:r>
      <w:r w:rsidR="001771C1" w:rsidRPr="0049187C">
        <w:rPr>
          <w:lang w:val="de-DE"/>
        </w:rPr>
        <w:t xml:space="preserve">kürzlich andere Arzneimittel </w:t>
      </w:r>
      <w:r w:rsidRPr="0049187C">
        <w:rPr>
          <w:lang w:val="de-DE"/>
        </w:rPr>
        <w:t>eingenommen haben oder beabsichtigen</w:t>
      </w:r>
      <w:r w:rsidR="001771C1" w:rsidRPr="0049187C">
        <w:rPr>
          <w:lang w:val="de-DE"/>
        </w:rPr>
        <w:t xml:space="preserve"> andere Arzneimittel</w:t>
      </w:r>
      <w:r w:rsidRPr="0049187C">
        <w:rPr>
          <w:lang w:val="de-DE"/>
        </w:rPr>
        <w:t xml:space="preserve"> einzunehmen. Es ist besonders wichtig, dass Sie Ihren Arzt informieren, falls Sie mit einem anderen Denosumab</w:t>
      </w:r>
      <w:r w:rsidRPr="0049187C">
        <w:rPr>
          <w:lang w:val="de-DE"/>
        </w:rPr>
        <w:noBreakHyphen/>
        <w:t>enthaltenden Arzneimittel behandelt werden.</w:t>
      </w:r>
    </w:p>
    <w:p w14:paraId="7652ADAD" w14:textId="77777777" w:rsidR="00F83928" w:rsidRPr="0049187C" w:rsidRDefault="00F83928" w:rsidP="0049187C">
      <w:pPr>
        <w:spacing w:after="0" w:line="240" w:lineRule="auto"/>
        <w:ind w:left="0" w:firstLine="0"/>
        <w:rPr>
          <w:lang w:val="de-DE"/>
        </w:rPr>
      </w:pPr>
    </w:p>
    <w:p w14:paraId="5CDDC9F2" w14:textId="77777777" w:rsidR="00261AC3" w:rsidRPr="0049187C" w:rsidRDefault="00B00716" w:rsidP="0049187C">
      <w:pPr>
        <w:spacing w:after="0" w:line="240" w:lineRule="auto"/>
        <w:ind w:left="0" w:firstLine="0"/>
        <w:rPr>
          <w:lang w:val="de-DE"/>
        </w:rPr>
      </w:pPr>
      <w:r w:rsidRPr="0049187C">
        <w:rPr>
          <w:lang w:val="de-DE"/>
        </w:rPr>
        <w:t xml:space="preserve">Sie dürfen </w:t>
      </w:r>
      <w:r w:rsidR="00D0286F" w:rsidRPr="0049187C">
        <w:rPr>
          <w:lang w:val="de-DE"/>
        </w:rPr>
        <w:t>Jubbonti</w:t>
      </w:r>
      <w:r w:rsidRPr="0049187C">
        <w:rPr>
          <w:lang w:val="de-DE"/>
        </w:rPr>
        <w:t xml:space="preserve"> nicht zusammen mit einem anderen Denosumab</w:t>
      </w:r>
      <w:r w:rsidRPr="0049187C">
        <w:rPr>
          <w:lang w:val="de-DE"/>
        </w:rPr>
        <w:noBreakHyphen/>
        <w:t>enthaltenden Arzneimittel anwenden.</w:t>
      </w:r>
    </w:p>
    <w:p w14:paraId="43992BBF" w14:textId="77777777" w:rsidR="00F83928" w:rsidRPr="0049187C" w:rsidRDefault="00F83928" w:rsidP="0049187C">
      <w:pPr>
        <w:spacing w:after="0" w:line="240" w:lineRule="auto"/>
        <w:ind w:left="0" w:firstLine="0"/>
        <w:rPr>
          <w:lang w:val="de-DE"/>
        </w:rPr>
      </w:pPr>
    </w:p>
    <w:p w14:paraId="66300844" w14:textId="77777777" w:rsidR="00261AC3" w:rsidRPr="0049187C" w:rsidRDefault="00B00716" w:rsidP="0049187C">
      <w:pPr>
        <w:keepNext/>
        <w:keepLines/>
        <w:spacing w:after="0" w:line="240" w:lineRule="auto"/>
        <w:ind w:left="0" w:firstLine="0"/>
        <w:rPr>
          <w:b/>
          <w:bCs/>
          <w:lang w:val="de-DE"/>
        </w:rPr>
      </w:pPr>
      <w:r w:rsidRPr="0049187C">
        <w:rPr>
          <w:b/>
          <w:bCs/>
          <w:lang w:val="de-DE"/>
        </w:rPr>
        <w:t>Schwangerschaft und Stillzeit</w:t>
      </w:r>
    </w:p>
    <w:p w14:paraId="5BB9F64A" w14:textId="77777777" w:rsidR="00F83928" w:rsidRPr="0049187C" w:rsidRDefault="00F83928" w:rsidP="0049187C">
      <w:pPr>
        <w:spacing w:after="0" w:line="240" w:lineRule="auto"/>
        <w:ind w:left="0" w:firstLine="0"/>
        <w:rPr>
          <w:lang w:val="de-DE"/>
        </w:rPr>
      </w:pPr>
    </w:p>
    <w:p w14:paraId="082A49B5" w14:textId="77777777" w:rsidR="00261AC3" w:rsidRPr="0049187C" w:rsidRDefault="00B00716" w:rsidP="0049187C">
      <w:pPr>
        <w:spacing w:after="0" w:line="240" w:lineRule="auto"/>
        <w:ind w:left="0" w:firstLine="0"/>
        <w:rPr>
          <w:lang w:val="de-DE"/>
        </w:rPr>
      </w:pPr>
      <w:r w:rsidRPr="0049187C">
        <w:rPr>
          <w:lang w:val="de-DE"/>
        </w:rPr>
        <w:t xml:space="preserve">Denosumab </w:t>
      </w:r>
      <w:r w:rsidR="00FD7DFF" w:rsidRPr="0049187C">
        <w:rPr>
          <w:lang w:val="de-DE"/>
        </w:rPr>
        <w:t>wurde bei Schwangeren nicht untersucht. Es ist wichtig, dass Sie Ihren Arzt informieren, wenn Sie schwanger sind oder vermuten, schwanger zu sein, oder beabsichtigen, schwanger zu werden.</w:t>
      </w:r>
      <w:r w:rsidR="000D1569" w:rsidRPr="0049187C">
        <w:rPr>
          <w:lang w:val="de-DE"/>
        </w:rPr>
        <w:t xml:space="preserve"> </w:t>
      </w:r>
      <w:r w:rsidRPr="0049187C">
        <w:rPr>
          <w:lang w:val="de-DE"/>
        </w:rPr>
        <w:t>Jubbonti</w:t>
      </w:r>
      <w:r w:rsidR="00FD7DFF" w:rsidRPr="0049187C">
        <w:rPr>
          <w:lang w:val="de-DE"/>
        </w:rPr>
        <w:t xml:space="preserve"> wird für die Anwendung in der Schwangerschaft nicht empfohlen. Frauen im gebärfähigen Alter sollten während der Behandlung mit </w:t>
      </w:r>
      <w:r w:rsidRPr="0049187C">
        <w:rPr>
          <w:lang w:val="de-DE"/>
        </w:rPr>
        <w:t>Jubbonti</w:t>
      </w:r>
      <w:r w:rsidR="00FD7DFF" w:rsidRPr="0049187C">
        <w:rPr>
          <w:lang w:val="de-DE"/>
        </w:rPr>
        <w:t xml:space="preserve"> und mindestens für</w:t>
      </w:r>
      <w:r w:rsidRPr="0049187C">
        <w:rPr>
          <w:lang w:val="de-DE"/>
        </w:rPr>
        <w:t> 5 </w:t>
      </w:r>
      <w:r w:rsidR="00FD7DFF" w:rsidRPr="0049187C">
        <w:rPr>
          <w:lang w:val="de-DE"/>
        </w:rPr>
        <w:t xml:space="preserve">Monate nach Beendigung der </w:t>
      </w:r>
      <w:r w:rsidRPr="0049187C">
        <w:rPr>
          <w:lang w:val="de-DE"/>
        </w:rPr>
        <w:t>Jubbonti</w:t>
      </w:r>
      <w:r w:rsidRPr="0049187C">
        <w:rPr>
          <w:lang w:val="de-DE"/>
        </w:rPr>
        <w:noBreakHyphen/>
      </w:r>
      <w:r w:rsidR="00FD7DFF" w:rsidRPr="0049187C">
        <w:rPr>
          <w:lang w:val="de-DE"/>
        </w:rPr>
        <w:t xml:space="preserve">Behandlung </w:t>
      </w:r>
      <w:r w:rsidR="008A7375" w:rsidRPr="0049187C">
        <w:rPr>
          <w:noProof/>
          <w:lang w:val="de-DE"/>
        </w:rPr>
        <w:t>eine zuverlässige Verhütungsmethode anwenden</w:t>
      </w:r>
      <w:r w:rsidR="00FD7DFF" w:rsidRPr="0049187C">
        <w:rPr>
          <w:lang w:val="de-DE"/>
        </w:rPr>
        <w:t>.</w:t>
      </w:r>
    </w:p>
    <w:p w14:paraId="595A498B" w14:textId="77777777" w:rsidR="00F83928" w:rsidRPr="0049187C" w:rsidRDefault="00F83928" w:rsidP="0049187C">
      <w:pPr>
        <w:spacing w:after="0" w:line="240" w:lineRule="auto"/>
        <w:ind w:left="0" w:firstLine="0"/>
        <w:rPr>
          <w:lang w:val="de-DE"/>
        </w:rPr>
      </w:pPr>
    </w:p>
    <w:p w14:paraId="77C43A73" w14:textId="77777777" w:rsidR="00261AC3" w:rsidRPr="0049187C" w:rsidRDefault="00B00716" w:rsidP="0049187C">
      <w:pPr>
        <w:spacing w:after="0" w:line="240" w:lineRule="auto"/>
        <w:ind w:left="0" w:firstLine="0"/>
        <w:rPr>
          <w:lang w:val="de-DE"/>
        </w:rPr>
      </w:pPr>
      <w:r w:rsidRPr="0049187C">
        <w:rPr>
          <w:lang w:val="de-DE"/>
        </w:rPr>
        <w:t xml:space="preserve">Bitte informieren Sie Ihren Arzt, wenn Sie während der Behandlung mit </w:t>
      </w:r>
      <w:r w:rsidR="00D0286F" w:rsidRPr="0049187C">
        <w:rPr>
          <w:lang w:val="de-DE"/>
        </w:rPr>
        <w:t>Jubbonti</w:t>
      </w:r>
      <w:r w:rsidRPr="0049187C">
        <w:rPr>
          <w:lang w:val="de-DE"/>
        </w:rPr>
        <w:t xml:space="preserve"> oder weniger als 5 Monate nach Beendigung der </w:t>
      </w:r>
      <w:r w:rsidR="00D0286F" w:rsidRPr="0049187C">
        <w:rPr>
          <w:lang w:val="de-DE"/>
        </w:rPr>
        <w:t>Jubbonti</w:t>
      </w:r>
      <w:r w:rsidRPr="0049187C">
        <w:rPr>
          <w:lang w:val="de-DE"/>
        </w:rPr>
        <w:noBreakHyphen/>
        <w:t>Behandlung schwanger werden.</w:t>
      </w:r>
    </w:p>
    <w:p w14:paraId="3E034FA1" w14:textId="77777777" w:rsidR="00F83928" w:rsidRPr="0049187C" w:rsidRDefault="00F83928" w:rsidP="0049187C">
      <w:pPr>
        <w:spacing w:after="0" w:line="240" w:lineRule="auto"/>
        <w:ind w:left="0" w:firstLine="0"/>
        <w:rPr>
          <w:lang w:val="de-DE"/>
        </w:rPr>
      </w:pPr>
    </w:p>
    <w:p w14:paraId="2012A516" w14:textId="77777777" w:rsidR="00261AC3" w:rsidRPr="0049187C" w:rsidRDefault="00B00716" w:rsidP="0049187C">
      <w:pPr>
        <w:spacing w:after="0" w:line="240" w:lineRule="auto"/>
        <w:ind w:left="0" w:firstLine="0"/>
        <w:rPr>
          <w:lang w:val="de-DE"/>
        </w:rPr>
      </w:pPr>
      <w:r w:rsidRPr="0049187C">
        <w:rPr>
          <w:lang w:val="de-DE"/>
        </w:rPr>
        <w:t xml:space="preserve">Es ist nicht bekannt, ob </w:t>
      </w:r>
      <w:r w:rsidR="00D0286F" w:rsidRPr="0049187C">
        <w:rPr>
          <w:lang w:val="de-DE"/>
        </w:rPr>
        <w:t xml:space="preserve">Denosumab </w:t>
      </w:r>
      <w:r w:rsidRPr="0049187C">
        <w:rPr>
          <w:lang w:val="de-DE"/>
        </w:rPr>
        <w:t xml:space="preserve">in die Muttermilch </w:t>
      </w:r>
      <w:r w:rsidR="00790181" w:rsidRPr="0049187C">
        <w:rPr>
          <w:lang w:val="de-DE"/>
        </w:rPr>
        <w:t>übergeht</w:t>
      </w:r>
      <w:r w:rsidRPr="0049187C">
        <w:rPr>
          <w:lang w:val="de-DE"/>
        </w:rPr>
        <w:t xml:space="preserve">. Es ist wichtig, dass Sie Ihren Arzt informieren, wenn Sie stillen oder planen, dies zu tun. Ihr Arzt wird Ihnen helfen zu entscheiden, ob das Stillen zu unterbrechen ist oder ob auf die Behandlung mit </w:t>
      </w:r>
      <w:r w:rsidR="00790181" w:rsidRPr="0049187C">
        <w:rPr>
          <w:lang w:val="de-DE"/>
        </w:rPr>
        <w:t>Jubbonti</w:t>
      </w:r>
      <w:r w:rsidRPr="0049187C">
        <w:rPr>
          <w:lang w:val="de-DE"/>
        </w:rPr>
        <w:t xml:space="preserve"> verzichtet werden soll. Dabei werden sowohl der Nutzen des Stillens für das Kind als auch der Nutzen von </w:t>
      </w:r>
      <w:r w:rsidR="00790181" w:rsidRPr="0049187C">
        <w:rPr>
          <w:lang w:val="de-DE"/>
        </w:rPr>
        <w:t>Jubbonti</w:t>
      </w:r>
      <w:r w:rsidRPr="0049187C">
        <w:rPr>
          <w:lang w:val="de-DE"/>
        </w:rPr>
        <w:t xml:space="preserve"> für die Mutter berücksichtigt werden.</w:t>
      </w:r>
    </w:p>
    <w:p w14:paraId="06540F6B" w14:textId="77777777" w:rsidR="00F83928" w:rsidRPr="0049187C" w:rsidRDefault="00F83928" w:rsidP="0049187C">
      <w:pPr>
        <w:spacing w:after="0" w:line="240" w:lineRule="auto"/>
        <w:ind w:left="0" w:firstLine="0"/>
        <w:rPr>
          <w:lang w:val="de-DE"/>
        </w:rPr>
      </w:pPr>
    </w:p>
    <w:p w14:paraId="61E027DA" w14:textId="77777777" w:rsidR="00261AC3" w:rsidRPr="0049187C" w:rsidRDefault="00B00716" w:rsidP="0049187C">
      <w:pPr>
        <w:spacing w:after="0" w:line="240" w:lineRule="auto"/>
        <w:ind w:left="0" w:firstLine="0"/>
        <w:rPr>
          <w:lang w:val="de-DE"/>
        </w:rPr>
      </w:pPr>
      <w:r w:rsidRPr="0049187C">
        <w:rPr>
          <w:lang w:val="de-DE" w:bidi="de-DE"/>
        </w:rPr>
        <w:t xml:space="preserve">Wenn Sie schwanger sind oder stillen, oder wenn Sie vermuten, schwanger zu sein oder beabsichtigen, schwanger zu werden, fragen Sie vor der </w:t>
      </w:r>
      <w:r w:rsidR="00F62925" w:rsidRPr="0049187C">
        <w:rPr>
          <w:lang w:val="de-DE" w:bidi="de-DE"/>
        </w:rPr>
        <w:t xml:space="preserve">Anwendung </w:t>
      </w:r>
      <w:r w:rsidRPr="0049187C">
        <w:rPr>
          <w:lang w:val="de-DE" w:bidi="de-DE"/>
        </w:rPr>
        <w:t>dieses Arzneimittels Ihren Arzt oder Apotheker um Rat.</w:t>
      </w:r>
    </w:p>
    <w:p w14:paraId="6F65C7EF" w14:textId="77777777" w:rsidR="00F83928" w:rsidRPr="0049187C" w:rsidRDefault="00F83928" w:rsidP="0049187C">
      <w:pPr>
        <w:spacing w:after="0" w:line="240" w:lineRule="auto"/>
        <w:ind w:left="0" w:firstLine="0"/>
        <w:rPr>
          <w:lang w:val="de-DE"/>
        </w:rPr>
      </w:pPr>
    </w:p>
    <w:p w14:paraId="2EB411B0" w14:textId="77777777" w:rsidR="00261AC3" w:rsidRPr="0049187C" w:rsidRDefault="00B00716" w:rsidP="0049187C">
      <w:pPr>
        <w:keepNext/>
        <w:keepLines/>
        <w:spacing w:after="0" w:line="240" w:lineRule="auto"/>
        <w:ind w:left="0" w:firstLine="0"/>
        <w:rPr>
          <w:b/>
          <w:bCs/>
          <w:lang w:val="de-DE"/>
        </w:rPr>
      </w:pPr>
      <w:r w:rsidRPr="0049187C">
        <w:rPr>
          <w:b/>
          <w:bCs/>
          <w:lang w:val="de-DE"/>
        </w:rPr>
        <w:t>Verkehrstüchtigkeit und Fähigkeit zum Bedienen von Maschinen</w:t>
      </w:r>
    </w:p>
    <w:p w14:paraId="4D175C23" w14:textId="77777777" w:rsidR="00F83928" w:rsidRPr="0049187C" w:rsidRDefault="00F83928" w:rsidP="0049187C">
      <w:pPr>
        <w:spacing w:after="0" w:line="240" w:lineRule="auto"/>
        <w:ind w:left="0" w:firstLine="0"/>
        <w:rPr>
          <w:lang w:val="de-DE"/>
        </w:rPr>
      </w:pPr>
    </w:p>
    <w:p w14:paraId="14368455" w14:textId="77777777" w:rsidR="00261AC3" w:rsidRPr="0049187C" w:rsidRDefault="00B00716" w:rsidP="0049187C">
      <w:pPr>
        <w:spacing w:after="0" w:line="240" w:lineRule="auto"/>
        <w:ind w:left="0" w:firstLine="0"/>
        <w:rPr>
          <w:lang w:val="de-DE"/>
        </w:rPr>
      </w:pPr>
      <w:r w:rsidRPr="0049187C">
        <w:rPr>
          <w:lang w:val="de-DE"/>
        </w:rPr>
        <w:t>Jubbonti</w:t>
      </w:r>
      <w:r w:rsidR="00FD7DFF" w:rsidRPr="0049187C">
        <w:rPr>
          <w:lang w:val="de-DE"/>
        </w:rPr>
        <w:t xml:space="preserve"> hat keinen oder einen zu vernachlässigenden Einfluss auf die Verkehrstüchtigkeit und die Fähigkeit zum Bedienen von Maschinen.</w:t>
      </w:r>
    </w:p>
    <w:p w14:paraId="0A7F6DA6" w14:textId="77777777" w:rsidR="00252F44" w:rsidRPr="0049187C" w:rsidRDefault="00252F44" w:rsidP="0049187C">
      <w:pPr>
        <w:spacing w:after="0" w:line="240" w:lineRule="auto"/>
        <w:ind w:left="0" w:firstLine="0"/>
        <w:rPr>
          <w:lang w:val="de-DE"/>
        </w:rPr>
      </w:pPr>
    </w:p>
    <w:p w14:paraId="559E38B1" w14:textId="77777777" w:rsidR="00261AC3" w:rsidRPr="0049187C" w:rsidRDefault="00B00716" w:rsidP="0049187C">
      <w:pPr>
        <w:keepNext/>
        <w:keepLines/>
        <w:spacing w:after="0" w:line="240" w:lineRule="auto"/>
        <w:ind w:left="0" w:firstLine="0"/>
        <w:rPr>
          <w:b/>
          <w:bCs/>
          <w:lang w:val="de-DE"/>
        </w:rPr>
      </w:pPr>
      <w:r w:rsidRPr="0049187C">
        <w:rPr>
          <w:b/>
          <w:bCs/>
          <w:lang w:val="de-DE"/>
        </w:rPr>
        <w:t>Jubbonti</w:t>
      </w:r>
      <w:r w:rsidR="00FD7DFF" w:rsidRPr="0049187C">
        <w:rPr>
          <w:b/>
          <w:bCs/>
          <w:lang w:val="de-DE"/>
        </w:rPr>
        <w:t xml:space="preserve"> enthält Sorbitol</w:t>
      </w:r>
    </w:p>
    <w:p w14:paraId="31F1D1C4" w14:textId="77777777" w:rsidR="00F83928" w:rsidRPr="0049187C" w:rsidRDefault="00F83928" w:rsidP="0049187C">
      <w:pPr>
        <w:spacing w:after="0" w:line="240" w:lineRule="auto"/>
        <w:ind w:left="0" w:firstLine="0"/>
        <w:rPr>
          <w:lang w:val="de-DE"/>
        </w:rPr>
      </w:pPr>
    </w:p>
    <w:p w14:paraId="25092286" w14:textId="77777777" w:rsidR="00261AC3" w:rsidRPr="0049187C" w:rsidRDefault="00B00716" w:rsidP="0049187C">
      <w:pPr>
        <w:spacing w:after="0" w:line="240" w:lineRule="auto"/>
        <w:ind w:left="0" w:firstLine="0"/>
        <w:rPr>
          <w:lang w:val="de-DE"/>
        </w:rPr>
      </w:pPr>
      <w:r w:rsidRPr="0049187C">
        <w:rPr>
          <w:lang w:val="de-DE"/>
        </w:rPr>
        <w:t>Dieses Arzneimittel enthält</w:t>
      </w:r>
      <w:r w:rsidR="00DA0D4F" w:rsidRPr="0049187C">
        <w:rPr>
          <w:lang w:val="de-DE"/>
        </w:rPr>
        <w:t xml:space="preserve"> </w:t>
      </w:r>
      <w:r w:rsidRPr="0049187C">
        <w:rPr>
          <w:lang w:val="de-DE"/>
        </w:rPr>
        <w:t xml:space="preserve">47 mg Sorbitol </w:t>
      </w:r>
      <w:r w:rsidR="00DA0D4F" w:rsidRPr="0049187C">
        <w:rPr>
          <w:lang w:val="de-DE"/>
        </w:rPr>
        <w:t xml:space="preserve">pro ml </w:t>
      </w:r>
      <w:r w:rsidRPr="0049187C">
        <w:rPr>
          <w:lang w:val="de-DE"/>
        </w:rPr>
        <w:t>Lösung.</w:t>
      </w:r>
    </w:p>
    <w:p w14:paraId="6A7E2BBE" w14:textId="77777777" w:rsidR="00F83928" w:rsidRPr="0049187C" w:rsidRDefault="00F83928" w:rsidP="0049187C">
      <w:pPr>
        <w:spacing w:after="0" w:line="240" w:lineRule="auto"/>
        <w:ind w:left="0" w:firstLine="0"/>
        <w:rPr>
          <w:lang w:val="de-DE"/>
        </w:rPr>
      </w:pPr>
    </w:p>
    <w:p w14:paraId="056119A7" w14:textId="77777777" w:rsidR="00261AC3" w:rsidRPr="0049187C" w:rsidRDefault="00B00716" w:rsidP="0049187C">
      <w:pPr>
        <w:keepNext/>
        <w:keepLines/>
        <w:spacing w:after="0" w:line="240" w:lineRule="auto"/>
        <w:ind w:left="0" w:firstLine="0"/>
        <w:rPr>
          <w:b/>
          <w:bCs/>
          <w:lang w:val="de-DE"/>
        </w:rPr>
      </w:pPr>
      <w:r w:rsidRPr="0049187C">
        <w:rPr>
          <w:b/>
          <w:bCs/>
          <w:lang w:val="de-DE"/>
        </w:rPr>
        <w:t>Jubbonti</w:t>
      </w:r>
      <w:r w:rsidR="00FD7DFF" w:rsidRPr="0049187C">
        <w:rPr>
          <w:b/>
          <w:bCs/>
          <w:lang w:val="de-DE"/>
        </w:rPr>
        <w:t xml:space="preserve"> enthält Natrium</w:t>
      </w:r>
    </w:p>
    <w:p w14:paraId="7921D848" w14:textId="77777777" w:rsidR="00F83928" w:rsidRPr="0049187C" w:rsidRDefault="00F83928" w:rsidP="0049187C">
      <w:pPr>
        <w:spacing w:after="0" w:line="240" w:lineRule="auto"/>
        <w:ind w:left="0" w:firstLine="0"/>
        <w:rPr>
          <w:lang w:val="de-DE"/>
        </w:rPr>
      </w:pPr>
    </w:p>
    <w:p w14:paraId="22734056" w14:textId="77777777" w:rsidR="00261AC3" w:rsidRPr="0049187C" w:rsidRDefault="00B00716" w:rsidP="0049187C">
      <w:pPr>
        <w:spacing w:after="0" w:line="240" w:lineRule="auto"/>
        <w:ind w:left="0" w:firstLine="0"/>
        <w:rPr>
          <w:lang w:val="de-DE"/>
        </w:rPr>
      </w:pPr>
      <w:r w:rsidRPr="0049187C">
        <w:rPr>
          <w:lang w:val="de-DE"/>
        </w:rPr>
        <w:t>Dieses Arzneimittel enthält weniger als</w:t>
      </w:r>
      <w:r w:rsidR="00DA0D4F" w:rsidRPr="0049187C">
        <w:rPr>
          <w:lang w:val="de-DE"/>
        </w:rPr>
        <w:t xml:space="preserve"> </w:t>
      </w:r>
      <w:r w:rsidRPr="0049187C">
        <w:rPr>
          <w:lang w:val="de-DE"/>
        </w:rPr>
        <w:t>1 mmol Natrium (23 mg) pro </w:t>
      </w:r>
      <w:r w:rsidR="00790181" w:rsidRPr="0049187C">
        <w:rPr>
          <w:lang w:val="de-DE"/>
        </w:rPr>
        <w:t>ml Lösung</w:t>
      </w:r>
      <w:r w:rsidRPr="0049187C">
        <w:rPr>
          <w:lang w:val="de-DE"/>
        </w:rPr>
        <w:t>, d. h. es ist nahezu</w:t>
      </w:r>
      <w:r w:rsidR="00DA0D4F" w:rsidRPr="0049187C">
        <w:rPr>
          <w:lang w:val="de-DE"/>
        </w:rPr>
        <w:t xml:space="preserve"> </w:t>
      </w:r>
      <w:r w:rsidRPr="0049187C">
        <w:rPr>
          <w:lang w:val="de-DE"/>
        </w:rPr>
        <w:t>„natriumfrei“.</w:t>
      </w:r>
    </w:p>
    <w:p w14:paraId="3A77F896" w14:textId="77777777" w:rsidR="00261AC3" w:rsidRPr="0049187C" w:rsidRDefault="00261AC3" w:rsidP="0049187C">
      <w:pPr>
        <w:spacing w:after="0" w:line="240" w:lineRule="auto"/>
        <w:ind w:left="0" w:firstLine="0"/>
        <w:rPr>
          <w:lang w:val="de-DE"/>
        </w:rPr>
      </w:pPr>
    </w:p>
    <w:p w14:paraId="27886810" w14:textId="77777777" w:rsidR="00F83928" w:rsidRPr="0049187C" w:rsidRDefault="00F83928" w:rsidP="0049187C">
      <w:pPr>
        <w:spacing w:after="0" w:line="240" w:lineRule="auto"/>
        <w:ind w:left="0" w:firstLine="0"/>
        <w:rPr>
          <w:lang w:val="de-DE"/>
        </w:rPr>
      </w:pPr>
    </w:p>
    <w:p w14:paraId="370CF1EC" w14:textId="77777777" w:rsidR="00261AC3" w:rsidRPr="0049187C" w:rsidRDefault="00B00716" w:rsidP="0049187C">
      <w:pPr>
        <w:keepNext/>
        <w:keepLines/>
        <w:tabs>
          <w:tab w:val="left" w:pos="567"/>
        </w:tabs>
        <w:spacing w:after="0" w:line="240" w:lineRule="auto"/>
        <w:ind w:left="0" w:firstLine="0"/>
        <w:rPr>
          <w:lang w:val="de-DE"/>
        </w:rPr>
      </w:pPr>
      <w:r w:rsidRPr="0049187C">
        <w:rPr>
          <w:b/>
          <w:lang w:val="de-DE"/>
        </w:rPr>
        <w:t>3.</w:t>
      </w:r>
      <w:r w:rsidRPr="0049187C">
        <w:rPr>
          <w:b/>
          <w:lang w:val="de-DE"/>
        </w:rPr>
        <w:tab/>
        <w:t xml:space="preserve">Wie ist </w:t>
      </w:r>
      <w:r w:rsidR="00790181" w:rsidRPr="0049187C">
        <w:rPr>
          <w:b/>
          <w:lang w:val="de-DE"/>
        </w:rPr>
        <w:t>Jubbonti</w:t>
      </w:r>
      <w:r w:rsidRPr="0049187C">
        <w:rPr>
          <w:b/>
          <w:lang w:val="de-DE"/>
        </w:rPr>
        <w:t xml:space="preserve"> anzuwenden?</w:t>
      </w:r>
    </w:p>
    <w:p w14:paraId="06A9C8D9" w14:textId="77777777" w:rsidR="00F83928" w:rsidRPr="0049187C" w:rsidRDefault="00F83928" w:rsidP="0049187C">
      <w:pPr>
        <w:keepNext/>
        <w:keepLines/>
        <w:spacing w:after="0" w:line="240" w:lineRule="auto"/>
        <w:ind w:left="0" w:firstLine="0"/>
        <w:rPr>
          <w:noProof/>
          <w:lang w:val="de-DE"/>
        </w:rPr>
      </w:pPr>
    </w:p>
    <w:p w14:paraId="3A8AE5B4" w14:textId="77777777" w:rsidR="00790181" w:rsidRPr="0049187C" w:rsidRDefault="00B00716" w:rsidP="0049187C">
      <w:pPr>
        <w:numPr>
          <w:ilvl w:val="12"/>
          <w:numId w:val="0"/>
        </w:numPr>
        <w:spacing w:after="0" w:line="240" w:lineRule="auto"/>
        <w:rPr>
          <w:noProof/>
          <w:lang w:val="de-DE"/>
        </w:rPr>
      </w:pPr>
      <w:r w:rsidRPr="0049187C">
        <w:rPr>
          <w:noProof/>
          <w:lang w:val="de-DE"/>
        </w:rPr>
        <w:t xml:space="preserve">Wenden Sie dieses Arzneimittel immer genau nach Absprache mit Ihrem Arzt ein. Fragen Sie bei Ihrem Arzt oder Apotheker nach, wenn Sie sich nicht sicher sind. </w:t>
      </w:r>
    </w:p>
    <w:p w14:paraId="7D9AFF0E" w14:textId="77777777" w:rsidR="00790181" w:rsidRPr="0049187C" w:rsidRDefault="00790181" w:rsidP="0049187C">
      <w:pPr>
        <w:spacing w:after="0" w:line="240" w:lineRule="auto"/>
        <w:ind w:left="0" w:firstLine="0"/>
        <w:rPr>
          <w:lang w:val="de-DE"/>
        </w:rPr>
      </w:pPr>
    </w:p>
    <w:p w14:paraId="3E37C608" w14:textId="77777777" w:rsidR="00261AC3" w:rsidRPr="0049187C" w:rsidRDefault="00B00716" w:rsidP="0049187C">
      <w:pPr>
        <w:spacing w:after="0" w:line="240" w:lineRule="auto"/>
        <w:ind w:left="0" w:firstLine="0"/>
        <w:rPr>
          <w:lang w:val="de-DE"/>
        </w:rPr>
      </w:pPr>
      <w:r w:rsidRPr="0049187C">
        <w:rPr>
          <w:lang w:val="de-DE"/>
        </w:rPr>
        <w:t xml:space="preserve">Die empfohlene Dosis </w:t>
      </w:r>
      <w:r w:rsidR="00244274" w:rsidRPr="0049187C">
        <w:rPr>
          <w:lang w:val="de-DE"/>
        </w:rPr>
        <w:t>beträgt</w:t>
      </w:r>
      <w:r w:rsidRPr="0049187C">
        <w:rPr>
          <w:lang w:val="de-DE"/>
        </w:rPr>
        <w:t xml:space="preserve"> eine 60 mg</w:t>
      </w:r>
      <w:r w:rsidRPr="0049187C">
        <w:rPr>
          <w:lang w:val="de-DE"/>
        </w:rPr>
        <w:noBreakHyphen/>
        <w:t xml:space="preserve">Fertigspritze einmal alle 6 Monate als einzelne Injektion unter die Haut (subkutan) angewendet. Die besten Stellen für die Injektion sind die Vorderseiten der Oberschenkel und die Bauchregion. Ihre Pflegeperson kann auch die Rückseite der Oberarme verwenden. Bitte wenden Sie sich an Ihren Arzt, um einen Termin für eine mögliche nächste Injektion zu vereinbaren. Jede Packung </w:t>
      </w:r>
      <w:r w:rsidR="00790181" w:rsidRPr="0049187C">
        <w:rPr>
          <w:lang w:val="de-DE"/>
        </w:rPr>
        <w:t xml:space="preserve">Jubbonti </w:t>
      </w:r>
      <w:r w:rsidRPr="0049187C">
        <w:rPr>
          <w:lang w:val="de-DE"/>
        </w:rPr>
        <w:t xml:space="preserve">enthält eine </w:t>
      </w:r>
      <w:r w:rsidR="00790181" w:rsidRPr="0049187C">
        <w:rPr>
          <w:lang w:val="de-DE"/>
        </w:rPr>
        <w:t>Kalenderkarte</w:t>
      </w:r>
      <w:r w:rsidR="00291BBF" w:rsidRPr="0049187C">
        <w:rPr>
          <w:lang w:val="de-DE"/>
        </w:rPr>
        <w:t xml:space="preserve"> mit einem Aufkleber</w:t>
      </w:r>
      <w:r w:rsidRPr="0049187C">
        <w:rPr>
          <w:lang w:val="de-DE"/>
        </w:rPr>
        <w:t>, die verwendet werden kann, um das Datum der nächsten Injektion einzutragen.</w:t>
      </w:r>
    </w:p>
    <w:p w14:paraId="7CB4E3D0" w14:textId="77777777" w:rsidR="00F83928" w:rsidRPr="0049187C" w:rsidRDefault="00F83928" w:rsidP="0049187C">
      <w:pPr>
        <w:spacing w:after="0" w:line="240" w:lineRule="auto"/>
        <w:ind w:left="0" w:firstLine="0"/>
        <w:rPr>
          <w:lang w:val="de-DE"/>
        </w:rPr>
      </w:pPr>
    </w:p>
    <w:p w14:paraId="4294AAA2" w14:textId="77777777" w:rsidR="00261AC3" w:rsidRPr="0049187C" w:rsidRDefault="00B00716" w:rsidP="0049187C">
      <w:pPr>
        <w:spacing w:after="0" w:line="240" w:lineRule="auto"/>
        <w:ind w:left="0" w:firstLine="0"/>
        <w:rPr>
          <w:lang w:val="de-DE"/>
        </w:rPr>
      </w:pPr>
      <w:r w:rsidRPr="0049187C">
        <w:rPr>
          <w:lang w:val="de-DE"/>
        </w:rPr>
        <w:t xml:space="preserve">Sie sollten ergänzend Calcium und Vitamin D zu sich nehmen, während Sie mit </w:t>
      </w:r>
      <w:r w:rsidR="00291BBF" w:rsidRPr="0049187C">
        <w:rPr>
          <w:lang w:val="de-DE"/>
        </w:rPr>
        <w:t xml:space="preserve">Jubbonti </w:t>
      </w:r>
      <w:r w:rsidRPr="0049187C">
        <w:rPr>
          <w:lang w:val="de-DE"/>
        </w:rPr>
        <w:t>behandelt werden. Ihr Arzt wird dies mit Ihnen besprechen.</w:t>
      </w:r>
    </w:p>
    <w:p w14:paraId="5C62DD4B" w14:textId="77777777" w:rsidR="00F83928" w:rsidRPr="0049187C" w:rsidRDefault="00F83928" w:rsidP="0049187C">
      <w:pPr>
        <w:spacing w:after="0" w:line="240" w:lineRule="auto"/>
        <w:ind w:left="0" w:firstLine="0"/>
        <w:rPr>
          <w:lang w:val="de-DE"/>
        </w:rPr>
      </w:pPr>
    </w:p>
    <w:p w14:paraId="57D07B48" w14:textId="77777777" w:rsidR="0057669E" w:rsidRPr="0049187C" w:rsidRDefault="00B00716" w:rsidP="0049187C">
      <w:pPr>
        <w:spacing w:after="0" w:line="240" w:lineRule="auto"/>
        <w:ind w:left="0" w:firstLine="0"/>
        <w:rPr>
          <w:lang w:val="de-DE"/>
        </w:rPr>
      </w:pPr>
      <w:r w:rsidRPr="0049187C">
        <w:rPr>
          <w:lang w:val="de-DE"/>
        </w:rPr>
        <w:t xml:space="preserve">Ihr Arzt kann entscheiden, ob </w:t>
      </w:r>
      <w:r w:rsidR="00291BBF" w:rsidRPr="0049187C">
        <w:rPr>
          <w:lang w:val="de-DE"/>
        </w:rPr>
        <w:t>Jubbonti</w:t>
      </w:r>
      <w:r w:rsidRPr="0049187C">
        <w:rPr>
          <w:lang w:val="de-DE"/>
        </w:rPr>
        <w:t xml:space="preserve"> entweder von Ihnen selbst oder von einer Pflegeperson injiziert werden soll. Ihr Arzt oder das medizinische Fachpersonal wird Ihnen oder Ihrer Pflegeperson zeigen, wie </w:t>
      </w:r>
      <w:r w:rsidR="00291BBF" w:rsidRPr="0049187C">
        <w:rPr>
          <w:lang w:val="de-DE"/>
        </w:rPr>
        <w:t>Jubbonti</w:t>
      </w:r>
      <w:r w:rsidRPr="0049187C">
        <w:rPr>
          <w:lang w:val="de-DE"/>
        </w:rPr>
        <w:t xml:space="preserve"> anzuwenden ist. </w:t>
      </w:r>
    </w:p>
    <w:p w14:paraId="74166EB7" w14:textId="77777777" w:rsidR="00261AC3" w:rsidRPr="0049187C" w:rsidRDefault="00B00716" w:rsidP="0049187C">
      <w:pPr>
        <w:spacing w:after="0" w:line="240" w:lineRule="auto"/>
        <w:ind w:left="0" w:firstLine="0"/>
        <w:rPr>
          <w:b/>
          <w:lang w:val="de-DE"/>
        </w:rPr>
      </w:pPr>
      <w:r w:rsidRPr="0049187C">
        <w:rPr>
          <w:b/>
          <w:lang w:val="de-DE"/>
        </w:rPr>
        <w:t xml:space="preserve">Für Hinweise, wie </w:t>
      </w:r>
      <w:r w:rsidR="00291BBF" w:rsidRPr="0049187C">
        <w:rPr>
          <w:b/>
          <w:lang w:val="de-DE"/>
        </w:rPr>
        <w:t>Jubbonti</w:t>
      </w:r>
      <w:r w:rsidRPr="0049187C">
        <w:rPr>
          <w:b/>
          <w:lang w:val="de-DE"/>
        </w:rPr>
        <w:t xml:space="preserve"> gespritzt wird, lesen Sie bitte Abschnitt</w:t>
      </w:r>
      <w:r w:rsidR="00291BBF" w:rsidRPr="0049187C">
        <w:rPr>
          <w:b/>
          <w:lang w:val="de-DE"/>
        </w:rPr>
        <w:t> 7</w:t>
      </w:r>
      <w:r w:rsidR="0057669E" w:rsidRPr="0049187C">
        <w:rPr>
          <w:b/>
          <w:lang w:val="de-DE"/>
        </w:rPr>
        <w:t xml:space="preserve"> </w:t>
      </w:r>
      <w:r w:rsidR="00291BBF" w:rsidRPr="0049187C">
        <w:rPr>
          <w:b/>
          <w:lang w:val="de-DE"/>
        </w:rPr>
        <w:t>„Gebrauchsan</w:t>
      </w:r>
      <w:r w:rsidR="00445723" w:rsidRPr="0049187C">
        <w:rPr>
          <w:b/>
          <w:lang w:val="de-DE"/>
        </w:rPr>
        <w:t>weisung</w:t>
      </w:r>
      <w:r w:rsidR="00291BBF" w:rsidRPr="0049187C">
        <w:rPr>
          <w:b/>
          <w:lang w:val="de-DE"/>
        </w:rPr>
        <w:t xml:space="preserve">“ </w:t>
      </w:r>
      <w:r w:rsidRPr="0049187C">
        <w:rPr>
          <w:b/>
          <w:lang w:val="de-DE"/>
        </w:rPr>
        <w:t>am Ende dieser Packungsbeilage.</w:t>
      </w:r>
    </w:p>
    <w:p w14:paraId="1BA26276" w14:textId="77777777" w:rsidR="00F83928" w:rsidRPr="0049187C" w:rsidRDefault="00F83928" w:rsidP="0049187C">
      <w:pPr>
        <w:spacing w:after="0" w:line="240" w:lineRule="auto"/>
        <w:ind w:left="0" w:firstLine="0"/>
        <w:rPr>
          <w:lang w:val="de-DE"/>
        </w:rPr>
      </w:pPr>
    </w:p>
    <w:p w14:paraId="3FA805A2" w14:textId="77777777" w:rsidR="00261AC3" w:rsidRPr="0049187C" w:rsidRDefault="00B00716" w:rsidP="0049187C">
      <w:pPr>
        <w:spacing w:after="0" w:line="240" w:lineRule="auto"/>
        <w:ind w:left="0" w:firstLine="0"/>
        <w:rPr>
          <w:lang w:val="de-DE"/>
        </w:rPr>
      </w:pPr>
      <w:r w:rsidRPr="0049187C">
        <w:rPr>
          <w:lang w:val="de-DE"/>
        </w:rPr>
        <w:t>Nicht schütteln.</w:t>
      </w:r>
    </w:p>
    <w:p w14:paraId="2BECFD9B" w14:textId="77777777" w:rsidR="00F83928" w:rsidRPr="0049187C" w:rsidRDefault="00F83928" w:rsidP="0049187C">
      <w:pPr>
        <w:spacing w:after="0" w:line="240" w:lineRule="auto"/>
        <w:ind w:left="0" w:firstLine="0"/>
        <w:rPr>
          <w:lang w:val="de-DE"/>
        </w:rPr>
      </w:pPr>
    </w:p>
    <w:p w14:paraId="3DC9F069" w14:textId="77777777" w:rsidR="00261AC3" w:rsidRPr="0049187C" w:rsidRDefault="00B00716" w:rsidP="0049187C">
      <w:pPr>
        <w:keepNext/>
        <w:keepLines/>
        <w:spacing w:after="0" w:line="240" w:lineRule="auto"/>
        <w:ind w:left="0" w:firstLine="0"/>
        <w:rPr>
          <w:b/>
          <w:bCs/>
          <w:lang w:val="de-DE"/>
        </w:rPr>
      </w:pPr>
      <w:r w:rsidRPr="0049187C">
        <w:rPr>
          <w:b/>
          <w:bCs/>
          <w:lang w:val="de-DE"/>
        </w:rPr>
        <w:t xml:space="preserve">Wenn Sie die Anwendung von </w:t>
      </w:r>
      <w:r w:rsidR="007C7293" w:rsidRPr="0049187C">
        <w:rPr>
          <w:b/>
          <w:bCs/>
          <w:lang w:val="de-DE"/>
        </w:rPr>
        <w:t>Jubbonti</w:t>
      </w:r>
      <w:r w:rsidRPr="0049187C">
        <w:rPr>
          <w:b/>
          <w:bCs/>
          <w:lang w:val="de-DE"/>
        </w:rPr>
        <w:t xml:space="preserve"> vergessen haben</w:t>
      </w:r>
    </w:p>
    <w:p w14:paraId="0718C277" w14:textId="77777777" w:rsidR="00F83928" w:rsidRPr="0049187C" w:rsidRDefault="00F83928" w:rsidP="0049187C">
      <w:pPr>
        <w:keepNext/>
        <w:keepLines/>
        <w:spacing w:after="0" w:line="240" w:lineRule="auto"/>
        <w:ind w:left="0" w:firstLine="0"/>
        <w:rPr>
          <w:lang w:val="de-DE"/>
        </w:rPr>
      </w:pPr>
    </w:p>
    <w:p w14:paraId="5BE90C4C" w14:textId="77777777" w:rsidR="00261AC3" w:rsidRPr="0049187C" w:rsidRDefault="00B00716" w:rsidP="0049187C">
      <w:pPr>
        <w:spacing w:after="0" w:line="240" w:lineRule="auto"/>
        <w:ind w:left="0" w:firstLine="0"/>
        <w:rPr>
          <w:lang w:val="de-DE"/>
        </w:rPr>
      </w:pPr>
      <w:r w:rsidRPr="0049187C">
        <w:rPr>
          <w:lang w:val="de-DE"/>
        </w:rPr>
        <w:t xml:space="preserve">Wenn eine Dosis von </w:t>
      </w:r>
      <w:r w:rsidR="007C7293" w:rsidRPr="0049187C">
        <w:rPr>
          <w:lang w:val="de-DE"/>
        </w:rPr>
        <w:t>Jubbonti</w:t>
      </w:r>
      <w:r w:rsidRPr="0049187C">
        <w:rPr>
          <w:lang w:val="de-DE"/>
        </w:rPr>
        <w:t xml:space="preserve"> verpasst wird, sollte die Injektion so rasch wie möglich nachgeholt werden. Die darauffolgenden Injektionen sollten alle 6 Monate nach der tatsächlich stattgefundenen Injektion geplant werden.</w:t>
      </w:r>
    </w:p>
    <w:p w14:paraId="16899AE0" w14:textId="77777777" w:rsidR="00F83928" w:rsidRPr="0049187C" w:rsidRDefault="00F83928" w:rsidP="0049187C">
      <w:pPr>
        <w:spacing w:after="0" w:line="240" w:lineRule="auto"/>
        <w:ind w:left="0" w:firstLine="0"/>
        <w:rPr>
          <w:lang w:val="de-DE"/>
        </w:rPr>
      </w:pPr>
    </w:p>
    <w:p w14:paraId="38073FFE" w14:textId="77777777" w:rsidR="00261AC3" w:rsidRPr="0049187C" w:rsidRDefault="00B00716" w:rsidP="0049187C">
      <w:pPr>
        <w:keepNext/>
        <w:keepLines/>
        <w:spacing w:after="0" w:line="240" w:lineRule="auto"/>
        <w:ind w:left="0" w:firstLine="0"/>
        <w:rPr>
          <w:b/>
          <w:bCs/>
          <w:lang w:val="de-DE"/>
        </w:rPr>
      </w:pPr>
      <w:r w:rsidRPr="0049187C">
        <w:rPr>
          <w:b/>
          <w:bCs/>
          <w:lang w:val="de-DE"/>
        </w:rPr>
        <w:t xml:space="preserve">Wenn Sie die Anwendung von </w:t>
      </w:r>
      <w:r w:rsidR="007C7293" w:rsidRPr="0049187C">
        <w:rPr>
          <w:b/>
          <w:bCs/>
          <w:lang w:val="de-DE"/>
        </w:rPr>
        <w:t>Jubbonti</w:t>
      </w:r>
      <w:r w:rsidRPr="0049187C">
        <w:rPr>
          <w:b/>
          <w:bCs/>
          <w:lang w:val="de-DE"/>
        </w:rPr>
        <w:t xml:space="preserve"> abbrechen</w:t>
      </w:r>
    </w:p>
    <w:p w14:paraId="092ECB18" w14:textId="77777777" w:rsidR="00F83928" w:rsidRPr="0049187C" w:rsidRDefault="00F83928" w:rsidP="0049187C">
      <w:pPr>
        <w:spacing w:after="0" w:line="240" w:lineRule="auto"/>
        <w:ind w:left="0" w:firstLine="0"/>
        <w:rPr>
          <w:lang w:val="de-DE"/>
        </w:rPr>
      </w:pPr>
    </w:p>
    <w:p w14:paraId="633206B2" w14:textId="77777777" w:rsidR="00261AC3" w:rsidRPr="0049187C" w:rsidRDefault="00B00716" w:rsidP="0049187C">
      <w:pPr>
        <w:spacing w:after="0" w:line="240" w:lineRule="auto"/>
        <w:ind w:left="0" w:firstLine="0"/>
        <w:rPr>
          <w:lang w:val="de-DE"/>
        </w:rPr>
      </w:pPr>
      <w:r w:rsidRPr="0049187C">
        <w:rPr>
          <w:lang w:val="de-DE"/>
        </w:rPr>
        <w:t xml:space="preserve">Um aus der Behandlung den größten Nutzen zur Verminderung des Risikos von Knochenbrüchen zu ziehen, ist es wichtig, </w:t>
      </w:r>
      <w:r w:rsidR="007C7293" w:rsidRPr="0049187C">
        <w:rPr>
          <w:lang w:val="de-DE"/>
        </w:rPr>
        <w:t>Jubbonti</w:t>
      </w:r>
      <w:r w:rsidRPr="0049187C">
        <w:rPr>
          <w:lang w:val="de-DE"/>
        </w:rPr>
        <w:t xml:space="preserve"> so lange anzuwenden wie von Ihrem Arzt verordnet. Brechen Sie Ihre Behandlung nicht ab, ohne Ihren Arzt zu kontaktieren.</w:t>
      </w:r>
    </w:p>
    <w:p w14:paraId="1137D699" w14:textId="77777777" w:rsidR="00261AC3" w:rsidRPr="0049187C" w:rsidRDefault="00261AC3" w:rsidP="0049187C">
      <w:pPr>
        <w:spacing w:after="0" w:line="240" w:lineRule="auto"/>
        <w:ind w:left="0" w:firstLine="0"/>
        <w:rPr>
          <w:lang w:val="de-DE"/>
        </w:rPr>
      </w:pPr>
    </w:p>
    <w:p w14:paraId="26306FB2" w14:textId="77777777" w:rsidR="00F83928" w:rsidRPr="0049187C" w:rsidRDefault="00F83928" w:rsidP="0049187C">
      <w:pPr>
        <w:spacing w:after="0" w:line="240" w:lineRule="auto"/>
        <w:ind w:left="0" w:firstLine="0"/>
        <w:rPr>
          <w:lang w:val="de-DE"/>
        </w:rPr>
      </w:pPr>
    </w:p>
    <w:p w14:paraId="2B39B76A" w14:textId="77777777" w:rsidR="00261AC3" w:rsidRPr="0049187C" w:rsidRDefault="00B00716" w:rsidP="0049187C">
      <w:pPr>
        <w:keepNext/>
        <w:keepLines/>
        <w:tabs>
          <w:tab w:val="left" w:pos="567"/>
        </w:tabs>
        <w:spacing w:after="0" w:line="240" w:lineRule="auto"/>
        <w:ind w:left="0" w:firstLine="0"/>
        <w:rPr>
          <w:lang w:val="de-DE"/>
        </w:rPr>
      </w:pPr>
      <w:r w:rsidRPr="0049187C">
        <w:rPr>
          <w:b/>
          <w:lang w:val="de-DE"/>
        </w:rPr>
        <w:t>4.</w:t>
      </w:r>
      <w:r w:rsidRPr="0049187C">
        <w:rPr>
          <w:b/>
          <w:lang w:val="de-DE"/>
        </w:rPr>
        <w:tab/>
        <w:t>Welche Nebenwirkungen sind möglich?</w:t>
      </w:r>
    </w:p>
    <w:p w14:paraId="603E1660" w14:textId="77777777" w:rsidR="00F83928" w:rsidRPr="0049187C" w:rsidRDefault="00F83928" w:rsidP="0049187C">
      <w:pPr>
        <w:keepNext/>
        <w:keepLines/>
        <w:spacing w:after="0" w:line="240" w:lineRule="auto"/>
        <w:ind w:left="0" w:firstLine="0"/>
        <w:rPr>
          <w:lang w:val="de-DE"/>
        </w:rPr>
      </w:pPr>
    </w:p>
    <w:p w14:paraId="48ED5BE8" w14:textId="77777777" w:rsidR="00261AC3" w:rsidRPr="0049187C" w:rsidRDefault="00B00716" w:rsidP="0049187C">
      <w:pPr>
        <w:spacing w:after="0" w:line="240" w:lineRule="auto"/>
        <w:ind w:left="0" w:firstLine="0"/>
        <w:rPr>
          <w:lang w:val="de-DE"/>
        </w:rPr>
      </w:pPr>
      <w:r w:rsidRPr="0049187C">
        <w:rPr>
          <w:lang w:val="de-DE"/>
        </w:rPr>
        <w:t>Wie alle Arzneimittel kann auch dieses Arzneimittel Nebenwirkungen haben, die aber nicht bei jedem auftreten müssen.</w:t>
      </w:r>
    </w:p>
    <w:p w14:paraId="54EBB6DC" w14:textId="77777777" w:rsidR="00F83928" w:rsidRPr="0049187C" w:rsidRDefault="00F83928" w:rsidP="0049187C">
      <w:pPr>
        <w:spacing w:after="0" w:line="240" w:lineRule="auto"/>
        <w:ind w:left="0" w:firstLine="0"/>
        <w:rPr>
          <w:lang w:val="de-DE"/>
        </w:rPr>
      </w:pPr>
    </w:p>
    <w:p w14:paraId="71D2FF1E" w14:textId="77777777" w:rsidR="00261AC3" w:rsidRPr="0049187C" w:rsidRDefault="00B00716" w:rsidP="0049187C">
      <w:pPr>
        <w:spacing w:after="0" w:line="240" w:lineRule="auto"/>
        <w:ind w:left="0" w:firstLine="0"/>
        <w:rPr>
          <w:lang w:val="de-DE"/>
        </w:rPr>
      </w:pPr>
      <w:r w:rsidRPr="0049187C">
        <w:rPr>
          <w:lang w:val="de-DE"/>
        </w:rPr>
        <w:t xml:space="preserve">Gelegentlich können Patienten, die </w:t>
      </w:r>
      <w:r w:rsidR="007C7293" w:rsidRPr="0049187C">
        <w:rPr>
          <w:lang w:val="de-DE"/>
        </w:rPr>
        <w:t xml:space="preserve">Denosumab </w:t>
      </w:r>
      <w:r w:rsidRPr="0049187C">
        <w:rPr>
          <w:lang w:val="de-DE"/>
        </w:rPr>
        <w:t xml:space="preserve">erhalten, Hautinfektionen entwickeln (hauptsächlich </w:t>
      </w:r>
      <w:r w:rsidR="00336FFE" w:rsidRPr="0049187C">
        <w:rPr>
          <w:lang w:val="de-DE"/>
        </w:rPr>
        <w:t>Zellulitis</w:t>
      </w:r>
      <w:r w:rsidRPr="0049187C">
        <w:rPr>
          <w:lang w:val="de-DE"/>
        </w:rPr>
        <w:t xml:space="preserve">). </w:t>
      </w:r>
      <w:r w:rsidRPr="0049187C">
        <w:rPr>
          <w:b/>
          <w:lang w:val="de-DE"/>
        </w:rPr>
        <w:t>Bitte informieren Sie Ihren Arzt unverzüglich</w:t>
      </w:r>
      <w:r w:rsidRPr="0049187C">
        <w:rPr>
          <w:lang w:val="de-DE"/>
        </w:rPr>
        <w:t xml:space="preserve">, wenn Sie während der Behandlung mit </w:t>
      </w:r>
      <w:r w:rsidR="007C7293" w:rsidRPr="0049187C">
        <w:rPr>
          <w:lang w:val="de-DE"/>
        </w:rPr>
        <w:t>Jubbonti</w:t>
      </w:r>
      <w:r w:rsidRPr="0049187C">
        <w:rPr>
          <w:lang w:val="de-DE"/>
        </w:rPr>
        <w:t xml:space="preserve"> irgendeines dieser Symptome entwickeln: geschwollene, gerötete Stelle der Haut, am häufigsten im unteren Bereich der Beine, die sich heiß und schmerzhaft anfühlt und mit Fiebersymptomen einhergehen kann.</w:t>
      </w:r>
    </w:p>
    <w:p w14:paraId="46922300" w14:textId="77777777" w:rsidR="00F83928" w:rsidRPr="0049187C" w:rsidRDefault="00F83928" w:rsidP="0049187C">
      <w:pPr>
        <w:spacing w:after="0" w:line="240" w:lineRule="auto"/>
        <w:ind w:left="0" w:firstLine="0"/>
        <w:rPr>
          <w:lang w:val="de-DE"/>
        </w:rPr>
      </w:pPr>
    </w:p>
    <w:p w14:paraId="6F558FA3" w14:textId="77777777" w:rsidR="00261AC3" w:rsidRPr="0049187C" w:rsidRDefault="00B00716" w:rsidP="0049187C">
      <w:pPr>
        <w:spacing w:after="0" w:line="240" w:lineRule="auto"/>
        <w:ind w:left="0" w:firstLine="0"/>
        <w:rPr>
          <w:lang w:val="de-DE"/>
        </w:rPr>
      </w:pPr>
      <w:r w:rsidRPr="0049187C">
        <w:rPr>
          <w:lang w:val="de-DE"/>
        </w:rPr>
        <w:t xml:space="preserve">Selten können sich bei Patienten, die </w:t>
      </w:r>
      <w:r w:rsidR="007C7293" w:rsidRPr="0049187C">
        <w:rPr>
          <w:lang w:val="de-DE"/>
        </w:rPr>
        <w:t xml:space="preserve">Denosumab </w:t>
      </w:r>
      <w:r w:rsidRPr="0049187C">
        <w:rPr>
          <w:lang w:val="de-DE"/>
        </w:rPr>
        <w:t xml:space="preserve">erhalten, Schmerzen im Mundraum und/oder Kiefer, Schwellungen oder nicht heilende wunde Stellen im Mundraum oder Kiefer, Ausfluss, Taubheit oder ein Schweregefühl im Kiefer entwickeln, oder es kann sich ein Zahn lockern. Dies können Anzeichen einer Knochenschädigung im Kiefer sein (Osteonekrose). </w:t>
      </w:r>
      <w:r w:rsidRPr="0049187C">
        <w:rPr>
          <w:b/>
          <w:lang w:val="de-DE"/>
        </w:rPr>
        <w:t>Informieren Sie unverzüglich Ihren Arzt</w:t>
      </w:r>
      <w:r w:rsidR="00076E67" w:rsidRPr="0049187C">
        <w:rPr>
          <w:b/>
          <w:lang w:val="de-DE"/>
        </w:rPr>
        <w:t xml:space="preserve"> </w:t>
      </w:r>
      <w:r w:rsidRPr="0049187C">
        <w:rPr>
          <w:b/>
          <w:lang w:val="de-DE"/>
        </w:rPr>
        <w:t>und Zahnarzt</w:t>
      </w:r>
      <w:r w:rsidRPr="0049187C">
        <w:rPr>
          <w:lang w:val="de-DE"/>
        </w:rPr>
        <w:t xml:space="preserve">, wenn Sie solche Symptome während der Behandlung mit </w:t>
      </w:r>
      <w:r w:rsidR="007C7293" w:rsidRPr="0049187C">
        <w:rPr>
          <w:lang w:val="de-DE"/>
        </w:rPr>
        <w:t>Jubbonti</w:t>
      </w:r>
      <w:r w:rsidRPr="0049187C">
        <w:rPr>
          <w:lang w:val="de-DE"/>
        </w:rPr>
        <w:t xml:space="preserve"> oder nach Beendigung der Behandlung haben.</w:t>
      </w:r>
    </w:p>
    <w:p w14:paraId="40745BD9" w14:textId="77777777" w:rsidR="00F83928" w:rsidRPr="0049187C" w:rsidRDefault="00F83928" w:rsidP="0049187C">
      <w:pPr>
        <w:spacing w:after="0" w:line="240" w:lineRule="auto"/>
        <w:ind w:left="0" w:firstLine="0"/>
        <w:rPr>
          <w:lang w:val="de-DE"/>
        </w:rPr>
      </w:pPr>
    </w:p>
    <w:p w14:paraId="4AF46295" w14:textId="77777777" w:rsidR="00261AC3" w:rsidRPr="0049187C" w:rsidRDefault="00B00716" w:rsidP="0049187C">
      <w:pPr>
        <w:spacing w:after="0" w:line="240" w:lineRule="auto"/>
        <w:ind w:left="0" w:firstLine="0"/>
        <w:rPr>
          <w:lang w:val="de-DE"/>
        </w:rPr>
      </w:pPr>
      <w:r w:rsidRPr="0049187C">
        <w:rPr>
          <w:lang w:val="de-DE"/>
        </w:rPr>
        <w:t xml:space="preserve">Selten können Patienten, die </w:t>
      </w:r>
      <w:r w:rsidR="007C7293" w:rsidRPr="0049187C">
        <w:rPr>
          <w:lang w:val="de-DE"/>
        </w:rPr>
        <w:t>Jubbonti</w:t>
      </w:r>
      <w:r w:rsidRPr="0049187C">
        <w:rPr>
          <w:lang w:val="de-DE"/>
        </w:rPr>
        <w:t xml:space="preserve"> erhalten, niedrige Calciumspiegel im Blut haben (Hypokalzämie)</w:t>
      </w:r>
      <w:r w:rsidR="004466EA" w:rsidRPr="0049187C">
        <w:rPr>
          <w:lang w:val="de-DE"/>
        </w:rPr>
        <w:t>; schwergradig niedrige Calciumspiegel im Blut können zu Hospitalisierung führen und sogar lebensbedrohlich sein</w:t>
      </w:r>
      <w:r w:rsidRPr="0049187C">
        <w:rPr>
          <w:lang w:val="de-DE"/>
        </w:rPr>
        <w:t>. Die Symptome schließen Spasmen, Zuckungen oder Muskelkrämpfe und/oder Taubheit oder Kribbeln in Fingern, Zehen oder um den Mund und/oder Krampfanfälle, Verwirrtheit oder Bewusstlosigkeit ein.</w:t>
      </w:r>
      <w:r w:rsidR="00076E67" w:rsidRPr="0049187C">
        <w:rPr>
          <w:lang w:val="de-DE"/>
        </w:rPr>
        <w:t xml:space="preserve"> </w:t>
      </w:r>
      <w:r w:rsidRPr="0049187C">
        <w:rPr>
          <w:lang w:val="de-DE"/>
        </w:rPr>
        <w:t xml:space="preserve">Wenn eines davon bei Ihnen auftritt, </w:t>
      </w:r>
      <w:r w:rsidR="008A7375" w:rsidRPr="0049187C">
        <w:rPr>
          <w:b/>
          <w:lang w:val="de-DE"/>
        </w:rPr>
        <w:t xml:space="preserve">informieren </w:t>
      </w:r>
      <w:r w:rsidRPr="0049187C">
        <w:rPr>
          <w:b/>
          <w:lang w:val="de-DE"/>
        </w:rPr>
        <w:t>Sie unverzüglich Ihre</w:t>
      </w:r>
      <w:r w:rsidR="008A7375" w:rsidRPr="0049187C">
        <w:rPr>
          <w:b/>
          <w:lang w:val="de-DE"/>
        </w:rPr>
        <w:t>n</w:t>
      </w:r>
      <w:r w:rsidRPr="0049187C">
        <w:rPr>
          <w:b/>
          <w:lang w:val="de-DE"/>
        </w:rPr>
        <w:t xml:space="preserve"> Arzt</w:t>
      </w:r>
      <w:r w:rsidRPr="0049187C">
        <w:rPr>
          <w:lang w:val="de-DE"/>
        </w:rPr>
        <w:t>. Ein niedriger Calciumspiegel im Blut könnte auch zu einer Änderung des Herzrhythmus führen, die als QTVerlängerung bezeichnet wird und im Elektrokardiogramm (EKG) zu sehen ist.</w:t>
      </w:r>
    </w:p>
    <w:p w14:paraId="1C76C44D" w14:textId="77777777" w:rsidR="00F83928" w:rsidRPr="0049187C" w:rsidRDefault="00F83928" w:rsidP="0049187C">
      <w:pPr>
        <w:spacing w:after="0" w:line="240" w:lineRule="auto"/>
        <w:ind w:left="0" w:firstLine="0"/>
        <w:rPr>
          <w:lang w:val="de-DE"/>
        </w:rPr>
      </w:pPr>
    </w:p>
    <w:p w14:paraId="13556D1B" w14:textId="77777777" w:rsidR="00261AC3" w:rsidRPr="0049187C" w:rsidRDefault="00B00716" w:rsidP="0049187C">
      <w:pPr>
        <w:spacing w:after="0" w:line="240" w:lineRule="auto"/>
        <w:ind w:left="0" w:firstLine="0"/>
        <w:rPr>
          <w:lang w:val="de-DE"/>
        </w:rPr>
      </w:pPr>
      <w:r w:rsidRPr="0049187C">
        <w:rPr>
          <w:lang w:val="de-DE"/>
        </w:rPr>
        <w:t xml:space="preserve">Selten können bei Patienten, die </w:t>
      </w:r>
      <w:r w:rsidR="007C7293" w:rsidRPr="0049187C">
        <w:rPr>
          <w:lang w:val="de-DE"/>
        </w:rPr>
        <w:t>Jubbonti</w:t>
      </w:r>
      <w:r w:rsidRPr="0049187C">
        <w:rPr>
          <w:lang w:val="de-DE"/>
        </w:rPr>
        <w:t xml:space="preserve"> erhalten, ungewöhnliche Frakturen des Oberschenkelknochens auftreten. </w:t>
      </w:r>
      <w:r w:rsidRPr="0049187C">
        <w:rPr>
          <w:b/>
          <w:lang w:val="de-DE"/>
        </w:rPr>
        <w:t>Kontaktieren Sie Ihren Arzt</w:t>
      </w:r>
      <w:r w:rsidRPr="0049187C">
        <w:rPr>
          <w:lang w:val="de-DE"/>
        </w:rPr>
        <w:t>, wenn Sie neu auftretende oder ungewöhnliche Hüft</w:t>
      </w:r>
      <w:r w:rsidRPr="0049187C">
        <w:rPr>
          <w:lang w:val="de-DE"/>
        </w:rPr>
        <w:noBreakHyphen/>
        <w:t>, Leisten</w:t>
      </w:r>
      <w:r w:rsidRPr="0049187C">
        <w:rPr>
          <w:lang w:val="de-DE"/>
        </w:rPr>
        <w:noBreakHyphen/>
        <w:t xml:space="preserve"> oder Oberschenkelschmerzen wahrnehmen, da dies ein früher Hinweis auf einen möglichen Bruch des Oberschenkelknochens sein könnte.</w:t>
      </w:r>
    </w:p>
    <w:p w14:paraId="4F4761F3" w14:textId="77777777" w:rsidR="00F83928" w:rsidRPr="0049187C" w:rsidRDefault="00F83928" w:rsidP="0049187C">
      <w:pPr>
        <w:spacing w:after="0" w:line="240" w:lineRule="auto"/>
        <w:ind w:left="0" w:firstLine="0"/>
        <w:rPr>
          <w:lang w:val="de-DE"/>
        </w:rPr>
      </w:pPr>
    </w:p>
    <w:p w14:paraId="00858983" w14:textId="77777777" w:rsidR="00261AC3" w:rsidRPr="0049187C" w:rsidRDefault="00B00716" w:rsidP="0049187C">
      <w:pPr>
        <w:spacing w:after="0" w:line="240" w:lineRule="auto"/>
        <w:ind w:left="0" w:firstLine="0"/>
        <w:rPr>
          <w:lang w:val="de-DE"/>
        </w:rPr>
      </w:pPr>
      <w:r w:rsidRPr="0049187C">
        <w:rPr>
          <w:lang w:val="de-DE"/>
        </w:rPr>
        <w:t xml:space="preserve">Selten können allergische Reaktionen bei Patienten, die </w:t>
      </w:r>
      <w:r w:rsidR="007C7293" w:rsidRPr="0049187C">
        <w:rPr>
          <w:lang w:val="de-DE"/>
        </w:rPr>
        <w:t xml:space="preserve">Denosumab </w:t>
      </w:r>
      <w:r w:rsidRPr="0049187C">
        <w:rPr>
          <w:lang w:val="de-DE"/>
        </w:rPr>
        <w:t xml:space="preserve">erhalten, auftreten. Die Symptome schließen Schwellung des Gesichts, der Lippen, der Zunge, des Rachens oder anderer Körperteile; </w:t>
      </w:r>
      <w:r w:rsidR="00336FFE" w:rsidRPr="0049187C">
        <w:rPr>
          <w:lang w:val="de-DE"/>
        </w:rPr>
        <w:t>Ausschlag</w:t>
      </w:r>
      <w:r w:rsidRPr="0049187C">
        <w:rPr>
          <w:lang w:val="de-DE"/>
        </w:rPr>
        <w:t xml:space="preserve">, Jucken oder Nesselsucht, Atemgeräusche oder Atembeschwerden ein. </w:t>
      </w:r>
      <w:r w:rsidRPr="0049187C">
        <w:rPr>
          <w:b/>
          <w:lang w:val="de-DE"/>
        </w:rPr>
        <w:t>Bitte informieren Sie Ihren Arzt</w:t>
      </w:r>
      <w:r w:rsidRPr="0049187C">
        <w:rPr>
          <w:lang w:val="de-DE"/>
        </w:rPr>
        <w:t>,</w:t>
      </w:r>
      <w:r w:rsidRPr="0049187C">
        <w:rPr>
          <w:b/>
          <w:lang w:val="de-DE"/>
        </w:rPr>
        <w:t xml:space="preserve"> </w:t>
      </w:r>
      <w:r w:rsidRPr="0049187C">
        <w:rPr>
          <w:lang w:val="de-DE"/>
        </w:rPr>
        <w:t xml:space="preserve">wenn Sie solche Symptome während der Behandlung mit </w:t>
      </w:r>
      <w:r w:rsidR="007C7293" w:rsidRPr="0049187C">
        <w:rPr>
          <w:lang w:val="de-DE"/>
        </w:rPr>
        <w:t>Jubbonti</w:t>
      </w:r>
      <w:r w:rsidRPr="0049187C">
        <w:rPr>
          <w:lang w:val="de-DE"/>
        </w:rPr>
        <w:t xml:space="preserve"> entwickeln.</w:t>
      </w:r>
    </w:p>
    <w:p w14:paraId="1DF91F17" w14:textId="77777777" w:rsidR="00F83928" w:rsidRPr="0049187C" w:rsidRDefault="00F83928" w:rsidP="0049187C">
      <w:pPr>
        <w:spacing w:after="0" w:line="240" w:lineRule="auto"/>
        <w:ind w:left="0" w:firstLine="0"/>
        <w:rPr>
          <w:lang w:val="de-DE"/>
        </w:rPr>
      </w:pPr>
    </w:p>
    <w:p w14:paraId="792A672E" w14:textId="77777777" w:rsidR="00261AC3" w:rsidRPr="0049187C" w:rsidRDefault="00B00716" w:rsidP="0049187C">
      <w:pPr>
        <w:spacing w:after="0" w:line="240" w:lineRule="auto"/>
        <w:ind w:left="0" w:firstLine="0"/>
        <w:rPr>
          <w:lang w:val="de-DE"/>
        </w:rPr>
      </w:pPr>
      <w:r w:rsidRPr="0049187C">
        <w:rPr>
          <w:b/>
          <w:lang w:val="de-DE"/>
        </w:rPr>
        <w:t xml:space="preserve">Sehr häufige Nebenwirkungen </w:t>
      </w:r>
      <w:r w:rsidRPr="0049187C">
        <w:rPr>
          <w:lang w:val="de-DE"/>
        </w:rPr>
        <w:t>(kann mehr als 1 von 10 Behandelten betreffen):</w:t>
      </w:r>
    </w:p>
    <w:p w14:paraId="6AC55365" w14:textId="77777777" w:rsidR="00F83928" w:rsidRPr="0049187C" w:rsidRDefault="00F83928" w:rsidP="0049187C">
      <w:pPr>
        <w:spacing w:after="0" w:line="240" w:lineRule="auto"/>
        <w:ind w:left="0" w:firstLine="0"/>
        <w:rPr>
          <w:lang w:val="de-DE"/>
        </w:rPr>
      </w:pPr>
    </w:p>
    <w:p w14:paraId="2F1D3FB4" w14:textId="77777777" w:rsidR="00261AC3" w:rsidRPr="0049187C" w:rsidRDefault="00B00716" w:rsidP="0049187C">
      <w:pPr>
        <w:numPr>
          <w:ilvl w:val="0"/>
          <w:numId w:val="12"/>
        </w:numPr>
        <w:tabs>
          <w:tab w:val="left" w:pos="567"/>
        </w:tabs>
        <w:spacing w:after="0" w:line="240" w:lineRule="auto"/>
        <w:ind w:left="0" w:firstLine="0"/>
        <w:rPr>
          <w:lang w:val="de-DE"/>
        </w:rPr>
      </w:pPr>
      <w:r w:rsidRPr="0049187C">
        <w:rPr>
          <w:lang w:val="de-DE"/>
        </w:rPr>
        <w:t>Knochen</w:t>
      </w:r>
      <w:r w:rsidRPr="0049187C">
        <w:rPr>
          <w:lang w:val="de-DE"/>
        </w:rPr>
        <w:noBreakHyphen/>
        <w:t>, Gelenk</w:t>
      </w:r>
      <w:r w:rsidRPr="0049187C">
        <w:rPr>
          <w:lang w:val="de-DE"/>
        </w:rPr>
        <w:noBreakHyphen/>
        <w:t xml:space="preserve"> und/oder Muskelschmerzen, die manchmal schwer sind,</w:t>
      </w:r>
    </w:p>
    <w:p w14:paraId="1021B988" w14:textId="77777777" w:rsidR="00261AC3" w:rsidRPr="0049187C" w:rsidRDefault="00B00716" w:rsidP="0049187C">
      <w:pPr>
        <w:numPr>
          <w:ilvl w:val="0"/>
          <w:numId w:val="12"/>
        </w:numPr>
        <w:tabs>
          <w:tab w:val="left" w:pos="567"/>
        </w:tabs>
        <w:spacing w:after="0" w:line="240" w:lineRule="auto"/>
        <w:ind w:left="0" w:firstLine="0"/>
        <w:rPr>
          <w:lang w:val="de-DE"/>
        </w:rPr>
      </w:pPr>
      <w:r w:rsidRPr="0049187C">
        <w:rPr>
          <w:lang w:val="de-DE"/>
        </w:rPr>
        <w:t>Schmerzen in den Armen oder Beinen (Schmerzen in den Extremitäten).</w:t>
      </w:r>
    </w:p>
    <w:p w14:paraId="78D74169" w14:textId="77777777" w:rsidR="00F83928" w:rsidRPr="0049187C" w:rsidRDefault="00F83928" w:rsidP="0049187C">
      <w:pPr>
        <w:spacing w:after="0" w:line="240" w:lineRule="auto"/>
        <w:ind w:left="0" w:firstLine="0"/>
        <w:rPr>
          <w:lang w:val="de-DE"/>
        </w:rPr>
      </w:pPr>
    </w:p>
    <w:p w14:paraId="74F56362" w14:textId="77777777" w:rsidR="00261AC3" w:rsidRPr="0049187C" w:rsidRDefault="00B00716" w:rsidP="0049187C">
      <w:pPr>
        <w:keepNext/>
        <w:keepLines/>
        <w:spacing w:after="0" w:line="240" w:lineRule="auto"/>
        <w:ind w:left="0" w:firstLine="0"/>
        <w:rPr>
          <w:lang w:val="de-DE"/>
        </w:rPr>
      </w:pPr>
      <w:r w:rsidRPr="0049187C">
        <w:rPr>
          <w:b/>
          <w:lang w:val="de-DE"/>
        </w:rPr>
        <w:t xml:space="preserve">Häufige Nebenwirkungen </w:t>
      </w:r>
      <w:r w:rsidRPr="0049187C">
        <w:rPr>
          <w:lang w:val="de-DE"/>
        </w:rPr>
        <w:t>(kann bis zu 1 von 10 Behandelten betreffen):</w:t>
      </w:r>
    </w:p>
    <w:p w14:paraId="04F2ABC1" w14:textId="77777777" w:rsidR="00F83928" w:rsidRPr="0049187C" w:rsidRDefault="00F83928" w:rsidP="0049187C">
      <w:pPr>
        <w:keepNext/>
        <w:keepLines/>
        <w:spacing w:after="0" w:line="240" w:lineRule="auto"/>
        <w:ind w:left="0" w:firstLine="0"/>
        <w:rPr>
          <w:lang w:val="de-DE"/>
        </w:rPr>
      </w:pPr>
    </w:p>
    <w:p w14:paraId="6CB3B60B" w14:textId="77777777" w:rsidR="00261AC3" w:rsidRPr="0049187C" w:rsidRDefault="00B00716" w:rsidP="0049187C">
      <w:pPr>
        <w:numPr>
          <w:ilvl w:val="0"/>
          <w:numId w:val="12"/>
        </w:numPr>
        <w:tabs>
          <w:tab w:val="left" w:pos="567"/>
        </w:tabs>
        <w:spacing w:after="0" w:line="240" w:lineRule="auto"/>
        <w:ind w:left="0" w:firstLine="0"/>
        <w:rPr>
          <w:lang w:val="de-DE"/>
        </w:rPr>
      </w:pPr>
      <w:r w:rsidRPr="0049187C">
        <w:rPr>
          <w:lang w:val="de-DE"/>
        </w:rPr>
        <w:t>Schmerzen beim Wasserlassen, häufiges Wasserlassen, Blut im Harn, nicht unterdrückbarer Harndrang,</w:t>
      </w:r>
    </w:p>
    <w:p w14:paraId="455BC745" w14:textId="77777777" w:rsidR="00261AC3" w:rsidRPr="0049187C" w:rsidRDefault="00B00716" w:rsidP="0049187C">
      <w:pPr>
        <w:numPr>
          <w:ilvl w:val="0"/>
          <w:numId w:val="12"/>
        </w:numPr>
        <w:tabs>
          <w:tab w:val="left" w:pos="567"/>
        </w:tabs>
        <w:spacing w:after="0" w:line="240" w:lineRule="auto"/>
        <w:ind w:left="0" w:firstLine="0"/>
        <w:rPr>
          <w:lang w:val="de-DE"/>
        </w:rPr>
      </w:pPr>
      <w:r w:rsidRPr="0049187C">
        <w:rPr>
          <w:lang w:val="de-DE"/>
        </w:rPr>
        <w:t>Infektion der oberen Atemwege,</w:t>
      </w:r>
    </w:p>
    <w:p w14:paraId="6CF884E5" w14:textId="77777777" w:rsidR="00261AC3" w:rsidRPr="0049187C" w:rsidRDefault="00B00716" w:rsidP="0049187C">
      <w:pPr>
        <w:numPr>
          <w:ilvl w:val="0"/>
          <w:numId w:val="12"/>
        </w:numPr>
        <w:tabs>
          <w:tab w:val="left" w:pos="567"/>
        </w:tabs>
        <w:spacing w:after="0" w:line="240" w:lineRule="auto"/>
        <w:ind w:left="0" w:firstLine="0"/>
        <w:rPr>
          <w:lang w:val="de-DE"/>
        </w:rPr>
      </w:pPr>
      <w:r w:rsidRPr="0049187C">
        <w:rPr>
          <w:lang w:val="de-DE"/>
        </w:rPr>
        <w:t>Schmerzen, Kribbeln oder Taubheit entlang Ihres Beines (</w:t>
      </w:r>
      <w:r w:rsidR="00B46D10" w:rsidRPr="0049187C">
        <w:rPr>
          <w:lang w:val="de-DE"/>
        </w:rPr>
        <w:t>Ischialgie</w:t>
      </w:r>
      <w:r w:rsidRPr="0049187C">
        <w:rPr>
          <w:lang w:val="de-DE"/>
        </w:rPr>
        <w:t>),</w:t>
      </w:r>
    </w:p>
    <w:p w14:paraId="150F3570" w14:textId="77777777" w:rsidR="00261AC3" w:rsidRPr="0049187C" w:rsidRDefault="00B00716" w:rsidP="0049187C">
      <w:pPr>
        <w:numPr>
          <w:ilvl w:val="0"/>
          <w:numId w:val="12"/>
        </w:numPr>
        <w:tabs>
          <w:tab w:val="left" w:pos="567"/>
        </w:tabs>
        <w:spacing w:after="0" w:line="240" w:lineRule="auto"/>
        <w:ind w:left="0" w:firstLine="0"/>
        <w:rPr>
          <w:lang w:val="de-DE"/>
        </w:rPr>
      </w:pPr>
      <w:r w:rsidRPr="0049187C">
        <w:rPr>
          <w:lang w:val="de-DE"/>
        </w:rPr>
        <w:t>Verstopfung,</w:t>
      </w:r>
    </w:p>
    <w:p w14:paraId="0381C110" w14:textId="77777777" w:rsidR="00261AC3" w:rsidRPr="0049187C" w:rsidRDefault="00B00716" w:rsidP="0049187C">
      <w:pPr>
        <w:numPr>
          <w:ilvl w:val="0"/>
          <w:numId w:val="12"/>
        </w:numPr>
        <w:tabs>
          <w:tab w:val="left" w:pos="567"/>
        </w:tabs>
        <w:spacing w:after="0" w:line="240" w:lineRule="auto"/>
        <w:ind w:left="0" w:firstLine="0"/>
        <w:rPr>
          <w:lang w:val="de-DE"/>
        </w:rPr>
      </w:pPr>
      <w:r w:rsidRPr="0049187C">
        <w:rPr>
          <w:lang w:val="de-DE"/>
        </w:rPr>
        <w:t>Bauchbeschwerden,</w:t>
      </w:r>
    </w:p>
    <w:p w14:paraId="23D83F35" w14:textId="77777777" w:rsidR="00261AC3" w:rsidRPr="0049187C" w:rsidRDefault="00B00716" w:rsidP="0049187C">
      <w:pPr>
        <w:numPr>
          <w:ilvl w:val="0"/>
          <w:numId w:val="12"/>
        </w:numPr>
        <w:tabs>
          <w:tab w:val="left" w:pos="567"/>
        </w:tabs>
        <w:spacing w:after="0" w:line="240" w:lineRule="auto"/>
        <w:ind w:left="0" w:firstLine="0"/>
        <w:rPr>
          <w:lang w:val="de-DE"/>
        </w:rPr>
      </w:pPr>
      <w:r w:rsidRPr="0049187C">
        <w:rPr>
          <w:lang w:val="de-DE"/>
        </w:rPr>
        <w:t>Ausschlag</w:t>
      </w:r>
      <w:r w:rsidR="00FD7DFF" w:rsidRPr="0049187C">
        <w:rPr>
          <w:lang w:val="de-DE"/>
        </w:rPr>
        <w:t>,</w:t>
      </w:r>
    </w:p>
    <w:p w14:paraId="39FD972A" w14:textId="77777777" w:rsidR="00261AC3" w:rsidRPr="0049187C" w:rsidRDefault="00B00716" w:rsidP="0049187C">
      <w:pPr>
        <w:numPr>
          <w:ilvl w:val="0"/>
          <w:numId w:val="12"/>
        </w:numPr>
        <w:tabs>
          <w:tab w:val="left" w:pos="567"/>
        </w:tabs>
        <w:spacing w:after="0" w:line="240" w:lineRule="auto"/>
        <w:ind w:left="0" w:firstLine="0"/>
        <w:rPr>
          <w:lang w:val="de-DE"/>
        </w:rPr>
      </w:pPr>
      <w:r w:rsidRPr="0049187C">
        <w:rPr>
          <w:lang w:val="de-DE"/>
        </w:rPr>
        <w:t>Hautreaktionen mit Juckreiz, Rötung und/oder Trockenheit (Ekzem),</w:t>
      </w:r>
    </w:p>
    <w:p w14:paraId="509D07F7" w14:textId="77777777" w:rsidR="00261AC3" w:rsidRPr="0049187C" w:rsidRDefault="00B00716" w:rsidP="0049187C">
      <w:pPr>
        <w:numPr>
          <w:ilvl w:val="0"/>
          <w:numId w:val="12"/>
        </w:numPr>
        <w:tabs>
          <w:tab w:val="left" w:pos="567"/>
        </w:tabs>
        <w:spacing w:after="0" w:line="240" w:lineRule="auto"/>
        <w:ind w:left="0" w:firstLine="0"/>
        <w:rPr>
          <w:lang w:val="de-DE"/>
        </w:rPr>
      </w:pPr>
      <w:r w:rsidRPr="0049187C">
        <w:rPr>
          <w:lang w:val="de-DE"/>
        </w:rPr>
        <w:t>Haarausfall (Alopezie).</w:t>
      </w:r>
    </w:p>
    <w:p w14:paraId="3347632D" w14:textId="77777777" w:rsidR="00F83928" w:rsidRPr="0049187C" w:rsidRDefault="00F83928" w:rsidP="0049187C">
      <w:pPr>
        <w:spacing w:after="0" w:line="240" w:lineRule="auto"/>
        <w:ind w:left="0" w:firstLine="0"/>
        <w:rPr>
          <w:lang w:val="de-DE"/>
        </w:rPr>
      </w:pPr>
    </w:p>
    <w:p w14:paraId="54B48405" w14:textId="77777777" w:rsidR="00261AC3" w:rsidRPr="0049187C" w:rsidRDefault="00B00716" w:rsidP="0049187C">
      <w:pPr>
        <w:spacing w:after="0" w:line="240" w:lineRule="auto"/>
        <w:ind w:left="0" w:firstLine="0"/>
        <w:rPr>
          <w:lang w:val="de-DE"/>
        </w:rPr>
      </w:pPr>
      <w:r w:rsidRPr="0049187C">
        <w:rPr>
          <w:b/>
          <w:lang w:val="de-DE"/>
        </w:rPr>
        <w:t xml:space="preserve">Gelegentliche Nebenwirkungen </w:t>
      </w:r>
      <w:r w:rsidRPr="0049187C">
        <w:rPr>
          <w:lang w:val="de-DE"/>
        </w:rPr>
        <w:t>(kann bis zu 1 von 100 Behandelten betreffen):</w:t>
      </w:r>
    </w:p>
    <w:p w14:paraId="2C39A961" w14:textId="77777777" w:rsidR="00F83928" w:rsidRPr="0049187C" w:rsidRDefault="00F83928" w:rsidP="0049187C">
      <w:pPr>
        <w:spacing w:after="0" w:line="240" w:lineRule="auto"/>
        <w:ind w:left="0" w:firstLine="0"/>
        <w:rPr>
          <w:lang w:val="de-DE"/>
        </w:rPr>
      </w:pPr>
    </w:p>
    <w:p w14:paraId="3B23C7DA" w14:textId="77777777" w:rsidR="00261AC3" w:rsidRPr="0049187C" w:rsidRDefault="00B00716" w:rsidP="0049187C">
      <w:pPr>
        <w:numPr>
          <w:ilvl w:val="0"/>
          <w:numId w:val="12"/>
        </w:numPr>
        <w:tabs>
          <w:tab w:val="left" w:pos="567"/>
        </w:tabs>
        <w:spacing w:after="0" w:line="240" w:lineRule="auto"/>
        <w:ind w:left="0" w:firstLine="0"/>
        <w:rPr>
          <w:lang w:val="de-DE"/>
        </w:rPr>
      </w:pPr>
      <w:r w:rsidRPr="0049187C">
        <w:rPr>
          <w:lang w:val="de-DE"/>
        </w:rPr>
        <w:t>Fieber, Erbrechen und Bauchschmerzen oder Unwohlsein (Divertikulitis),</w:t>
      </w:r>
    </w:p>
    <w:p w14:paraId="66B6D953" w14:textId="77777777" w:rsidR="00261AC3" w:rsidRPr="0049187C" w:rsidRDefault="00B00716" w:rsidP="0049187C">
      <w:pPr>
        <w:numPr>
          <w:ilvl w:val="0"/>
          <w:numId w:val="12"/>
        </w:numPr>
        <w:tabs>
          <w:tab w:val="left" w:pos="567"/>
        </w:tabs>
        <w:spacing w:after="0" w:line="240" w:lineRule="auto"/>
        <w:ind w:left="0" w:firstLine="0"/>
        <w:rPr>
          <w:lang w:val="de-DE"/>
        </w:rPr>
      </w:pPr>
      <w:r w:rsidRPr="0049187C">
        <w:rPr>
          <w:lang w:val="de-DE"/>
        </w:rPr>
        <w:t>Ohreninfektion</w:t>
      </w:r>
      <w:r w:rsidR="00FD7DFF" w:rsidRPr="0049187C">
        <w:rPr>
          <w:lang w:val="de-DE"/>
        </w:rPr>
        <w:t>,</w:t>
      </w:r>
    </w:p>
    <w:p w14:paraId="0FBC2AE9" w14:textId="77777777" w:rsidR="00261AC3" w:rsidRPr="0049187C" w:rsidRDefault="00B00716" w:rsidP="0049187C">
      <w:pPr>
        <w:numPr>
          <w:ilvl w:val="0"/>
          <w:numId w:val="12"/>
        </w:numPr>
        <w:tabs>
          <w:tab w:val="left" w:pos="567"/>
        </w:tabs>
        <w:spacing w:after="0" w:line="240" w:lineRule="auto"/>
        <w:ind w:left="0" w:firstLine="0"/>
        <w:rPr>
          <w:lang w:val="de-DE"/>
        </w:rPr>
      </w:pPr>
      <w:r w:rsidRPr="0049187C">
        <w:rPr>
          <w:lang w:val="de-DE"/>
        </w:rPr>
        <w:t xml:space="preserve">Ausschlag </w:t>
      </w:r>
      <w:r w:rsidR="00FD7DFF" w:rsidRPr="0049187C">
        <w:rPr>
          <w:lang w:val="de-DE"/>
        </w:rPr>
        <w:t>oder wunde Stellen im Mundraum (lichenoide</w:t>
      </w:r>
      <w:r w:rsidRPr="0049187C">
        <w:rPr>
          <w:lang w:val="de-DE"/>
        </w:rPr>
        <w:t>r</w:t>
      </w:r>
      <w:r w:rsidR="00FD7DFF" w:rsidRPr="0049187C">
        <w:rPr>
          <w:lang w:val="de-DE"/>
        </w:rPr>
        <w:t xml:space="preserve"> </w:t>
      </w:r>
      <w:r w:rsidRPr="0049187C">
        <w:rPr>
          <w:lang w:val="de-DE"/>
        </w:rPr>
        <w:t>Medikamentenausschlag</w:t>
      </w:r>
      <w:r w:rsidR="00FD7DFF" w:rsidRPr="0049187C">
        <w:rPr>
          <w:lang w:val="de-DE"/>
        </w:rPr>
        <w:t>).</w:t>
      </w:r>
    </w:p>
    <w:p w14:paraId="40C6D362" w14:textId="77777777" w:rsidR="00F83928" w:rsidRPr="0049187C" w:rsidRDefault="00F83928" w:rsidP="0049187C">
      <w:pPr>
        <w:spacing w:after="0" w:line="240" w:lineRule="auto"/>
        <w:ind w:left="0" w:firstLine="0"/>
        <w:rPr>
          <w:lang w:val="de-DE"/>
        </w:rPr>
      </w:pPr>
    </w:p>
    <w:p w14:paraId="26A82CEC" w14:textId="77777777" w:rsidR="00261AC3" w:rsidRPr="0049187C" w:rsidRDefault="00B00716" w:rsidP="0049187C">
      <w:pPr>
        <w:spacing w:after="0" w:line="240" w:lineRule="auto"/>
        <w:ind w:left="0" w:firstLine="0"/>
        <w:rPr>
          <w:lang w:val="de-DE"/>
        </w:rPr>
      </w:pPr>
      <w:r w:rsidRPr="0049187C">
        <w:rPr>
          <w:b/>
          <w:lang w:val="de-DE"/>
        </w:rPr>
        <w:t>Sehr seltene Nebenwirkungen</w:t>
      </w:r>
      <w:r w:rsidRPr="0049187C">
        <w:rPr>
          <w:lang w:val="de-DE"/>
        </w:rPr>
        <w:t xml:space="preserve"> (kann bis zu 1 von 10</w:t>
      </w:r>
      <w:r w:rsidR="0057669E" w:rsidRPr="0049187C">
        <w:rPr>
          <w:lang w:val="de-DE"/>
        </w:rPr>
        <w:t> </w:t>
      </w:r>
      <w:r w:rsidRPr="0049187C">
        <w:rPr>
          <w:lang w:val="de-DE"/>
        </w:rPr>
        <w:t>000 Behandelten betreffen):</w:t>
      </w:r>
    </w:p>
    <w:p w14:paraId="1CD016CE" w14:textId="77777777" w:rsidR="00F83928" w:rsidRPr="0049187C" w:rsidRDefault="00F83928" w:rsidP="0049187C">
      <w:pPr>
        <w:spacing w:after="0" w:line="240" w:lineRule="auto"/>
        <w:ind w:left="0" w:firstLine="0"/>
        <w:rPr>
          <w:lang w:val="de-DE"/>
        </w:rPr>
      </w:pPr>
    </w:p>
    <w:p w14:paraId="760791BB" w14:textId="77777777" w:rsidR="00261AC3" w:rsidRPr="0049187C" w:rsidRDefault="00B00716" w:rsidP="0049187C">
      <w:pPr>
        <w:numPr>
          <w:ilvl w:val="0"/>
          <w:numId w:val="12"/>
        </w:numPr>
        <w:tabs>
          <w:tab w:val="left" w:pos="567"/>
        </w:tabs>
        <w:spacing w:after="0" w:line="240" w:lineRule="auto"/>
        <w:ind w:left="0" w:firstLine="0"/>
        <w:rPr>
          <w:lang w:val="de-DE"/>
        </w:rPr>
      </w:pPr>
      <w:r w:rsidRPr="0049187C">
        <w:rPr>
          <w:lang w:val="de-DE"/>
        </w:rPr>
        <w:t>allergische Reaktion, welche vorwiegend die Blutgefäße der Haut schädigen kann (z. B. violette oder rotbraune Flecken, Nesselsucht oder wunde Haut) (Hypersensitivitätsvaskulitis).</w:t>
      </w:r>
    </w:p>
    <w:p w14:paraId="1B6EBC48" w14:textId="77777777" w:rsidR="00F83928" w:rsidRPr="0049187C" w:rsidRDefault="00F83928" w:rsidP="0049187C">
      <w:pPr>
        <w:spacing w:after="0" w:line="240" w:lineRule="auto"/>
        <w:ind w:left="0" w:firstLine="0"/>
        <w:rPr>
          <w:lang w:val="de-DE"/>
        </w:rPr>
      </w:pPr>
    </w:p>
    <w:p w14:paraId="0239C7B0" w14:textId="77777777" w:rsidR="00261AC3" w:rsidRPr="0049187C" w:rsidRDefault="00B00716" w:rsidP="0049187C">
      <w:pPr>
        <w:spacing w:after="0" w:line="240" w:lineRule="auto"/>
        <w:ind w:left="0" w:firstLine="0"/>
        <w:rPr>
          <w:lang w:val="de-DE"/>
        </w:rPr>
      </w:pPr>
      <w:r w:rsidRPr="0049187C">
        <w:rPr>
          <w:b/>
          <w:lang w:val="de-DE"/>
        </w:rPr>
        <w:t>Nicht bekannt</w:t>
      </w:r>
      <w:r w:rsidRPr="0049187C">
        <w:rPr>
          <w:lang w:val="de-DE"/>
        </w:rPr>
        <w:t xml:space="preserve"> (Häufigkeit auf Grundlage der verfügbaren Daten nicht abschätzbar):</w:t>
      </w:r>
    </w:p>
    <w:p w14:paraId="7DAE60E2" w14:textId="77777777" w:rsidR="00F83928" w:rsidRPr="0049187C" w:rsidRDefault="00F83928" w:rsidP="0049187C">
      <w:pPr>
        <w:spacing w:after="0" w:line="240" w:lineRule="auto"/>
        <w:ind w:left="0" w:firstLine="0"/>
        <w:rPr>
          <w:lang w:val="de-DE"/>
        </w:rPr>
      </w:pPr>
    </w:p>
    <w:p w14:paraId="25C7B5EB" w14:textId="77777777" w:rsidR="00261AC3" w:rsidRPr="0049187C" w:rsidRDefault="00B00716" w:rsidP="0049187C">
      <w:pPr>
        <w:numPr>
          <w:ilvl w:val="0"/>
          <w:numId w:val="12"/>
        </w:numPr>
        <w:tabs>
          <w:tab w:val="left" w:pos="567"/>
        </w:tabs>
        <w:spacing w:after="0" w:line="240" w:lineRule="auto"/>
        <w:ind w:left="0" w:firstLine="0"/>
        <w:rPr>
          <w:lang w:val="de-DE"/>
        </w:rPr>
      </w:pPr>
      <w:r w:rsidRPr="0049187C">
        <w:rPr>
          <w:lang w:val="de-DE"/>
        </w:rPr>
        <w:t>Sprechen Sie mit Ihrem Arzt, wenn bei Ihnen Ohrenschmerzen, Ausfluss aus dem Ohr und/oder eine Ohrinfektion auftreten. Diese könnten Anzeichen für eine Schädigung der Knochen im Ohr sein.</w:t>
      </w:r>
    </w:p>
    <w:p w14:paraId="799AAD7E" w14:textId="77777777" w:rsidR="00F83928" w:rsidRPr="0049187C" w:rsidRDefault="00F83928" w:rsidP="0049187C">
      <w:pPr>
        <w:spacing w:after="0" w:line="240" w:lineRule="auto"/>
        <w:ind w:left="0" w:firstLine="0"/>
        <w:rPr>
          <w:lang w:val="de-DE"/>
        </w:rPr>
      </w:pPr>
    </w:p>
    <w:p w14:paraId="3DFEB2A9" w14:textId="77777777" w:rsidR="00261AC3" w:rsidRPr="0049187C" w:rsidRDefault="00B00716" w:rsidP="0049187C">
      <w:pPr>
        <w:keepNext/>
        <w:keepLines/>
        <w:spacing w:after="0" w:line="240" w:lineRule="auto"/>
        <w:ind w:left="0" w:firstLine="0"/>
        <w:rPr>
          <w:b/>
          <w:bCs/>
          <w:lang w:val="de-DE"/>
        </w:rPr>
      </w:pPr>
      <w:r w:rsidRPr="0049187C">
        <w:rPr>
          <w:b/>
          <w:bCs/>
          <w:lang w:val="de-DE"/>
        </w:rPr>
        <w:t>Meldung von Nebenwirkungen</w:t>
      </w:r>
    </w:p>
    <w:p w14:paraId="6F18C8D8" w14:textId="77777777" w:rsidR="00F83928" w:rsidRPr="0049187C" w:rsidRDefault="00F83928" w:rsidP="0049187C">
      <w:pPr>
        <w:spacing w:after="0" w:line="240" w:lineRule="auto"/>
        <w:ind w:left="0" w:firstLine="0"/>
        <w:rPr>
          <w:lang w:val="de-DE"/>
        </w:rPr>
      </w:pPr>
    </w:p>
    <w:p w14:paraId="24DE034D" w14:textId="77777777" w:rsidR="00261AC3" w:rsidRPr="0049187C" w:rsidRDefault="00B00716" w:rsidP="0049187C">
      <w:pPr>
        <w:spacing w:after="0" w:line="240" w:lineRule="auto"/>
        <w:ind w:left="0" w:firstLine="0"/>
        <w:rPr>
          <w:lang w:val="de-DE"/>
        </w:rPr>
      </w:pPr>
      <w:r w:rsidRPr="0049187C">
        <w:rPr>
          <w:lang w:val="de-DE"/>
        </w:rPr>
        <w:t>Wenn Sie Nebenwirkungen bemerken, wenden Sie sich an Ihren Arzt oder Apotheker. Dies gilt auch für Nebenwirkungen, die nicht in dieser Packungsbeilage angegeben sind. Sie können</w:t>
      </w:r>
    </w:p>
    <w:p w14:paraId="74316C1F" w14:textId="77777777" w:rsidR="00261AC3" w:rsidRPr="0049187C" w:rsidRDefault="00B00716" w:rsidP="0049187C">
      <w:pPr>
        <w:spacing w:after="0" w:line="240" w:lineRule="auto"/>
        <w:ind w:left="0" w:firstLine="0"/>
        <w:rPr>
          <w:lang w:val="de-DE"/>
        </w:rPr>
      </w:pPr>
      <w:r w:rsidRPr="0049187C">
        <w:rPr>
          <w:lang w:val="de-DE"/>
        </w:rPr>
        <w:t xml:space="preserve">Nebenwirkungen auch direkt über </w:t>
      </w:r>
      <w:r w:rsidRPr="0049187C">
        <w:rPr>
          <w:shd w:val="clear" w:color="auto" w:fill="C0C0C0"/>
          <w:lang w:val="de-DE"/>
        </w:rPr>
        <w:t xml:space="preserve">das in </w:t>
      </w:r>
      <w:hyperlink r:id="rId17" w:history="1">
        <w:r w:rsidRPr="0049187C">
          <w:rPr>
            <w:color w:val="0000FF"/>
            <w:u w:val="single" w:color="0000FF"/>
            <w:shd w:val="clear" w:color="auto" w:fill="C0C0C0"/>
            <w:lang w:val="de-DE"/>
          </w:rPr>
          <w:t>Anhang V</w:t>
        </w:r>
      </w:hyperlink>
      <w:hyperlink r:id="rId18" w:history="1">
        <w:r w:rsidRPr="0049187C">
          <w:rPr>
            <w:shd w:val="clear" w:color="auto" w:fill="C0C0C0"/>
            <w:lang w:val="de-DE"/>
          </w:rPr>
          <w:t xml:space="preserve"> </w:t>
        </w:r>
      </w:hyperlink>
      <w:r w:rsidRPr="0049187C">
        <w:rPr>
          <w:shd w:val="clear" w:color="auto" w:fill="C0C0C0"/>
          <w:lang w:val="de-DE"/>
        </w:rPr>
        <w:t>aufgeführte nationale Meldesystem</w:t>
      </w:r>
      <w:r w:rsidRPr="0049187C">
        <w:rPr>
          <w:lang w:val="de-DE"/>
        </w:rPr>
        <w:t xml:space="preserve"> anzeigen. Indem Sie Nebenwirkungen melden, können Sie dazu beitragen, dass mehr Informationen über die Sicherheit dieses Arzneimittels zur Verfügung gestellt werden.</w:t>
      </w:r>
    </w:p>
    <w:p w14:paraId="270DE896" w14:textId="77777777" w:rsidR="00261AC3" w:rsidRPr="0049187C" w:rsidRDefault="00261AC3" w:rsidP="0049187C">
      <w:pPr>
        <w:spacing w:after="0" w:line="240" w:lineRule="auto"/>
        <w:ind w:left="0" w:firstLine="0"/>
        <w:rPr>
          <w:lang w:val="de-DE"/>
        </w:rPr>
      </w:pPr>
    </w:p>
    <w:p w14:paraId="5BA077C4" w14:textId="77777777" w:rsidR="00F83928" w:rsidRPr="0049187C" w:rsidRDefault="00F83928" w:rsidP="0049187C">
      <w:pPr>
        <w:spacing w:after="0" w:line="240" w:lineRule="auto"/>
        <w:ind w:left="0" w:firstLine="0"/>
        <w:rPr>
          <w:lang w:val="de-DE"/>
        </w:rPr>
      </w:pPr>
    </w:p>
    <w:p w14:paraId="361F79AA" w14:textId="77777777" w:rsidR="00261AC3" w:rsidRPr="0049187C" w:rsidRDefault="00B00716" w:rsidP="0049187C">
      <w:pPr>
        <w:keepNext/>
        <w:keepLines/>
        <w:tabs>
          <w:tab w:val="left" w:pos="567"/>
        </w:tabs>
        <w:spacing w:after="0" w:line="240" w:lineRule="auto"/>
        <w:ind w:left="0" w:firstLine="0"/>
        <w:rPr>
          <w:lang w:val="de-DE"/>
        </w:rPr>
      </w:pPr>
      <w:r w:rsidRPr="0049187C">
        <w:rPr>
          <w:b/>
          <w:lang w:val="de-DE"/>
        </w:rPr>
        <w:t>5.</w:t>
      </w:r>
      <w:r w:rsidRPr="0049187C">
        <w:rPr>
          <w:b/>
          <w:lang w:val="de-DE"/>
        </w:rPr>
        <w:tab/>
        <w:t xml:space="preserve">Wie ist </w:t>
      </w:r>
      <w:r w:rsidR="007C7293" w:rsidRPr="0049187C">
        <w:rPr>
          <w:b/>
          <w:lang w:val="de-DE"/>
        </w:rPr>
        <w:t>Jubbonti</w:t>
      </w:r>
      <w:r w:rsidRPr="0049187C">
        <w:rPr>
          <w:b/>
          <w:lang w:val="de-DE"/>
        </w:rPr>
        <w:t xml:space="preserve"> aufzubewahren?</w:t>
      </w:r>
    </w:p>
    <w:p w14:paraId="708B31F7" w14:textId="77777777" w:rsidR="00F83928" w:rsidRPr="0049187C" w:rsidRDefault="00F83928" w:rsidP="0049187C">
      <w:pPr>
        <w:keepNext/>
        <w:keepLines/>
        <w:spacing w:after="0" w:line="240" w:lineRule="auto"/>
        <w:ind w:left="0" w:firstLine="0"/>
        <w:rPr>
          <w:lang w:val="de-DE"/>
        </w:rPr>
      </w:pPr>
    </w:p>
    <w:p w14:paraId="2708CE50" w14:textId="77777777" w:rsidR="00261AC3" w:rsidRPr="0049187C" w:rsidRDefault="00B00716" w:rsidP="0049187C">
      <w:pPr>
        <w:spacing w:after="0" w:line="240" w:lineRule="auto"/>
        <w:ind w:left="0" w:firstLine="0"/>
        <w:rPr>
          <w:lang w:val="de-DE"/>
        </w:rPr>
      </w:pPr>
      <w:r w:rsidRPr="0049187C">
        <w:rPr>
          <w:lang w:val="de-DE"/>
        </w:rPr>
        <w:t>Bewahren Sie dieses Arzneimittel für Kinder unzugänglich auf.</w:t>
      </w:r>
    </w:p>
    <w:p w14:paraId="17DF9706" w14:textId="77777777" w:rsidR="00F83928" w:rsidRPr="0049187C" w:rsidRDefault="00F83928" w:rsidP="0049187C">
      <w:pPr>
        <w:spacing w:after="0" w:line="240" w:lineRule="auto"/>
        <w:ind w:left="0" w:firstLine="0"/>
        <w:rPr>
          <w:lang w:val="de-DE"/>
        </w:rPr>
      </w:pPr>
    </w:p>
    <w:p w14:paraId="77B1915A" w14:textId="77777777" w:rsidR="00261AC3" w:rsidRPr="0049187C" w:rsidRDefault="00B00716" w:rsidP="0049187C">
      <w:pPr>
        <w:spacing w:after="0" w:line="240" w:lineRule="auto"/>
        <w:ind w:left="0" w:firstLine="0"/>
        <w:rPr>
          <w:lang w:val="de-DE"/>
        </w:rPr>
      </w:pPr>
      <w:r w:rsidRPr="0049187C">
        <w:rPr>
          <w:lang w:val="de-DE"/>
        </w:rPr>
        <w:t>Sie dürfen das Arzneimittel nach dem auf dem Etikett und dem Umkarton nach „EXP“ bzw. „verwendbar bis“ angegebenen Verfalldatum nicht mehr verwenden. Das Verfalldatum bezieht sich auf den letzten Tag des angegebenen Monats.</w:t>
      </w:r>
    </w:p>
    <w:p w14:paraId="7222112B" w14:textId="77777777" w:rsidR="00F83928" w:rsidRPr="0049187C" w:rsidRDefault="00F83928" w:rsidP="0049187C">
      <w:pPr>
        <w:spacing w:after="0" w:line="240" w:lineRule="auto"/>
        <w:ind w:left="0" w:firstLine="0"/>
        <w:rPr>
          <w:lang w:val="de-DE"/>
        </w:rPr>
      </w:pPr>
    </w:p>
    <w:p w14:paraId="1FF998FB" w14:textId="77777777" w:rsidR="00261AC3" w:rsidRPr="0049187C" w:rsidRDefault="00B00716" w:rsidP="0049187C">
      <w:pPr>
        <w:spacing w:after="0" w:line="240" w:lineRule="auto"/>
        <w:ind w:left="0" w:firstLine="0"/>
        <w:rPr>
          <w:lang w:val="de-DE"/>
        </w:rPr>
      </w:pPr>
      <w:r w:rsidRPr="0049187C">
        <w:rPr>
          <w:lang w:val="de-DE"/>
        </w:rPr>
        <w:t>Im Kühlschrank lagern (2 °C – 8 °C).</w:t>
      </w:r>
    </w:p>
    <w:p w14:paraId="456EA07D" w14:textId="77777777" w:rsidR="00261AC3" w:rsidRPr="0049187C" w:rsidRDefault="00B00716" w:rsidP="0049187C">
      <w:pPr>
        <w:spacing w:after="0" w:line="240" w:lineRule="auto"/>
        <w:ind w:left="0" w:firstLine="0"/>
        <w:rPr>
          <w:lang w:val="de-DE"/>
        </w:rPr>
      </w:pPr>
      <w:r w:rsidRPr="0049187C">
        <w:rPr>
          <w:lang w:val="de-DE"/>
        </w:rPr>
        <w:t>Nicht einfrieren.</w:t>
      </w:r>
    </w:p>
    <w:p w14:paraId="400FA3F1" w14:textId="77777777" w:rsidR="00261AC3" w:rsidRPr="0049187C" w:rsidRDefault="005A79CF" w:rsidP="0049187C">
      <w:pPr>
        <w:spacing w:after="0" w:line="240" w:lineRule="auto"/>
        <w:ind w:left="0" w:firstLine="0"/>
        <w:rPr>
          <w:lang w:val="de-DE"/>
        </w:rPr>
      </w:pPr>
      <w:r w:rsidRPr="0049187C">
        <w:rPr>
          <w:lang w:val="de-DE"/>
        </w:rPr>
        <w:t>Die Fertigspritze</w:t>
      </w:r>
      <w:r w:rsidR="00B00716" w:rsidRPr="0049187C">
        <w:rPr>
          <w:lang w:val="de-DE"/>
        </w:rPr>
        <w:t xml:space="preserve"> im Umkarton aufbewahren, um den Inhalt vor Licht zu schützen.</w:t>
      </w:r>
    </w:p>
    <w:p w14:paraId="331127CC" w14:textId="77777777" w:rsidR="00F83928" w:rsidRPr="0049187C" w:rsidRDefault="00F83928" w:rsidP="0049187C">
      <w:pPr>
        <w:spacing w:after="0" w:line="240" w:lineRule="auto"/>
        <w:ind w:left="0" w:firstLine="0"/>
        <w:rPr>
          <w:lang w:val="de-DE"/>
        </w:rPr>
      </w:pPr>
    </w:p>
    <w:p w14:paraId="34308F62" w14:textId="77777777" w:rsidR="00261AC3" w:rsidRPr="0049187C" w:rsidRDefault="00B00716" w:rsidP="0049187C">
      <w:pPr>
        <w:spacing w:after="0" w:line="240" w:lineRule="auto"/>
        <w:ind w:left="0" w:firstLine="0"/>
        <w:rPr>
          <w:lang w:val="de-DE"/>
        </w:rPr>
      </w:pPr>
      <w:r w:rsidRPr="0049187C">
        <w:rPr>
          <w:lang w:val="de-DE"/>
        </w:rPr>
        <w:t>Die Fertigspritze darf vor der Injektion außerhalb des Kühlschranks gelagert werden, damit sie Raumtemperatur (bis zu 25 °C) erreicht. Dies macht die Injektion angenehmer. Wenn Ihre Spritze einmal Raumtemperatur (bis zu 25 °C) erreicht hat, muss sie innerhalb von 30 Tagen verwendet werden.</w:t>
      </w:r>
      <w:r w:rsidR="007C7293" w:rsidRPr="0049187C">
        <w:rPr>
          <w:lang w:val="de-DE"/>
        </w:rPr>
        <w:t xml:space="preserve"> Einzelheiten finden Sie in Abschnitt 7 „Gebrauchsan</w:t>
      </w:r>
      <w:r w:rsidR="00370970" w:rsidRPr="0049187C">
        <w:rPr>
          <w:lang w:val="de-DE"/>
        </w:rPr>
        <w:t>weisung</w:t>
      </w:r>
      <w:r w:rsidR="007C7293" w:rsidRPr="0049187C">
        <w:rPr>
          <w:lang w:val="de-DE"/>
        </w:rPr>
        <w:t>“ am Ende dieser Packungsbeilage.</w:t>
      </w:r>
    </w:p>
    <w:p w14:paraId="45F96703" w14:textId="77777777" w:rsidR="00F83928" w:rsidRPr="0049187C" w:rsidRDefault="00F83928" w:rsidP="0049187C">
      <w:pPr>
        <w:spacing w:after="0" w:line="240" w:lineRule="auto"/>
        <w:ind w:left="0" w:firstLine="0"/>
        <w:rPr>
          <w:lang w:val="de-DE"/>
        </w:rPr>
      </w:pPr>
    </w:p>
    <w:p w14:paraId="0BF1B1B7" w14:textId="77777777" w:rsidR="00261AC3" w:rsidRPr="0049187C" w:rsidRDefault="00B00716" w:rsidP="0049187C">
      <w:pPr>
        <w:spacing w:after="0" w:line="240" w:lineRule="auto"/>
        <w:ind w:left="0" w:firstLine="0"/>
        <w:rPr>
          <w:lang w:val="de-DE"/>
        </w:rPr>
      </w:pPr>
      <w:r w:rsidRPr="0049187C">
        <w:rPr>
          <w:lang w:val="de-DE"/>
        </w:rPr>
        <w:t>Entsorgen Sie Arzneimittel nicht im Abwasser oder Haushaltsabfall. Fragen Sie Ihren Apotheker, wie das Arzneimittel zu entsorgen ist, wenn Sie es nicht mehr verwenden. Sie tragen damit zum Schutz der Umwelt bei.</w:t>
      </w:r>
    </w:p>
    <w:p w14:paraId="523B61DE" w14:textId="77777777" w:rsidR="00261AC3" w:rsidRPr="0049187C" w:rsidRDefault="00261AC3" w:rsidP="0049187C">
      <w:pPr>
        <w:spacing w:after="0" w:line="240" w:lineRule="auto"/>
        <w:ind w:left="0" w:firstLine="0"/>
        <w:rPr>
          <w:lang w:val="de-DE"/>
        </w:rPr>
      </w:pPr>
    </w:p>
    <w:p w14:paraId="4B2657D1" w14:textId="77777777" w:rsidR="00F83928" w:rsidRPr="0049187C" w:rsidRDefault="00F83928" w:rsidP="0049187C">
      <w:pPr>
        <w:spacing w:after="0" w:line="240" w:lineRule="auto"/>
        <w:ind w:left="0" w:firstLine="0"/>
        <w:rPr>
          <w:lang w:val="de-DE"/>
        </w:rPr>
      </w:pPr>
    </w:p>
    <w:p w14:paraId="1903C26C" w14:textId="77777777" w:rsidR="00261AC3" w:rsidRPr="0049187C" w:rsidRDefault="00B00716" w:rsidP="0049187C">
      <w:pPr>
        <w:keepNext/>
        <w:keepLines/>
        <w:tabs>
          <w:tab w:val="left" w:pos="567"/>
        </w:tabs>
        <w:spacing w:after="0" w:line="240" w:lineRule="auto"/>
        <w:ind w:left="0" w:firstLine="0"/>
        <w:rPr>
          <w:lang w:val="de-DE"/>
        </w:rPr>
      </w:pPr>
      <w:r w:rsidRPr="0049187C">
        <w:rPr>
          <w:b/>
          <w:lang w:val="de-DE"/>
        </w:rPr>
        <w:t>6.</w:t>
      </w:r>
      <w:r w:rsidRPr="0049187C">
        <w:rPr>
          <w:b/>
          <w:lang w:val="de-DE"/>
        </w:rPr>
        <w:tab/>
        <w:t>Inhalt der Packung und weitere Informationen</w:t>
      </w:r>
    </w:p>
    <w:p w14:paraId="40466660" w14:textId="77777777" w:rsidR="00F83928" w:rsidRPr="0049187C" w:rsidRDefault="00F83928" w:rsidP="0049187C">
      <w:pPr>
        <w:keepNext/>
        <w:keepLines/>
        <w:spacing w:after="0" w:line="240" w:lineRule="auto"/>
        <w:ind w:left="0" w:firstLine="0"/>
        <w:rPr>
          <w:lang w:val="de-DE"/>
        </w:rPr>
      </w:pPr>
    </w:p>
    <w:p w14:paraId="67D2531B" w14:textId="77777777" w:rsidR="00261AC3" w:rsidRPr="0049187C" w:rsidRDefault="00B00716" w:rsidP="0049187C">
      <w:pPr>
        <w:keepNext/>
        <w:keepLines/>
        <w:spacing w:after="0" w:line="240" w:lineRule="auto"/>
        <w:ind w:left="0" w:firstLine="0"/>
        <w:rPr>
          <w:b/>
          <w:bCs/>
          <w:lang w:val="de-DE"/>
        </w:rPr>
      </w:pPr>
      <w:r w:rsidRPr="0049187C">
        <w:rPr>
          <w:b/>
          <w:bCs/>
          <w:lang w:val="de-DE"/>
        </w:rPr>
        <w:t xml:space="preserve">Was </w:t>
      </w:r>
      <w:r w:rsidR="007C7293" w:rsidRPr="0049187C">
        <w:rPr>
          <w:b/>
          <w:bCs/>
          <w:lang w:val="de-DE"/>
        </w:rPr>
        <w:t>Jubbonti</w:t>
      </w:r>
      <w:r w:rsidRPr="0049187C">
        <w:rPr>
          <w:b/>
          <w:bCs/>
          <w:lang w:val="de-DE"/>
        </w:rPr>
        <w:t xml:space="preserve"> enthält</w:t>
      </w:r>
    </w:p>
    <w:p w14:paraId="0ACB11AC" w14:textId="77777777" w:rsidR="00F83928" w:rsidRPr="0049187C" w:rsidRDefault="00F83928" w:rsidP="0049187C">
      <w:pPr>
        <w:spacing w:after="0" w:line="240" w:lineRule="auto"/>
        <w:ind w:left="0" w:firstLine="0"/>
        <w:rPr>
          <w:lang w:val="de-DE"/>
        </w:rPr>
      </w:pPr>
    </w:p>
    <w:p w14:paraId="2B71A550" w14:textId="77777777" w:rsidR="00261AC3" w:rsidRPr="0049187C" w:rsidRDefault="00B00716" w:rsidP="0049187C">
      <w:pPr>
        <w:numPr>
          <w:ilvl w:val="0"/>
          <w:numId w:val="13"/>
        </w:numPr>
        <w:tabs>
          <w:tab w:val="left" w:pos="567"/>
        </w:tabs>
        <w:spacing w:after="0" w:line="240" w:lineRule="auto"/>
        <w:ind w:left="0" w:firstLine="0"/>
        <w:rPr>
          <w:lang w:val="de-DE"/>
        </w:rPr>
      </w:pPr>
      <w:r w:rsidRPr="0049187C">
        <w:rPr>
          <w:lang w:val="de-DE"/>
        </w:rPr>
        <w:t>Der Wirkstoff ist Denosumab. Jede 1 ml</w:t>
      </w:r>
      <w:r w:rsidRPr="0049187C">
        <w:rPr>
          <w:lang w:val="de-DE"/>
        </w:rPr>
        <w:noBreakHyphen/>
        <w:t>Fertigspritze</w:t>
      </w:r>
      <w:r w:rsidR="007C7293" w:rsidRPr="0049187C">
        <w:rPr>
          <w:lang w:val="de-DE"/>
        </w:rPr>
        <w:t xml:space="preserve"> mit Schutz</w:t>
      </w:r>
      <w:r w:rsidR="0057669E" w:rsidRPr="0049187C">
        <w:rPr>
          <w:lang w:val="de-DE"/>
        </w:rPr>
        <w:t>vorrichtung</w:t>
      </w:r>
      <w:r w:rsidRPr="0049187C">
        <w:rPr>
          <w:lang w:val="de-DE"/>
        </w:rPr>
        <w:t xml:space="preserve"> enthält 60 mg Denosumab (60 mg/ml).</w:t>
      </w:r>
    </w:p>
    <w:p w14:paraId="41DFBFE2" w14:textId="77777777" w:rsidR="00261AC3" w:rsidRPr="0049187C" w:rsidRDefault="00B00716" w:rsidP="0049187C">
      <w:pPr>
        <w:numPr>
          <w:ilvl w:val="0"/>
          <w:numId w:val="13"/>
        </w:numPr>
        <w:tabs>
          <w:tab w:val="left" w:pos="567"/>
        </w:tabs>
        <w:spacing w:after="0" w:line="240" w:lineRule="auto"/>
        <w:ind w:left="0" w:firstLine="0"/>
        <w:rPr>
          <w:lang w:val="de-DE"/>
        </w:rPr>
      </w:pPr>
      <w:r w:rsidRPr="0049187C">
        <w:rPr>
          <w:lang w:val="de-DE"/>
        </w:rPr>
        <w:t>Die sonstigen Bestandteile sind Essigsäure 99 %, Sorbitol (E 420), Polysorbat 20</w:t>
      </w:r>
      <w:r w:rsidR="007C7293" w:rsidRPr="0049187C">
        <w:rPr>
          <w:lang w:val="de-DE"/>
        </w:rPr>
        <w:t>, Natriumhydroxid, Salzsäure</w:t>
      </w:r>
      <w:r w:rsidRPr="0049187C">
        <w:rPr>
          <w:lang w:val="de-DE"/>
        </w:rPr>
        <w:t> und Wasser für Injektionszwecke.</w:t>
      </w:r>
    </w:p>
    <w:p w14:paraId="3FD1286E" w14:textId="77777777" w:rsidR="00F83928" w:rsidRPr="0049187C" w:rsidRDefault="00F83928" w:rsidP="0049187C">
      <w:pPr>
        <w:spacing w:after="0" w:line="240" w:lineRule="auto"/>
        <w:ind w:left="0" w:firstLine="0"/>
        <w:rPr>
          <w:lang w:val="de-DE"/>
        </w:rPr>
      </w:pPr>
    </w:p>
    <w:p w14:paraId="5608C9F1" w14:textId="77777777" w:rsidR="00261AC3" w:rsidRPr="0049187C" w:rsidRDefault="00B00716" w:rsidP="0049187C">
      <w:pPr>
        <w:keepNext/>
        <w:keepLines/>
        <w:spacing w:after="0" w:line="240" w:lineRule="auto"/>
        <w:ind w:left="0" w:firstLine="0"/>
        <w:rPr>
          <w:b/>
          <w:bCs/>
          <w:lang w:val="de-DE"/>
        </w:rPr>
      </w:pPr>
      <w:r w:rsidRPr="0049187C">
        <w:rPr>
          <w:b/>
          <w:bCs/>
          <w:lang w:val="de-DE"/>
        </w:rPr>
        <w:t xml:space="preserve">Wie </w:t>
      </w:r>
      <w:r w:rsidR="007C7293" w:rsidRPr="0049187C">
        <w:rPr>
          <w:b/>
          <w:bCs/>
          <w:lang w:val="de-DE"/>
        </w:rPr>
        <w:t>Jubbonti</w:t>
      </w:r>
      <w:r w:rsidRPr="0049187C">
        <w:rPr>
          <w:b/>
          <w:bCs/>
          <w:lang w:val="de-DE"/>
        </w:rPr>
        <w:t xml:space="preserve"> aussieht und Inhalt der Packung</w:t>
      </w:r>
    </w:p>
    <w:p w14:paraId="2A38156B" w14:textId="77777777" w:rsidR="00F83928" w:rsidRPr="0049187C" w:rsidRDefault="00F83928" w:rsidP="0049187C">
      <w:pPr>
        <w:spacing w:after="0" w:line="240" w:lineRule="auto"/>
        <w:ind w:left="0" w:firstLine="0"/>
        <w:rPr>
          <w:lang w:val="de-DE"/>
        </w:rPr>
      </w:pPr>
    </w:p>
    <w:p w14:paraId="449A6ECE" w14:textId="77777777" w:rsidR="00261AC3" w:rsidRPr="0049187C" w:rsidRDefault="00B00716" w:rsidP="0049187C">
      <w:pPr>
        <w:spacing w:after="0" w:line="240" w:lineRule="auto"/>
        <w:ind w:left="0" w:firstLine="0"/>
        <w:rPr>
          <w:lang w:val="de-DE"/>
        </w:rPr>
      </w:pPr>
      <w:r w:rsidRPr="0049187C">
        <w:rPr>
          <w:lang w:val="de-DE"/>
        </w:rPr>
        <w:t xml:space="preserve">Jubbonti </w:t>
      </w:r>
      <w:r w:rsidR="00FD7DFF" w:rsidRPr="0049187C">
        <w:rPr>
          <w:lang w:val="de-DE"/>
        </w:rPr>
        <w:t>ist eine klare</w:t>
      </w:r>
      <w:r w:rsidR="007C7293" w:rsidRPr="0049187C">
        <w:rPr>
          <w:lang w:val="de-DE"/>
        </w:rPr>
        <w:t xml:space="preserve"> bis leicht opaleszente</w:t>
      </w:r>
      <w:r w:rsidR="00FD7DFF" w:rsidRPr="0049187C">
        <w:rPr>
          <w:lang w:val="de-DE"/>
        </w:rPr>
        <w:t xml:space="preserve">, farblose bis leicht gelbliche </w:t>
      </w:r>
      <w:r w:rsidR="007C7293" w:rsidRPr="0049187C">
        <w:rPr>
          <w:lang w:val="de-DE"/>
        </w:rPr>
        <w:t xml:space="preserve">oder leicht bräunliche </w:t>
      </w:r>
      <w:r w:rsidR="00FD7DFF" w:rsidRPr="0049187C">
        <w:rPr>
          <w:lang w:val="de-DE"/>
        </w:rPr>
        <w:t>Injektionslösung</w:t>
      </w:r>
      <w:r w:rsidR="007C7293" w:rsidRPr="0049187C">
        <w:rPr>
          <w:lang w:val="de-DE"/>
        </w:rPr>
        <w:t>. Jubbonti wird</w:t>
      </w:r>
      <w:r w:rsidR="00FD7DFF" w:rsidRPr="0049187C">
        <w:rPr>
          <w:lang w:val="de-DE"/>
        </w:rPr>
        <w:t xml:space="preserve"> in einer gebrauchsfertigen Fertigspritze</w:t>
      </w:r>
      <w:r w:rsidR="007C7293" w:rsidRPr="0049187C">
        <w:rPr>
          <w:lang w:val="de-DE"/>
        </w:rPr>
        <w:t xml:space="preserve"> </w:t>
      </w:r>
      <w:r w:rsidR="007F1696" w:rsidRPr="0049187C">
        <w:rPr>
          <w:lang w:val="de-DE"/>
        </w:rPr>
        <w:t>aus Glas Typ I mit 29 Gauge</w:t>
      </w:r>
      <w:r w:rsidR="007F1696" w:rsidRPr="0049187C">
        <w:rPr>
          <w:lang w:val="de-DE"/>
        </w:rPr>
        <w:noBreakHyphen/>
        <w:t xml:space="preserve">Injektionsnadel, hergestellt aus rostfreiem Stahl, mit </w:t>
      </w:r>
      <w:r w:rsidR="00D60FC2" w:rsidRPr="0049187C">
        <w:rPr>
          <w:lang w:val="de-DE"/>
        </w:rPr>
        <w:t>Schutzvorrichtung</w:t>
      </w:r>
      <w:r w:rsidR="007F1696" w:rsidRPr="0049187C">
        <w:rPr>
          <w:lang w:val="de-DE"/>
        </w:rPr>
        <w:t>, einer Nadelkappe aus Gummi (thermoplastisches Elastomer) einem Kolbenstopfen aus Gummi (Bromobutyl-Kautschuk) und einem Kolben aus Kunststoff geliefert</w:t>
      </w:r>
      <w:r w:rsidR="00FD7DFF" w:rsidRPr="0049187C">
        <w:rPr>
          <w:lang w:val="de-DE"/>
        </w:rPr>
        <w:t>.</w:t>
      </w:r>
    </w:p>
    <w:p w14:paraId="7399B2DE" w14:textId="77777777" w:rsidR="007C7293" w:rsidRPr="0049187C" w:rsidRDefault="007C7293" w:rsidP="0049187C">
      <w:pPr>
        <w:spacing w:after="0" w:line="240" w:lineRule="auto"/>
        <w:ind w:left="0" w:firstLine="0"/>
        <w:rPr>
          <w:lang w:val="de-DE"/>
        </w:rPr>
      </w:pPr>
    </w:p>
    <w:p w14:paraId="6A6FED46" w14:textId="77777777" w:rsidR="00252F44" w:rsidRPr="0049187C" w:rsidRDefault="00B00716" w:rsidP="0049187C">
      <w:pPr>
        <w:spacing w:after="0" w:line="240" w:lineRule="auto"/>
        <w:ind w:left="0" w:firstLine="0"/>
        <w:rPr>
          <w:lang w:val="de-DE"/>
        </w:rPr>
      </w:pPr>
      <w:r w:rsidRPr="0049187C">
        <w:rPr>
          <w:lang w:val="de-DE"/>
        </w:rPr>
        <w:t xml:space="preserve">Jede Packung enthält eine Fertigspritze mit </w:t>
      </w:r>
      <w:r w:rsidR="007F1696" w:rsidRPr="0049187C">
        <w:rPr>
          <w:lang w:val="de-DE"/>
        </w:rPr>
        <w:t>S</w:t>
      </w:r>
      <w:r w:rsidRPr="0049187C">
        <w:rPr>
          <w:lang w:val="de-DE"/>
        </w:rPr>
        <w:t>chutz</w:t>
      </w:r>
      <w:r w:rsidR="00C03080" w:rsidRPr="0049187C">
        <w:rPr>
          <w:lang w:val="de-DE"/>
        </w:rPr>
        <w:t>vorrichtung</w:t>
      </w:r>
      <w:r w:rsidRPr="0049187C">
        <w:rPr>
          <w:lang w:val="de-DE"/>
        </w:rPr>
        <w:t>.</w:t>
      </w:r>
    </w:p>
    <w:p w14:paraId="62EE95BB" w14:textId="77777777" w:rsidR="00F83928" w:rsidRPr="0049187C" w:rsidRDefault="00F83928" w:rsidP="0049187C">
      <w:pPr>
        <w:spacing w:after="0" w:line="240" w:lineRule="auto"/>
        <w:ind w:left="0" w:firstLine="0"/>
        <w:rPr>
          <w:lang w:val="de-DE"/>
        </w:rPr>
      </w:pPr>
    </w:p>
    <w:p w14:paraId="75F31813" w14:textId="77777777" w:rsidR="00FB550C" w:rsidRPr="0049187C" w:rsidRDefault="00B00716" w:rsidP="0049187C">
      <w:pPr>
        <w:keepNext/>
        <w:keepLines/>
        <w:spacing w:after="0" w:line="240" w:lineRule="auto"/>
        <w:ind w:left="0" w:firstLine="0"/>
        <w:rPr>
          <w:b/>
          <w:bCs/>
          <w:lang w:val="de-DE"/>
        </w:rPr>
      </w:pPr>
      <w:r w:rsidRPr="0049187C">
        <w:rPr>
          <w:b/>
          <w:bCs/>
          <w:lang w:val="de-DE"/>
        </w:rPr>
        <w:t>Pharmazeutischer Unternehmer</w:t>
      </w:r>
      <w:r w:rsidR="00370970" w:rsidRPr="0049187C">
        <w:rPr>
          <w:b/>
          <w:bCs/>
          <w:lang w:val="de-DE"/>
        </w:rPr>
        <w:t>:</w:t>
      </w:r>
    </w:p>
    <w:p w14:paraId="09EF7563" w14:textId="77777777" w:rsidR="007F1696" w:rsidRPr="0049187C" w:rsidRDefault="00B00716" w:rsidP="0049187C">
      <w:pPr>
        <w:numPr>
          <w:ilvl w:val="12"/>
          <w:numId w:val="0"/>
        </w:numPr>
        <w:spacing w:after="0" w:line="240" w:lineRule="auto"/>
        <w:rPr>
          <w:noProof/>
          <w:lang w:val="de-DE"/>
        </w:rPr>
      </w:pPr>
      <w:r w:rsidRPr="0049187C">
        <w:rPr>
          <w:noProof/>
          <w:lang w:val="de-DE"/>
        </w:rPr>
        <w:t>Sandoz GmbH</w:t>
      </w:r>
    </w:p>
    <w:p w14:paraId="4276FA68" w14:textId="77777777" w:rsidR="007F1696" w:rsidRPr="0049187C" w:rsidRDefault="00B00716" w:rsidP="0049187C">
      <w:pPr>
        <w:numPr>
          <w:ilvl w:val="12"/>
          <w:numId w:val="0"/>
        </w:numPr>
        <w:spacing w:after="0" w:line="240" w:lineRule="auto"/>
        <w:rPr>
          <w:noProof/>
          <w:lang w:val="de-DE"/>
        </w:rPr>
      </w:pPr>
      <w:r w:rsidRPr="0049187C">
        <w:rPr>
          <w:noProof/>
          <w:lang w:val="de-DE"/>
        </w:rPr>
        <w:t>Biochemiestr. 10</w:t>
      </w:r>
    </w:p>
    <w:p w14:paraId="69713E65" w14:textId="77777777" w:rsidR="007F1696" w:rsidRPr="0049187C" w:rsidRDefault="00B00716" w:rsidP="0049187C">
      <w:pPr>
        <w:numPr>
          <w:ilvl w:val="12"/>
          <w:numId w:val="0"/>
        </w:numPr>
        <w:spacing w:after="0" w:line="240" w:lineRule="auto"/>
        <w:rPr>
          <w:noProof/>
          <w:lang w:val="de-DE"/>
        </w:rPr>
      </w:pPr>
      <w:r w:rsidRPr="0049187C">
        <w:rPr>
          <w:noProof/>
          <w:lang w:val="de-DE"/>
        </w:rPr>
        <w:t>6250 Kundl</w:t>
      </w:r>
    </w:p>
    <w:p w14:paraId="3873A7FF" w14:textId="77777777" w:rsidR="00F83928" w:rsidRPr="0049187C" w:rsidRDefault="00B00716" w:rsidP="0049187C">
      <w:pPr>
        <w:spacing w:after="0" w:line="240" w:lineRule="auto"/>
        <w:ind w:left="0" w:firstLine="0"/>
        <w:rPr>
          <w:lang w:val="de-DE"/>
        </w:rPr>
      </w:pPr>
      <w:r w:rsidRPr="0049187C">
        <w:rPr>
          <w:lang w:val="de-DE"/>
        </w:rPr>
        <w:t>Österreich</w:t>
      </w:r>
    </w:p>
    <w:p w14:paraId="4800AC6A" w14:textId="77777777" w:rsidR="00E82949" w:rsidRPr="0049187C" w:rsidRDefault="00E82949" w:rsidP="0049187C">
      <w:pPr>
        <w:spacing w:after="0" w:line="240" w:lineRule="auto"/>
        <w:ind w:left="0" w:firstLine="0"/>
        <w:rPr>
          <w:lang w:val="de-DE"/>
        </w:rPr>
      </w:pPr>
    </w:p>
    <w:p w14:paraId="5CE342FC" w14:textId="77777777" w:rsidR="00E82949" w:rsidRPr="0049187C" w:rsidRDefault="00B00716" w:rsidP="0049187C">
      <w:pPr>
        <w:pStyle w:val="Default"/>
        <w:rPr>
          <w:sz w:val="22"/>
          <w:szCs w:val="22"/>
          <w:lang w:val="de-DE"/>
        </w:rPr>
      </w:pPr>
      <w:r w:rsidRPr="0049187C">
        <w:rPr>
          <w:b/>
          <w:bCs/>
          <w:sz w:val="22"/>
          <w:szCs w:val="22"/>
          <w:lang w:val="de-DE"/>
        </w:rPr>
        <w:t>Hersteller</w:t>
      </w:r>
      <w:r w:rsidR="00370970" w:rsidRPr="0049187C">
        <w:rPr>
          <w:b/>
          <w:bCs/>
          <w:sz w:val="22"/>
          <w:szCs w:val="22"/>
          <w:lang w:val="de-DE"/>
        </w:rPr>
        <w:t>:</w:t>
      </w:r>
    </w:p>
    <w:p w14:paraId="158DADA4" w14:textId="77777777" w:rsidR="007F1696" w:rsidRPr="0049187C" w:rsidRDefault="00B00716" w:rsidP="0049187C">
      <w:pPr>
        <w:numPr>
          <w:ilvl w:val="12"/>
          <w:numId w:val="0"/>
        </w:numPr>
        <w:spacing w:after="0" w:line="240" w:lineRule="auto"/>
        <w:rPr>
          <w:rFonts w:eastAsia="Verdana"/>
          <w:lang w:val="de-DE" w:eastAsia="en-GB"/>
        </w:rPr>
      </w:pPr>
      <w:r w:rsidRPr="0049187C">
        <w:rPr>
          <w:rStyle w:val="ui-provider"/>
          <w:lang w:val="de-DE"/>
        </w:rPr>
        <w:t>Novartis Pharmaceutical Manufacturing</w:t>
      </w:r>
      <w:r w:rsidRPr="0049187C">
        <w:rPr>
          <w:rFonts w:eastAsia="Verdana"/>
          <w:lang w:val="de-DE" w:eastAsia="en-GB"/>
        </w:rPr>
        <w:t xml:space="preserve"> GmbH</w:t>
      </w:r>
    </w:p>
    <w:p w14:paraId="774B3C39" w14:textId="77777777" w:rsidR="007F1696" w:rsidRPr="0049187C" w:rsidRDefault="00B00716" w:rsidP="0049187C">
      <w:pPr>
        <w:numPr>
          <w:ilvl w:val="12"/>
          <w:numId w:val="0"/>
        </w:numPr>
        <w:spacing w:after="0" w:line="240" w:lineRule="auto"/>
        <w:rPr>
          <w:rFonts w:eastAsia="Verdana"/>
          <w:lang w:val="de-DE" w:eastAsia="en-GB"/>
        </w:rPr>
      </w:pPr>
      <w:r w:rsidRPr="0049187C">
        <w:rPr>
          <w:rFonts w:eastAsia="Verdana"/>
          <w:lang w:val="de-DE" w:eastAsia="en-GB"/>
        </w:rPr>
        <w:t>Biochemiestr. 10</w:t>
      </w:r>
    </w:p>
    <w:p w14:paraId="1C525A22" w14:textId="77777777" w:rsidR="007F1696" w:rsidRPr="0049187C" w:rsidRDefault="00B00716" w:rsidP="0049187C">
      <w:pPr>
        <w:numPr>
          <w:ilvl w:val="12"/>
          <w:numId w:val="0"/>
        </w:numPr>
        <w:spacing w:after="0" w:line="240" w:lineRule="auto"/>
        <w:rPr>
          <w:rFonts w:eastAsia="Verdana"/>
          <w:lang w:val="de-DE" w:eastAsia="en-GB"/>
        </w:rPr>
      </w:pPr>
      <w:r w:rsidRPr="0049187C">
        <w:rPr>
          <w:rFonts w:eastAsia="Verdana"/>
          <w:lang w:val="de-DE" w:eastAsia="en-GB"/>
        </w:rPr>
        <w:t>6336 Langkampfen</w:t>
      </w:r>
    </w:p>
    <w:p w14:paraId="1E5894E8" w14:textId="77777777" w:rsidR="007F1696" w:rsidRPr="0049187C" w:rsidRDefault="00B00716" w:rsidP="0049187C">
      <w:pPr>
        <w:numPr>
          <w:ilvl w:val="12"/>
          <w:numId w:val="0"/>
        </w:numPr>
        <w:spacing w:after="0" w:line="240" w:lineRule="auto"/>
        <w:rPr>
          <w:rFonts w:eastAsia="Verdana"/>
          <w:lang w:val="de-DE" w:eastAsia="en-GB"/>
        </w:rPr>
      </w:pPr>
      <w:r w:rsidRPr="0049187C">
        <w:rPr>
          <w:rFonts w:eastAsia="Verdana"/>
          <w:lang w:val="de-DE" w:eastAsia="en-GB"/>
        </w:rPr>
        <w:t>Österreich</w:t>
      </w:r>
    </w:p>
    <w:p w14:paraId="475557DB" w14:textId="77777777" w:rsidR="00E82949" w:rsidRPr="0049187C" w:rsidRDefault="00E82949" w:rsidP="0049187C">
      <w:pPr>
        <w:spacing w:after="0" w:line="240" w:lineRule="auto"/>
        <w:ind w:left="0" w:firstLine="0"/>
        <w:rPr>
          <w:lang w:val="de-DE"/>
        </w:rPr>
      </w:pPr>
    </w:p>
    <w:p w14:paraId="301842A7" w14:textId="77777777" w:rsidR="00F07195" w:rsidRPr="0049187C" w:rsidRDefault="00B00716" w:rsidP="0049187C">
      <w:pPr>
        <w:spacing w:after="0" w:line="240" w:lineRule="auto"/>
        <w:ind w:left="0" w:firstLine="0"/>
        <w:rPr>
          <w:lang w:val="de-DE"/>
        </w:rPr>
      </w:pPr>
      <w:r w:rsidRPr="0049187C">
        <w:rPr>
          <w:lang w:val="de-DE"/>
        </w:rPr>
        <w:t>Falls Sie weitere Informationen über das Arzneimittel wünschen, setzen Sie sich bitte mit dem örtlichen Vertreter des pharmazeutischen Unternehmers in Verbindung</w:t>
      </w:r>
      <w:r w:rsidR="00E6017D" w:rsidRPr="0049187C">
        <w:rPr>
          <w:lang w:val="de-DE"/>
        </w:rPr>
        <w:t>.</w:t>
      </w:r>
    </w:p>
    <w:p w14:paraId="2DC1CF32" w14:textId="77777777" w:rsidR="00F07195" w:rsidRPr="0049187C" w:rsidRDefault="00F07195" w:rsidP="0049187C">
      <w:pPr>
        <w:spacing w:after="0" w:line="240" w:lineRule="auto"/>
        <w:ind w:left="0" w:firstLine="0"/>
        <w:rPr>
          <w:lang w:val="de-DE"/>
        </w:rPr>
      </w:pPr>
    </w:p>
    <w:tbl>
      <w:tblPr>
        <w:tblStyle w:val="TableGrid"/>
        <w:tblW w:w="9312" w:type="dxa"/>
        <w:tblInd w:w="-98" w:type="dxa"/>
        <w:tblCellMar>
          <w:left w:w="108" w:type="dxa"/>
          <w:right w:w="108" w:type="dxa"/>
        </w:tblCellMar>
        <w:tblLook w:val="04A0" w:firstRow="1" w:lastRow="0" w:firstColumn="1" w:lastColumn="0" w:noHBand="0" w:noVBand="1"/>
      </w:tblPr>
      <w:tblGrid>
        <w:gridCol w:w="4679"/>
        <w:gridCol w:w="4633"/>
      </w:tblGrid>
      <w:tr w:rsidR="00A67796" w:rsidRPr="0049187C" w14:paraId="331E7AEE" w14:textId="77777777" w:rsidTr="00252F44">
        <w:trPr>
          <w:trHeight w:val="1007"/>
        </w:trPr>
        <w:tc>
          <w:tcPr>
            <w:tcW w:w="4679" w:type="dxa"/>
            <w:tcBorders>
              <w:top w:val="nil"/>
              <w:left w:val="nil"/>
              <w:bottom w:val="nil"/>
              <w:right w:val="nil"/>
            </w:tcBorders>
          </w:tcPr>
          <w:p w14:paraId="7F36726C" w14:textId="77777777" w:rsidR="007F1696" w:rsidRPr="0049187C" w:rsidRDefault="00B00716" w:rsidP="0049187C">
            <w:pPr>
              <w:pStyle w:val="pil-t2"/>
              <w:rPr>
                <w:lang w:val="fr-FR"/>
              </w:rPr>
            </w:pPr>
            <w:r w:rsidRPr="0049187C">
              <w:rPr>
                <w:lang w:val="fr-FR"/>
              </w:rPr>
              <w:t>België/Belgique/Belgien</w:t>
            </w:r>
          </w:p>
          <w:p w14:paraId="66D0A174" w14:textId="77777777" w:rsidR="007F1696" w:rsidRPr="0049187C" w:rsidRDefault="00B00716" w:rsidP="0049187C">
            <w:pPr>
              <w:pStyle w:val="pil-t1"/>
              <w:rPr>
                <w:lang w:val="fr-FR"/>
              </w:rPr>
            </w:pPr>
            <w:r w:rsidRPr="0049187C">
              <w:rPr>
                <w:lang w:val="fr-FR"/>
              </w:rPr>
              <w:t>Sandoz nv/sa</w:t>
            </w:r>
          </w:p>
          <w:p w14:paraId="6CCEC1AB" w14:textId="77777777" w:rsidR="007F1696" w:rsidRPr="0049187C" w:rsidRDefault="00B00716" w:rsidP="0049187C">
            <w:pPr>
              <w:pStyle w:val="pil-t1"/>
              <w:rPr>
                <w:lang w:val="de-DE"/>
              </w:rPr>
            </w:pPr>
            <w:r w:rsidRPr="0049187C">
              <w:rPr>
                <w:lang w:val="de-DE"/>
              </w:rPr>
              <w:t>Tél/Tel: +32 2 722 97 97</w:t>
            </w:r>
          </w:p>
          <w:p w14:paraId="52E8B7DA" w14:textId="77777777" w:rsidR="007F1696" w:rsidRPr="0049187C" w:rsidRDefault="007F1696" w:rsidP="0049187C">
            <w:pPr>
              <w:spacing w:after="0" w:line="240" w:lineRule="auto"/>
              <w:ind w:left="0" w:firstLine="0"/>
              <w:rPr>
                <w:rFonts w:asciiTheme="majorBidi" w:hAnsiTheme="majorBidi" w:cstheme="majorBidi"/>
                <w:lang w:val="de-DE"/>
              </w:rPr>
            </w:pPr>
          </w:p>
        </w:tc>
        <w:tc>
          <w:tcPr>
            <w:tcW w:w="4633" w:type="dxa"/>
            <w:tcBorders>
              <w:top w:val="nil"/>
              <w:left w:val="nil"/>
              <w:bottom w:val="nil"/>
              <w:right w:val="nil"/>
            </w:tcBorders>
          </w:tcPr>
          <w:p w14:paraId="44E2146A" w14:textId="77777777" w:rsidR="007F1696" w:rsidRPr="0049187C" w:rsidRDefault="00B00716" w:rsidP="0049187C">
            <w:pPr>
              <w:pStyle w:val="pil-t2"/>
            </w:pPr>
            <w:r w:rsidRPr="0049187C">
              <w:t>Lietuva</w:t>
            </w:r>
          </w:p>
          <w:p w14:paraId="303607C4" w14:textId="77777777" w:rsidR="007F1696" w:rsidRPr="0049187C" w:rsidRDefault="00B00716" w:rsidP="0049187C">
            <w:pPr>
              <w:pStyle w:val="pil-t1"/>
            </w:pPr>
            <w:r w:rsidRPr="0049187C">
              <w:t>Sandoz Pharmaceuticals d.d filialas</w:t>
            </w:r>
          </w:p>
          <w:p w14:paraId="23D4BB34" w14:textId="77777777" w:rsidR="007F1696" w:rsidRPr="0049187C" w:rsidRDefault="00B00716" w:rsidP="0049187C">
            <w:pPr>
              <w:spacing w:after="0" w:line="240" w:lineRule="auto"/>
              <w:ind w:left="0" w:firstLine="0"/>
              <w:rPr>
                <w:rFonts w:asciiTheme="majorBidi" w:hAnsiTheme="majorBidi" w:cstheme="majorBidi"/>
              </w:rPr>
            </w:pPr>
            <w:r w:rsidRPr="0049187C">
              <w:t>Tel: +370 5 2636 037</w:t>
            </w:r>
          </w:p>
        </w:tc>
      </w:tr>
      <w:tr w:rsidR="00A67796" w:rsidRPr="0049187C" w14:paraId="286DD7B8" w14:textId="77777777" w:rsidTr="00252F44">
        <w:trPr>
          <w:trHeight w:val="1265"/>
        </w:trPr>
        <w:tc>
          <w:tcPr>
            <w:tcW w:w="4679" w:type="dxa"/>
            <w:tcBorders>
              <w:top w:val="nil"/>
              <w:left w:val="nil"/>
              <w:bottom w:val="nil"/>
              <w:right w:val="nil"/>
            </w:tcBorders>
          </w:tcPr>
          <w:p w14:paraId="335EC96A" w14:textId="77777777" w:rsidR="007F1696" w:rsidRPr="0049187C" w:rsidRDefault="00B00716" w:rsidP="0049187C">
            <w:pPr>
              <w:pStyle w:val="pil-t2"/>
              <w:rPr>
                <w:lang w:val="ru-RU"/>
              </w:rPr>
            </w:pPr>
            <w:r w:rsidRPr="0049187C">
              <w:rPr>
                <w:lang w:val="ru-RU"/>
              </w:rPr>
              <w:t>България</w:t>
            </w:r>
          </w:p>
          <w:p w14:paraId="5661AFE3" w14:textId="77777777" w:rsidR="007F1696" w:rsidRPr="0049187C" w:rsidRDefault="00B00716" w:rsidP="0049187C">
            <w:pPr>
              <w:pStyle w:val="pil-t1"/>
              <w:rPr>
                <w:lang w:val="ru-RU"/>
              </w:rPr>
            </w:pPr>
            <w:r w:rsidRPr="0049187C">
              <w:rPr>
                <w:lang w:val="ru-RU"/>
              </w:rPr>
              <w:t>Сандоз България КЧТ</w:t>
            </w:r>
          </w:p>
          <w:p w14:paraId="7CA58322" w14:textId="77777777" w:rsidR="007F1696" w:rsidRPr="0049187C" w:rsidRDefault="00B00716" w:rsidP="0049187C">
            <w:pPr>
              <w:pStyle w:val="pil-t1"/>
              <w:rPr>
                <w:lang w:val="ru-RU"/>
              </w:rPr>
            </w:pPr>
            <w:r w:rsidRPr="0049187C">
              <w:rPr>
                <w:lang w:val="ru-RU"/>
              </w:rPr>
              <w:t>Тел.: +359 2</w:t>
            </w:r>
            <w:r w:rsidRPr="0049187C">
              <w:t> </w:t>
            </w:r>
            <w:r w:rsidRPr="0049187C">
              <w:rPr>
                <w:lang w:val="ru-RU"/>
              </w:rPr>
              <w:t>970 47 47</w:t>
            </w:r>
          </w:p>
          <w:p w14:paraId="74A4B03A" w14:textId="77777777" w:rsidR="007F1696" w:rsidRPr="0049187C" w:rsidRDefault="007F1696" w:rsidP="0049187C">
            <w:pPr>
              <w:spacing w:after="0" w:line="240" w:lineRule="auto"/>
              <w:ind w:left="0" w:firstLine="0"/>
              <w:rPr>
                <w:rFonts w:asciiTheme="majorBidi" w:hAnsiTheme="majorBidi" w:cstheme="majorBidi"/>
                <w:lang w:val="ru-RU"/>
              </w:rPr>
            </w:pPr>
          </w:p>
        </w:tc>
        <w:tc>
          <w:tcPr>
            <w:tcW w:w="4633" w:type="dxa"/>
            <w:tcBorders>
              <w:top w:val="nil"/>
              <w:left w:val="nil"/>
              <w:bottom w:val="nil"/>
              <w:right w:val="nil"/>
            </w:tcBorders>
          </w:tcPr>
          <w:p w14:paraId="6D098B17" w14:textId="77777777" w:rsidR="007F1696" w:rsidRPr="0049187C" w:rsidRDefault="00B00716" w:rsidP="0049187C">
            <w:pPr>
              <w:pStyle w:val="pil-t2"/>
              <w:rPr>
                <w:lang w:val="ru-RU"/>
              </w:rPr>
            </w:pPr>
            <w:r w:rsidRPr="0049187C">
              <w:rPr>
                <w:lang w:val="de-DE"/>
              </w:rPr>
              <w:t>Luxembourg</w:t>
            </w:r>
            <w:r w:rsidRPr="0049187C">
              <w:rPr>
                <w:lang w:val="ru-RU"/>
              </w:rPr>
              <w:t>/</w:t>
            </w:r>
            <w:r w:rsidRPr="0049187C">
              <w:rPr>
                <w:lang w:val="de-DE"/>
              </w:rPr>
              <w:t>Luxemburg</w:t>
            </w:r>
          </w:p>
          <w:p w14:paraId="2229F276" w14:textId="77777777" w:rsidR="007F1696" w:rsidRPr="0049187C" w:rsidRDefault="00B00716" w:rsidP="0049187C">
            <w:pPr>
              <w:pStyle w:val="pil-t1"/>
              <w:rPr>
                <w:lang w:val="ru-RU"/>
              </w:rPr>
            </w:pPr>
            <w:r w:rsidRPr="0049187C">
              <w:rPr>
                <w:lang w:val="de-DE"/>
              </w:rPr>
              <w:t>Sandoz</w:t>
            </w:r>
            <w:r w:rsidRPr="0049187C">
              <w:rPr>
                <w:lang w:val="ru-RU"/>
              </w:rPr>
              <w:t xml:space="preserve"> </w:t>
            </w:r>
            <w:r w:rsidRPr="0049187C">
              <w:rPr>
                <w:lang w:val="de-DE"/>
              </w:rPr>
              <w:t>nv</w:t>
            </w:r>
            <w:r w:rsidRPr="0049187C">
              <w:rPr>
                <w:lang w:val="ru-RU"/>
              </w:rPr>
              <w:t>/</w:t>
            </w:r>
            <w:r w:rsidRPr="0049187C">
              <w:rPr>
                <w:lang w:val="de-DE"/>
              </w:rPr>
              <w:t>sa</w:t>
            </w:r>
            <w:r w:rsidR="00C46D5B" w:rsidRPr="0049187C">
              <w:rPr>
                <w:lang w:val="ru-RU"/>
              </w:rPr>
              <w:t xml:space="preserve"> (</w:t>
            </w:r>
            <w:r w:rsidR="00C46D5B" w:rsidRPr="0049187C">
              <w:rPr>
                <w:lang w:val="de-DE"/>
              </w:rPr>
              <w:t>Belgique</w:t>
            </w:r>
            <w:r w:rsidR="00C46D5B" w:rsidRPr="0049187C">
              <w:rPr>
                <w:lang w:val="ru-RU"/>
              </w:rPr>
              <w:t>/</w:t>
            </w:r>
            <w:r w:rsidR="00C46D5B" w:rsidRPr="0049187C">
              <w:rPr>
                <w:lang w:val="de-DE"/>
              </w:rPr>
              <w:t>Belgien</w:t>
            </w:r>
            <w:r w:rsidR="00C46D5B" w:rsidRPr="0049187C">
              <w:rPr>
                <w:lang w:val="ru-RU"/>
              </w:rPr>
              <w:t>)</w:t>
            </w:r>
          </w:p>
          <w:p w14:paraId="3E474B25" w14:textId="77777777" w:rsidR="007F1696" w:rsidRPr="0049187C" w:rsidRDefault="00B00716" w:rsidP="0049187C">
            <w:pPr>
              <w:pStyle w:val="pil-t1"/>
              <w:rPr>
                <w:lang w:val="ru-RU"/>
              </w:rPr>
            </w:pPr>
            <w:r w:rsidRPr="0049187C">
              <w:rPr>
                <w:lang w:val="de-DE"/>
              </w:rPr>
              <w:t>T</w:t>
            </w:r>
            <w:r w:rsidRPr="0049187C">
              <w:rPr>
                <w:lang w:val="ru-RU"/>
              </w:rPr>
              <w:t>é</w:t>
            </w:r>
            <w:r w:rsidRPr="0049187C">
              <w:rPr>
                <w:lang w:val="de-DE"/>
              </w:rPr>
              <w:t>l</w:t>
            </w:r>
            <w:r w:rsidRPr="0049187C">
              <w:rPr>
                <w:lang w:val="ru-RU"/>
              </w:rPr>
              <w:t>/</w:t>
            </w:r>
            <w:r w:rsidRPr="0049187C">
              <w:rPr>
                <w:lang w:val="de-DE"/>
              </w:rPr>
              <w:t>Tel</w:t>
            </w:r>
            <w:r w:rsidRPr="0049187C">
              <w:rPr>
                <w:lang w:val="ru-RU"/>
              </w:rPr>
              <w:t>: +32 2 722 97 97</w:t>
            </w:r>
          </w:p>
          <w:p w14:paraId="501A9FB6" w14:textId="77777777" w:rsidR="007F1696" w:rsidRPr="0049187C" w:rsidRDefault="007F1696" w:rsidP="0049187C">
            <w:pPr>
              <w:spacing w:after="0" w:line="240" w:lineRule="auto"/>
              <w:ind w:left="0" w:firstLine="0"/>
              <w:rPr>
                <w:rFonts w:asciiTheme="majorBidi" w:hAnsiTheme="majorBidi" w:cstheme="majorBidi"/>
                <w:lang w:val="ru-RU"/>
              </w:rPr>
            </w:pPr>
          </w:p>
        </w:tc>
      </w:tr>
      <w:tr w:rsidR="00A67796" w:rsidRPr="0049187C" w14:paraId="2D0A8EBC" w14:textId="77777777" w:rsidTr="00252F44">
        <w:trPr>
          <w:trHeight w:val="1012"/>
        </w:trPr>
        <w:tc>
          <w:tcPr>
            <w:tcW w:w="4679" w:type="dxa"/>
            <w:tcBorders>
              <w:top w:val="nil"/>
              <w:left w:val="nil"/>
              <w:bottom w:val="nil"/>
              <w:right w:val="nil"/>
            </w:tcBorders>
          </w:tcPr>
          <w:p w14:paraId="18F97614" w14:textId="77777777" w:rsidR="007F1696" w:rsidRPr="0049187C" w:rsidRDefault="00B00716" w:rsidP="0049187C">
            <w:pPr>
              <w:pStyle w:val="pil-t2"/>
              <w:rPr>
                <w:lang w:val="ru-RU"/>
              </w:rPr>
            </w:pPr>
            <w:r w:rsidRPr="0049187C">
              <w:rPr>
                <w:lang w:val="ru-RU"/>
              </w:rPr>
              <w:t>Č</w:t>
            </w:r>
            <w:r w:rsidRPr="0049187C">
              <w:rPr>
                <w:lang w:val="de-AT"/>
              </w:rPr>
              <w:t>esk</w:t>
            </w:r>
            <w:r w:rsidRPr="0049187C">
              <w:rPr>
                <w:lang w:val="ru-RU"/>
              </w:rPr>
              <w:t xml:space="preserve">á </w:t>
            </w:r>
            <w:r w:rsidRPr="0049187C">
              <w:rPr>
                <w:lang w:val="de-AT"/>
              </w:rPr>
              <w:t>republika</w:t>
            </w:r>
          </w:p>
          <w:p w14:paraId="353394A3" w14:textId="77777777" w:rsidR="007F1696" w:rsidRPr="0049187C" w:rsidRDefault="00B00716" w:rsidP="0049187C">
            <w:pPr>
              <w:pStyle w:val="pil-t1"/>
              <w:rPr>
                <w:lang w:val="ru-RU"/>
              </w:rPr>
            </w:pPr>
            <w:r w:rsidRPr="0049187C">
              <w:rPr>
                <w:lang w:val="de-AT"/>
              </w:rPr>
              <w:t>Sandoz</w:t>
            </w:r>
            <w:r w:rsidRPr="0049187C">
              <w:rPr>
                <w:lang w:val="ru-RU"/>
              </w:rPr>
              <w:t xml:space="preserve"> </w:t>
            </w:r>
            <w:r w:rsidRPr="0049187C">
              <w:rPr>
                <w:lang w:val="de-AT"/>
              </w:rPr>
              <w:t>s</w:t>
            </w:r>
            <w:r w:rsidRPr="0049187C">
              <w:rPr>
                <w:lang w:val="ru-RU"/>
              </w:rPr>
              <w:t>.</w:t>
            </w:r>
            <w:r w:rsidRPr="0049187C">
              <w:rPr>
                <w:lang w:val="de-AT"/>
              </w:rPr>
              <w:t>r</w:t>
            </w:r>
            <w:r w:rsidRPr="0049187C">
              <w:rPr>
                <w:lang w:val="ru-RU"/>
              </w:rPr>
              <w:t>.</w:t>
            </w:r>
            <w:r w:rsidRPr="0049187C">
              <w:rPr>
                <w:lang w:val="de-AT"/>
              </w:rPr>
              <w:t>o</w:t>
            </w:r>
            <w:r w:rsidRPr="0049187C">
              <w:rPr>
                <w:lang w:val="ru-RU"/>
              </w:rPr>
              <w:t>.</w:t>
            </w:r>
          </w:p>
          <w:p w14:paraId="16DA13F9" w14:textId="77777777" w:rsidR="007F1696" w:rsidRPr="0049187C" w:rsidRDefault="00B00716" w:rsidP="0049187C">
            <w:pPr>
              <w:pStyle w:val="pil-t1"/>
              <w:rPr>
                <w:lang w:val="de-DE"/>
              </w:rPr>
            </w:pPr>
            <w:r w:rsidRPr="0049187C">
              <w:rPr>
                <w:lang w:val="de-DE"/>
              </w:rPr>
              <w:t xml:space="preserve">Tel: +420 </w:t>
            </w:r>
            <w:r w:rsidR="00D92115" w:rsidRPr="0049187C">
              <w:rPr>
                <w:lang w:val="de-DE"/>
              </w:rPr>
              <w:t>234 142 222</w:t>
            </w:r>
          </w:p>
          <w:p w14:paraId="473CFA5E" w14:textId="77777777" w:rsidR="007F1696" w:rsidRPr="0049187C" w:rsidRDefault="007F1696" w:rsidP="0049187C">
            <w:pPr>
              <w:spacing w:after="0" w:line="240" w:lineRule="auto"/>
              <w:ind w:left="0" w:firstLine="0"/>
              <w:rPr>
                <w:rFonts w:asciiTheme="majorBidi" w:hAnsiTheme="majorBidi" w:cstheme="majorBidi"/>
                <w:lang w:val="de-DE"/>
              </w:rPr>
            </w:pPr>
          </w:p>
        </w:tc>
        <w:tc>
          <w:tcPr>
            <w:tcW w:w="4633" w:type="dxa"/>
            <w:tcBorders>
              <w:top w:val="nil"/>
              <w:left w:val="nil"/>
              <w:bottom w:val="nil"/>
              <w:right w:val="nil"/>
            </w:tcBorders>
          </w:tcPr>
          <w:p w14:paraId="095DC9DC" w14:textId="77777777" w:rsidR="007F1696" w:rsidRPr="0049187C" w:rsidRDefault="00B00716" w:rsidP="0049187C">
            <w:pPr>
              <w:pStyle w:val="pil-t2"/>
              <w:rPr>
                <w:lang w:val="de-DE"/>
              </w:rPr>
            </w:pPr>
            <w:r w:rsidRPr="0049187C">
              <w:rPr>
                <w:lang w:val="de-DE"/>
              </w:rPr>
              <w:t>Magyarország</w:t>
            </w:r>
          </w:p>
          <w:p w14:paraId="6E15AB00" w14:textId="77777777" w:rsidR="007F1696" w:rsidRPr="0049187C" w:rsidRDefault="00B00716" w:rsidP="0049187C">
            <w:pPr>
              <w:pStyle w:val="pil-t1"/>
              <w:rPr>
                <w:lang w:val="de-DE"/>
              </w:rPr>
            </w:pPr>
            <w:r w:rsidRPr="0049187C">
              <w:rPr>
                <w:lang w:val="de-DE"/>
              </w:rPr>
              <w:t>Sandoz Hungária Kft.</w:t>
            </w:r>
          </w:p>
          <w:p w14:paraId="504E140A" w14:textId="77777777" w:rsidR="007F1696" w:rsidRPr="0049187C" w:rsidRDefault="00B00716" w:rsidP="0049187C">
            <w:pPr>
              <w:pStyle w:val="pil-t1"/>
              <w:rPr>
                <w:lang w:val="de-DE"/>
              </w:rPr>
            </w:pPr>
            <w:r w:rsidRPr="0049187C">
              <w:rPr>
                <w:lang w:val="de-DE"/>
              </w:rPr>
              <w:t>Tel.: +36 1 430 2890</w:t>
            </w:r>
          </w:p>
          <w:p w14:paraId="5E6392FB" w14:textId="77777777" w:rsidR="007F1696" w:rsidRPr="0049187C" w:rsidRDefault="007F1696" w:rsidP="0049187C">
            <w:pPr>
              <w:spacing w:after="0" w:line="240" w:lineRule="auto"/>
              <w:ind w:left="0" w:firstLine="0"/>
              <w:rPr>
                <w:rFonts w:asciiTheme="majorBidi" w:hAnsiTheme="majorBidi" w:cstheme="majorBidi"/>
                <w:lang w:val="de-DE"/>
              </w:rPr>
            </w:pPr>
          </w:p>
        </w:tc>
      </w:tr>
      <w:tr w:rsidR="00A67796" w:rsidRPr="0049187C" w14:paraId="1E013E34" w14:textId="77777777" w:rsidTr="00252F44">
        <w:trPr>
          <w:trHeight w:val="1265"/>
        </w:trPr>
        <w:tc>
          <w:tcPr>
            <w:tcW w:w="4679" w:type="dxa"/>
            <w:tcBorders>
              <w:top w:val="nil"/>
              <w:left w:val="nil"/>
              <w:bottom w:val="nil"/>
              <w:right w:val="nil"/>
            </w:tcBorders>
          </w:tcPr>
          <w:p w14:paraId="09129D30" w14:textId="77777777" w:rsidR="007F1696" w:rsidRPr="0049187C" w:rsidRDefault="00B00716" w:rsidP="0049187C">
            <w:pPr>
              <w:pStyle w:val="pil-t2"/>
              <w:rPr>
                <w:lang w:val="nb-NO"/>
              </w:rPr>
            </w:pPr>
            <w:r w:rsidRPr="0049187C">
              <w:rPr>
                <w:lang w:val="nb-NO"/>
              </w:rPr>
              <w:t>Danmark/Norge/Ísland/Sverige</w:t>
            </w:r>
          </w:p>
          <w:p w14:paraId="2A24FA94" w14:textId="77777777" w:rsidR="007F1696" w:rsidRPr="0049187C" w:rsidRDefault="00B00716" w:rsidP="0049187C">
            <w:pPr>
              <w:pStyle w:val="pil-t1"/>
              <w:rPr>
                <w:lang w:val="nb-NO"/>
              </w:rPr>
            </w:pPr>
            <w:r w:rsidRPr="0049187C">
              <w:rPr>
                <w:lang w:val="nb-NO"/>
              </w:rPr>
              <w:t>Sandoz A/S</w:t>
            </w:r>
          </w:p>
          <w:p w14:paraId="67ADC5D2" w14:textId="77777777" w:rsidR="007F1696" w:rsidRPr="0049187C" w:rsidRDefault="00B00716" w:rsidP="0049187C">
            <w:pPr>
              <w:pStyle w:val="pil-t1"/>
              <w:rPr>
                <w:lang w:val="de-DE"/>
              </w:rPr>
            </w:pPr>
            <w:r w:rsidRPr="0049187C">
              <w:rPr>
                <w:lang w:val="de-DE"/>
              </w:rPr>
              <w:t>Tlf</w:t>
            </w:r>
            <w:r w:rsidR="00D92115" w:rsidRPr="0049187C">
              <w:rPr>
                <w:lang w:val="de-DE"/>
              </w:rPr>
              <w:t>/Sími/Tel</w:t>
            </w:r>
            <w:r w:rsidRPr="0049187C">
              <w:rPr>
                <w:lang w:val="de-DE"/>
              </w:rPr>
              <w:t>: +45 63 95 10 00</w:t>
            </w:r>
          </w:p>
          <w:p w14:paraId="108B0320" w14:textId="77777777" w:rsidR="007F1696" w:rsidRPr="0049187C" w:rsidRDefault="007F1696" w:rsidP="0049187C">
            <w:pPr>
              <w:spacing w:after="0" w:line="240" w:lineRule="auto"/>
              <w:ind w:left="0" w:firstLine="0"/>
              <w:rPr>
                <w:rFonts w:asciiTheme="majorBidi" w:hAnsiTheme="majorBidi" w:cstheme="majorBidi"/>
                <w:lang w:val="de-DE"/>
              </w:rPr>
            </w:pPr>
          </w:p>
        </w:tc>
        <w:tc>
          <w:tcPr>
            <w:tcW w:w="4633" w:type="dxa"/>
            <w:tcBorders>
              <w:top w:val="nil"/>
              <w:left w:val="nil"/>
              <w:bottom w:val="nil"/>
              <w:right w:val="nil"/>
            </w:tcBorders>
          </w:tcPr>
          <w:p w14:paraId="4003A370" w14:textId="77777777" w:rsidR="007F1696" w:rsidRPr="0049187C" w:rsidRDefault="00B00716" w:rsidP="0049187C">
            <w:pPr>
              <w:pStyle w:val="pil-t2"/>
              <w:rPr>
                <w:lang w:val="it-IT"/>
              </w:rPr>
            </w:pPr>
            <w:r w:rsidRPr="0049187C">
              <w:rPr>
                <w:lang w:val="it-IT"/>
              </w:rPr>
              <w:t>Malta</w:t>
            </w:r>
          </w:p>
          <w:p w14:paraId="66A1DE18" w14:textId="77777777" w:rsidR="007F1696" w:rsidRPr="0049187C" w:rsidRDefault="00B00716" w:rsidP="0049187C">
            <w:pPr>
              <w:pStyle w:val="pil-t1"/>
              <w:rPr>
                <w:lang w:val="it-IT"/>
              </w:rPr>
            </w:pPr>
            <w:r w:rsidRPr="0049187C">
              <w:rPr>
                <w:lang w:val="it-IT"/>
              </w:rPr>
              <w:t>Sandoz Pharmaceuticals d.d.</w:t>
            </w:r>
          </w:p>
          <w:p w14:paraId="6AD239D3" w14:textId="77777777" w:rsidR="007F1696" w:rsidRPr="0049187C" w:rsidRDefault="00B00716" w:rsidP="0049187C">
            <w:pPr>
              <w:spacing w:after="0" w:line="240" w:lineRule="auto"/>
              <w:ind w:left="0" w:firstLine="0"/>
              <w:rPr>
                <w:rFonts w:asciiTheme="majorBidi" w:hAnsiTheme="majorBidi" w:cstheme="majorBidi"/>
                <w:lang w:val="de-DE"/>
              </w:rPr>
            </w:pPr>
            <w:r w:rsidRPr="0049187C">
              <w:rPr>
                <w:lang w:val="de-DE"/>
              </w:rPr>
              <w:t>Tel: +35699644126</w:t>
            </w:r>
          </w:p>
        </w:tc>
      </w:tr>
      <w:tr w:rsidR="00A67796" w:rsidRPr="0049187C" w14:paraId="15CF44D0" w14:textId="77777777" w:rsidTr="00252F44">
        <w:trPr>
          <w:trHeight w:val="1012"/>
        </w:trPr>
        <w:tc>
          <w:tcPr>
            <w:tcW w:w="4679" w:type="dxa"/>
            <w:tcBorders>
              <w:top w:val="nil"/>
              <w:left w:val="nil"/>
              <w:bottom w:val="nil"/>
              <w:right w:val="nil"/>
            </w:tcBorders>
          </w:tcPr>
          <w:p w14:paraId="30BC0FC2" w14:textId="77777777" w:rsidR="007F1696" w:rsidRPr="0049187C" w:rsidRDefault="00B00716" w:rsidP="0049187C">
            <w:pPr>
              <w:pStyle w:val="pil-t2"/>
              <w:rPr>
                <w:lang w:val="de-DE"/>
              </w:rPr>
            </w:pPr>
            <w:r w:rsidRPr="0049187C">
              <w:rPr>
                <w:lang w:val="de-DE"/>
              </w:rPr>
              <w:t>Deutschland</w:t>
            </w:r>
          </w:p>
          <w:p w14:paraId="39B5482A" w14:textId="77777777" w:rsidR="007F1696" w:rsidRPr="0049187C" w:rsidRDefault="00B00716" w:rsidP="0049187C">
            <w:pPr>
              <w:pStyle w:val="pil-t1"/>
              <w:rPr>
                <w:lang w:val="de-DE"/>
              </w:rPr>
            </w:pPr>
            <w:r w:rsidRPr="0049187C">
              <w:rPr>
                <w:lang w:val="de-DE"/>
              </w:rPr>
              <w:t>Hexal AG</w:t>
            </w:r>
          </w:p>
          <w:p w14:paraId="7A9E400E" w14:textId="77777777" w:rsidR="007F1696" w:rsidRPr="0049187C" w:rsidRDefault="00B00716" w:rsidP="0049187C">
            <w:pPr>
              <w:pStyle w:val="pil-t1"/>
              <w:keepNext/>
              <w:rPr>
                <w:lang w:val="de-DE"/>
              </w:rPr>
            </w:pPr>
            <w:r w:rsidRPr="0049187C">
              <w:rPr>
                <w:lang w:val="de-DE"/>
              </w:rPr>
              <w:t>Tel: +49 8024 908 0</w:t>
            </w:r>
          </w:p>
          <w:p w14:paraId="240C6042" w14:textId="77777777" w:rsidR="007F1696" w:rsidRPr="0049187C" w:rsidRDefault="007F1696" w:rsidP="0049187C">
            <w:pPr>
              <w:spacing w:after="0" w:line="240" w:lineRule="auto"/>
              <w:ind w:left="0" w:firstLine="0"/>
              <w:rPr>
                <w:rFonts w:asciiTheme="majorBidi" w:hAnsiTheme="majorBidi" w:cstheme="majorBidi"/>
                <w:lang w:val="de-DE"/>
              </w:rPr>
            </w:pPr>
          </w:p>
        </w:tc>
        <w:tc>
          <w:tcPr>
            <w:tcW w:w="4633" w:type="dxa"/>
            <w:tcBorders>
              <w:top w:val="nil"/>
              <w:left w:val="nil"/>
              <w:bottom w:val="nil"/>
              <w:right w:val="nil"/>
            </w:tcBorders>
          </w:tcPr>
          <w:p w14:paraId="09D59188" w14:textId="77777777" w:rsidR="007F1696" w:rsidRPr="0049187C" w:rsidRDefault="00B00716" w:rsidP="0049187C">
            <w:pPr>
              <w:pStyle w:val="pil-t2"/>
              <w:rPr>
                <w:lang w:val="de-DE"/>
              </w:rPr>
            </w:pPr>
            <w:r w:rsidRPr="0049187C">
              <w:rPr>
                <w:lang w:val="de-DE"/>
              </w:rPr>
              <w:t>Nederland</w:t>
            </w:r>
          </w:p>
          <w:p w14:paraId="613CC1CE" w14:textId="77777777" w:rsidR="007F1696" w:rsidRPr="0049187C" w:rsidRDefault="00B00716" w:rsidP="0049187C">
            <w:pPr>
              <w:pStyle w:val="pil-t1"/>
              <w:rPr>
                <w:lang w:val="de-DE"/>
              </w:rPr>
            </w:pPr>
            <w:r w:rsidRPr="0049187C">
              <w:rPr>
                <w:lang w:val="de-DE"/>
              </w:rPr>
              <w:t>Sandoz B.V.</w:t>
            </w:r>
          </w:p>
          <w:p w14:paraId="72E3ECE6" w14:textId="77777777" w:rsidR="007F1696" w:rsidRPr="0049187C" w:rsidRDefault="00B00716" w:rsidP="0049187C">
            <w:pPr>
              <w:pStyle w:val="pil-t1"/>
              <w:rPr>
                <w:lang w:val="de-DE"/>
              </w:rPr>
            </w:pPr>
            <w:r w:rsidRPr="0049187C">
              <w:rPr>
                <w:lang w:val="de-DE"/>
              </w:rPr>
              <w:t>Tel: +31 36 52 41 600</w:t>
            </w:r>
          </w:p>
          <w:p w14:paraId="2D04376E" w14:textId="77777777" w:rsidR="007F1696" w:rsidRPr="0049187C" w:rsidRDefault="007F1696" w:rsidP="0049187C">
            <w:pPr>
              <w:spacing w:after="0" w:line="240" w:lineRule="auto"/>
              <w:ind w:left="0" w:firstLine="0"/>
              <w:rPr>
                <w:rFonts w:asciiTheme="majorBidi" w:hAnsiTheme="majorBidi" w:cstheme="majorBidi"/>
                <w:lang w:val="de-DE"/>
              </w:rPr>
            </w:pPr>
          </w:p>
        </w:tc>
      </w:tr>
      <w:tr w:rsidR="00A67796" w:rsidRPr="0049187C" w14:paraId="1E5BC17B" w14:textId="77777777" w:rsidTr="00252F44">
        <w:trPr>
          <w:trHeight w:val="1012"/>
        </w:trPr>
        <w:tc>
          <w:tcPr>
            <w:tcW w:w="4679" w:type="dxa"/>
            <w:tcBorders>
              <w:top w:val="nil"/>
              <w:left w:val="nil"/>
              <w:bottom w:val="nil"/>
              <w:right w:val="nil"/>
            </w:tcBorders>
          </w:tcPr>
          <w:p w14:paraId="4B8FAED6" w14:textId="77777777" w:rsidR="007F1696" w:rsidRPr="0049187C" w:rsidRDefault="00B00716" w:rsidP="0049187C">
            <w:pPr>
              <w:pStyle w:val="spc-t3"/>
              <w:keepNext/>
              <w:rPr>
                <w:lang w:val="it-IT"/>
              </w:rPr>
            </w:pPr>
            <w:r w:rsidRPr="0049187C">
              <w:rPr>
                <w:lang w:val="it-IT"/>
              </w:rPr>
              <w:t>Eesti</w:t>
            </w:r>
          </w:p>
          <w:p w14:paraId="62332853" w14:textId="77777777" w:rsidR="007F1696" w:rsidRPr="0049187C" w:rsidRDefault="00B00716" w:rsidP="0049187C">
            <w:pPr>
              <w:pStyle w:val="pil-t1"/>
              <w:keepNext/>
              <w:rPr>
                <w:lang w:val="it-IT"/>
              </w:rPr>
            </w:pPr>
            <w:r w:rsidRPr="0049187C">
              <w:rPr>
                <w:lang w:val="it-IT"/>
              </w:rPr>
              <w:t>Sandoz d.d. Eesti filiaal</w:t>
            </w:r>
          </w:p>
          <w:p w14:paraId="5F9ED729" w14:textId="77777777" w:rsidR="007F1696" w:rsidRPr="0049187C" w:rsidRDefault="00B00716" w:rsidP="0049187C">
            <w:pPr>
              <w:pStyle w:val="pil-t1"/>
              <w:keepNext/>
              <w:rPr>
                <w:lang w:val="de-DE"/>
              </w:rPr>
            </w:pPr>
            <w:r w:rsidRPr="0049187C">
              <w:rPr>
                <w:lang w:val="de-DE"/>
              </w:rPr>
              <w:t>Tel: +372 665 2400</w:t>
            </w:r>
          </w:p>
          <w:p w14:paraId="6BB12605" w14:textId="77777777" w:rsidR="007F1696" w:rsidRPr="0049187C" w:rsidRDefault="007F1696" w:rsidP="0049187C">
            <w:pPr>
              <w:spacing w:after="0" w:line="240" w:lineRule="auto"/>
              <w:ind w:left="0" w:firstLine="0"/>
              <w:rPr>
                <w:rFonts w:asciiTheme="majorBidi" w:hAnsiTheme="majorBidi" w:cstheme="majorBidi"/>
                <w:lang w:val="de-DE"/>
              </w:rPr>
            </w:pPr>
          </w:p>
        </w:tc>
        <w:tc>
          <w:tcPr>
            <w:tcW w:w="4633" w:type="dxa"/>
            <w:tcBorders>
              <w:top w:val="nil"/>
              <w:left w:val="nil"/>
              <w:bottom w:val="nil"/>
              <w:right w:val="nil"/>
            </w:tcBorders>
          </w:tcPr>
          <w:p w14:paraId="060C7DC3" w14:textId="77777777" w:rsidR="007F1696" w:rsidRPr="0049187C" w:rsidRDefault="00B00716" w:rsidP="0049187C">
            <w:pPr>
              <w:pStyle w:val="pil-t2"/>
              <w:keepNext/>
              <w:rPr>
                <w:lang w:val="de-DE"/>
              </w:rPr>
            </w:pPr>
            <w:r w:rsidRPr="0049187C">
              <w:rPr>
                <w:lang w:val="de-DE"/>
              </w:rPr>
              <w:t>Österreich</w:t>
            </w:r>
          </w:p>
          <w:p w14:paraId="284163B4" w14:textId="77777777" w:rsidR="007F1696" w:rsidRPr="0049187C" w:rsidRDefault="00B00716" w:rsidP="0049187C">
            <w:pPr>
              <w:pStyle w:val="pil-t1"/>
              <w:keepNext/>
              <w:rPr>
                <w:lang w:val="de-DE"/>
              </w:rPr>
            </w:pPr>
            <w:r w:rsidRPr="0049187C">
              <w:rPr>
                <w:lang w:val="de-DE"/>
              </w:rPr>
              <w:t>Sandoz GmbH</w:t>
            </w:r>
          </w:p>
          <w:p w14:paraId="6F9ABD44" w14:textId="77777777" w:rsidR="007F1696" w:rsidRPr="0049187C" w:rsidRDefault="00B00716" w:rsidP="0049187C">
            <w:pPr>
              <w:spacing w:after="0" w:line="240" w:lineRule="auto"/>
              <w:ind w:left="0" w:firstLine="0"/>
              <w:rPr>
                <w:rFonts w:asciiTheme="majorBidi" w:hAnsiTheme="majorBidi" w:cstheme="majorBidi"/>
                <w:lang w:val="de-DE"/>
              </w:rPr>
            </w:pPr>
            <w:r w:rsidRPr="0049187C">
              <w:rPr>
                <w:lang w:val="de-DE"/>
              </w:rPr>
              <w:t>Tel: +43 5338 2000</w:t>
            </w:r>
          </w:p>
        </w:tc>
      </w:tr>
      <w:tr w:rsidR="00A67796" w:rsidRPr="0049187C" w14:paraId="6BC7FDC5" w14:textId="77777777" w:rsidTr="00252F44">
        <w:trPr>
          <w:trHeight w:val="1012"/>
        </w:trPr>
        <w:tc>
          <w:tcPr>
            <w:tcW w:w="4679" w:type="dxa"/>
            <w:tcBorders>
              <w:top w:val="nil"/>
              <w:left w:val="nil"/>
              <w:bottom w:val="nil"/>
              <w:right w:val="nil"/>
            </w:tcBorders>
          </w:tcPr>
          <w:p w14:paraId="411A5530" w14:textId="77777777" w:rsidR="007F1696" w:rsidRPr="0049187C" w:rsidRDefault="00B00716" w:rsidP="0049187C">
            <w:pPr>
              <w:pStyle w:val="spc-t3"/>
              <w:keepNext/>
            </w:pPr>
            <w:r w:rsidRPr="0049187C">
              <w:rPr>
                <w:lang w:val="de-DE"/>
              </w:rPr>
              <w:t>Ελλάδα</w:t>
            </w:r>
          </w:p>
          <w:p w14:paraId="2A42F38C" w14:textId="77777777" w:rsidR="007F1696" w:rsidRPr="0049187C" w:rsidRDefault="00B00716" w:rsidP="0049187C">
            <w:pPr>
              <w:pStyle w:val="pil-t1"/>
              <w:keepNext/>
            </w:pPr>
            <w:r w:rsidRPr="0049187C">
              <w:t xml:space="preserve">SANDOZ HELLAS </w:t>
            </w:r>
            <w:r w:rsidRPr="0049187C">
              <w:rPr>
                <w:lang w:val="de-DE"/>
              </w:rPr>
              <w:t>ΜΟΝΟΠΡΟΣΩΠΗ</w:t>
            </w:r>
            <w:r w:rsidRPr="0049187C">
              <w:t xml:space="preserve"> </w:t>
            </w:r>
            <w:r w:rsidRPr="0049187C">
              <w:rPr>
                <w:lang w:val="de-DE"/>
              </w:rPr>
              <w:t>Α</w:t>
            </w:r>
            <w:r w:rsidRPr="0049187C">
              <w:t>.</w:t>
            </w:r>
            <w:r w:rsidRPr="0049187C">
              <w:rPr>
                <w:lang w:val="de-DE"/>
              </w:rPr>
              <w:t>Ε</w:t>
            </w:r>
            <w:r w:rsidRPr="0049187C">
              <w:t>.</w:t>
            </w:r>
          </w:p>
          <w:p w14:paraId="658604EB" w14:textId="77777777" w:rsidR="007F1696" w:rsidRPr="0049187C" w:rsidRDefault="00B00716" w:rsidP="0049187C">
            <w:pPr>
              <w:pStyle w:val="pil-t1"/>
              <w:keepNext/>
            </w:pPr>
            <w:r w:rsidRPr="0049187C">
              <w:rPr>
                <w:lang w:val="de-DE"/>
              </w:rPr>
              <w:t>Τηλ</w:t>
            </w:r>
            <w:r w:rsidRPr="0049187C">
              <w:t>: +30 216 600 5000</w:t>
            </w:r>
          </w:p>
          <w:p w14:paraId="61779B03" w14:textId="77777777" w:rsidR="007F1696" w:rsidRPr="0049187C" w:rsidRDefault="007F1696" w:rsidP="0049187C">
            <w:pPr>
              <w:spacing w:after="0" w:line="240" w:lineRule="auto"/>
              <w:ind w:left="0" w:firstLine="0"/>
              <w:rPr>
                <w:rFonts w:asciiTheme="majorBidi" w:hAnsiTheme="majorBidi" w:cstheme="majorBidi"/>
              </w:rPr>
            </w:pPr>
          </w:p>
        </w:tc>
        <w:tc>
          <w:tcPr>
            <w:tcW w:w="4633" w:type="dxa"/>
            <w:tcBorders>
              <w:top w:val="nil"/>
              <w:left w:val="nil"/>
              <w:bottom w:val="nil"/>
              <w:right w:val="nil"/>
            </w:tcBorders>
          </w:tcPr>
          <w:p w14:paraId="4482B4A8" w14:textId="77777777" w:rsidR="007F1696" w:rsidRPr="0049187C" w:rsidRDefault="00B00716" w:rsidP="0049187C">
            <w:pPr>
              <w:pStyle w:val="pil-t2"/>
              <w:rPr>
                <w:lang w:val="pl-PL"/>
              </w:rPr>
            </w:pPr>
            <w:r w:rsidRPr="0049187C">
              <w:rPr>
                <w:lang w:val="pl-PL"/>
              </w:rPr>
              <w:t>Polska</w:t>
            </w:r>
          </w:p>
          <w:p w14:paraId="65596074" w14:textId="77777777" w:rsidR="007F1696" w:rsidRPr="0049187C" w:rsidRDefault="00B00716" w:rsidP="0049187C">
            <w:pPr>
              <w:pStyle w:val="pil-t1"/>
              <w:rPr>
                <w:lang w:val="pl-PL"/>
              </w:rPr>
            </w:pPr>
            <w:r w:rsidRPr="0049187C">
              <w:rPr>
                <w:lang w:val="pl-PL"/>
              </w:rPr>
              <w:t>Sandoz Polska Sp. z o.o.</w:t>
            </w:r>
          </w:p>
          <w:p w14:paraId="30D630A9" w14:textId="77777777" w:rsidR="007F1696" w:rsidRPr="0049187C" w:rsidRDefault="00B00716" w:rsidP="0049187C">
            <w:pPr>
              <w:pStyle w:val="pil-t1"/>
              <w:rPr>
                <w:lang w:val="de-DE"/>
              </w:rPr>
            </w:pPr>
            <w:r w:rsidRPr="0049187C">
              <w:rPr>
                <w:lang w:val="de-DE"/>
              </w:rPr>
              <w:t>Tel.: +48 22 209 70 00</w:t>
            </w:r>
          </w:p>
          <w:p w14:paraId="24159A2A" w14:textId="77777777" w:rsidR="007F1696" w:rsidRPr="0049187C" w:rsidRDefault="007F1696" w:rsidP="0049187C">
            <w:pPr>
              <w:spacing w:after="0" w:line="240" w:lineRule="auto"/>
              <w:ind w:left="0" w:firstLine="0"/>
              <w:rPr>
                <w:rFonts w:asciiTheme="majorBidi" w:hAnsiTheme="majorBidi" w:cstheme="majorBidi"/>
                <w:lang w:val="de-DE"/>
              </w:rPr>
            </w:pPr>
          </w:p>
        </w:tc>
      </w:tr>
      <w:tr w:rsidR="00A67796" w:rsidRPr="0049187C" w14:paraId="213C3B5A" w14:textId="77777777" w:rsidTr="00252F44">
        <w:trPr>
          <w:trHeight w:val="1008"/>
        </w:trPr>
        <w:tc>
          <w:tcPr>
            <w:tcW w:w="4679" w:type="dxa"/>
            <w:tcBorders>
              <w:top w:val="nil"/>
              <w:left w:val="nil"/>
              <w:bottom w:val="nil"/>
              <w:right w:val="nil"/>
            </w:tcBorders>
          </w:tcPr>
          <w:p w14:paraId="725F5777" w14:textId="77777777" w:rsidR="007F1696" w:rsidRPr="0049187C" w:rsidRDefault="00B00716" w:rsidP="0049187C">
            <w:pPr>
              <w:pStyle w:val="pil-t2"/>
              <w:rPr>
                <w:lang w:val="es-ES"/>
              </w:rPr>
            </w:pPr>
            <w:r w:rsidRPr="0049187C">
              <w:rPr>
                <w:lang w:val="es-ES"/>
              </w:rPr>
              <w:t>España</w:t>
            </w:r>
          </w:p>
          <w:p w14:paraId="4EAB5575" w14:textId="77777777" w:rsidR="007F1696" w:rsidRPr="0049187C" w:rsidRDefault="00B00716" w:rsidP="0049187C">
            <w:pPr>
              <w:pStyle w:val="pil-t1"/>
              <w:rPr>
                <w:lang w:val="es-ES"/>
              </w:rPr>
            </w:pPr>
            <w:r w:rsidRPr="0049187C">
              <w:rPr>
                <w:lang w:val="es-ES"/>
              </w:rPr>
              <w:t>Sandoz Farmacéutica, S.A.</w:t>
            </w:r>
          </w:p>
          <w:p w14:paraId="1DFA52A1" w14:textId="77777777" w:rsidR="007F1696" w:rsidRPr="0049187C" w:rsidRDefault="00B00716" w:rsidP="0049187C">
            <w:pPr>
              <w:pStyle w:val="pil-t1"/>
              <w:rPr>
                <w:lang w:val="de-DE"/>
              </w:rPr>
            </w:pPr>
            <w:r w:rsidRPr="0049187C">
              <w:rPr>
                <w:lang w:val="de-DE"/>
              </w:rPr>
              <w:t>Tel: +34 900 456 856</w:t>
            </w:r>
          </w:p>
          <w:p w14:paraId="2740BE43" w14:textId="77777777" w:rsidR="007F1696" w:rsidRPr="0049187C" w:rsidRDefault="007F1696" w:rsidP="0049187C">
            <w:pPr>
              <w:spacing w:after="0" w:line="240" w:lineRule="auto"/>
              <w:ind w:left="0" w:firstLine="0"/>
              <w:rPr>
                <w:rFonts w:asciiTheme="majorBidi" w:hAnsiTheme="majorBidi" w:cstheme="majorBidi"/>
                <w:lang w:val="de-DE"/>
              </w:rPr>
            </w:pPr>
          </w:p>
        </w:tc>
        <w:tc>
          <w:tcPr>
            <w:tcW w:w="4633" w:type="dxa"/>
            <w:tcBorders>
              <w:top w:val="nil"/>
              <w:left w:val="nil"/>
              <w:bottom w:val="nil"/>
              <w:right w:val="nil"/>
            </w:tcBorders>
          </w:tcPr>
          <w:p w14:paraId="79CFC6A9" w14:textId="77777777" w:rsidR="007F1696" w:rsidRPr="0049187C" w:rsidRDefault="00B00716" w:rsidP="0049187C">
            <w:pPr>
              <w:pStyle w:val="pil-t2"/>
              <w:rPr>
                <w:lang w:val="pt-PT"/>
              </w:rPr>
            </w:pPr>
            <w:r w:rsidRPr="0049187C">
              <w:rPr>
                <w:lang w:val="pt-PT"/>
              </w:rPr>
              <w:t>Portugal</w:t>
            </w:r>
          </w:p>
          <w:p w14:paraId="330535AF" w14:textId="77777777" w:rsidR="007F1696" w:rsidRPr="0049187C" w:rsidRDefault="00B00716" w:rsidP="0049187C">
            <w:pPr>
              <w:pStyle w:val="pil-t1"/>
              <w:rPr>
                <w:lang w:val="pt-PT"/>
              </w:rPr>
            </w:pPr>
            <w:r w:rsidRPr="0049187C">
              <w:rPr>
                <w:lang w:val="pt-PT"/>
              </w:rPr>
              <w:t>Sandoz Farmacêutica Lda.</w:t>
            </w:r>
          </w:p>
          <w:p w14:paraId="69E950D0" w14:textId="77777777" w:rsidR="007F1696" w:rsidRPr="0049187C" w:rsidRDefault="00B00716" w:rsidP="0049187C">
            <w:pPr>
              <w:pStyle w:val="pil-t1"/>
              <w:rPr>
                <w:lang w:val="pt-PT"/>
              </w:rPr>
            </w:pPr>
            <w:r w:rsidRPr="0049187C">
              <w:rPr>
                <w:lang w:val="pt-PT"/>
              </w:rPr>
              <w:t>Tel: +351 21</w:t>
            </w:r>
            <w:r w:rsidRPr="0049187C">
              <w:rPr>
                <w:color w:val="000000"/>
                <w:lang w:val="pt-PT"/>
              </w:rPr>
              <w:t> 000 86 00</w:t>
            </w:r>
          </w:p>
          <w:p w14:paraId="36CE3E63" w14:textId="77777777" w:rsidR="007F1696" w:rsidRPr="0049187C" w:rsidRDefault="007F1696" w:rsidP="0049187C">
            <w:pPr>
              <w:spacing w:after="0" w:line="240" w:lineRule="auto"/>
              <w:ind w:left="0" w:firstLine="0"/>
              <w:rPr>
                <w:rFonts w:asciiTheme="majorBidi" w:hAnsiTheme="majorBidi" w:cstheme="majorBidi"/>
                <w:lang w:val="pt-PT"/>
              </w:rPr>
            </w:pPr>
          </w:p>
        </w:tc>
      </w:tr>
      <w:tr w:rsidR="00A67796" w:rsidRPr="0049187C" w14:paraId="25C762A0" w14:textId="77777777" w:rsidTr="00252F44">
        <w:trPr>
          <w:trHeight w:val="1008"/>
        </w:trPr>
        <w:tc>
          <w:tcPr>
            <w:tcW w:w="4679" w:type="dxa"/>
            <w:tcBorders>
              <w:top w:val="nil"/>
              <w:left w:val="nil"/>
              <w:bottom w:val="nil"/>
              <w:right w:val="nil"/>
            </w:tcBorders>
          </w:tcPr>
          <w:p w14:paraId="1EBDA7F1" w14:textId="77777777" w:rsidR="007F1696" w:rsidRPr="0049187C" w:rsidRDefault="00B00716" w:rsidP="0049187C">
            <w:pPr>
              <w:pStyle w:val="pil-t2"/>
              <w:rPr>
                <w:lang w:val="de-DE"/>
              </w:rPr>
            </w:pPr>
            <w:bookmarkStart w:id="39" w:name="OLE_LINK5"/>
            <w:r w:rsidRPr="0049187C">
              <w:rPr>
                <w:lang w:val="de-DE"/>
              </w:rPr>
              <w:t>France</w:t>
            </w:r>
          </w:p>
          <w:p w14:paraId="6CE07D86" w14:textId="77777777" w:rsidR="007F1696" w:rsidRPr="0049187C" w:rsidRDefault="00B00716" w:rsidP="0049187C">
            <w:pPr>
              <w:pStyle w:val="pil-t1"/>
              <w:rPr>
                <w:lang w:val="de-DE"/>
              </w:rPr>
            </w:pPr>
            <w:r w:rsidRPr="0049187C">
              <w:rPr>
                <w:lang w:val="de-DE"/>
              </w:rPr>
              <w:t>Sandoz SAS</w:t>
            </w:r>
          </w:p>
          <w:p w14:paraId="7B3C67A0" w14:textId="77777777" w:rsidR="007F1696" w:rsidRPr="0049187C" w:rsidRDefault="00B00716" w:rsidP="0049187C">
            <w:pPr>
              <w:pStyle w:val="pil-t1"/>
              <w:rPr>
                <w:color w:val="000000"/>
                <w:lang w:val="de-DE"/>
              </w:rPr>
            </w:pPr>
            <w:r w:rsidRPr="0049187C">
              <w:rPr>
                <w:lang w:val="de-DE"/>
              </w:rPr>
              <w:t xml:space="preserve">Tél: </w:t>
            </w:r>
            <w:r w:rsidRPr="0049187C">
              <w:rPr>
                <w:color w:val="000000"/>
                <w:lang w:val="de-DE"/>
              </w:rPr>
              <w:t>+33 1 49 64 48 00</w:t>
            </w:r>
            <w:bookmarkEnd w:id="39"/>
          </w:p>
          <w:p w14:paraId="57605F55" w14:textId="77777777" w:rsidR="007F1696" w:rsidRPr="0049187C" w:rsidRDefault="007F1696" w:rsidP="0049187C">
            <w:pPr>
              <w:spacing w:after="0" w:line="240" w:lineRule="auto"/>
              <w:ind w:left="0" w:firstLine="0"/>
              <w:rPr>
                <w:rFonts w:asciiTheme="majorBidi" w:hAnsiTheme="majorBidi" w:cstheme="majorBidi"/>
                <w:lang w:val="de-DE"/>
              </w:rPr>
            </w:pPr>
          </w:p>
        </w:tc>
        <w:tc>
          <w:tcPr>
            <w:tcW w:w="4633" w:type="dxa"/>
            <w:tcBorders>
              <w:top w:val="nil"/>
              <w:left w:val="nil"/>
              <w:bottom w:val="nil"/>
              <w:right w:val="nil"/>
            </w:tcBorders>
          </w:tcPr>
          <w:p w14:paraId="2736239C" w14:textId="77777777" w:rsidR="007F1696" w:rsidRPr="0049187C" w:rsidRDefault="00B00716" w:rsidP="0049187C">
            <w:pPr>
              <w:pStyle w:val="pil-t2"/>
              <w:rPr>
                <w:lang w:val="de-DE"/>
              </w:rPr>
            </w:pPr>
            <w:r w:rsidRPr="0049187C">
              <w:rPr>
                <w:lang w:val="de-DE"/>
              </w:rPr>
              <w:t>România</w:t>
            </w:r>
          </w:p>
          <w:p w14:paraId="6300E871" w14:textId="77777777" w:rsidR="007F1696" w:rsidRPr="0049187C" w:rsidRDefault="00B00716" w:rsidP="0049187C">
            <w:pPr>
              <w:pStyle w:val="pil-t1"/>
              <w:rPr>
                <w:lang w:val="de-DE"/>
              </w:rPr>
            </w:pPr>
            <w:r w:rsidRPr="0049187C">
              <w:rPr>
                <w:lang w:val="de-DE"/>
              </w:rPr>
              <w:t>Sandoz Pharmaceuticals SRL</w:t>
            </w:r>
          </w:p>
          <w:p w14:paraId="34E22FE9" w14:textId="77777777" w:rsidR="007F1696" w:rsidRPr="0049187C" w:rsidRDefault="00B00716" w:rsidP="0049187C">
            <w:pPr>
              <w:pStyle w:val="pil-t1"/>
              <w:rPr>
                <w:lang w:val="de-DE"/>
              </w:rPr>
            </w:pPr>
            <w:r w:rsidRPr="0049187C">
              <w:rPr>
                <w:lang w:val="de-DE"/>
              </w:rPr>
              <w:t>Tel: +40 21 407 51 60</w:t>
            </w:r>
          </w:p>
          <w:p w14:paraId="6454D6F5" w14:textId="77777777" w:rsidR="007F1696" w:rsidRPr="0049187C" w:rsidRDefault="007F1696" w:rsidP="0049187C">
            <w:pPr>
              <w:spacing w:after="0" w:line="240" w:lineRule="auto"/>
              <w:ind w:left="0" w:firstLine="0"/>
              <w:rPr>
                <w:rFonts w:asciiTheme="majorBidi" w:hAnsiTheme="majorBidi" w:cstheme="majorBidi"/>
                <w:lang w:val="de-DE"/>
              </w:rPr>
            </w:pPr>
          </w:p>
        </w:tc>
      </w:tr>
      <w:tr w:rsidR="00A67796" w:rsidRPr="0049187C" w14:paraId="5434D7CD" w14:textId="77777777" w:rsidTr="00252F44">
        <w:trPr>
          <w:trHeight w:val="1008"/>
        </w:trPr>
        <w:tc>
          <w:tcPr>
            <w:tcW w:w="4679" w:type="dxa"/>
            <w:tcBorders>
              <w:top w:val="nil"/>
              <w:left w:val="nil"/>
              <w:bottom w:val="nil"/>
              <w:right w:val="nil"/>
            </w:tcBorders>
          </w:tcPr>
          <w:p w14:paraId="6D1F63FF" w14:textId="77777777" w:rsidR="007F1696" w:rsidRPr="0049187C" w:rsidRDefault="00B00716" w:rsidP="0049187C">
            <w:pPr>
              <w:autoSpaceDE w:val="0"/>
              <w:autoSpaceDN w:val="0"/>
              <w:spacing w:after="0" w:line="240" w:lineRule="auto"/>
              <w:ind w:left="0" w:firstLine="0"/>
              <w:rPr>
                <w:b/>
                <w:lang w:val="de-DE"/>
              </w:rPr>
            </w:pPr>
            <w:r w:rsidRPr="0049187C">
              <w:rPr>
                <w:b/>
                <w:lang w:val="de-DE"/>
              </w:rPr>
              <w:t>Hrvatska</w:t>
            </w:r>
          </w:p>
          <w:p w14:paraId="684C1F9A" w14:textId="77777777" w:rsidR="007F1696" w:rsidRPr="0049187C" w:rsidRDefault="00B00716" w:rsidP="0049187C">
            <w:pPr>
              <w:autoSpaceDE w:val="0"/>
              <w:autoSpaceDN w:val="0"/>
              <w:spacing w:after="0" w:line="240" w:lineRule="auto"/>
              <w:ind w:left="0" w:firstLine="0"/>
              <w:rPr>
                <w:lang w:val="de-DE"/>
              </w:rPr>
            </w:pPr>
            <w:r w:rsidRPr="0049187C">
              <w:rPr>
                <w:lang w:val="de-DE"/>
              </w:rPr>
              <w:t>Sandoz d.o.o.</w:t>
            </w:r>
          </w:p>
          <w:p w14:paraId="4B653B6C" w14:textId="77777777" w:rsidR="007F1696" w:rsidRPr="0049187C" w:rsidRDefault="00B00716" w:rsidP="0049187C">
            <w:pPr>
              <w:autoSpaceDE w:val="0"/>
              <w:autoSpaceDN w:val="0"/>
              <w:spacing w:after="0" w:line="240" w:lineRule="auto"/>
              <w:ind w:left="0" w:firstLine="0"/>
              <w:rPr>
                <w:lang w:val="de-DE"/>
              </w:rPr>
            </w:pPr>
            <w:r w:rsidRPr="0049187C">
              <w:rPr>
                <w:lang w:val="de-DE"/>
              </w:rPr>
              <w:t xml:space="preserve">Tel: +385 1 23 53 111 </w:t>
            </w:r>
          </w:p>
          <w:p w14:paraId="05A58E55" w14:textId="77777777" w:rsidR="007F1696" w:rsidRPr="0049187C" w:rsidRDefault="007F1696" w:rsidP="0049187C">
            <w:pPr>
              <w:spacing w:after="0" w:line="240" w:lineRule="auto"/>
              <w:ind w:left="0" w:firstLine="0"/>
              <w:rPr>
                <w:rFonts w:asciiTheme="majorBidi" w:hAnsiTheme="majorBidi" w:cstheme="majorBidi"/>
                <w:lang w:val="de-DE"/>
              </w:rPr>
            </w:pPr>
          </w:p>
        </w:tc>
        <w:tc>
          <w:tcPr>
            <w:tcW w:w="4633" w:type="dxa"/>
            <w:tcBorders>
              <w:top w:val="nil"/>
              <w:left w:val="nil"/>
              <w:bottom w:val="nil"/>
              <w:right w:val="nil"/>
            </w:tcBorders>
          </w:tcPr>
          <w:p w14:paraId="3B51FC2A" w14:textId="77777777" w:rsidR="007F1696" w:rsidRPr="0049187C" w:rsidRDefault="00B00716" w:rsidP="0049187C">
            <w:pPr>
              <w:pStyle w:val="pil-t2"/>
              <w:rPr>
                <w:lang w:val="de-DE"/>
              </w:rPr>
            </w:pPr>
            <w:r w:rsidRPr="0049187C">
              <w:rPr>
                <w:lang w:val="de-DE"/>
              </w:rPr>
              <w:t>Slovenija</w:t>
            </w:r>
          </w:p>
          <w:p w14:paraId="5343B451" w14:textId="77777777" w:rsidR="007F1696" w:rsidRPr="0049187C" w:rsidRDefault="00B00716" w:rsidP="0049187C">
            <w:pPr>
              <w:pStyle w:val="pil-t2"/>
              <w:rPr>
                <w:b w:val="0"/>
                <w:bCs w:val="0"/>
                <w:lang w:val="de-DE"/>
              </w:rPr>
            </w:pPr>
            <w:r w:rsidRPr="0049187C">
              <w:rPr>
                <w:b w:val="0"/>
                <w:bCs w:val="0"/>
                <w:lang w:val="de-DE"/>
              </w:rPr>
              <w:t>Sandoz farmacevtska družba d.d.</w:t>
            </w:r>
          </w:p>
          <w:p w14:paraId="67697831" w14:textId="77777777" w:rsidR="007F1696" w:rsidRPr="0049187C" w:rsidRDefault="00B00716" w:rsidP="0049187C">
            <w:pPr>
              <w:spacing w:after="0" w:line="240" w:lineRule="auto"/>
              <w:ind w:left="0" w:firstLine="0"/>
              <w:rPr>
                <w:rFonts w:asciiTheme="majorBidi" w:hAnsiTheme="majorBidi" w:cstheme="majorBidi"/>
                <w:lang w:val="de-DE"/>
              </w:rPr>
            </w:pPr>
            <w:r w:rsidRPr="0049187C">
              <w:rPr>
                <w:lang w:val="de-DE"/>
              </w:rPr>
              <w:t>Tel: +386 1 580 29 02</w:t>
            </w:r>
          </w:p>
        </w:tc>
      </w:tr>
      <w:tr w:rsidR="00A67796" w:rsidRPr="0049187C" w14:paraId="4E566283" w14:textId="77777777" w:rsidTr="00252F44">
        <w:trPr>
          <w:trHeight w:val="1008"/>
        </w:trPr>
        <w:tc>
          <w:tcPr>
            <w:tcW w:w="4679" w:type="dxa"/>
            <w:tcBorders>
              <w:top w:val="nil"/>
              <w:left w:val="nil"/>
              <w:bottom w:val="nil"/>
              <w:right w:val="nil"/>
            </w:tcBorders>
          </w:tcPr>
          <w:p w14:paraId="0A47B1D0" w14:textId="77777777" w:rsidR="007F1696" w:rsidRPr="0049187C" w:rsidRDefault="00B00716" w:rsidP="0049187C">
            <w:pPr>
              <w:spacing w:after="0" w:line="240" w:lineRule="auto"/>
              <w:ind w:left="0" w:firstLine="0"/>
              <w:rPr>
                <w:b/>
                <w:bCs/>
                <w:lang w:val="de-DE"/>
              </w:rPr>
            </w:pPr>
            <w:r w:rsidRPr="0049187C">
              <w:rPr>
                <w:b/>
                <w:bCs/>
                <w:lang w:val="de-DE"/>
              </w:rPr>
              <w:t>Ireland</w:t>
            </w:r>
          </w:p>
          <w:p w14:paraId="7B7D1FF9" w14:textId="77777777" w:rsidR="007F1696" w:rsidRPr="0049187C" w:rsidRDefault="00B00716" w:rsidP="0049187C">
            <w:pPr>
              <w:spacing w:after="0" w:line="240" w:lineRule="auto"/>
              <w:ind w:left="0" w:firstLine="0"/>
              <w:rPr>
                <w:lang w:val="de-DE"/>
              </w:rPr>
            </w:pPr>
            <w:r w:rsidRPr="0049187C">
              <w:rPr>
                <w:noProof/>
                <w:lang w:val="de-DE"/>
              </w:rPr>
              <w:t>Rowex Ltd.</w:t>
            </w:r>
          </w:p>
          <w:p w14:paraId="0A408221" w14:textId="77777777" w:rsidR="007F1696" w:rsidRPr="0049187C" w:rsidRDefault="00B00716" w:rsidP="0049187C">
            <w:pPr>
              <w:spacing w:after="0" w:line="240" w:lineRule="auto"/>
              <w:ind w:left="0" w:firstLine="0"/>
              <w:rPr>
                <w:lang w:val="de-DE"/>
              </w:rPr>
            </w:pPr>
            <w:r w:rsidRPr="0049187C">
              <w:rPr>
                <w:lang w:val="de-DE"/>
              </w:rPr>
              <w:t>Tel: + 353 27 50077</w:t>
            </w:r>
          </w:p>
          <w:p w14:paraId="67CCEA67" w14:textId="77777777" w:rsidR="007F1696" w:rsidRPr="0049187C" w:rsidRDefault="007F1696" w:rsidP="0049187C">
            <w:pPr>
              <w:spacing w:after="0" w:line="240" w:lineRule="auto"/>
              <w:ind w:left="0" w:firstLine="0"/>
              <w:rPr>
                <w:rFonts w:asciiTheme="majorBidi" w:hAnsiTheme="majorBidi" w:cstheme="majorBidi"/>
                <w:lang w:val="de-DE"/>
              </w:rPr>
            </w:pPr>
          </w:p>
        </w:tc>
        <w:tc>
          <w:tcPr>
            <w:tcW w:w="4633" w:type="dxa"/>
            <w:tcBorders>
              <w:top w:val="nil"/>
              <w:left w:val="nil"/>
              <w:bottom w:val="nil"/>
              <w:right w:val="nil"/>
            </w:tcBorders>
          </w:tcPr>
          <w:p w14:paraId="3B495705" w14:textId="77777777" w:rsidR="007F1696" w:rsidRPr="0049187C" w:rsidRDefault="00B00716" w:rsidP="0049187C">
            <w:pPr>
              <w:spacing w:after="0" w:line="240" w:lineRule="auto"/>
              <w:ind w:left="0" w:firstLine="0"/>
              <w:rPr>
                <w:b/>
                <w:bCs/>
                <w:lang w:val="de-DE"/>
              </w:rPr>
            </w:pPr>
            <w:r w:rsidRPr="0049187C">
              <w:rPr>
                <w:b/>
                <w:bCs/>
                <w:lang w:val="de-DE"/>
              </w:rPr>
              <w:t>Slovenská republika</w:t>
            </w:r>
          </w:p>
          <w:p w14:paraId="079C4059" w14:textId="77777777" w:rsidR="007F1696" w:rsidRPr="0049187C" w:rsidRDefault="00B00716" w:rsidP="0049187C">
            <w:pPr>
              <w:spacing w:after="0" w:line="240" w:lineRule="auto"/>
              <w:ind w:left="0" w:firstLine="0"/>
              <w:rPr>
                <w:lang w:val="de-DE"/>
              </w:rPr>
            </w:pPr>
            <w:r w:rsidRPr="0049187C">
              <w:rPr>
                <w:lang w:val="de-DE"/>
              </w:rPr>
              <w:t>Sandoz d.d. - organizačná zložka</w:t>
            </w:r>
          </w:p>
          <w:p w14:paraId="105D4E88" w14:textId="77777777" w:rsidR="007F1696" w:rsidRPr="0049187C" w:rsidRDefault="00B00716" w:rsidP="0049187C">
            <w:pPr>
              <w:spacing w:after="0" w:line="240" w:lineRule="auto"/>
              <w:ind w:left="0" w:firstLine="0"/>
              <w:rPr>
                <w:lang w:val="de-DE"/>
              </w:rPr>
            </w:pPr>
            <w:r w:rsidRPr="0049187C">
              <w:rPr>
                <w:lang w:val="de-DE"/>
              </w:rPr>
              <w:t>Tel: +421 2 48 200 600</w:t>
            </w:r>
          </w:p>
          <w:p w14:paraId="669A73B9" w14:textId="77777777" w:rsidR="007F1696" w:rsidRPr="0049187C" w:rsidRDefault="007F1696" w:rsidP="0049187C">
            <w:pPr>
              <w:spacing w:after="0" w:line="240" w:lineRule="auto"/>
              <w:ind w:left="0" w:firstLine="0"/>
              <w:rPr>
                <w:rFonts w:asciiTheme="majorBidi" w:hAnsiTheme="majorBidi" w:cstheme="majorBidi"/>
                <w:lang w:val="de-DE"/>
              </w:rPr>
            </w:pPr>
          </w:p>
        </w:tc>
      </w:tr>
      <w:tr w:rsidR="00A67796" w:rsidRPr="0049187C" w14:paraId="1EBB268F" w14:textId="77777777" w:rsidTr="00252F44">
        <w:trPr>
          <w:trHeight w:val="1008"/>
        </w:trPr>
        <w:tc>
          <w:tcPr>
            <w:tcW w:w="4679" w:type="dxa"/>
            <w:tcBorders>
              <w:top w:val="nil"/>
              <w:left w:val="nil"/>
              <w:bottom w:val="nil"/>
              <w:right w:val="nil"/>
            </w:tcBorders>
          </w:tcPr>
          <w:p w14:paraId="630E216A" w14:textId="77777777" w:rsidR="007F1696" w:rsidRPr="0049187C" w:rsidRDefault="00B00716" w:rsidP="0049187C">
            <w:pPr>
              <w:spacing w:after="0" w:line="240" w:lineRule="auto"/>
              <w:ind w:left="0" w:firstLine="0"/>
              <w:rPr>
                <w:b/>
                <w:bCs/>
                <w:lang w:val="it-IT"/>
              </w:rPr>
            </w:pPr>
            <w:r w:rsidRPr="0049187C">
              <w:rPr>
                <w:b/>
                <w:bCs/>
                <w:lang w:val="it-IT"/>
              </w:rPr>
              <w:t>Italia</w:t>
            </w:r>
          </w:p>
          <w:p w14:paraId="3024D9F1" w14:textId="77777777" w:rsidR="007F1696" w:rsidRPr="0049187C" w:rsidRDefault="00B00716" w:rsidP="0049187C">
            <w:pPr>
              <w:spacing w:after="0" w:line="240" w:lineRule="auto"/>
              <w:ind w:left="0" w:firstLine="0"/>
              <w:rPr>
                <w:lang w:val="it-IT"/>
              </w:rPr>
            </w:pPr>
            <w:r w:rsidRPr="0049187C">
              <w:rPr>
                <w:lang w:val="it-IT"/>
              </w:rPr>
              <w:t>Sandoz S.p.A.</w:t>
            </w:r>
          </w:p>
          <w:p w14:paraId="10C9C4C0" w14:textId="77777777" w:rsidR="007F1696" w:rsidRPr="0049187C" w:rsidRDefault="00B00716" w:rsidP="0049187C">
            <w:pPr>
              <w:spacing w:after="0" w:line="240" w:lineRule="auto"/>
              <w:ind w:left="0" w:firstLine="0"/>
              <w:rPr>
                <w:lang w:val="de-DE"/>
              </w:rPr>
            </w:pPr>
            <w:r w:rsidRPr="0049187C">
              <w:rPr>
                <w:lang w:val="de-DE"/>
              </w:rPr>
              <w:t>Tel: +39 02 96541</w:t>
            </w:r>
          </w:p>
          <w:p w14:paraId="278DB731" w14:textId="77777777" w:rsidR="007F1696" w:rsidRPr="0049187C" w:rsidRDefault="007F1696" w:rsidP="0049187C">
            <w:pPr>
              <w:spacing w:after="0" w:line="240" w:lineRule="auto"/>
              <w:ind w:left="0" w:firstLine="0"/>
              <w:rPr>
                <w:rFonts w:asciiTheme="majorBidi" w:hAnsiTheme="majorBidi" w:cstheme="majorBidi"/>
                <w:lang w:val="de-DE"/>
              </w:rPr>
            </w:pPr>
          </w:p>
        </w:tc>
        <w:tc>
          <w:tcPr>
            <w:tcW w:w="4633" w:type="dxa"/>
            <w:tcBorders>
              <w:top w:val="nil"/>
              <w:left w:val="nil"/>
              <w:bottom w:val="nil"/>
              <w:right w:val="nil"/>
            </w:tcBorders>
          </w:tcPr>
          <w:p w14:paraId="02B9AA8C" w14:textId="77777777" w:rsidR="007F1696" w:rsidRPr="0049187C" w:rsidRDefault="00B00716" w:rsidP="0049187C">
            <w:pPr>
              <w:spacing w:after="0" w:line="240" w:lineRule="auto"/>
              <w:ind w:left="0" w:firstLine="0"/>
              <w:rPr>
                <w:b/>
                <w:bCs/>
              </w:rPr>
            </w:pPr>
            <w:r w:rsidRPr="0049187C">
              <w:rPr>
                <w:b/>
                <w:bCs/>
              </w:rPr>
              <w:t>Suomi/Finland</w:t>
            </w:r>
          </w:p>
          <w:p w14:paraId="27D064DF" w14:textId="77777777" w:rsidR="007F1696" w:rsidRPr="0049187C" w:rsidRDefault="00B00716" w:rsidP="0049187C">
            <w:pPr>
              <w:spacing w:after="0" w:line="240" w:lineRule="auto"/>
              <w:ind w:left="0" w:firstLine="0"/>
            </w:pPr>
            <w:r w:rsidRPr="0049187C">
              <w:t>Sandoz A/S</w:t>
            </w:r>
          </w:p>
          <w:p w14:paraId="00BA98B5" w14:textId="77777777" w:rsidR="007F1696" w:rsidRPr="0049187C" w:rsidRDefault="00B00716" w:rsidP="0049187C">
            <w:pPr>
              <w:spacing w:after="0" w:line="240" w:lineRule="auto"/>
              <w:ind w:left="0" w:firstLine="0"/>
            </w:pPr>
            <w:r w:rsidRPr="0049187C">
              <w:t>Puh/Tel: +358 10 6133 400</w:t>
            </w:r>
          </w:p>
          <w:p w14:paraId="11810C22" w14:textId="77777777" w:rsidR="007F1696" w:rsidRPr="0049187C" w:rsidRDefault="007F1696" w:rsidP="0049187C">
            <w:pPr>
              <w:spacing w:after="0" w:line="240" w:lineRule="auto"/>
              <w:ind w:left="0" w:firstLine="0"/>
              <w:rPr>
                <w:rFonts w:asciiTheme="majorBidi" w:hAnsiTheme="majorBidi" w:cstheme="majorBidi"/>
              </w:rPr>
            </w:pPr>
          </w:p>
        </w:tc>
      </w:tr>
      <w:tr w:rsidR="00A67796" w:rsidRPr="0049187C" w14:paraId="122275CA" w14:textId="77777777" w:rsidTr="002032F1">
        <w:trPr>
          <w:trHeight w:val="669"/>
        </w:trPr>
        <w:tc>
          <w:tcPr>
            <w:tcW w:w="4679" w:type="dxa"/>
            <w:tcBorders>
              <w:top w:val="nil"/>
              <w:left w:val="nil"/>
              <w:bottom w:val="nil"/>
              <w:right w:val="nil"/>
            </w:tcBorders>
          </w:tcPr>
          <w:p w14:paraId="0CC2EF64" w14:textId="77777777" w:rsidR="007F1696" w:rsidRPr="0049187C" w:rsidRDefault="00B00716" w:rsidP="0049187C">
            <w:pPr>
              <w:spacing w:after="0" w:line="240" w:lineRule="auto"/>
              <w:ind w:left="0" w:firstLine="0"/>
              <w:rPr>
                <w:b/>
                <w:bCs/>
              </w:rPr>
            </w:pPr>
            <w:r w:rsidRPr="0049187C">
              <w:rPr>
                <w:b/>
                <w:bCs/>
                <w:lang w:val="de-DE"/>
              </w:rPr>
              <w:t>Κύπρος</w:t>
            </w:r>
          </w:p>
          <w:p w14:paraId="2D668A56" w14:textId="77777777" w:rsidR="007F1696" w:rsidRPr="0049187C" w:rsidRDefault="00B00716" w:rsidP="0049187C">
            <w:pPr>
              <w:pStyle w:val="pil-t1"/>
              <w:keepNext/>
            </w:pPr>
            <w:r w:rsidRPr="0049187C">
              <w:t xml:space="preserve">SANDOZ HELLAS </w:t>
            </w:r>
            <w:r w:rsidRPr="0049187C">
              <w:rPr>
                <w:lang w:val="de-DE"/>
              </w:rPr>
              <w:t>ΜΟΝΟΠΡΟΣΩΠΗ</w:t>
            </w:r>
            <w:r w:rsidRPr="0049187C">
              <w:t xml:space="preserve"> </w:t>
            </w:r>
            <w:r w:rsidRPr="0049187C">
              <w:rPr>
                <w:lang w:val="de-DE"/>
              </w:rPr>
              <w:t>Α</w:t>
            </w:r>
            <w:r w:rsidRPr="0049187C">
              <w:t>.</w:t>
            </w:r>
            <w:r w:rsidRPr="0049187C">
              <w:rPr>
                <w:lang w:val="de-DE"/>
              </w:rPr>
              <w:t>Ε</w:t>
            </w:r>
            <w:r w:rsidRPr="0049187C">
              <w:t>.</w:t>
            </w:r>
          </w:p>
          <w:p w14:paraId="51D5CD82" w14:textId="77777777" w:rsidR="007F1696" w:rsidRPr="0049187C" w:rsidRDefault="00B00716" w:rsidP="0049187C">
            <w:pPr>
              <w:pStyle w:val="pil-t1"/>
              <w:keepNext/>
              <w:rPr>
                <w:lang w:val="de-DE"/>
              </w:rPr>
            </w:pPr>
            <w:r w:rsidRPr="0049187C">
              <w:rPr>
                <w:lang w:val="de-DE"/>
              </w:rPr>
              <w:t>Τηλ: +30 216 600 5000</w:t>
            </w:r>
          </w:p>
          <w:p w14:paraId="1239E8A1" w14:textId="77777777" w:rsidR="007F1696" w:rsidRPr="0049187C" w:rsidRDefault="007F1696" w:rsidP="0049187C">
            <w:pPr>
              <w:spacing w:after="0" w:line="240" w:lineRule="auto"/>
              <w:ind w:left="0" w:firstLine="0"/>
              <w:rPr>
                <w:rFonts w:asciiTheme="majorBidi" w:hAnsiTheme="majorBidi" w:cstheme="majorBidi"/>
                <w:lang w:val="de-DE"/>
              </w:rPr>
            </w:pPr>
          </w:p>
        </w:tc>
        <w:tc>
          <w:tcPr>
            <w:tcW w:w="4633" w:type="dxa"/>
            <w:tcBorders>
              <w:top w:val="nil"/>
              <w:left w:val="nil"/>
              <w:bottom w:val="nil"/>
              <w:right w:val="nil"/>
            </w:tcBorders>
          </w:tcPr>
          <w:p w14:paraId="529E35F7" w14:textId="77777777" w:rsidR="007F1696" w:rsidRPr="0049187C" w:rsidRDefault="00B00716" w:rsidP="0049187C">
            <w:pPr>
              <w:spacing w:after="0" w:line="240" w:lineRule="auto"/>
              <w:ind w:left="0" w:firstLine="0"/>
              <w:rPr>
                <w:b/>
                <w:bCs/>
              </w:rPr>
            </w:pPr>
            <w:r w:rsidRPr="0049187C">
              <w:rPr>
                <w:b/>
                <w:bCs/>
              </w:rPr>
              <w:t>United Kingdom (Northern Ireland)</w:t>
            </w:r>
          </w:p>
          <w:p w14:paraId="1A891787" w14:textId="77777777" w:rsidR="007F1696" w:rsidRPr="0049187C" w:rsidRDefault="00B00716" w:rsidP="0049187C">
            <w:pPr>
              <w:spacing w:after="0" w:line="240" w:lineRule="auto"/>
              <w:ind w:left="0" w:firstLine="0"/>
            </w:pPr>
            <w:r w:rsidRPr="0049187C">
              <w:t>Sandoz GmbH</w:t>
            </w:r>
            <w:r w:rsidR="00D92115" w:rsidRPr="0049187C">
              <w:t xml:space="preserve"> (</w:t>
            </w:r>
            <w:r w:rsidR="005D5466" w:rsidRPr="0049187C">
              <w:t>Austria</w:t>
            </w:r>
            <w:r w:rsidR="00D92115" w:rsidRPr="0049187C">
              <w:t>)</w:t>
            </w:r>
          </w:p>
          <w:p w14:paraId="185864DF" w14:textId="77777777" w:rsidR="007F1696" w:rsidRPr="0049187C" w:rsidRDefault="00B00716" w:rsidP="0049187C">
            <w:pPr>
              <w:spacing w:after="0" w:line="240" w:lineRule="auto"/>
              <w:ind w:left="0" w:firstLine="0"/>
              <w:rPr>
                <w:rFonts w:asciiTheme="majorBidi" w:hAnsiTheme="majorBidi" w:cstheme="majorBidi"/>
                <w:lang w:val="de-DE"/>
              </w:rPr>
            </w:pPr>
            <w:r w:rsidRPr="0049187C">
              <w:rPr>
                <w:lang w:val="de-DE"/>
              </w:rPr>
              <w:t>Tel: +43 5338 2000</w:t>
            </w:r>
          </w:p>
        </w:tc>
      </w:tr>
      <w:tr w:rsidR="00A67796" w:rsidRPr="0049187C" w14:paraId="2CB7CD40" w14:textId="77777777" w:rsidTr="00252F44">
        <w:trPr>
          <w:trHeight w:val="1008"/>
        </w:trPr>
        <w:tc>
          <w:tcPr>
            <w:tcW w:w="4679" w:type="dxa"/>
            <w:tcBorders>
              <w:top w:val="nil"/>
              <w:left w:val="nil"/>
              <w:bottom w:val="nil"/>
              <w:right w:val="nil"/>
            </w:tcBorders>
          </w:tcPr>
          <w:p w14:paraId="4F0D7164" w14:textId="77777777" w:rsidR="007F1696" w:rsidRPr="0049187C" w:rsidRDefault="00B00716" w:rsidP="0049187C">
            <w:pPr>
              <w:spacing w:after="0" w:line="240" w:lineRule="auto"/>
              <w:ind w:left="0" w:firstLine="0"/>
              <w:rPr>
                <w:b/>
                <w:bCs/>
              </w:rPr>
            </w:pPr>
            <w:r w:rsidRPr="0049187C">
              <w:rPr>
                <w:b/>
                <w:bCs/>
              </w:rPr>
              <w:t>Latvija</w:t>
            </w:r>
          </w:p>
          <w:p w14:paraId="51C3ED35" w14:textId="77777777" w:rsidR="007F1696" w:rsidRPr="0049187C" w:rsidRDefault="00B00716" w:rsidP="0049187C">
            <w:pPr>
              <w:spacing w:after="0" w:line="240" w:lineRule="auto"/>
              <w:ind w:left="0" w:firstLine="0"/>
            </w:pPr>
            <w:r w:rsidRPr="0049187C">
              <w:t>Sandoz d.d. Latvia filiāle</w:t>
            </w:r>
          </w:p>
          <w:p w14:paraId="646FE8F6" w14:textId="77777777" w:rsidR="007F1696" w:rsidRPr="0049187C" w:rsidRDefault="00B00716" w:rsidP="0049187C">
            <w:pPr>
              <w:spacing w:after="0" w:line="240" w:lineRule="auto"/>
              <w:ind w:left="0" w:firstLine="0"/>
              <w:rPr>
                <w:lang w:val="de-DE"/>
              </w:rPr>
            </w:pPr>
            <w:r w:rsidRPr="0049187C">
              <w:rPr>
                <w:lang w:val="de-DE"/>
              </w:rPr>
              <w:t>Tel: +371 67 892 006</w:t>
            </w:r>
          </w:p>
          <w:p w14:paraId="344915FC" w14:textId="77777777" w:rsidR="007F1696" w:rsidRPr="0049187C" w:rsidRDefault="007F1696" w:rsidP="0049187C">
            <w:pPr>
              <w:spacing w:after="0" w:line="240" w:lineRule="auto"/>
              <w:ind w:left="0" w:firstLine="0"/>
              <w:rPr>
                <w:rFonts w:asciiTheme="majorBidi" w:hAnsiTheme="majorBidi" w:cstheme="majorBidi"/>
                <w:lang w:val="de-DE"/>
              </w:rPr>
            </w:pPr>
          </w:p>
        </w:tc>
        <w:tc>
          <w:tcPr>
            <w:tcW w:w="4633" w:type="dxa"/>
            <w:tcBorders>
              <w:top w:val="nil"/>
              <w:left w:val="nil"/>
              <w:bottom w:val="nil"/>
              <w:right w:val="nil"/>
            </w:tcBorders>
          </w:tcPr>
          <w:p w14:paraId="72DD3E9C" w14:textId="77777777" w:rsidR="007F1696" w:rsidRPr="0049187C" w:rsidRDefault="007F1696" w:rsidP="0049187C">
            <w:pPr>
              <w:spacing w:after="0" w:line="240" w:lineRule="auto"/>
              <w:ind w:left="0" w:firstLine="0"/>
              <w:rPr>
                <w:rFonts w:asciiTheme="majorBidi" w:hAnsiTheme="majorBidi" w:cstheme="majorBidi"/>
                <w:lang w:val="de-DE"/>
              </w:rPr>
            </w:pPr>
          </w:p>
        </w:tc>
      </w:tr>
    </w:tbl>
    <w:p w14:paraId="2249DD5A" w14:textId="77777777" w:rsidR="00F07195" w:rsidRPr="0049187C" w:rsidRDefault="00F07195" w:rsidP="0049187C">
      <w:pPr>
        <w:spacing w:after="0" w:line="240" w:lineRule="auto"/>
        <w:ind w:left="0" w:firstLine="0"/>
        <w:rPr>
          <w:lang w:val="de-DE"/>
        </w:rPr>
      </w:pPr>
    </w:p>
    <w:p w14:paraId="06BD9C04" w14:textId="77777777" w:rsidR="00261AC3" w:rsidRPr="0049187C" w:rsidRDefault="00B00716" w:rsidP="0049187C">
      <w:pPr>
        <w:spacing w:after="0" w:line="240" w:lineRule="auto"/>
        <w:ind w:left="0" w:firstLine="0"/>
        <w:rPr>
          <w:lang w:val="de-DE"/>
        </w:rPr>
      </w:pPr>
      <w:r w:rsidRPr="0049187C">
        <w:rPr>
          <w:b/>
          <w:lang w:val="de-DE"/>
        </w:rPr>
        <w:t>Diese Packungsbeilage wurde zuletzt überarbeitet im</w:t>
      </w:r>
    </w:p>
    <w:p w14:paraId="33170285" w14:textId="77777777" w:rsidR="00F83928" w:rsidRPr="0049187C" w:rsidRDefault="00F83928" w:rsidP="0049187C">
      <w:pPr>
        <w:spacing w:after="0" w:line="240" w:lineRule="auto"/>
        <w:ind w:left="0" w:firstLine="0"/>
        <w:rPr>
          <w:lang w:val="de-DE"/>
        </w:rPr>
      </w:pPr>
    </w:p>
    <w:p w14:paraId="14C88395" w14:textId="77777777" w:rsidR="00261AC3" w:rsidRPr="0049187C" w:rsidRDefault="00B00716" w:rsidP="0049187C">
      <w:pPr>
        <w:spacing w:after="0" w:line="240" w:lineRule="auto"/>
        <w:ind w:left="0" w:firstLine="0"/>
        <w:rPr>
          <w:lang w:val="de-DE"/>
        </w:rPr>
      </w:pPr>
      <w:r w:rsidRPr="0049187C">
        <w:rPr>
          <w:lang w:val="de-DE"/>
        </w:rPr>
        <w:t>Ausführliche Informationen zu diesem Arzneimittel sind auf den Internetseiten der Europäischen Arzneimittel</w:t>
      </w:r>
      <w:r w:rsidRPr="0049187C">
        <w:rPr>
          <w:lang w:val="de-DE"/>
        </w:rPr>
        <w:noBreakHyphen/>
        <w:t xml:space="preserve">Agentur </w:t>
      </w:r>
      <w:hyperlink r:id="rId19" w:history="1">
        <w:r w:rsidR="009409CE" w:rsidRPr="0049187C">
          <w:rPr>
            <w:rStyle w:val="Hyperlink"/>
            <w:color w:val="0000FF"/>
            <w:lang w:val="de-DE"/>
          </w:rPr>
          <w:t>https://www.ema.europa.eu/</w:t>
        </w:r>
      </w:hyperlink>
      <w:r w:rsidRPr="0049187C">
        <w:rPr>
          <w:lang w:val="de-DE"/>
        </w:rPr>
        <w:t xml:space="preserve"> verfügbar.</w:t>
      </w:r>
    </w:p>
    <w:p w14:paraId="6B6CA7BE" w14:textId="77777777" w:rsidR="00F83928" w:rsidRPr="0049187C" w:rsidRDefault="00F83928" w:rsidP="0049187C">
      <w:pPr>
        <w:spacing w:after="0" w:line="240" w:lineRule="auto"/>
        <w:ind w:left="0" w:firstLine="0"/>
        <w:rPr>
          <w:lang w:val="de-DE"/>
        </w:rPr>
      </w:pPr>
    </w:p>
    <w:p w14:paraId="426C2234" w14:textId="77777777" w:rsidR="00972C40" w:rsidRPr="0049187C" w:rsidRDefault="00972C40" w:rsidP="0049187C">
      <w:pPr>
        <w:spacing w:after="0" w:line="240" w:lineRule="auto"/>
        <w:ind w:left="0" w:firstLine="0"/>
        <w:rPr>
          <w:b/>
          <w:lang w:val="de-DE"/>
        </w:rPr>
      </w:pPr>
    </w:p>
    <w:p w14:paraId="4968FA3C" w14:textId="77777777" w:rsidR="00330CA4" w:rsidRPr="0049187C" w:rsidRDefault="00B00716" w:rsidP="0049187C">
      <w:pPr>
        <w:keepNext/>
        <w:keepLines/>
        <w:tabs>
          <w:tab w:val="left" w:pos="567"/>
        </w:tabs>
        <w:spacing w:after="0" w:line="240" w:lineRule="auto"/>
        <w:ind w:left="0" w:firstLine="0"/>
        <w:rPr>
          <w:b/>
          <w:lang w:val="de-DE"/>
        </w:rPr>
      </w:pPr>
      <w:r w:rsidRPr="0049187C">
        <w:rPr>
          <w:b/>
          <w:lang w:val="de-DE"/>
        </w:rPr>
        <w:t>7.</w:t>
      </w:r>
      <w:r w:rsidRPr="0049187C">
        <w:rPr>
          <w:b/>
          <w:lang w:val="de-DE"/>
        </w:rPr>
        <w:tab/>
        <w:t>Gebrauchsan</w:t>
      </w:r>
      <w:r w:rsidR="00370970" w:rsidRPr="0049187C">
        <w:rPr>
          <w:b/>
          <w:lang w:val="de-DE"/>
        </w:rPr>
        <w:t>weisung</w:t>
      </w:r>
    </w:p>
    <w:p w14:paraId="5B54A55D" w14:textId="77777777" w:rsidR="00330CA4" w:rsidRPr="0049187C" w:rsidRDefault="00330CA4" w:rsidP="0049187C">
      <w:pPr>
        <w:keepNext/>
        <w:keepLines/>
        <w:spacing w:after="0" w:line="240" w:lineRule="auto"/>
        <w:ind w:left="0" w:firstLine="0"/>
        <w:rPr>
          <w:lang w:val="de-DE"/>
        </w:rPr>
      </w:pPr>
    </w:p>
    <w:p w14:paraId="5958CB42" w14:textId="77777777" w:rsidR="00330CA4" w:rsidRPr="0049187C" w:rsidRDefault="00B00716" w:rsidP="0049187C">
      <w:pPr>
        <w:spacing w:after="0" w:line="240" w:lineRule="auto"/>
        <w:ind w:left="0" w:firstLine="0"/>
        <w:rPr>
          <w:lang w:val="de-DE"/>
        </w:rPr>
      </w:pPr>
      <w:r w:rsidRPr="0049187C">
        <w:rPr>
          <w:lang w:val="de-DE"/>
        </w:rPr>
        <w:t>Diese Gebrauchsan</w:t>
      </w:r>
      <w:r w:rsidR="00370970" w:rsidRPr="0049187C">
        <w:rPr>
          <w:lang w:val="de-DE"/>
        </w:rPr>
        <w:t>weisung</w:t>
      </w:r>
      <w:r w:rsidRPr="0049187C">
        <w:rPr>
          <w:lang w:val="de-DE"/>
        </w:rPr>
        <w:t xml:space="preserve"> enthält Informationen zur Injektion von Jubbonti. </w:t>
      </w:r>
    </w:p>
    <w:p w14:paraId="3E7A8116" w14:textId="77777777" w:rsidR="00330CA4" w:rsidRPr="0049187C" w:rsidRDefault="00330CA4" w:rsidP="0049187C">
      <w:pPr>
        <w:spacing w:after="0" w:line="240" w:lineRule="auto"/>
        <w:ind w:left="0" w:firstLine="0"/>
        <w:rPr>
          <w:lang w:val="de-DE"/>
        </w:rPr>
      </w:pPr>
    </w:p>
    <w:p w14:paraId="7CB70839" w14:textId="77777777" w:rsidR="00330CA4" w:rsidRPr="0049187C" w:rsidRDefault="00B00716" w:rsidP="0049187C">
      <w:pPr>
        <w:spacing w:after="0" w:line="240" w:lineRule="auto"/>
        <w:ind w:left="0" w:firstLine="0"/>
        <w:rPr>
          <w:lang w:val="de-DE"/>
        </w:rPr>
      </w:pPr>
      <w:r w:rsidRPr="0049187C">
        <w:rPr>
          <w:lang w:val="de-DE"/>
        </w:rPr>
        <w:t>Falls Ihr Arzt entscheidet, dass Sie oder Ihre Pflegeperson Ihre Injektionen mit Jubbonti zu Hause vornehmen können, stellen Sie vor der ersten Anwendung sicher, dass Ihr Arzt oder Ihr medizinisches Fachpersonal Ihnen oder Ihrer Pflegeperson die Vorbereitung und Injektion mit der Jubbonti-</w:t>
      </w:r>
      <w:r w:rsidR="00D40D49" w:rsidRPr="0049187C">
        <w:rPr>
          <w:lang w:val="de-DE"/>
        </w:rPr>
        <w:t>Fertigspritze</w:t>
      </w:r>
      <w:r w:rsidRPr="0049187C">
        <w:rPr>
          <w:lang w:val="de-DE"/>
        </w:rPr>
        <w:t xml:space="preserve"> zeigt.</w:t>
      </w:r>
    </w:p>
    <w:p w14:paraId="14C36DBE" w14:textId="77777777" w:rsidR="00330CA4" w:rsidRPr="0049187C" w:rsidRDefault="00330CA4" w:rsidP="0049187C">
      <w:pPr>
        <w:spacing w:after="0" w:line="240" w:lineRule="auto"/>
        <w:ind w:left="0" w:firstLine="0"/>
        <w:rPr>
          <w:lang w:val="de-DE"/>
        </w:rPr>
      </w:pPr>
    </w:p>
    <w:p w14:paraId="2855CF64" w14:textId="77777777" w:rsidR="00330CA4" w:rsidRPr="0049187C" w:rsidRDefault="00B00716" w:rsidP="0049187C">
      <w:pPr>
        <w:spacing w:after="0" w:line="240" w:lineRule="auto"/>
        <w:ind w:left="0" w:firstLine="0"/>
        <w:rPr>
          <w:lang w:val="de-DE"/>
        </w:rPr>
      </w:pPr>
      <w:r w:rsidRPr="0049187C">
        <w:rPr>
          <w:lang w:val="de-DE"/>
        </w:rPr>
        <w:t>Sie müssen diese G</w:t>
      </w:r>
      <w:r w:rsidR="007906CD" w:rsidRPr="0049187C">
        <w:rPr>
          <w:lang w:val="de-DE"/>
        </w:rPr>
        <w:t xml:space="preserve">ebrauchsanweisung </w:t>
      </w:r>
      <w:r w:rsidR="00896A5A" w:rsidRPr="0049187C">
        <w:rPr>
          <w:lang w:val="de-DE"/>
        </w:rPr>
        <w:t>lesen</w:t>
      </w:r>
      <w:r w:rsidRPr="0049187C">
        <w:rPr>
          <w:lang w:val="de-DE"/>
        </w:rPr>
        <w:t xml:space="preserve"> und verstehen, bevor Sie sich mit der Jubbonti-</w:t>
      </w:r>
      <w:r w:rsidR="00D40D49" w:rsidRPr="0049187C">
        <w:rPr>
          <w:lang w:val="de-DE"/>
        </w:rPr>
        <w:t xml:space="preserve"> Fertigspritze </w:t>
      </w:r>
      <w:r w:rsidRPr="0049187C">
        <w:rPr>
          <w:lang w:val="de-DE"/>
        </w:rPr>
        <w:t>injizieren. Sprechen Sie mit Ihrem Arzt, falls Sie Fragen haben.</w:t>
      </w:r>
    </w:p>
    <w:p w14:paraId="7F020019" w14:textId="77777777" w:rsidR="00895086" w:rsidRPr="0049187C" w:rsidRDefault="00B00716" w:rsidP="0049187C">
      <w:pPr>
        <w:spacing w:after="0" w:line="240" w:lineRule="auto"/>
        <w:ind w:left="0" w:firstLine="0"/>
        <w:rPr>
          <w:lang w:val="de-DE"/>
        </w:rPr>
      </w:pPr>
      <w:r w:rsidRPr="0049187C">
        <w:rPr>
          <w:noProof/>
          <w:lang w:val="de-DE"/>
        </w:rPr>
        <w:drawing>
          <wp:inline distT="0" distB="0" distL="0" distR="0" wp14:anchorId="07521075" wp14:editId="724E1B43">
            <wp:extent cx="3350145" cy="3079307"/>
            <wp:effectExtent l="0" t="0" r="3175" b="6985"/>
            <wp:docPr id="3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460033" name="Picture 2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350145" cy="3079307"/>
                    </a:xfrm>
                    <a:prstGeom prst="rect">
                      <a:avLst/>
                    </a:prstGeom>
                  </pic:spPr>
                </pic:pic>
              </a:graphicData>
            </a:graphic>
          </wp:inline>
        </w:drawing>
      </w:r>
    </w:p>
    <w:p w14:paraId="0ACAB7F2" w14:textId="77777777" w:rsidR="00B513E4" w:rsidRPr="0049187C" w:rsidRDefault="00B513E4" w:rsidP="0049187C">
      <w:pPr>
        <w:spacing w:after="0" w:line="240" w:lineRule="auto"/>
        <w:ind w:left="0" w:firstLine="0"/>
        <w:rPr>
          <w:lang w:val="de-DE"/>
        </w:rPr>
      </w:pPr>
    </w:p>
    <w:tbl>
      <w:tblPr>
        <w:tblStyle w:val="TableGridLight"/>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8931"/>
      </w:tblGrid>
      <w:tr w:rsidR="00A67796" w:rsidRPr="0049187C" w14:paraId="6B39B8D0" w14:textId="77777777" w:rsidTr="00744CE4">
        <w:tc>
          <w:tcPr>
            <w:tcW w:w="8931" w:type="dxa"/>
          </w:tcPr>
          <w:p w14:paraId="1DFF71F1" w14:textId="77777777" w:rsidR="00896A5A" w:rsidRPr="0049187C" w:rsidRDefault="00B00716" w:rsidP="0049187C">
            <w:pPr>
              <w:pStyle w:val="Text"/>
              <w:spacing w:before="0"/>
              <w:jc w:val="left"/>
              <w:rPr>
                <w:b/>
                <w:bCs/>
                <w:sz w:val="22"/>
                <w:szCs w:val="22"/>
                <w:lang w:val="de-DE"/>
              </w:rPr>
            </w:pPr>
            <w:r w:rsidRPr="0049187C">
              <w:rPr>
                <w:b/>
                <w:bCs/>
                <w:sz w:val="22"/>
                <w:szCs w:val="22"/>
                <w:lang w:val="de-DE"/>
              </w:rPr>
              <w:t>Wichtige Informationen vor der Injektion von Jubbonti</w:t>
            </w:r>
          </w:p>
          <w:p w14:paraId="6BC2F8C6" w14:textId="77777777" w:rsidR="00B513E4" w:rsidRPr="0049187C" w:rsidRDefault="00B513E4" w:rsidP="0049187C">
            <w:pPr>
              <w:pStyle w:val="Text"/>
              <w:spacing w:before="0"/>
              <w:jc w:val="left"/>
              <w:rPr>
                <w:b/>
                <w:bCs/>
                <w:sz w:val="22"/>
                <w:szCs w:val="22"/>
                <w:lang w:val="de-DE"/>
              </w:rPr>
            </w:pPr>
          </w:p>
          <w:p w14:paraId="31CEB60C" w14:textId="77777777" w:rsidR="00896A5A" w:rsidRPr="0049187C" w:rsidRDefault="00B00716" w:rsidP="0049187C">
            <w:pPr>
              <w:pStyle w:val="Listlevel1"/>
              <w:numPr>
                <w:ilvl w:val="0"/>
                <w:numId w:val="39"/>
              </w:numPr>
              <w:tabs>
                <w:tab w:val="clear" w:pos="357"/>
                <w:tab w:val="num" w:pos="567"/>
              </w:tabs>
              <w:spacing w:before="0" w:after="0"/>
              <w:ind w:left="0" w:firstLine="0"/>
              <w:rPr>
                <w:sz w:val="22"/>
                <w:szCs w:val="22"/>
                <w:lang w:val="de-DE"/>
              </w:rPr>
            </w:pPr>
            <w:r w:rsidRPr="0049187C">
              <w:rPr>
                <w:sz w:val="22"/>
                <w:szCs w:val="22"/>
                <w:lang w:val="de-DE"/>
              </w:rPr>
              <w:t>Jubbonti ist für die subkutane Injektion vorgesehen (direkte Injektion in die Fettschicht unter der Haut).</w:t>
            </w:r>
          </w:p>
          <w:p w14:paraId="622AB669" w14:textId="77777777" w:rsidR="00896A5A" w:rsidRPr="0049187C" w:rsidRDefault="00B00716" w:rsidP="0049187C">
            <w:pPr>
              <w:pStyle w:val="Listlevel1"/>
              <w:numPr>
                <w:ilvl w:val="0"/>
                <w:numId w:val="39"/>
              </w:numPr>
              <w:tabs>
                <w:tab w:val="clear" w:pos="357"/>
                <w:tab w:val="num" w:pos="567"/>
              </w:tabs>
              <w:spacing w:before="0" w:after="0"/>
              <w:ind w:left="0" w:firstLine="0"/>
              <w:rPr>
                <w:b/>
                <w:sz w:val="22"/>
                <w:szCs w:val="22"/>
                <w:lang w:val="de-DE"/>
              </w:rPr>
            </w:pPr>
            <w:r w:rsidRPr="0049187C">
              <w:rPr>
                <w:rStyle w:val="Bold"/>
                <w:b w:val="0"/>
                <w:sz w:val="22"/>
                <w:szCs w:val="22"/>
                <w:lang w:val="de-DE"/>
              </w:rPr>
              <w:t xml:space="preserve">Die </w:t>
            </w:r>
            <w:r w:rsidR="00711C3D" w:rsidRPr="0049187C">
              <w:rPr>
                <w:sz w:val="22"/>
                <w:szCs w:val="22"/>
                <w:lang w:val="de-DE"/>
              </w:rPr>
              <w:t>Fertigspritze</w:t>
            </w:r>
            <w:r w:rsidR="00711C3D" w:rsidRPr="0049187C">
              <w:rPr>
                <w:rStyle w:val="Bold"/>
                <w:b w:val="0"/>
                <w:sz w:val="22"/>
                <w:szCs w:val="22"/>
                <w:lang w:val="de-DE"/>
              </w:rPr>
              <w:t xml:space="preserve"> </w:t>
            </w:r>
            <w:r w:rsidRPr="0049187C">
              <w:rPr>
                <w:rStyle w:val="Bold"/>
                <w:sz w:val="22"/>
                <w:szCs w:val="22"/>
                <w:lang w:val="de-DE"/>
              </w:rPr>
              <w:t>nicht</w:t>
            </w:r>
            <w:r w:rsidRPr="0049187C">
              <w:rPr>
                <w:rStyle w:val="Bold"/>
                <w:b w:val="0"/>
                <w:sz w:val="22"/>
                <w:szCs w:val="22"/>
                <w:lang w:val="de-DE"/>
              </w:rPr>
              <w:t xml:space="preserve"> verwenden, wenn eines der Sicherheitssiegel auf der Umverpackung oder das Siegel auf de</w:t>
            </w:r>
            <w:r w:rsidR="00C91A2D" w:rsidRPr="0049187C">
              <w:rPr>
                <w:rStyle w:val="Bold"/>
                <w:b w:val="0"/>
                <w:sz w:val="22"/>
                <w:szCs w:val="22"/>
                <w:lang w:val="de-DE"/>
              </w:rPr>
              <w:t>r Kunststoffschale beschädigt ist</w:t>
            </w:r>
            <w:r w:rsidRPr="0049187C">
              <w:rPr>
                <w:b/>
                <w:sz w:val="22"/>
                <w:szCs w:val="22"/>
                <w:lang w:val="de-DE"/>
              </w:rPr>
              <w:t xml:space="preserve">. </w:t>
            </w:r>
          </w:p>
          <w:p w14:paraId="1BA4C1FF" w14:textId="77777777" w:rsidR="00896A5A" w:rsidRPr="0049187C" w:rsidRDefault="00B00716" w:rsidP="0049187C">
            <w:pPr>
              <w:pStyle w:val="Listlevel1"/>
              <w:numPr>
                <w:ilvl w:val="0"/>
                <w:numId w:val="39"/>
              </w:numPr>
              <w:tabs>
                <w:tab w:val="clear" w:pos="357"/>
                <w:tab w:val="num" w:pos="567"/>
              </w:tabs>
              <w:spacing w:before="0" w:after="0"/>
              <w:ind w:left="0" w:firstLine="0"/>
              <w:rPr>
                <w:sz w:val="22"/>
                <w:szCs w:val="22"/>
                <w:lang w:val="de-DE"/>
              </w:rPr>
            </w:pPr>
            <w:r w:rsidRPr="0049187C">
              <w:rPr>
                <w:bCs/>
                <w:sz w:val="22"/>
                <w:szCs w:val="22"/>
                <w:lang w:val="de-DE"/>
              </w:rPr>
              <w:t xml:space="preserve">Die </w:t>
            </w:r>
            <w:r w:rsidR="00711C3D" w:rsidRPr="0049187C">
              <w:rPr>
                <w:sz w:val="22"/>
                <w:szCs w:val="22"/>
                <w:lang w:val="de-DE"/>
              </w:rPr>
              <w:t>Fertigspritze</w:t>
            </w:r>
            <w:r w:rsidR="00711C3D" w:rsidRPr="0049187C">
              <w:rPr>
                <w:b/>
                <w:bCs/>
                <w:sz w:val="22"/>
                <w:szCs w:val="22"/>
                <w:lang w:val="de-DE"/>
              </w:rPr>
              <w:t xml:space="preserve"> </w:t>
            </w:r>
            <w:r w:rsidRPr="0049187C">
              <w:rPr>
                <w:b/>
                <w:bCs/>
                <w:sz w:val="22"/>
                <w:szCs w:val="22"/>
                <w:lang w:val="de-DE"/>
              </w:rPr>
              <w:t xml:space="preserve">zu keinem Zeitpunkt </w:t>
            </w:r>
            <w:r w:rsidRPr="0049187C">
              <w:rPr>
                <w:bCs/>
                <w:sz w:val="22"/>
                <w:szCs w:val="22"/>
                <w:lang w:val="de-DE"/>
              </w:rPr>
              <w:t>schütteln.</w:t>
            </w:r>
          </w:p>
          <w:p w14:paraId="1AB3240A" w14:textId="77777777" w:rsidR="00896A5A" w:rsidRPr="0049187C" w:rsidRDefault="00B00716" w:rsidP="0049187C">
            <w:pPr>
              <w:pStyle w:val="Listlevel1"/>
              <w:numPr>
                <w:ilvl w:val="0"/>
                <w:numId w:val="39"/>
              </w:numPr>
              <w:tabs>
                <w:tab w:val="clear" w:pos="357"/>
                <w:tab w:val="num" w:pos="567"/>
              </w:tabs>
              <w:spacing w:before="0" w:after="0"/>
              <w:ind w:left="0" w:firstLine="0"/>
              <w:rPr>
                <w:sz w:val="22"/>
                <w:szCs w:val="22"/>
                <w:lang w:val="de-DE"/>
              </w:rPr>
            </w:pPr>
            <w:r w:rsidRPr="0049187C">
              <w:rPr>
                <w:sz w:val="22"/>
                <w:szCs w:val="22"/>
                <w:lang w:val="de-DE"/>
              </w:rPr>
              <w:t xml:space="preserve">Die </w:t>
            </w:r>
            <w:r w:rsidR="00711C3D" w:rsidRPr="0049187C">
              <w:rPr>
                <w:sz w:val="22"/>
                <w:szCs w:val="22"/>
                <w:lang w:val="de-DE"/>
              </w:rPr>
              <w:t xml:space="preserve">Fertigspritze </w:t>
            </w:r>
            <w:r w:rsidRPr="0049187C">
              <w:rPr>
                <w:b/>
                <w:sz w:val="22"/>
                <w:szCs w:val="22"/>
                <w:lang w:val="de-DE"/>
              </w:rPr>
              <w:t>nicht</w:t>
            </w:r>
            <w:r w:rsidRPr="0049187C">
              <w:rPr>
                <w:sz w:val="22"/>
                <w:szCs w:val="22"/>
                <w:lang w:val="de-DE"/>
              </w:rPr>
              <w:t xml:space="preserve"> verwenden, wenn sie auf eine harte Oberfläche gefallen ist oder nach Entfernen der Nadelkappe fallengelassen wurde.</w:t>
            </w:r>
          </w:p>
          <w:p w14:paraId="657A4349" w14:textId="77777777" w:rsidR="00896A5A" w:rsidRPr="0049187C" w:rsidRDefault="00B00716" w:rsidP="0049187C">
            <w:pPr>
              <w:pStyle w:val="Listlevel1"/>
              <w:numPr>
                <w:ilvl w:val="0"/>
                <w:numId w:val="39"/>
              </w:numPr>
              <w:tabs>
                <w:tab w:val="clear" w:pos="357"/>
                <w:tab w:val="num" w:pos="567"/>
              </w:tabs>
              <w:spacing w:before="0" w:after="0"/>
              <w:ind w:left="0" w:firstLine="0"/>
              <w:rPr>
                <w:sz w:val="22"/>
                <w:szCs w:val="22"/>
                <w:lang w:val="de-DE"/>
              </w:rPr>
            </w:pPr>
            <w:r w:rsidRPr="0049187C">
              <w:rPr>
                <w:sz w:val="22"/>
                <w:szCs w:val="22"/>
                <w:lang w:val="de-DE"/>
              </w:rPr>
              <w:t xml:space="preserve">Die </w:t>
            </w:r>
            <w:r w:rsidR="00711C3D" w:rsidRPr="0049187C">
              <w:rPr>
                <w:sz w:val="22"/>
                <w:szCs w:val="22"/>
                <w:lang w:val="de-DE"/>
              </w:rPr>
              <w:t xml:space="preserve">Fertigspritze </w:t>
            </w:r>
            <w:r w:rsidRPr="0049187C">
              <w:rPr>
                <w:sz w:val="22"/>
                <w:szCs w:val="22"/>
                <w:lang w:val="de-DE"/>
              </w:rPr>
              <w:t>verfügt über eine Schutz</w:t>
            </w:r>
            <w:r w:rsidR="00C91A2D" w:rsidRPr="0049187C">
              <w:rPr>
                <w:sz w:val="22"/>
                <w:szCs w:val="22"/>
                <w:lang w:val="de-DE"/>
              </w:rPr>
              <w:t>vorrichtung</w:t>
            </w:r>
            <w:r w:rsidRPr="0049187C">
              <w:rPr>
                <w:sz w:val="22"/>
                <w:szCs w:val="22"/>
                <w:lang w:val="de-DE"/>
              </w:rPr>
              <w:t xml:space="preserve">, </w:t>
            </w:r>
            <w:r w:rsidR="00C91A2D" w:rsidRPr="0049187C">
              <w:rPr>
                <w:sz w:val="22"/>
                <w:szCs w:val="22"/>
                <w:lang w:val="de-DE"/>
              </w:rPr>
              <w:t>die</w:t>
            </w:r>
            <w:r w:rsidR="00AB4EEC" w:rsidRPr="0049187C">
              <w:rPr>
                <w:sz w:val="22"/>
                <w:szCs w:val="22"/>
                <w:lang w:val="de-DE"/>
              </w:rPr>
              <w:t xml:space="preserve"> sich nach Abschluss der Injektion aktiviert und die Nadel bedeckt. </w:t>
            </w:r>
            <w:r w:rsidR="00C91A2D" w:rsidRPr="0049187C">
              <w:rPr>
                <w:sz w:val="22"/>
                <w:szCs w:val="22"/>
                <w:lang w:val="de-DE"/>
              </w:rPr>
              <w:t>Die</w:t>
            </w:r>
            <w:r w:rsidR="00AB4EEC" w:rsidRPr="0049187C">
              <w:rPr>
                <w:sz w:val="22"/>
                <w:szCs w:val="22"/>
                <w:lang w:val="de-DE"/>
              </w:rPr>
              <w:t xml:space="preserve"> Schutz</w:t>
            </w:r>
            <w:r w:rsidR="00C91A2D" w:rsidRPr="0049187C">
              <w:rPr>
                <w:sz w:val="22"/>
                <w:szCs w:val="22"/>
                <w:lang w:val="de-DE"/>
              </w:rPr>
              <w:t>vorrichtung</w:t>
            </w:r>
            <w:r w:rsidR="00AB4EEC" w:rsidRPr="0049187C">
              <w:rPr>
                <w:sz w:val="22"/>
                <w:szCs w:val="22"/>
                <w:lang w:val="de-DE"/>
              </w:rPr>
              <w:t xml:space="preserve"> hilft, Verletzungen durch Nadelstiche bei Personen zu vermeiden, die die </w:t>
            </w:r>
            <w:r w:rsidR="00711C3D" w:rsidRPr="0049187C">
              <w:rPr>
                <w:sz w:val="22"/>
                <w:szCs w:val="22"/>
                <w:lang w:val="de-DE"/>
              </w:rPr>
              <w:t xml:space="preserve">Fertigspritze </w:t>
            </w:r>
            <w:r w:rsidR="00AB4EEC" w:rsidRPr="0049187C">
              <w:rPr>
                <w:sz w:val="22"/>
                <w:szCs w:val="22"/>
                <w:lang w:val="de-DE"/>
              </w:rPr>
              <w:t>nach Injektion in der Hand halten.</w:t>
            </w:r>
          </w:p>
          <w:p w14:paraId="1E743571" w14:textId="77777777" w:rsidR="00896A5A" w:rsidRPr="0049187C" w:rsidRDefault="00B00716" w:rsidP="0049187C">
            <w:pPr>
              <w:pStyle w:val="Listlevel1"/>
              <w:numPr>
                <w:ilvl w:val="0"/>
                <w:numId w:val="39"/>
              </w:numPr>
              <w:tabs>
                <w:tab w:val="clear" w:pos="357"/>
                <w:tab w:val="num" w:pos="567"/>
              </w:tabs>
              <w:spacing w:before="0" w:after="0"/>
              <w:ind w:left="0" w:firstLine="0"/>
              <w:rPr>
                <w:sz w:val="22"/>
                <w:szCs w:val="22"/>
                <w:lang w:val="de-DE"/>
              </w:rPr>
            </w:pPr>
            <w:r w:rsidRPr="0049187C">
              <w:rPr>
                <w:b/>
                <w:bCs/>
                <w:sz w:val="22"/>
                <w:szCs w:val="22"/>
                <w:lang w:val="de-DE"/>
              </w:rPr>
              <w:t xml:space="preserve">Die </w:t>
            </w:r>
            <w:r w:rsidR="00C91A2D" w:rsidRPr="0049187C">
              <w:rPr>
                <w:b/>
                <w:bCs/>
                <w:sz w:val="22"/>
                <w:szCs w:val="22"/>
                <w:lang w:val="de-DE"/>
              </w:rPr>
              <w:t>Flügel der Schutzvorrichtung</w:t>
            </w:r>
            <w:r w:rsidRPr="0049187C">
              <w:rPr>
                <w:b/>
                <w:bCs/>
                <w:sz w:val="22"/>
                <w:szCs w:val="22"/>
                <w:lang w:val="de-DE"/>
              </w:rPr>
              <w:t xml:space="preserve"> </w:t>
            </w:r>
            <w:r w:rsidR="00C40C3F" w:rsidRPr="0049187C">
              <w:rPr>
                <w:b/>
                <w:bCs/>
                <w:sz w:val="22"/>
                <w:szCs w:val="22"/>
                <w:lang w:val="de-DE"/>
              </w:rPr>
              <w:t>auf keinen Fall vor Gebrauch berühren.</w:t>
            </w:r>
            <w:r w:rsidRPr="0049187C">
              <w:rPr>
                <w:sz w:val="22"/>
                <w:szCs w:val="22"/>
                <w:lang w:val="de-DE"/>
              </w:rPr>
              <w:t xml:space="preserve"> </w:t>
            </w:r>
            <w:r w:rsidR="00C40C3F" w:rsidRPr="0049187C">
              <w:rPr>
                <w:sz w:val="22"/>
                <w:szCs w:val="22"/>
                <w:lang w:val="de-DE"/>
              </w:rPr>
              <w:t xml:space="preserve">Durch Berührungen kann </w:t>
            </w:r>
            <w:r w:rsidR="00C91A2D" w:rsidRPr="0049187C">
              <w:rPr>
                <w:sz w:val="22"/>
                <w:szCs w:val="22"/>
                <w:lang w:val="de-DE"/>
              </w:rPr>
              <w:t>die</w:t>
            </w:r>
            <w:r w:rsidR="00C40C3F" w:rsidRPr="0049187C">
              <w:rPr>
                <w:sz w:val="22"/>
                <w:szCs w:val="22"/>
                <w:lang w:val="de-DE"/>
              </w:rPr>
              <w:t xml:space="preserve"> Schut</w:t>
            </w:r>
            <w:r w:rsidR="00C91A2D" w:rsidRPr="0049187C">
              <w:rPr>
                <w:sz w:val="22"/>
                <w:szCs w:val="22"/>
                <w:lang w:val="de-DE"/>
              </w:rPr>
              <w:t>zvorrichtung</w:t>
            </w:r>
            <w:r w:rsidR="00C40C3F" w:rsidRPr="0049187C">
              <w:rPr>
                <w:sz w:val="22"/>
                <w:szCs w:val="22"/>
                <w:lang w:val="de-DE"/>
              </w:rPr>
              <w:t xml:space="preserve"> frühzeitig ausgelöst werden.</w:t>
            </w:r>
          </w:p>
          <w:p w14:paraId="6B32F56F" w14:textId="77777777" w:rsidR="00896A5A" w:rsidRPr="0049187C" w:rsidRDefault="00B00716" w:rsidP="0049187C">
            <w:pPr>
              <w:pStyle w:val="Listlevel1"/>
              <w:numPr>
                <w:ilvl w:val="0"/>
                <w:numId w:val="39"/>
              </w:numPr>
              <w:tabs>
                <w:tab w:val="clear" w:pos="357"/>
                <w:tab w:val="num" w:pos="567"/>
              </w:tabs>
              <w:spacing w:before="0" w:after="0"/>
              <w:ind w:left="0" w:firstLine="0"/>
              <w:rPr>
                <w:sz w:val="22"/>
                <w:szCs w:val="22"/>
                <w:lang w:val="de-DE"/>
              </w:rPr>
            </w:pPr>
            <w:r w:rsidRPr="0049187C">
              <w:rPr>
                <w:sz w:val="22"/>
                <w:szCs w:val="22"/>
                <w:lang w:val="de-DE"/>
              </w:rPr>
              <w:t>Die Fertigspritze</w:t>
            </w:r>
            <w:r w:rsidRPr="0049187C">
              <w:rPr>
                <w:b/>
                <w:sz w:val="22"/>
                <w:szCs w:val="22"/>
                <w:lang w:val="de-DE"/>
              </w:rPr>
              <w:t xml:space="preserve"> nicht </w:t>
            </w:r>
            <w:r w:rsidRPr="0049187C">
              <w:rPr>
                <w:sz w:val="22"/>
                <w:szCs w:val="22"/>
                <w:lang w:val="de-DE"/>
              </w:rPr>
              <w:t>wiederverwenden oder auseinandernehmen.</w:t>
            </w:r>
          </w:p>
          <w:p w14:paraId="1CFE84CF" w14:textId="77777777" w:rsidR="00896A5A" w:rsidRPr="0049187C" w:rsidRDefault="00B00716" w:rsidP="0049187C">
            <w:pPr>
              <w:pStyle w:val="Listlevel1"/>
              <w:numPr>
                <w:ilvl w:val="0"/>
                <w:numId w:val="39"/>
              </w:numPr>
              <w:tabs>
                <w:tab w:val="clear" w:pos="357"/>
                <w:tab w:val="num" w:pos="567"/>
              </w:tabs>
              <w:spacing w:before="0" w:after="0"/>
              <w:ind w:left="0" w:firstLine="0"/>
              <w:rPr>
                <w:sz w:val="22"/>
                <w:szCs w:val="22"/>
                <w:lang w:val="de-DE"/>
              </w:rPr>
            </w:pPr>
            <w:r w:rsidRPr="0049187C">
              <w:rPr>
                <w:sz w:val="22"/>
                <w:szCs w:val="22"/>
                <w:lang w:val="de-DE"/>
              </w:rPr>
              <w:t xml:space="preserve">Den Kolben </w:t>
            </w:r>
            <w:r w:rsidRPr="0049187C">
              <w:rPr>
                <w:b/>
                <w:sz w:val="22"/>
                <w:szCs w:val="22"/>
                <w:lang w:val="de-DE"/>
              </w:rPr>
              <w:t>nicht</w:t>
            </w:r>
            <w:r w:rsidRPr="0049187C">
              <w:rPr>
                <w:sz w:val="22"/>
                <w:szCs w:val="22"/>
                <w:lang w:val="de-DE"/>
              </w:rPr>
              <w:t xml:space="preserve"> nach hinten ziehen.</w:t>
            </w:r>
          </w:p>
        </w:tc>
      </w:tr>
      <w:tr w:rsidR="00A67796" w:rsidRPr="0049187C" w14:paraId="34CC2CB7" w14:textId="77777777" w:rsidTr="00744CE4">
        <w:tc>
          <w:tcPr>
            <w:tcW w:w="8931" w:type="dxa"/>
          </w:tcPr>
          <w:p w14:paraId="2073E592" w14:textId="77777777" w:rsidR="00B513E4" w:rsidRPr="0049187C" w:rsidRDefault="00B513E4" w:rsidP="0049187C">
            <w:pPr>
              <w:pStyle w:val="Text"/>
              <w:spacing w:before="0"/>
              <w:jc w:val="left"/>
              <w:rPr>
                <w:b/>
                <w:bCs/>
                <w:sz w:val="22"/>
                <w:szCs w:val="22"/>
                <w:lang w:val="de-DE"/>
              </w:rPr>
            </w:pPr>
          </w:p>
          <w:p w14:paraId="193ADBFF" w14:textId="77777777" w:rsidR="00896A5A" w:rsidRPr="0049187C" w:rsidRDefault="00B00716" w:rsidP="0049187C">
            <w:pPr>
              <w:pStyle w:val="Text"/>
              <w:spacing w:before="0"/>
              <w:jc w:val="left"/>
              <w:rPr>
                <w:b/>
                <w:bCs/>
                <w:sz w:val="22"/>
                <w:szCs w:val="22"/>
                <w:lang w:val="de-DE"/>
              </w:rPr>
            </w:pPr>
            <w:r w:rsidRPr="0049187C">
              <w:rPr>
                <w:b/>
                <w:bCs/>
                <w:sz w:val="22"/>
                <w:szCs w:val="22"/>
                <w:lang w:val="de-DE"/>
              </w:rPr>
              <w:t>Jubbonti</w:t>
            </w:r>
            <w:r w:rsidR="00744CE4" w:rsidRPr="0049187C">
              <w:rPr>
                <w:b/>
                <w:bCs/>
                <w:sz w:val="22"/>
                <w:szCs w:val="22"/>
                <w:lang w:val="de-DE"/>
              </w:rPr>
              <w:t xml:space="preserve"> aufbewahren</w:t>
            </w:r>
          </w:p>
          <w:p w14:paraId="021683D5" w14:textId="77777777" w:rsidR="00B513E4" w:rsidRPr="0049187C" w:rsidRDefault="00B513E4" w:rsidP="0049187C">
            <w:pPr>
              <w:pStyle w:val="Text"/>
              <w:spacing w:before="0"/>
              <w:jc w:val="left"/>
              <w:rPr>
                <w:sz w:val="22"/>
                <w:szCs w:val="22"/>
                <w:lang w:val="de-DE"/>
              </w:rPr>
            </w:pPr>
          </w:p>
        </w:tc>
      </w:tr>
      <w:tr w:rsidR="00A67796" w:rsidRPr="0049187C" w14:paraId="51841CE9" w14:textId="77777777" w:rsidTr="00744CE4">
        <w:trPr>
          <w:trHeight w:val="991"/>
        </w:trPr>
        <w:tc>
          <w:tcPr>
            <w:tcW w:w="8931" w:type="dxa"/>
          </w:tcPr>
          <w:p w14:paraId="17DC3403" w14:textId="77777777" w:rsidR="00896A5A" w:rsidRPr="0049187C" w:rsidRDefault="00B00716" w:rsidP="0049187C">
            <w:pPr>
              <w:pStyle w:val="Listlevel1"/>
              <w:numPr>
                <w:ilvl w:val="0"/>
                <w:numId w:val="40"/>
              </w:numPr>
              <w:tabs>
                <w:tab w:val="clear" w:pos="357"/>
                <w:tab w:val="num" w:pos="567"/>
              </w:tabs>
              <w:spacing w:before="0" w:after="0"/>
              <w:ind w:left="0" w:firstLine="0"/>
              <w:rPr>
                <w:sz w:val="22"/>
                <w:szCs w:val="22"/>
                <w:lang w:val="de-DE"/>
              </w:rPr>
            </w:pPr>
            <w:r w:rsidRPr="0049187C">
              <w:rPr>
                <w:sz w:val="22"/>
                <w:szCs w:val="22"/>
                <w:lang w:val="de-DE"/>
              </w:rPr>
              <w:t>Im Kühlschrank lagern bei 2 °C bis 8 °C.</w:t>
            </w:r>
          </w:p>
          <w:p w14:paraId="75C4252A" w14:textId="77777777" w:rsidR="00896A5A" w:rsidRPr="0049187C" w:rsidRDefault="00B00716" w:rsidP="0049187C">
            <w:pPr>
              <w:pStyle w:val="Listlevel1"/>
              <w:numPr>
                <w:ilvl w:val="0"/>
                <w:numId w:val="40"/>
              </w:numPr>
              <w:tabs>
                <w:tab w:val="clear" w:pos="357"/>
                <w:tab w:val="num" w:pos="567"/>
              </w:tabs>
              <w:spacing w:before="0" w:after="0"/>
              <w:ind w:left="0" w:firstLine="0"/>
              <w:rPr>
                <w:sz w:val="22"/>
                <w:szCs w:val="22"/>
                <w:lang w:val="de-DE"/>
              </w:rPr>
            </w:pPr>
            <w:r w:rsidRPr="0049187C">
              <w:rPr>
                <w:b/>
                <w:bCs/>
                <w:sz w:val="22"/>
                <w:szCs w:val="22"/>
                <w:lang w:val="de-DE"/>
              </w:rPr>
              <w:t xml:space="preserve">Nicht </w:t>
            </w:r>
            <w:r w:rsidRPr="0049187C">
              <w:rPr>
                <w:bCs/>
                <w:sz w:val="22"/>
                <w:szCs w:val="22"/>
                <w:lang w:val="de-DE"/>
              </w:rPr>
              <w:t>einfri</w:t>
            </w:r>
            <w:r w:rsidR="001603D9" w:rsidRPr="0049187C">
              <w:rPr>
                <w:bCs/>
                <w:sz w:val="22"/>
                <w:szCs w:val="22"/>
                <w:lang w:val="de-DE"/>
              </w:rPr>
              <w:t>e</w:t>
            </w:r>
            <w:r w:rsidRPr="0049187C">
              <w:rPr>
                <w:bCs/>
                <w:sz w:val="22"/>
                <w:szCs w:val="22"/>
                <w:lang w:val="de-DE"/>
              </w:rPr>
              <w:t>ren</w:t>
            </w:r>
            <w:r w:rsidRPr="0049187C">
              <w:rPr>
                <w:sz w:val="22"/>
                <w:szCs w:val="22"/>
                <w:lang w:val="de-DE"/>
              </w:rPr>
              <w:t>.</w:t>
            </w:r>
          </w:p>
          <w:p w14:paraId="00D2A071" w14:textId="77777777" w:rsidR="00896A5A" w:rsidRPr="0049187C" w:rsidRDefault="00B00716" w:rsidP="0049187C">
            <w:pPr>
              <w:pStyle w:val="Listlevel1"/>
              <w:numPr>
                <w:ilvl w:val="0"/>
                <w:numId w:val="40"/>
              </w:numPr>
              <w:tabs>
                <w:tab w:val="clear" w:pos="357"/>
                <w:tab w:val="num" w:pos="567"/>
              </w:tabs>
              <w:spacing w:before="0" w:after="0"/>
              <w:ind w:left="0" w:firstLine="0"/>
              <w:rPr>
                <w:sz w:val="22"/>
                <w:szCs w:val="22"/>
                <w:lang w:val="de-DE"/>
              </w:rPr>
            </w:pPr>
            <w:r w:rsidRPr="0049187C">
              <w:rPr>
                <w:sz w:val="22"/>
                <w:szCs w:val="22"/>
                <w:lang w:val="de-DE"/>
              </w:rPr>
              <w:t>Falls erforderlich</w:t>
            </w:r>
            <w:r w:rsidR="001603D9" w:rsidRPr="0049187C">
              <w:rPr>
                <w:sz w:val="22"/>
                <w:szCs w:val="22"/>
                <w:lang w:val="de-DE"/>
              </w:rPr>
              <w:t>,</w:t>
            </w:r>
            <w:r w:rsidRPr="0049187C">
              <w:rPr>
                <w:sz w:val="22"/>
                <w:szCs w:val="22"/>
                <w:lang w:val="de-DE"/>
              </w:rPr>
              <w:t xml:space="preserve"> kann die Fertigspritze bis zu 30 Tage lang </w:t>
            </w:r>
            <w:r w:rsidR="001603D9" w:rsidRPr="0049187C">
              <w:rPr>
                <w:sz w:val="22"/>
                <w:szCs w:val="22"/>
                <w:lang w:val="de-DE"/>
              </w:rPr>
              <w:t>bei Raumtemperatur bis 25 °C aufbewahrt werden</w:t>
            </w:r>
            <w:r w:rsidRPr="0049187C">
              <w:rPr>
                <w:sz w:val="22"/>
                <w:szCs w:val="22"/>
                <w:lang w:val="de-DE"/>
              </w:rPr>
              <w:t>.</w:t>
            </w:r>
          </w:p>
          <w:p w14:paraId="2B61BCFC" w14:textId="77777777" w:rsidR="00896A5A" w:rsidRPr="0049187C" w:rsidRDefault="00B00716" w:rsidP="0049187C">
            <w:pPr>
              <w:pStyle w:val="Listlevel1"/>
              <w:numPr>
                <w:ilvl w:val="0"/>
                <w:numId w:val="40"/>
              </w:numPr>
              <w:tabs>
                <w:tab w:val="clear" w:pos="357"/>
                <w:tab w:val="num" w:pos="567"/>
              </w:tabs>
              <w:spacing w:before="0" w:after="0"/>
              <w:ind w:left="0" w:firstLine="0"/>
              <w:rPr>
                <w:sz w:val="22"/>
                <w:szCs w:val="22"/>
                <w:lang w:val="de-DE"/>
              </w:rPr>
            </w:pPr>
            <w:r w:rsidRPr="0049187C">
              <w:rPr>
                <w:sz w:val="22"/>
                <w:szCs w:val="22"/>
                <w:lang w:val="de-DE"/>
              </w:rPr>
              <w:t>Fertigspr</w:t>
            </w:r>
            <w:r w:rsidR="000E3C21" w:rsidRPr="0049187C">
              <w:rPr>
                <w:sz w:val="22"/>
                <w:szCs w:val="22"/>
                <w:lang w:val="de-DE"/>
              </w:rPr>
              <w:t>i</w:t>
            </w:r>
            <w:r w:rsidRPr="0049187C">
              <w:rPr>
                <w:sz w:val="22"/>
                <w:szCs w:val="22"/>
                <w:lang w:val="de-DE"/>
              </w:rPr>
              <w:t xml:space="preserve">tze wegwerfen, falls sie länger als 30 Tage bei Raumtemperatur aufbewahrt wurde. </w:t>
            </w:r>
          </w:p>
          <w:p w14:paraId="5F9BD049" w14:textId="77777777" w:rsidR="00896A5A" w:rsidRPr="0049187C" w:rsidRDefault="00B00716" w:rsidP="0049187C">
            <w:pPr>
              <w:pStyle w:val="Listlevel1"/>
              <w:numPr>
                <w:ilvl w:val="0"/>
                <w:numId w:val="40"/>
              </w:numPr>
              <w:tabs>
                <w:tab w:val="clear" w:pos="357"/>
                <w:tab w:val="num" w:pos="567"/>
              </w:tabs>
              <w:spacing w:before="0" w:after="0"/>
              <w:ind w:left="0" w:firstLine="0"/>
              <w:rPr>
                <w:sz w:val="22"/>
                <w:szCs w:val="22"/>
                <w:lang w:val="de-DE"/>
              </w:rPr>
            </w:pPr>
            <w:r w:rsidRPr="0049187C">
              <w:rPr>
                <w:sz w:val="22"/>
                <w:szCs w:val="22"/>
                <w:lang w:val="de-DE"/>
              </w:rPr>
              <w:t>Die Fertigspritze bis zum Gebrauch in der Originalverpackung aufbewahren, um den Inhalt vor Licht zu schützen.</w:t>
            </w:r>
          </w:p>
          <w:p w14:paraId="77926376" w14:textId="77777777" w:rsidR="001603D9" w:rsidRPr="0049187C" w:rsidRDefault="00B00716" w:rsidP="0049187C">
            <w:pPr>
              <w:pStyle w:val="Listlevel1"/>
              <w:numPr>
                <w:ilvl w:val="0"/>
                <w:numId w:val="40"/>
              </w:numPr>
              <w:tabs>
                <w:tab w:val="clear" w:pos="357"/>
                <w:tab w:val="num" w:pos="567"/>
              </w:tabs>
              <w:spacing w:before="0" w:after="0"/>
              <w:ind w:left="0" w:firstLine="0"/>
              <w:rPr>
                <w:sz w:val="22"/>
                <w:szCs w:val="22"/>
                <w:lang w:val="de-DE"/>
              </w:rPr>
            </w:pPr>
            <w:r w:rsidRPr="0049187C">
              <w:rPr>
                <w:sz w:val="22"/>
                <w:szCs w:val="22"/>
                <w:lang w:val="de-DE"/>
              </w:rPr>
              <w:t>Arzneimittel für Kinder unzugänglich aufbewahren.</w:t>
            </w:r>
          </w:p>
          <w:p w14:paraId="45FE8D6B" w14:textId="77777777" w:rsidR="00896A5A" w:rsidRPr="0049187C" w:rsidRDefault="00896A5A" w:rsidP="0049187C">
            <w:pPr>
              <w:pStyle w:val="Listlevel1"/>
              <w:spacing w:before="0" w:after="0"/>
              <w:ind w:left="0" w:firstLine="0"/>
              <w:rPr>
                <w:sz w:val="22"/>
                <w:szCs w:val="22"/>
                <w:lang w:val="de-DE"/>
              </w:rPr>
            </w:pPr>
          </w:p>
        </w:tc>
      </w:tr>
      <w:tr w:rsidR="00A67796" w:rsidRPr="0049187C" w14:paraId="372EF966" w14:textId="77777777" w:rsidTr="00744CE4">
        <w:trPr>
          <w:trHeight w:val="438"/>
        </w:trPr>
        <w:tc>
          <w:tcPr>
            <w:tcW w:w="8931" w:type="dxa"/>
          </w:tcPr>
          <w:p w14:paraId="5455E4B8" w14:textId="77777777" w:rsidR="00896A5A" w:rsidRPr="0049187C" w:rsidRDefault="00B00716" w:rsidP="0049187C">
            <w:pPr>
              <w:pStyle w:val="Text"/>
              <w:keepNext/>
              <w:keepLines/>
              <w:widowControl w:val="0"/>
              <w:spacing w:before="0"/>
              <w:jc w:val="left"/>
              <w:rPr>
                <w:b/>
                <w:bCs/>
                <w:sz w:val="22"/>
                <w:szCs w:val="22"/>
                <w:lang w:val="de-DE"/>
              </w:rPr>
            </w:pPr>
            <w:r w:rsidRPr="0049187C">
              <w:rPr>
                <w:b/>
                <w:bCs/>
                <w:sz w:val="22"/>
                <w:szCs w:val="22"/>
                <w:lang w:val="de-DE"/>
              </w:rPr>
              <w:t>Vorbereitung der Injektion mit Jubbonti</w:t>
            </w:r>
          </w:p>
          <w:p w14:paraId="7E344B05" w14:textId="77777777" w:rsidR="00B513E4" w:rsidRPr="0049187C" w:rsidRDefault="00B513E4" w:rsidP="0049187C">
            <w:pPr>
              <w:pStyle w:val="Text"/>
              <w:keepNext/>
              <w:keepLines/>
              <w:widowControl w:val="0"/>
              <w:spacing w:before="0"/>
              <w:jc w:val="left"/>
              <w:rPr>
                <w:sz w:val="22"/>
                <w:szCs w:val="22"/>
                <w:lang w:val="de-DE"/>
              </w:rPr>
            </w:pPr>
          </w:p>
        </w:tc>
      </w:tr>
    </w:tbl>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419"/>
        <w:gridCol w:w="14"/>
      </w:tblGrid>
      <w:tr w:rsidR="00A67796" w:rsidRPr="0049187C" w14:paraId="5B98FE85" w14:textId="77777777" w:rsidTr="00B513E4">
        <w:trPr>
          <w:gridAfter w:val="1"/>
          <w:wAfter w:w="14" w:type="dxa"/>
          <w:trHeight w:val="2654"/>
        </w:trPr>
        <w:tc>
          <w:tcPr>
            <w:tcW w:w="4498" w:type="dxa"/>
          </w:tcPr>
          <w:p w14:paraId="20229E31" w14:textId="77777777" w:rsidR="00896A5A" w:rsidRPr="0049187C" w:rsidRDefault="00B00716" w:rsidP="0049187C">
            <w:pPr>
              <w:pStyle w:val="Text"/>
              <w:keepNext/>
              <w:keepLines/>
              <w:widowControl w:val="0"/>
              <w:spacing w:before="0"/>
              <w:jc w:val="left"/>
              <w:rPr>
                <w:b/>
                <w:bCs/>
                <w:sz w:val="22"/>
                <w:szCs w:val="22"/>
                <w:lang w:val="de-DE"/>
              </w:rPr>
            </w:pPr>
            <w:r w:rsidRPr="0049187C">
              <w:rPr>
                <w:b/>
                <w:bCs/>
                <w:sz w:val="22"/>
                <w:szCs w:val="22"/>
                <w:lang w:val="de-DE"/>
              </w:rPr>
              <w:t>S</w:t>
            </w:r>
            <w:r w:rsidR="001603D9" w:rsidRPr="0049187C">
              <w:rPr>
                <w:b/>
                <w:bCs/>
                <w:sz w:val="22"/>
                <w:szCs w:val="22"/>
                <w:lang w:val="de-DE"/>
              </w:rPr>
              <w:t>chritt</w:t>
            </w:r>
            <w:r w:rsidRPr="0049187C">
              <w:rPr>
                <w:b/>
                <w:bCs/>
                <w:sz w:val="22"/>
                <w:szCs w:val="22"/>
                <w:lang w:val="de-DE"/>
              </w:rPr>
              <w:t xml:space="preserve"> 1. </w:t>
            </w:r>
            <w:r w:rsidR="001603D9" w:rsidRPr="0049187C">
              <w:rPr>
                <w:b/>
                <w:bCs/>
                <w:sz w:val="22"/>
                <w:szCs w:val="22"/>
                <w:lang w:val="de-DE"/>
              </w:rPr>
              <w:t>Auf Raumtemperatur bringen</w:t>
            </w:r>
          </w:p>
          <w:p w14:paraId="6B1B72FF" w14:textId="77777777" w:rsidR="00B513E4" w:rsidRPr="0049187C" w:rsidRDefault="00B513E4" w:rsidP="0049187C">
            <w:pPr>
              <w:pStyle w:val="Text"/>
              <w:keepNext/>
              <w:keepLines/>
              <w:widowControl w:val="0"/>
              <w:spacing w:before="0"/>
              <w:jc w:val="left"/>
              <w:rPr>
                <w:b/>
                <w:bCs/>
                <w:sz w:val="22"/>
                <w:szCs w:val="22"/>
                <w:lang w:val="de-DE"/>
              </w:rPr>
            </w:pPr>
          </w:p>
          <w:p w14:paraId="17179F7E" w14:textId="77777777" w:rsidR="00896A5A" w:rsidRPr="0049187C" w:rsidRDefault="00B00716" w:rsidP="0049187C">
            <w:pPr>
              <w:pStyle w:val="Text"/>
              <w:keepNext/>
              <w:keepLines/>
              <w:widowControl w:val="0"/>
              <w:spacing w:before="0"/>
              <w:jc w:val="left"/>
              <w:rPr>
                <w:sz w:val="22"/>
                <w:szCs w:val="22"/>
                <w:lang w:val="de-DE"/>
              </w:rPr>
            </w:pPr>
            <w:r w:rsidRPr="0049187C">
              <w:rPr>
                <w:bCs/>
                <w:sz w:val="22"/>
                <w:szCs w:val="22"/>
                <w:lang w:val="de-DE"/>
              </w:rPr>
              <w:t>Nehmen Sie die Verpackung mit der Fertigspritze aus dem Kühlschrank und lassen Sie sie 15 bis 30 Minuten lang ungeöffnet liegen, damit sie Raumtemperatur erreicht.</w:t>
            </w:r>
          </w:p>
        </w:tc>
        <w:tc>
          <w:tcPr>
            <w:tcW w:w="4419" w:type="dxa"/>
          </w:tcPr>
          <w:p w14:paraId="004E6C2F" w14:textId="77777777" w:rsidR="00896A5A" w:rsidRPr="0049187C" w:rsidRDefault="00B00716" w:rsidP="0049187C">
            <w:pPr>
              <w:pStyle w:val="Text"/>
              <w:keepNext/>
              <w:keepLines/>
              <w:widowControl w:val="0"/>
              <w:spacing w:before="0"/>
              <w:jc w:val="left"/>
              <w:rPr>
                <w:sz w:val="22"/>
                <w:szCs w:val="22"/>
                <w:lang w:val="de-DE"/>
              </w:rPr>
            </w:pPr>
            <w:r w:rsidRPr="0049187C">
              <w:rPr>
                <w:noProof/>
                <w:sz w:val="22"/>
                <w:szCs w:val="22"/>
                <w:lang w:val="de-DE" w:eastAsia="en-US"/>
              </w:rPr>
              <w:drawing>
                <wp:inline distT="0" distB="0" distL="0" distR="0" wp14:anchorId="3978D379" wp14:editId="6B55A5CA">
                  <wp:extent cx="1613922" cy="1619154"/>
                  <wp:effectExtent l="0" t="0" r="5715" b="635"/>
                  <wp:docPr id="743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289939" name="Picture 1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13922" cy="1619154"/>
                          </a:xfrm>
                          <a:prstGeom prst="rect">
                            <a:avLst/>
                          </a:prstGeom>
                        </pic:spPr>
                      </pic:pic>
                    </a:graphicData>
                  </a:graphic>
                </wp:inline>
              </w:drawing>
            </w:r>
          </w:p>
        </w:tc>
      </w:tr>
      <w:tr w:rsidR="00A67796" w:rsidRPr="0049187C" w14:paraId="07A669F6" w14:textId="77777777" w:rsidTr="00B513E4">
        <w:trPr>
          <w:gridAfter w:val="1"/>
          <w:wAfter w:w="14" w:type="dxa"/>
          <w:trHeight w:val="2597"/>
        </w:trPr>
        <w:tc>
          <w:tcPr>
            <w:tcW w:w="4498" w:type="dxa"/>
          </w:tcPr>
          <w:p w14:paraId="17691E0B" w14:textId="77777777" w:rsidR="00896A5A" w:rsidRPr="0049187C" w:rsidRDefault="00B00716" w:rsidP="0049187C">
            <w:pPr>
              <w:pStyle w:val="Text"/>
              <w:spacing w:before="0"/>
              <w:jc w:val="left"/>
              <w:rPr>
                <w:b/>
                <w:bCs/>
                <w:sz w:val="22"/>
                <w:szCs w:val="22"/>
                <w:lang w:val="de-DE"/>
              </w:rPr>
            </w:pPr>
            <w:r w:rsidRPr="0049187C">
              <w:rPr>
                <w:b/>
                <w:bCs/>
                <w:sz w:val="22"/>
                <w:szCs w:val="22"/>
                <w:lang w:val="de-DE"/>
              </w:rPr>
              <w:t>Schritt 2. Verbrauchsmaterial bereitstellen</w:t>
            </w:r>
          </w:p>
          <w:p w14:paraId="36B2592C" w14:textId="77777777" w:rsidR="00B513E4" w:rsidRPr="0049187C" w:rsidRDefault="00B513E4" w:rsidP="0049187C">
            <w:pPr>
              <w:pStyle w:val="Text"/>
              <w:spacing w:before="0"/>
              <w:jc w:val="left"/>
              <w:rPr>
                <w:b/>
                <w:bCs/>
                <w:sz w:val="22"/>
                <w:szCs w:val="22"/>
                <w:lang w:val="de-DE"/>
              </w:rPr>
            </w:pPr>
          </w:p>
          <w:p w14:paraId="7313CA44" w14:textId="77777777" w:rsidR="00896A5A" w:rsidRPr="0049187C" w:rsidRDefault="00B00716" w:rsidP="0049187C">
            <w:pPr>
              <w:pStyle w:val="Text"/>
              <w:spacing w:before="0"/>
              <w:jc w:val="left"/>
              <w:rPr>
                <w:sz w:val="22"/>
                <w:szCs w:val="22"/>
                <w:lang w:val="de-DE"/>
              </w:rPr>
            </w:pPr>
            <w:r w:rsidRPr="0049187C">
              <w:rPr>
                <w:sz w:val="22"/>
                <w:szCs w:val="22"/>
                <w:lang w:val="de-DE"/>
              </w:rPr>
              <w:t>Sie müssen folgende Artikel bereitstellen (nicht in der Verpackung enthalten</w:t>
            </w:r>
            <w:r w:rsidR="00DB465A" w:rsidRPr="0049187C">
              <w:rPr>
                <w:sz w:val="22"/>
                <w:szCs w:val="22"/>
                <w:lang w:val="de-DE"/>
              </w:rPr>
              <w:t>)</w:t>
            </w:r>
          </w:p>
          <w:p w14:paraId="59439860" w14:textId="77777777" w:rsidR="00896A5A" w:rsidRPr="0049187C" w:rsidRDefault="00B00716" w:rsidP="0049187C">
            <w:pPr>
              <w:pStyle w:val="Listlevel1"/>
              <w:numPr>
                <w:ilvl w:val="0"/>
                <w:numId w:val="38"/>
              </w:numPr>
              <w:tabs>
                <w:tab w:val="clear" w:pos="357"/>
                <w:tab w:val="num" w:pos="567"/>
              </w:tabs>
              <w:spacing w:before="0" w:after="0"/>
              <w:ind w:left="0" w:firstLine="0"/>
              <w:rPr>
                <w:sz w:val="22"/>
                <w:szCs w:val="22"/>
                <w:lang w:val="de-DE"/>
              </w:rPr>
            </w:pPr>
            <w:r w:rsidRPr="0049187C">
              <w:rPr>
                <w:sz w:val="22"/>
                <w:szCs w:val="22"/>
                <w:lang w:val="de-DE"/>
              </w:rPr>
              <w:t>Alkoholtupfer</w:t>
            </w:r>
          </w:p>
          <w:p w14:paraId="11397684" w14:textId="77777777" w:rsidR="00896A5A" w:rsidRPr="0049187C" w:rsidRDefault="00B00716" w:rsidP="0049187C">
            <w:pPr>
              <w:pStyle w:val="Listlevel1"/>
              <w:numPr>
                <w:ilvl w:val="0"/>
                <w:numId w:val="38"/>
              </w:numPr>
              <w:tabs>
                <w:tab w:val="clear" w:pos="357"/>
                <w:tab w:val="num" w:pos="567"/>
              </w:tabs>
              <w:spacing w:before="0" w:after="0"/>
              <w:ind w:left="0" w:firstLine="0"/>
              <w:rPr>
                <w:sz w:val="22"/>
                <w:szCs w:val="22"/>
                <w:lang w:val="de-DE"/>
              </w:rPr>
            </w:pPr>
            <w:r w:rsidRPr="0049187C">
              <w:rPr>
                <w:sz w:val="22"/>
                <w:szCs w:val="22"/>
                <w:lang w:val="de-DE"/>
              </w:rPr>
              <w:t>Watte oder Gaze</w:t>
            </w:r>
          </w:p>
          <w:p w14:paraId="64845F0C" w14:textId="77777777" w:rsidR="00896A5A" w:rsidRPr="0049187C" w:rsidRDefault="00B00716" w:rsidP="0049187C">
            <w:pPr>
              <w:pStyle w:val="Listlevel1"/>
              <w:numPr>
                <w:ilvl w:val="0"/>
                <w:numId w:val="38"/>
              </w:numPr>
              <w:tabs>
                <w:tab w:val="clear" w:pos="357"/>
                <w:tab w:val="num" w:pos="567"/>
              </w:tabs>
              <w:spacing w:before="0" w:after="0"/>
              <w:ind w:left="0" w:firstLine="0"/>
              <w:rPr>
                <w:sz w:val="22"/>
                <w:szCs w:val="22"/>
                <w:lang w:val="de-DE"/>
              </w:rPr>
            </w:pPr>
            <w:r w:rsidRPr="0049187C">
              <w:rPr>
                <w:sz w:val="22"/>
                <w:szCs w:val="22"/>
                <w:lang w:val="de-DE"/>
              </w:rPr>
              <w:t>Abfallbehälter für scharfe Gegenstände</w:t>
            </w:r>
          </w:p>
          <w:p w14:paraId="453F38EF" w14:textId="77777777" w:rsidR="00896A5A" w:rsidRPr="0049187C" w:rsidRDefault="00B00716" w:rsidP="0049187C">
            <w:pPr>
              <w:pStyle w:val="Listlevel1"/>
              <w:numPr>
                <w:ilvl w:val="0"/>
                <w:numId w:val="38"/>
              </w:numPr>
              <w:tabs>
                <w:tab w:val="clear" w:pos="357"/>
                <w:tab w:val="num" w:pos="567"/>
              </w:tabs>
              <w:spacing w:before="0" w:after="0"/>
              <w:ind w:left="0" w:firstLine="0"/>
              <w:rPr>
                <w:sz w:val="22"/>
                <w:szCs w:val="22"/>
                <w:lang w:val="de-DE"/>
              </w:rPr>
            </w:pPr>
            <w:r w:rsidRPr="0049187C">
              <w:rPr>
                <w:sz w:val="22"/>
                <w:szCs w:val="22"/>
                <w:lang w:val="de-DE"/>
              </w:rPr>
              <w:t>Heftpflaster</w:t>
            </w:r>
          </w:p>
        </w:tc>
        <w:tc>
          <w:tcPr>
            <w:tcW w:w="4419" w:type="dxa"/>
          </w:tcPr>
          <w:p w14:paraId="2578000B" w14:textId="77777777" w:rsidR="00896A5A" w:rsidRPr="0049187C" w:rsidRDefault="00B00716" w:rsidP="0049187C">
            <w:pPr>
              <w:pStyle w:val="Text"/>
              <w:spacing w:before="0"/>
              <w:jc w:val="left"/>
              <w:rPr>
                <w:sz w:val="22"/>
                <w:szCs w:val="22"/>
                <w:lang w:val="de-DE"/>
              </w:rPr>
            </w:pPr>
            <w:r w:rsidRPr="0049187C">
              <w:rPr>
                <w:noProof/>
                <w:sz w:val="22"/>
                <w:szCs w:val="22"/>
                <w:lang w:val="de-DE" w:eastAsia="en-US"/>
              </w:rPr>
              <w:drawing>
                <wp:inline distT="0" distB="0" distL="0" distR="0" wp14:anchorId="4FC6389C" wp14:editId="027686D3">
                  <wp:extent cx="1771741" cy="1485976"/>
                  <wp:effectExtent l="0" t="0" r="0" b="0"/>
                  <wp:docPr id="744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018501" name=""/>
                          <pic:cNvPicPr/>
                        </pic:nvPicPr>
                        <pic:blipFill>
                          <a:blip r:embed="rId22"/>
                          <a:stretch>
                            <a:fillRect/>
                          </a:stretch>
                        </pic:blipFill>
                        <pic:spPr>
                          <a:xfrm>
                            <a:off x="0" y="0"/>
                            <a:ext cx="1771741" cy="1485976"/>
                          </a:xfrm>
                          <a:prstGeom prst="rect">
                            <a:avLst/>
                          </a:prstGeom>
                        </pic:spPr>
                      </pic:pic>
                    </a:graphicData>
                  </a:graphic>
                </wp:inline>
              </w:drawing>
            </w:r>
          </w:p>
        </w:tc>
      </w:tr>
      <w:tr w:rsidR="00A67796" w:rsidRPr="0049187C" w14:paraId="6F2A7669" w14:textId="77777777" w:rsidTr="00B06815">
        <w:trPr>
          <w:gridAfter w:val="1"/>
          <w:wAfter w:w="14" w:type="dxa"/>
          <w:trHeight w:val="2863"/>
        </w:trPr>
        <w:tc>
          <w:tcPr>
            <w:tcW w:w="4498" w:type="dxa"/>
          </w:tcPr>
          <w:p w14:paraId="163BAC2E" w14:textId="77777777" w:rsidR="00896A5A" w:rsidRPr="0049187C" w:rsidRDefault="00B00716" w:rsidP="0049187C">
            <w:pPr>
              <w:pStyle w:val="Text"/>
              <w:spacing w:before="0"/>
              <w:jc w:val="left"/>
              <w:rPr>
                <w:b/>
                <w:bCs/>
                <w:sz w:val="22"/>
                <w:szCs w:val="22"/>
                <w:lang w:val="de-DE"/>
              </w:rPr>
            </w:pPr>
            <w:r w:rsidRPr="0049187C">
              <w:rPr>
                <w:b/>
                <w:bCs/>
                <w:sz w:val="22"/>
                <w:szCs w:val="22"/>
                <w:lang w:val="de-DE"/>
              </w:rPr>
              <w:t xml:space="preserve">Schritt 3. Auspacken </w:t>
            </w:r>
          </w:p>
          <w:p w14:paraId="0A4921D4" w14:textId="77777777" w:rsidR="00B513E4" w:rsidRPr="0049187C" w:rsidRDefault="00B513E4" w:rsidP="0049187C">
            <w:pPr>
              <w:pStyle w:val="Text"/>
              <w:spacing w:before="0"/>
              <w:jc w:val="left"/>
              <w:rPr>
                <w:b/>
                <w:bCs/>
                <w:sz w:val="22"/>
                <w:szCs w:val="22"/>
                <w:lang w:val="de-DE"/>
              </w:rPr>
            </w:pPr>
          </w:p>
          <w:p w14:paraId="32A36F93" w14:textId="77777777" w:rsidR="00896A5A" w:rsidRPr="0049187C" w:rsidRDefault="00B00716" w:rsidP="0049187C">
            <w:pPr>
              <w:pStyle w:val="Text"/>
              <w:spacing w:before="0"/>
              <w:jc w:val="left"/>
              <w:rPr>
                <w:sz w:val="22"/>
                <w:szCs w:val="22"/>
                <w:lang w:val="de-DE"/>
              </w:rPr>
            </w:pPr>
            <w:r w:rsidRPr="0049187C">
              <w:rPr>
                <w:sz w:val="22"/>
                <w:szCs w:val="22"/>
                <w:lang w:val="de-DE"/>
              </w:rPr>
              <w:t>Öffnen Sie die Kunststoff</w:t>
            </w:r>
            <w:r w:rsidR="0048620A" w:rsidRPr="0049187C">
              <w:rPr>
                <w:sz w:val="22"/>
                <w:szCs w:val="22"/>
                <w:lang w:val="de-DE"/>
              </w:rPr>
              <w:t xml:space="preserve">schale, indem Sie die </w:t>
            </w:r>
            <w:r w:rsidR="000E3C21" w:rsidRPr="0049187C">
              <w:rPr>
                <w:sz w:val="22"/>
                <w:szCs w:val="22"/>
                <w:lang w:val="de-DE"/>
              </w:rPr>
              <w:t>F</w:t>
            </w:r>
            <w:r w:rsidR="0048620A" w:rsidRPr="0049187C">
              <w:rPr>
                <w:sz w:val="22"/>
                <w:szCs w:val="22"/>
                <w:lang w:val="de-DE"/>
              </w:rPr>
              <w:t>olie abziehen. Greifen Sie die Fertigspritze zum Entnehmen wie dargestellt in der Mitte</w:t>
            </w:r>
            <w:r w:rsidRPr="0049187C">
              <w:rPr>
                <w:sz w:val="22"/>
                <w:szCs w:val="22"/>
                <w:lang w:val="de-DE"/>
              </w:rPr>
              <w:t>.</w:t>
            </w:r>
          </w:p>
          <w:p w14:paraId="42FC1EAA" w14:textId="77777777" w:rsidR="00B513E4" w:rsidRPr="0049187C" w:rsidRDefault="00B513E4" w:rsidP="0049187C">
            <w:pPr>
              <w:pStyle w:val="Text"/>
              <w:spacing w:before="0"/>
              <w:jc w:val="left"/>
              <w:rPr>
                <w:sz w:val="22"/>
                <w:szCs w:val="22"/>
                <w:lang w:val="de-DE"/>
              </w:rPr>
            </w:pPr>
          </w:p>
          <w:p w14:paraId="5D312571" w14:textId="77777777" w:rsidR="00896A5A" w:rsidRPr="0049187C" w:rsidRDefault="00B00716" w:rsidP="0049187C">
            <w:pPr>
              <w:pStyle w:val="Text"/>
              <w:spacing w:before="0"/>
              <w:jc w:val="left"/>
              <w:rPr>
                <w:sz w:val="22"/>
                <w:szCs w:val="22"/>
                <w:lang w:val="de-DE"/>
              </w:rPr>
            </w:pPr>
            <w:r w:rsidRPr="0049187C">
              <w:rPr>
                <w:bCs/>
                <w:sz w:val="22"/>
                <w:szCs w:val="22"/>
                <w:lang w:val="de-DE"/>
              </w:rPr>
              <w:t>Entfernen Sie die Nadelkappe</w:t>
            </w:r>
            <w:r w:rsidRPr="0049187C">
              <w:rPr>
                <w:b/>
                <w:bCs/>
                <w:sz w:val="22"/>
                <w:szCs w:val="22"/>
                <w:lang w:val="de-DE"/>
              </w:rPr>
              <w:t xml:space="preserve"> erst dann</w:t>
            </w:r>
            <w:r w:rsidRPr="0049187C">
              <w:rPr>
                <w:bCs/>
                <w:sz w:val="22"/>
                <w:szCs w:val="22"/>
                <w:lang w:val="de-DE"/>
              </w:rPr>
              <w:t>, wenn Sie bereit sind, zu injizieren</w:t>
            </w:r>
            <w:r w:rsidRPr="0049187C">
              <w:rPr>
                <w:sz w:val="22"/>
                <w:szCs w:val="22"/>
                <w:lang w:val="de-DE"/>
              </w:rPr>
              <w:t>.</w:t>
            </w:r>
          </w:p>
        </w:tc>
        <w:tc>
          <w:tcPr>
            <w:tcW w:w="4419" w:type="dxa"/>
          </w:tcPr>
          <w:p w14:paraId="4176370B" w14:textId="77777777" w:rsidR="00896A5A" w:rsidRPr="0049187C" w:rsidRDefault="00B00716" w:rsidP="0049187C">
            <w:pPr>
              <w:pStyle w:val="Text"/>
              <w:spacing w:before="0"/>
              <w:jc w:val="left"/>
              <w:rPr>
                <w:sz w:val="22"/>
                <w:szCs w:val="22"/>
                <w:lang w:val="de-DE"/>
              </w:rPr>
            </w:pPr>
            <w:r w:rsidRPr="0049187C">
              <w:rPr>
                <w:noProof/>
                <w:sz w:val="22"/>
                <w:szCs w:val="22"/>
                <w:lang w:val="de-DE" w:eastAsia="en-US"/>
              </w:rPr>
              <w:drawing>
                <wp:inline distT="0" distB="0" distL="0" distR="0" wp14:anchorId="181F1170" wp14:editId="7AECC5C9">
                  <wp:extent cx="1752690" cy="1714588"/>
                  <wp:effectExtent l="0" t="0" r="0" b="0"/>
                  <wp:docPr id="744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751772" name=""/>
                          <pic:cNvPicPr/>
                        </pic:nvPicPr>
                        <pic:blipFill>
                          <a:blip r:embed="rId23"/>
                          <a:stretch>
                            <a:fillRect/>
                          </a:stretch>
                        </pic:blipFill>
                        <pic:spPr>
                          <a:xfrm>
                            <a:off x="0" y="0"/>
                            <a:ext cx="1752690" cy="1714588"/>
                          </a:xfrm>
                          <a:prstGeom prst="rect">
                            <a:avLst/>
                          </a:prstGeom>
                        </pic:spPr>
                      </pic:pic>
                    </a:graphicData>
                  </a:graphic>
                </wp:inline>
              </w:drawing>
            </w:r>
          </w:p>
        </w:tc>
      </w:tr>
      <w:tr w:rsidR="00A67796" w:rsidRPr="0049187C" w14:paraId="7F7EF5A3" w14:textId="77777777" w:rsidTr="00744CE4">
        <w:trPr>
          <w:gridAfter w:val="1"/>
          <w:wAfter w:w="14" w:type="dxa"/>
        </w:trPr>
        <w:tc>
          <w:tcPr>
            <w:tcW w:w="4498" w:type="dxa"/>
          </w:tcPr>
          <w:p w14:paraId="4B0D9D0B" w14:textId="77777777" w:rsidR="00896A5A" w:rsidRPr="0049187C" w:rsidRDefault="00B00716" w:rsidP="0049187C">
            <w:pPr>
              <w:pStyle w:val="Text"/>
              <w:spacing w:before="0"/>
              <w:jc w:val="left"/>
              <w:rPr>
                <w:b/>
                <w:bCs/>
                <w:sz w:val="22"/>
                <w:szCs w:val="22"/>
                <w:lang w:val="de-DE"/>
              </w:rPr>
            </w:pPr>
            <w:r w:rsidRPr="0049187C">
              <w:rPr>
                <w:b/>
                <w:bCs/>
                <w:sz w:val="22"/>
                <w:szCs w:val="22"/>
                <w:lang w:val="de-DE"/>
              </w:rPr>
              <w:t>Schritt 4. Sicherheitsinspektion</w:t>
            </w:r>
          </w:p>
          <w:p w14:paraId="644E956C" w14:textId="77777777" w:rsidR="00B513E4" w:rsidRPr="0049187C" w:rsidRDefault="00B513E4" w:rsidP="0049187C">
            <w:pPr>
              <w:pStyle w:val="Text"/>
              <w:spacing w:before="0"/>
              <w:jc w:val="left"/>
              <w:rPr>
                <w:b/>
                <w:bCs/>
                <w:sz w:val="22"/>
                <w:szCs w:val="22"/>
                <w:lang w:val="de-DE"/>
              </w:rPr>
            </w:pPr>
          </w:p>
          <w:p w14:paraId="35C735B0" w14:textId="77777777" w:rsidR="00896A5A" w:rsidRPr="0049187C" w:rsidRDefault="00B00716" w:rsidP="0049187C">
            <w:pPr>
              <w:pStyle w:val="Text"/>
              <w:spacing w:before="0"/>
              <w:jc w:val="left"/>
              <w:rPr>
                <w:sz w:val="22"/>
                <w:szCs w:val="22"/>
                <w:lang w:val="de-DE"/>
              </w:rPr>
            </w:pPr>
            <w:r w:rsidRPr="0049187C">
              <w:rPr>
                <w:sz w:val="22"/>
                <w:szCs w:val="22"/>
                <w:lang w:val="de-DE"/>
              </w:rPr>
              <w:t>Sehen Sie durch das Klarsichtfenster in der Fertigspritze. Die Flüssigkeit im Inneren muss eine klare bis leicht opaleszente, farblose bis leicht gelbliche oder leicht bräunliche Lösung sein. Sie sehen möglicherweise Luftbläschen in der Flüssigkeit. Dies ist normal.</w:t>
            </w:r>
          </w:p>
          <w:p w14:paraId="36637888" w14:textId="77777777" w:rsidR="00B513E4" w:rsidRPr="0049187C" w:rsidRDefault="00B513E4" w:rsidP="0049187C">
            <w:pPr>
              <w:pStyle w:val="Text"/>
              <w:spacing w:before="0"/>
              <w:jc w:val="left"/>
              <w:rPr>
                <w:sz w:val="22"/>
                <w:szCs w:val="22"/>
                <w:lang w:val="de-DE"/>
              </w:rPr>
            </w:pPr>
          </w:p>
          <w:p w14:paraId="2113B9D9" w14:textId="77777777" w:rsidR="00896A5A" w:rsidRPr="0049187C" w:rsidRDefault="00B00716" w:rsidP="0049187C">
            <w:pPr>
              <w:pStyle w:val="Text"/>
              <w:spacing w:before="0"/>
              <w:jc w:val="left"/>
              <w:rPr>
                <w:sz w:val="22"/>
                <w:szCs w:val="22"/>
                <w:lang w:val="de-DE"/>
              </w:rPr>
            </w:pPr>
            <w:r w:rsidRPr="0049187C">
              <w:rPr>
                <w:sz w:val="22"/>
                <w:szCs w:val="22"/>
                <w:lang w:val="de-DE"/>
              </w:rPr>
              <w:t>Versuchen Sie</w:t>
            </w:r>
            <w:r w:rsidRPr="0049187C">
              <w:rPr>
                <w:b/>
                <w:sz w:val="22"/>
                <w:szCs w:val="22"/>
                <w:lang w:val="de-DE"/>
              </w:rPr>
              <w:t xml:space="preserve"> nicht</w:t>
            </w:r>
            <w:r w:rsidRPr="0049187C">
              <w:rPr>
                <w:sz w:val="22"/>
                <w:szCs w:val="22"/>
                <w:lang w:val="de-DE"/>
              </w:rPr>
              <w:t xml:space="preserve">, die Luft zu entfernen. </w:t>
            </w:r>
          </w:p>
          <w:p w14:paraId="0CCD7567" w14:textId="77777777" w:rsidR="00896A5A" w:rsidRPr="0049187C" w:rsidRDefault="00B00716" w:rsidP="0049187C">
            <w:pPr>
              <w:pStyle w:val="Listlevel1"/>
              <w:numPr>
                <w:ilvl w:val="0"/>
                <w:numId w:val="41"/>
              </w:numPr>
              <w:tabs>
                <w:tab w:val="clear" w:pos="357"/>
                <w:tab w:val="num" w:pos="567"/>
              </w:tabs>
              <w:spacing w:before="0" w:after="0"/>
              <w:ind w:left="0" w:firstLine="0"/>
              <w:rPr>
                <w:sz w:val="22"/>
                <w:szCs w:val="22"/>
                <w:lang w:val="de-DE"/>
              </w:rPr>
            </w:pPr>
            <w:r w:rsidRPr="0049187C">
              <w:rPr>
                <w:sz w:val="22"/>
                <w:szCs w:val="22"/>
                <w:lang w:val="de-DE"/>
              </w:rPr>
              <w:t>Verwenden sie die Fertigspri</w:t>
            </w:r>
            <w:r w:rsidR="000E3C21" w:rsidRPr="0049187C">
              <w:rPr>
                <w:sz w:val="22"/>
                <w:szCs w:val="22"/>
                <w:lang w:val="de-DE"/>
              </w:rPr>
              <w:t>t</w:t>
            </w:r>
            <w:r w:rsidRPr="0049187C">
              <w:rPr>
                <w:sz w:val="22"/>
                <w:szCs w:val="22"/>
                <w:lang w:val="de-DE"/>
              </w:rPr>
              <w:t>ze</w:t>
            </w:r>
            <w:r w:rsidRPr="0049187C">
              <w:rPr>
                <w:b/>
                <w:sz w:val="22"/>
                <w:szCs w:val="22"/>
                <w:lang w:val="de-DE"/>
              </w:rPr>
              <w:t xml:space="preserve"> nicht</w:t>
            </w:r>
            <w:r w:rsidRPr="0049187C">
              <w:rPr>
                <w:sz w:val="22"/>
                <w:szCs w:val="22"/>
                <w:lang w:val="de-DE"/>
              </w:rPr>
              <w:t>, wenn die Flüssigkeit trüb ist oder sichtbare Partikel enthält.</w:t>
            </w:r>
            <w:r w:rsidRPr="0049187C">
              <w:rPr>
                <w:bCs/>
                <w:noProof/>
                <w:sz w:val="22"/>
                <w:szCs w:val="22"/>
                <w:lang w:val="de-DE"/>
              </w:rPr>
              <w:t xml:space="preserve"> </w:t>
            </w:r>
          </w:p>
          <w:p w14:paraId="411DB367" w14:textId="77777777" w:rsidR="00896A5A" w:rsidRPr="0049187C" w:rsidRDefault="00B00716" w:rsidP="0049187C">
            <w:pPr>
              <w:pStyle w:val="Listlevel1"/>
              <w:numPr>
                <w:ilvl w:val="0"/>
                <w:numId w:val="41"/>
              </w:numPr>
              <w:tabs>
                <w:tab w:val="clear" w:pos="357"/>
                <w:tab w:val="num" w:pos="567"/>
              </w:tabs>
              <w:spacing w:before="0" w:after="0"/>
              <w:ind w:left="0" w:firstLine="0"/>
              <w:rPr>
                <w:sz w:val="22"/>
                <w:szCs w:val="22"/>
                <w:lang w:val="de-DE"/>
              </w:rPr>
            </w:pPr>
            <w:r w:rsidRPr="0049187C">
              <w:rPr>
                <w:sz w:val="22"/>
                <w:szCs w:val="22"/>
                <w:lang w:val="de-DE"/>
              </w:rPr>
              <w:t>Verwenden sie die Fertigspritze</w:t>
            </w:r>
            <w:r w:rsidRPr="0049187C">
              <w:rPr>
                <w:b/>
                <w:sz w:val="22"/>
                <w:szCs w:val="22"/>
                <w:lang w:val="de-DE"/>
              </w:rPr>
              <w:t xml:space="preserve"> nicht</w:t>
            </w:r>
            <w:r w:rsidRPr="0049187C">
              <w:rPr>
                <w:sz w:val="22"/>
                <w:szCs w:val="22"/>
                <w:lang w:val="de-DE"/>
              </w:rPr>
              <w:t>, wenn sie beschädigt scheint oder ausläuft.</w:t>
            </w:r>
          </w:p>
          <w:p w14:paraId="2B785F18" w14:textId="77777777" w:rsidR="00896A5A" w:rsidRPr="0049187C" w:rsidRDefault="00B00716" w:rsidP="0049187C">
            <w:pPr>
              <w:pStyle w:val="Listlevel1"/>
              <w:numPr>
                <w:ilvl w:val="0"/>
                <w:numId w:val="41"/>
              </w:numPr>
              <w:tabs>
                <w:tab w:val="clear" w:pos="357"/>
                <w:tab w:val="num" w:pos="567"/>
              </w:tabs>
              <w:spacing w:before="0" w:after="0"/>
              <w:ind w:left="0" w:firstLine="0"/>
              <w:rPr>
                <w:sz w:val="22"/>
                <w:szCs w:val="22"/>
                <w:lang w:val="de-DE"/>
              </w:rPr>
            </w:pPr>
            <w:r w:rsidRPr="0049187C">
              <w:rPr>
                <w:sz w:val="22"/>
                <w:szCs w:val="22"/>
                <w:lang w:val="de-DE"/>
              </w:rPr>
              <w:t>Verwenden Sie die Fertigspritze</w:t>
            </w:r>
            <w:r w:rsidRPr="0049187C">
              <w:rPr>
                <w:b/>
                <w:sz w:val="22"/>
                <w:szCs w:val="22"/>
                <w:lang w:val="de-DE"/>
              </w:rPr>
              <w:t xml:space="preserve"> nicht </w:t>
            </w:r>
            <w:r w:rsidRPr="0049187C">
              <w:rPr>
                <w:sz w:val="22"/>
                <w:szCs w:val="22"/>
                <w:lang w:val="de-DE"/>
              </w:rPr>
              <w:t>nach dem Verfalldatum (EXP), das auf dem Etikett und de</w:t>
            </w:r>
            <w:r w:rsidR="0087643E" w:rsidRPr="0049187C">
              <w:rPr>
                <w:sz w:val="22"/>
                <w:szCs w:val="22"/>
                <w:lang w:val="de-DE"/>
              </w:rPr>
              <w:t>m</w:t>
            </w:r>
            <w:r w:rsidRPr="0049187C">
              <w:rPr>
                <w:sz w:val="22"/>
                <w:szCs w:val="22"/>
                <w:lang w:val="de-DE"/>
              </w:rPr>
              <w:t xml:space="preserve"> </w:t>
            </w:r>
            <w:r w:rsidR="0087643E" w:rsidRPr="0049187C">
              <w:rPr>
                <w:sz w:val="22"/>
                <w:szCs w:val="22"/>
                <w:lang w:val="de-DE"/>
              </w:rPr>
              <w:t>Umkarton</w:t>
            </w:r>
            <w:r w:rsidRPr="0049187C">
              <w:rPr>
                <w:sz w:val="22"/>
                <w:szCs w:val="22"/>
                <w:lang w:val="de-DE"/>
              </w:rPr>
              <w:t xml:space="preserve"> der Fertigspritze aufgedruckt ist.</w:t>
            </w:r>
          </w:p>
          <w:p w14:paraId="43E4EC0B" w14:textId="77777777" w:rsidR="00B513E4" w:rsidRPr="0049187C" w:rsidRDefault="00B513E4" w:rsidP="0049187C">
            <w:pPr>
              <w:pStyle w:val="Listlevel1"/>
              <w:spacing w:before="0" w:after="0"/>
              <w:ind w:left="0" w:firstLine="0"/>
              <w:rPr>
                <w:sz w:val="22"/>
                <w:szCs w:val="22"/>
                <w:lang w:val="de-DE"/>
              </w:rPr>
            </w:pPr>
          </w:p>
          <w:p w14:paraId="4040310C" w14:textId="77777777" w:rsidR="00896A5A" w:rsidRPr="0049187C" w:rsidRDefault="00B00716" w:rsidP="0049187C">
            <w:pPr>
              <w:pStyle w:val="Text"/>
              <w:spacing w:before="0"/>
              <w:jc w:val="left"/>
              <w:rPr>
                <w:sz w:val="22"/>
                <w:szCs w:val="22"/>
                <w:lang w:val="de-DE"/>
              </w:rPr>
            </w:pPr>
            <w:r w:rsidRPr="0049187C">
              <w:rPr>
                <w:sz w:val="22"/>
                <w:szCs w:val="22"/>
                <w:lang w:val="de-DE"/>
              </w:rPr>
              <w:t>Wenden Sie sich in all diesen Fällen an Ihren Arzt, Ihr medizinisches Fachpersonal oder Ihren Apotheker.</w:t>
            </w:r>
          </w:p>
        </w:tc>
        <w:tc>
          <w:tcPr>
            <w:tcW w:w="4419" w:type="dxa"/>
          </w:tcPr>
          <w:p w14:paraId="79A66509" w14:textId="77777777" w:rsidR="00896A5A" w:rsidRPr="0049187C" w:rsidRDefault="00B00716" w:rsidP="0049187C">
            <w:pPr>
              <w:pStyle w:val="Text"/>
              <w:spacing w:before="0"/>
              <w:jc w:val="left"/>
              <w:rPr>
                <w:sz w:val="22"/>
                <w:szCs w:val="22"/>
                <w:lang w:val="de-DE"/>
              </w:rPr>
            </w:pPr>
            <w:r w:rsidRPr="0049187C">
              <w:rPr>
                <w:noProof/>
                <w:sz w:val="22"/>
                <w:szCs w:val="22"/>
                <w:lang w:val="de-DE" w:eastAsia="en-US"/>
              </w:rPr>
              <w:drawing>
                <wp:inline distT="0" distB="0" distL="0" distR="0" wp14:anchorId="686CA787" wp14:editId="2B63DB75">
                  <wp:extent cx="1534864" cy="3157469"/>
                  <wp:effectExtent l="0" t="0" r="8255"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36332" name="Picture 25"/>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534864" cy="3157469"/>
                          </a:xfrm>
                          <a:prstGeom prst="rect">
                            <a:avLst/>
                          </a:prstGeom>
                        </pic:spPr>
                      </pic:pic>
                    </a:graphicData>
                  </a:graphic>
                </wp:inline>
              </w:drawing>
            </w:r>
          </w:p>
        </w:tc>
      </w:tr>
      <w:tr w:rsidR="00A67796" w:rsidRPr="0049187C" w14:paraId="03ECDA9D" w14:textId="77777777" w:rsidTr="00744CE4">
        <w:trPr>
          <w:gridAfter w:val="1"/>
          <w:wAfter w:w="14" w:type="dxa"/>
          <w:trHeight w:val="3428"/>
        </w:trPr>
        <w:tc>
          <w:tcPr>
            <w:tcW w:w="4498" w:type="dxa"/>
          </w:tcPr>
          <w:p w14:paraId="44A279A8" w14:textId="77777777" w:rsidR="00896A5A" w:rsidRPr="0049187C" w:rsidRDefault="00B00716" w:rsidP="0049187C">
            <w:pPr>
              <w:pStyle w:val="Text"/>
              <w:spacing w:before="0"/>
              <w:jc w:val="left"/>
              <w:rPr>
                <w:b/>
                <w:bCs/>
                <w:sz w:val="22"/>
                <w:szCs w:val="22"/>
                <w:lang w:val="de-DE"/>
              </w:rPr>
            </w:pPr>
            <w:r w:rsidRPr="0049187C">
              <w:rPr>
                <w:b/>
                <w:bCs/>
                <w:sz w:val="22"/>
                <w:szCs w:val="22"/>
                <w:lang w:val="de-DE"/>
              </w:rPr>
              <w:t>Schritt 5. Injektionsstelle wählen</w:t>
            </w:r>
          </w:p>
          <w:p w14:paraId="2821FD39" w14:textId="77777777" w:rsidR="00B513E4" w:rsidRPr="0049187C" w:rsidRDefault="00B513E4" w:rsidP="0049187C">
            <w:pPr>
              <w:pStyle w:val="Text"/>
              <w:spacing w:before="0"/>
              <w:jc w:val="left"/>
              <w:rPr>
                <w:b/>
                <w:bCs/>
                <w:sz w:val="22"/>
                <w:szCs w:val="22"/>
                <w:lang w:val="de-DE"/>
              </w:rPr>
            </w:pPr>
          </w:p>
          <w:p w14:paraId="3AFC295B" w14:textId="77777777" w:rsidR="00896A5A" w:rsidRPr="0049187C" w:rsidRDefault="00B00716" w:rsidP="0049187C">
            <w:pPr>
              <w:pStyle w:val="Text"/>
              <w:spacing w:before="0"/>
              <w:jc w:val="left"/>
              <w:rPr>
                <w:sz w:val="22"/>
                <w:szCs w:val="22"/>
                <w:lang w:val="de-DE"/>
              </w:rPr>
            </w:pPr>
            <w:r w:rsidRPr="0049187C">
              <w:rPr>
                <w:sz w:val="22"/>
                <w:szCs w:val="22"/>
                <w:lang w:val="de-DE"/>
              </w:rPr>
              <w:t xml:space="preserve">Injizieren Sie in die Vorderseite der Oberschenkel oder den unteren Bauch, jedoch </w:t>
            </w:r>
            <w:r w:rsidRPr="0049187C">
              <w:rPr>
                <w:b/>
                <w:sz w:val="22"/>
                <w:szCs w:val="22"/>
                <w:lang w:val="de-DE"/>
              </w:rPr>
              <w:t>nicht</w:t>
            </w:r>
            <w:r w:rsidRPr="0049187C">
              <w:rPr>
                <w:sz w:val="22"/>
                <w:szCs w:val="22"/>
                <w:lang w:val="de-DE"/>
              </w:rPr>
              <w:t xml:space="preserve"> in den Bereich 5 cm um den Bauchnabel.</w:t>
            </w:r>
          </w:p>
          <w:p w14:paraId="76CB63FE" w14:textId="77777777" w:rsidR="00B513E4" w:rsidRPr="0049187C" w:rsidRDefault="00B513E4" w:rsidP="0049187C">
            <w:pPr>
              <w:pStyle w:val="Listlevel1"/>
              <w:spacing w:before="0" w:after="0"/>
              <w:ind w:left="0" w:firstLine="0"/>
              <w:rPr>
                <w:bCs/>
                <w:sz w:val="22"/>
                <w:szCs w:val="22"/>
                <w:lang w:val="de-DE"/>
              </w:rPr>
            </w:pPr>
          </w:p>
          <w:p w14:paraId="73C8029A" w14:textId="77777777" w:rsidR="00896A5A" w:rsidRPr="0049187C" w:rsidRDefault="00B00716" w:rsidP="0049187C">
            <w:pPr>
              <w:pStyle w:val="Listlevel1"/>
              <w:spacing w:before="0" w:after="0"/>
              <w:ind w:left="0" w:firstLine="0"/>
              <w:rPr>
                <w:sz w:val="22"/>
                <w:szCs w:val="22"/>
                <w:lang w:val="de-DE"/>
              </w:rPr>
            </w:pPr>
            <w:r w:rsidRPr="0049187C">
              <w:rPr>
                <w:bCs/>
                <w:sz w:val="22"/>
                <w:szCs w:val="22"/>
                <w:lang w:val="de-DE"/>
              </w:rPr>
              <w:t xml:space="preserve">Injizieren Sie </w:t>
            </w:r>
            <w:r w:rsidRPr="0049187C">
              <w:rPr>
                <w:b/>
                <w:bCs/>
                <w:sz w:val="22"/>
                <w:szCs w:val="22"/>
                <w:lang w:val="de-DE"/>
              </w:rPr>
              <w:t>nicht</w:t>
            </w:r>
            <w:r w:rsidRPr="0049187C">
              <w:rPr>
                <w:bCs/>
                <w:sz w:val="22"/>
                <w:szCs w:val="22"/>
                <w:lang w:val="de-DE"/>
              </w:rPr>
              <w:t xml:space="preserve"> in Haut, die schmerzempfindlich, rot, schuppig oder hart ist, oder in Bereiche mit Narben, blauen Flecken oder Dehnungsstreifen</w:t>
            </w:r>
            <w:r w:rsidRPr="0049187C">
              <w:rPr>
                <w:sz w:val="22"/>
                <w:szCs w:val="22"/>
                <w:lang w:val="de-DE"/>
              </w:rPr>
              <w:t>.</w:t>
            </w:r>
          </w:p>
          <w:p w14:paraId="5B18CD8C" w14:textId="77777777" w:rsidR="00B513E4" w:rsidRPr="0049187C" w:rsidRDefault="00B513E4" w:rsidP="0049187C">
            <w:pPr>
              <w:pStyle w:val="Text"/>
              <w:spacing w:before="0"/>
              <w:jc w:val="left"/>
              <w:rPr>
                <w:sz w:val="22"/>
                <w:szCs w:val="22"/>
                <w:lang w:val="de-DE"/>
              </w:rPr>
            </w:pPr>
          </w:p>
          <w:p w14:paraId="61925A96" w14:textId="77777777" w:rsidR="00896A5A" w:rsidRPr="0049187C" w:rsidRDefault="00B00716" w:rsidP="0049187C">
            <w:pPr>
              <w:pStyle w:val="Text"/>
              <w:spacing w:before="0"/>
              <w:jc w:val="left"/>
              <w:rPr>
                <w:sz w:val="22"/>
                <w:szCs w:val="22"/>
                <w:lang w:val="de-DE"/>
              </w:rPr>
            </w:pPr>
            <w:r w:rsidRPr="0049187C">
              <w:rPr>
                <w:sz w:val="22"/>
                <w:szCs w:val="22"/>
                <w:lang w:val="de-DE"/>
              </w:rPr>
              <w:t xml:space="preserve">Wenn Sie die Injektion von Ihrem Arzt, Ihrer Pflegeperson oder Ihrer </w:t>
            </w:r>
            <w:r w:rsidR="0021323C" w:rsidRPr="0049187C">
              <w:rPr>
                <w:sz w:val="22"/>
                <w:szCs w:val="22"/>
                <w:lang w:val="de-DE"/>
              </w:rPr>
              <w:t>medizinischen</w:t>
            </w:r>
            <w:r w:rsidRPr="0049187C">
              <w:rPr>
                <w:sz w:val="22"/>
                <w:szCs w:val="22"/>
                <w:lang w:val="de-DE"/>
              </w:rPr>
              <w:t xml:space="preserve"> Fachkraf</w:t>
            </w:r>
            <w:r w:rsidR="0021323C" w:rsidRPr="0049187C">
              <w:rPr>
                <w:sz w:val="22"/>
                <w:szCs w:val="22"/>
                <w:lang w:val="de-DE"/>
              </w:rPr>
              <w:t>t</w:t>
            </w:r>
            <w:r w:rsidRPr="0049187C">
              <w:rPr>
                <w:sz w:val="22"/>
                <w:szCs w:val="22"/>
                <w:lang w:val="de-DE"/>
              </w:rPr>
              <w:t xml:space="preserve"> erhalten, </w:t>
            </w:r>
            <w:r w:rsidR="0021323C" w:rsidRPr="0049187C">
              <w:rPr>
                <w:sz w:val="22"/>
                <w:szCs w:val="22"/>
                <w:lang w:val="de-DE"/>
              </w:rPr>
              <w:t>kann sie auch in den Oberarm gegeben werden</w:t>
            </w:r>
            <w:r w:rsidRPr="0049187C">
              <w:rPr>
                <w:sz w:val="22"/>
                <w:szCs w:val="22"/>
                <w:lang w:val="de-DE"/>
              </w:rPr>
              <w:t>.</w:t>
            </w:r>
          </w:p>
        </w:tc>
        <w:tc>
          <w:tcPr>
            <w:tcW w:w="4419" w:type="dxa"/>
          </w:tcPr>
          <w:p w14:paraId="46AA0774" w14:textId="77777777" w:rsidR="00896A5A" w:rsidRPr="0049187C" w:rsidRDefault="00B00716" w:rsidP="0049187C">
            <w:pPr>
              <w:pStyle w:val="Text"/>
              <w:spacing w:before="0"/>
              <w:jc w:val="left"/>
              <w:rPr>
                <w:sz w:val="22"/>
                <w:szCs w:val="22"/>
                <w:lang w:val="de-DE"/>
              </w:rPr>
            </w:pPr>
            <w:r w:rsidRPr="0049187C">
              <w:rPr>
                <w:noProof/>
                <w:sz w:val="22"/>
                <w:szCs w:val="22"/>
                <w:lang w:val="de-DE" w:eastAsia="en-US"/>
              </w:rPr>
              <w:drawing>
                <wp:inline distT="0" distB="0" distL="0" distR="0" wp14:anchorId="30E6E32F" wp14:editId="24A64716">
                  <wp:extent cx="1739989" cy="1403422"/>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486413" name=""/>
                          <pic:cNvPicPr/>
                        </pic:nvPicPr>
                        <pic:blipFill>
                          <a:blip r:embed="rId25"/>
                          <a:stretch>
                            <a:fillRect/>
                          </a:stretch>
                        </pic:blipFill>
                        <pic:spPr>
                          <a:xfrm>
                            <a:off x="0" y="0"/>
                            <a:ext cx="1739989" cy="1403422"/>
                          </a:xfrm>
                          <a:prstGeom prst="rect">
                            <a:avLst/>
                          </a:prstGeom>
                        </pic:spPr>
                      </pic:pic>
                    </a:graphicData>
                  </a:graphic>
                </wp:inline>
              </w:drawing>
            </w:r>
          </w:p>
        </w:tc>
      </w:tr>
      <w:tr w:rsidR="00A67796" w:rsidRPr="0049187C" w14:paraId="0A3C4BA2" w14:textId="77777777" w:rsidTr="00744C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931" w:type="dxa"/>
            <w:gridSpan w:val="3"/>
            <w:tcBorders>
              <w:top w:val="nil"/>
              <w:left w:val="nil"/>
              <w:bottom w:val="nil"/>
              <w:right w:val="nil"/>
            </w:tcBorders>
          </w:tcPr>
          <w:p w14:paraId="308B7AF9" w14:textId="77777777" w:rsidR="00B513E4" w:rsidRPr="0049187C" w:rsidRDefault="00B513E4" w:rsidP="0049187C">
            <w:pPr>
              <w:pStyle w:val="Text"/>
              <w:spacing w:before="0"/>
              <w:jc w:val="left"/>
              <w:rPr>
                <w:b/>
                <w:bCs/>
                <w:sz w:val="22"/>
                <w:szCs w:val="22"/>
                <w:lang w:val="de-DE"/>
              </w:rPr>
            </w:pPr>
          </w:p>
          <w:p w14:paraId="71F9764D" w14:textId="77777777" w:rsidR="00896A5A" w:rsidRPr="0049187C" w:rsidRDefault="00B00716" w:rsidP="0049187C">
            <w:pPr>
              <w:pStyle w:val="Text"/>
              <w:spacing w:before="0"/>
              <w:jc w:val="left"/>
              <w:rPr>
                <w:noProof/>
                <w:sz w:val="22"/>
                <w:szCs w:val="22"/>
                <w:lang w:val="de-DE" w:eastAsia="en-US"/>
              </w:rPr>
            </w:pPr>
            <w:r w:rsidRPr="0049187C">
              <w:rPr>
                <w:b/>
                <w:bCs/>
                <w:sz w:val="22"/>
                <w:szCs w:val="22"/>
                <w:lang w:val="de-DE"/>
              </w:rPr>
              <w:t>Jubbonti</w:t>
            </w:r>
            <w:r w:rsidR="0021323C" w:rsidRPr="0049187C">
              <w:rPr>
                <w:b/>
                <w:bCs/>
                <w:sz w:val="22"/>
                <w:szCs w:val="22"/>
                <w:lang w:val="de-DE"/>
              </w:rPr>
              <w:t xml:space="preserve"> injizieren</w:t>
            </w:r>
          </w:p>
        </w:tc>
      </w:tr>
      <w:tr w:rsidR="00A67796" w:rsidRPr="0049187C" w14:paraId="57659E0F" w14:textId="77777777" w:rsidTr="00744C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462E2971" w14:textId="77777777" w:rsidR="00B513E4" w:rsidRPr="0049187C" w:rsidRDefault="00B513E4" w:rsidP="0049187C">
            <w:pPr>
              <w:pStyle w:val="Text"/>
              <w:spacing w:before="0"/>
              <w:jc w:val="left"/>
              <w:rPr>
                <w:b/>
                <w:bCs/>
                <w:sz w:val="22"/>
                <w:szCs w:val="22"/>
                <w:lang w:val="de-DE"/>
              </w:rPr>
            </w:pPr>
          </w:p>
          <w:p w14:paraId="73F8B89A" w14:textId="77777777" w:rsidR="00896A5A" w:rsidRPr="0049187C" w:rsidRDefault="00B00716" w:rsidP="0049187C">
            <w:pPr>
              <w:pStyle w:val="Text"/>
              <w:spacing w:before="0"/>
              <w:jc w:val="left"/>
              <w:rPr>
                <w:b/>
                <w:bCs/>
                <w:sz w:val="22"/>
                <w:szCs w:val="22"/>
                <w:lang w:val="de-DE"/>
              </w:rPr>
            </w:pPr>
            <w:r w:rsidRPr="0049187C">
              <w:rPr>
                <w:b/>
                <w:bCs/>
                <w:sz w:val="22"/>
                <w:szCs w:val="22"/>
                <w:lang w:val="de-DE"/>
              </w:rPr>
              <w:t>Schritt 6. Injektionsstelle reinigen</w:t>
            </w:r>
          </w:p>
          <w:p w14:paraId="27CEE302" w14:textId="77777777" w:rsidR="00B513E4" w:rsidRPr="0049187C" w:rsidRDefault="00B513E4" w:rsidP="0049187C">
            <w:pPr>
              <w:pStyle w:val="Text"/>
              <w:spacing w:before="0"/>
              <w:jc w:val="left"/>
              <w:rPr>
                <w:sz w:val="22"/>
                <w:szCs w:val="22"/>
                <w:lang w:val="de-DE"/>
              </w:rPr>
            </w:pPr>
          </w:p>
          <w:p w14:paraId="46E78F54" w14:textId="77777777" w:rsidR="00896A5A" w:rsidRPr="0049187C" w:rsidRDefault="00B00716" w:rsidP="0049187C">
            <w:pPr>
              <w:pStyle w:val="Text"/>
              <w:spacing w:before="0"/>
              <w:jc w:val="left"/>
              <w:rPr>
                <w:sz w:val="22"/>
                <w:szCs w:val="22"/>
                <w:lang w:val="de-DE"/>
              </w:rPr>
            </w:pPr>
            <w:r w:rsidRPr="0049187C">
              <w:rPr>
                <w:sz w:val="22"/>
                <w:szCs w:val="22"/>
                <w:lang w:val="de-DE"/>
              </w:rPr>
              <w:t>Waschen sie sich die Hände mit Seife und Wasser.</w:t>
            </w:r>
          </w:p>
          <w:p w14:paraId="3C726DEC" w14:textId="77777777" w:rsidR="00B513E4" w:rsidRPr="0049187C" w:rsidRDefault="00B513E4" w:rsidP="0049187C">
            <w:pPr>
              <w:pStyle w:val="Text"/>
              <w:spacing w:before="0"/>
              <w:jc w:val="left"/>
              <w:rPr>
                <w:sz w:val="22"/>
                <w:szCs w:val="22"/>
                <w:lang w:val="de-DE"/>
              </w:rPr>
            </w:pPr>
          </w:p>
          <w:p w14:paraId="0CEFB980" w14:textId="77777777" w:rsidR="00896A5A" w:rsidRPr="0049187C" w:rsidRDefault="00B00716" w:rsidP="0049187C">
            <w:pPr>
              <w:pStyle w:val="Text"/>
              <w:spacing w:before="0"/>
              <w:jc w:val="left"/>
              <w:rPr>
                <w:sz w:val="22"/>
                <w:szCs w:val="22"/>
                <w:lang w:val="de-DE"/>
              </w:rPr>
            </w:pPr>
            <w:r w:rsidRPr="0049187C">
              <w:rPr>
                <w:sz w:val="22"/>
                <w:szCs w:val="22"/>
                <w:lang w:val="de-DE"/>
              </w:rPr>
              <w:t xml:space="preserve">Reinigen Sie die gewählte Injektionsstelle mit einem </w:t>
            </w:r>
            <w:r w:rsidR="00A110CE" w:rsidRPr="0049187C">
              <w:rPr>
                <w:sz w:val="22"/>
                <w:szCs w:val="22"/>
                <w:lang w:val="de-DE"/>
              </w:rPr>
              <w:t>Alkoholtupfer</w:t>
            </w:r>
            <w:r w:rsidRPr="0049187C">
              <w:rPr>
                <w:sz w:val="22"/>
                <w:szCs w:val="22"/>
                <w:lang w:val="de-DE"/>
              </w:rPr>
              <w:t>. Lassen Sie sie vor der Injektion trocknen.</w:t>
            </w:r>
          </w:p>
          <w:p w14:paraId="63AC10E8" w14:textId="77777777" w:rsidR="00B513E4" w:rsidRPr="0049187C" w:rsidRDefault="00B513E4" w:rsidP="0049187C">
            <w:pPr>
              <w:pStyle w:val="Text"/>
              <w:spacing w:before="0"/>
              <w:jc w:val="left"/>
              <w:rPr>
                <w:bCs/>
                <w:sz w:val="22"/>
                <w:szCs w:val="22"/>
                <w:lang w:val="de-DE"/>
              </w:rPr>
            </w:pPr>
          </w:p>
          <w:p w14:paraId="5B1170F7" w14:textId="77777777" w:rsidR="00896A5A" w:rsidRPr="0049187C" w:rsidRDefault="00B00716" w:rsidP="0049187C">
            <w:pPr>
              <w:pStyle w:val="Text"/>
              <w:spacing w:before="0"/>
              <w:jc w:val="left"/>
              <w:rPr>
                <w:sz w:val="22"/>
                <w:szCs w:val="22"/>
                <w:lang w:val="de-DE"/>
              </w:rPr>
            </w:pPr>
            <w:r w:rsidRPr="0049187C">
              <w:rPr>
                <w:bCs/>
                <w:sz w:val="22"/>
                <w:szCs w:val="22"/>
                <w:lang w:val="de-DE"/>
              </w:rPr>
              <w:t>Sie dürfen die gereinigte Stelle vor der Injektion</w:t>
            </w:r>
            <w:r w:rsidRPr="0049187C">
              <w:rPr>
                <w:b/>
                <w:bCs/>
                <w:sz w:val="22"/>
                <w:szCs w:val="22"/>
                <w:lang w:val="de-DE"/>
              </w:rPr>
              <w:t xml:space="preserve"> nicht </w:t>
            </w:r>
            <w:r w:rsidRPr="0049187C">
              <w:rPr>
                <w:bCs/>
                <w:sz w:val="22"/>
                <w:szCs w:val="22"/>
                <w:lang w:val="de-DE"/>
              </w:rPr>
              <w:t>berühren oder darauf blasen</w:t>
            </w:r>
            <w:r w:rsidRPr="0049187C">
              <w:rPr>
                <w:sz w:val="22"/>
                <w:szCs w:val="22"/>
                <w:lang w:val="de-DE"/>
              </w:rPr>
              <w:t>.</w:t>
            </w:r>
          </w:p>
        </w:tc>
        <w:tc>
          <w:tcPr>
            <w:tcW w:w="4433" w:type="dxa"/>
            <w:gridSpan w:val="2"/>
            <w:tcBorders>
              <w:top w:val="nil"/>
              <w:left w:val="nil"/>
              <w:bottom w:val="nil"/>
              <w:right w:val="nil"/>
            </w:tcBorders>
          </w:tcPr>
          <w:p w14:paraId="4727A805" w14:textId="77777777" w:rsidR="00896A5A" w:rsidRPr="0049187C" w:rsidRDefault="00B00716" w:rsidP="0049187C">
            <w:pPr>
              <w:pStyle w:val="Text"/>
              <w:spacing w:before="0"/>
              <w:jc w:val="left"/>
              <w:rPr>
                <w:sz w:val="22"/>
                <w:szCs w:val="22"/>
                <w:lang w:val="de-DE"/>
              </w:rPr>
            </w:pPr>
            <w:r w:rsidRPr="0049187C">
              <w:rPr>
                <w:noProof/>
                <w:sz w:val="22"/>
                <w:szCs w:val="22"/>
                <w:lang w:val="de-DE" w:eastAsia="en-US"/>
              </w:rPr>
              <w:drawing>
                <wp:inline distT="0" distB="0" distL="0" distR="0" wp14:anchorId="1A01D5A3" wp14:editId="536D7BFF">
                  <wp:extent cx="1708238" cy="1701887"/>
                  <wp:effectExtent l="0" t="0" r="635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915821" name=""/>
                          <pic:cNvPicPr/>
                        </pic:nvPicPr>
                        <pic:blipFill>
                          <a:blip r:embed="rId26"/>
                          <a:stretch>
                            <a:fillRect/>
                          </a:stretch>
                        </pic:blipFill>
                        <pic:spPr>
                          <a:xfrm>
                            <a:off x="0" y="0"/>
                            <a:ext cx="1708238" cy="1701887"/>
                          </a:xfrm>
                          <a:prstGeom prst="rect">
                            <a:avLst/>
                          </a:prstGeom>
                        </pic:spPr>
                      </pic:pic>
                    </a:graphicData>
                  </a:graphic>
                </wp:inline>
              </w:drawing>
            </w:r>
          </w:p>
        </w:tc>
      </w:tr>
      <w:tr w:rsidR="00A67796" w:rsidRPr="0049187C" w14:paraId="67BE5BB0" w14:textId="77777777" w:rsidTr="00744C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706D81E8" w14:textId="77777777" w:rsidR="00B513E4" w:rsidRPr="0049187C" w:rsidRDefault="00B513E4" w:rsidP="0049187C">
            <w:pPr>
              <w:pStyle w:val="Text"/>
              <w:spacing w:before="0"/>
              <w:jc w:val="left"/>
              <w:rPr>
                <w:b/>
                <w:bCs/>
                <w:sz w:val="22"/>
                <w:szCs w:val="22"/>
                <w:lang w:val="de-DE"/>
              </w:rPr>
            </w:pPr>
          </w:p>
          <w:p w14:paraId="341DA708" w14:textId="77777777" w:rsidR="00896A5A" w:rsidRPr="0049187C" w:rsidRDefault="00B00716" w:rsidP="0049187C">
            <w:pPr>
              <w:pStyle w:val="Text"/>
              <w:spacing w:before="0"/>
              <w:jc w:val="left"/>
              <w:rPr>
                <w:b/>
                <w:bCs/>
                <w:sz w:val="22"/>
                <w:szCs w:val="22"/>
                <w:lang w:val="de-DE"/>
              </w:rPr>
            </w:pPr>
            <w:r w:rsidRPr="0049187C">
              <w:rPr>
                <w:b/>
                <w:bCs/>
                <w:sz w:val="22"/>
                <w:szCs w:val="22"/>
                <w:lang w:val="de-DE"/>
              </w:rPr>
              <w:t>Schritt 7. Nadelkappe entfernen</w:t>
            </w:r>
          </w:p>
          <w:p w14:paraId="709D9A39" w14:textId="77777777" w:rsidR="00B513E4" w:rsidRPr="0049187C" w:rsidRDefault="00B513E4" w:rsidP="0049187C">
            <w:pPr>
              <w:pStyle w:val="Text"/>
              <w:spacing w:before="0"/>
              <w:jc w:val="left"/>
              <w:rPr>
                <w:sz w:val="22"/>
                <w:szCs w:val="22"/>
                <w:lang w:val="de-DE"/>
              </w:rPr>
            </w:pPr>
          </w:p>
          <w:p w14:paraId="69325F03" w14:textId="77777777" w:rsidR="00896A5A" w:rsidRPr="0049187C" w:rsidRDefault="00B00716" w:rsidP="0049187C">
            <w:pPr>
              <w:pStyle w:val="Text"/>
              <w:spacing w:before="0"/>
              <w:jc w:val="left"/>
              <w:rPr>
                <w:sz w:val="22"/>
                <w:szCs w:val="22"/>
                <w:lang w:val="de-DE"/>
              </w:rPr>
            </w:pPr>
            <w:r w:rsidRPr="0049187C">
              <w:rPr>
                <w:sz w:val="22"/>
                <w:szCs w:val="22"/>
                <w:lang w:val="de-DE"/>
              </w:rPr>
              <w:t>Ziehen Sie die Nadelkappe kräftig gerade von der Fertigspritze ab. Sie sehen möglicherweise einen Tropfen Flüssigkeit am Ende der Nadel. Dies ist normal.</w:t>
            </w:r>
          </w:p>
          <w:p w14:paraId="4C73DBEB" w14:textId="77777777" w:rsidR="00B513E4" w:rsidRPr="0049187C" w:rsidRDefault="00B513E4" w:rsidP="0049187C">
            <w:pPr>
              <w:pStyle w:val="Text"/>
              <w:spacing w:before="0"/>
              <w:jc w:val="left"/>
              <w:rPr>
                <w:bCs/>
                <w:sz w:val="22"/>
                <w:szCs w:val="22"/>
                <w:lang w:val="de-DE"/>
              </w:rPr>
            </w:pPr>
          </w:p>
          <w:p w14:paraId="13C89A72" w14:textId="77777777" w:rsidR="00896A5A" w:rsidRPr="0049187C" w:rsidRDefault="00B00716" w:rsidP="0049187C">
            <w:pPr>
              <w:pStyle w:val="Text"/>
              <w:spacing w:before="0"/>
              <w:jc w:val="left"/>
              <w:rPr>
                <w:sz w:val="22"/>
                <w:szCs w:val="22"/>
                <w:lang w:val="de-DE"/>
              </w:rPr>
            </w:pPr>
            <w:r w:rsidRPr="0049187C">
              <w:rPr>
                <w:bCs/>
                <w:sz w:val="22"/>
                <w:szCs w:val="22"/>
                <w:lang w:val="de-DE"/>
              </w:rPr>
              <w:t>Setzen Sie die Nadelkappe</w:t>
            </w:r>
            <w:r w:rsidRPr="0049187C">
              <w:rPr>
                <w:b/>
                <w:bCs/>
                <w:sz w:val="22"/>
                <w:szCs w:val="22"/>
                <w:lang w:val="de-DE"/>
              </w:rPr>
              <w:t xml:space="preserve"> nicht </w:t>
            </w:r>
            <w:r w:rsidRPr="0049187C">
              <w:rPr>
                <w:bCs/>
                <w:sz w:val="22"/>
                <w:szCs w:val="22"/>
                <w:lang w:val="de-DE"/>
              </w:rPr>
              <w:t>wieder auf. Werfen Sie die Nadelkappe weg.</w:t>
            </w:r>
          </w:p>
        </w:tc>
        <w:tc>
          <w:tcPr>
            <w:tcW w:w="4433" w:type="dxa"/>
            <w:gridSpan w:val="2"/>
            <w:tcBorders>
              <w:top w:val="nil"/>
              <w:left w:val="nil"/>
              <w:bottom w:val="nil"/>
              <w:right w:val="nil"/>
            </w:tcBorders>
          </w:tcPr>
          <w:p w14:paraId="11D9B340" w14:textId="77777777" w:rsidR="00896A5A" w:rsidRPr="0049187C" w:rsidRDefault="00B00716" w:rsidP="0049187C">
            <w:pPr>
              <w:pStyle w:val="Text"/>
              <w:spacing w:before="0"/>
              <w:jc w:val="left"/>
              <w:rPr>
                <w:sz w:val="22"/>
                <w:szCs w:val="22"/>
                <w:lang w:val="de-DE"/>
              </w:rPr>
            </w:pPr>
            <w:r w:rsidRPr="0049187C">
              <w:rPr>
                <w:noProof/>
                <w:sz w:val="22"/>
                <w:szCs w:val="22"/>
                <w:lang w:val="de-DE" w:eastAsia="en-US"/>
              </w:rPr>
              <w:drawing>
                <wp:inline distT="0" distB="0" distL="0" distR="0" wp14:anchorId="2A3ABECE" wp14:editId="2AB69E28">
                  <wp:extent cx="1720938" cy="1632034"/>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26329" name=""/>
                          <pic:cNvPicPr/>
                        </pic:nvPicPr>
                        <pic:blipFill>
                          <a:blip r:embed="rId27"/>
                          <a:stretch>
                            <a:fillRect/>
                          </a:stretch>
                        </pic:blipFill>
                        <pic:spPr>
                          <a:xfrm>
                            <a:off x="0" y="0"/>
                            <a:ext cx="1720938" cy="1632034"/>
                          </a:xfrm>
                          <a:prstGeom prst="rect">
                            <a:avLst/>
                          </a:prstGeom>
                        </pic:spPr>
                      </pic:pic>
                    </a:graphicData>
                  </a:graphic>
                </wp:inline>
              </w:drawing>
            </w:r>
          </w:p>
        </w:tc>
      </w:tr>
      <w:tr w:rsidR="00A67796" w:rsidRPr="0049187C" w14:paraId="599E7D83" w14:textId="77777777" w:rsidTr="00744C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0CD06D0C" w14:textId="77777777" w:rsidR="00B513E4" w:rsidRPr="0049187C" w:rsidRDefault="00B513E4" w:rsidP="0049187C">
            <w:pPr>
              <w:pStyle w:val="Text"/>
              <w:spacing w:before="0"/>
              <w:jc w:val="left"/>
              <w:rPr>
                <w:b/>
                <w:bCs/>
                <w:sz w:val="22"/>
                <w:szCs w:val="22"/>
                <w:lang w:val="de-DE"/>
              </w:rPr>
            </w:pPr>
          </w:p>
          <w:p w14:paraId="32F40D5F" w14:textId="77777777" w:rsidR="00896A5A" w:rsidRPr="0049187C" w:rsidRDefault="00B00716" w:rsidP="0049187C">
            <w:pPr>
              <w:pStyle w:val="Text"/>
              <w:spacing w:before="0"/>
              <w:jc w:val="left"/>
              <w:rPr>
                <w:b/>
                <w:bCs/>
                <w:sz w:val="22"/>
                <w:szCs w:val="22"/>
                <w:lang w:val="de-DE"/>
              </w:rPr>
            </w:pPr>
            <w:r w:rsidRPr="0049187C">
              <w:rPr>
                <w:b/>
                <w:bCs/>
                <w:sz w:val="22"/>
                <w:szCs w:val="22"/>
                <w:lang w:val="de-DE"/>
              </w:rPr>
              <w:t>Schritt 8. Nadel einführen</w:t>
            </w:r>
          </w:p>
          <w:p w14:paraId="57B1CF33" w14:textId="77777777" w:rsidR="00B513E4" w:rsidRPr="0049187C" w:rsidRDefault="00B513E4" w:rsidP="0049187C">
            <w:pPr>
              <w:pStyle w:val="Text"/>
              <w:spacing w:before="0"/>
              <w:jc w:val="left"/>
              <w:rPr>
                <w:sz w:val="22"/>
                <w:szCs w:val="22"/>
                <w:lang w:val="de-DE"/>
              </w:rPr>
            </w:pPr>
          </w:p>
          <w:p w14:paraId="5B66C1A0" w14:textId="77777777" w:rsidR="00896A5A" w:rsidRPr="0049187C" w:rsidRDefault="00B00716" w:rsidP="0049187C">
            <w:pPr>
              <w:pStyle w:val="Text"/>
              <w:spacing w:before="0"/>
              <w:jc w:val="left"/>
              <w:rPr>
                <w:sz w:val="22"/>
                <w:szCs w:val="22"/>
                <w:lang w:val="de-DE"/>
              </w:rPr>
            </w:pPr>
            <w:r w:rsidRPr="0049187C">
              <w:rPr>
                <w:sz w:val="22"/>
                <w:szCs w:val="22"/>
                <w:lang w:val="de-DE"/>
              </w:rPr>
              <w:t>Drücken Sie die Haut an der Injektionsstelle vorsichtig zusammen und halten Sie sie während der gesamten Injektion gedrückt. Führen Sie mit der anderen Hand die Nadel in einem Winkel von etwa 45 Grad in die Haut ein, wie dargestellt.</w:t>
            </w:r>
          </w:p>
          <w:p w14:paraId="101EF8C3" w14:textId="77777777" w:rsidR="00B513E4" w:rsidRPr="0049187C" w:rsidRDefault="00B513E4" w:rsidP="0049187C">
            <w:pPr>
              <w:pStyle w:val="Text"/>
              <w:spacing w:before="0"/>
              <w:jc w:val="left"/>
              <w:rPr>
                <w:sz w:val="22"/>
                <w:szCs w:val="22"/>
                <w:lang w:val="de-DE"/>
              </w:rPr>
            </w:pPr>
          </w:p>
          <w:p w14:paraId="0F39F7F5" w14:textId="77777777" w:rsidR="00896A5A" w:rsidRPr="0049187C" w:rsidRDefault="00B00716" w:rsidP="0049187C">
            <w:pPr>
              <w:pStyle w:val="Text"/>
              <w:spacing w:before="0"/>
              <w:jc w:val="left"/>
              <w:rPr>
                <w:sz w:val="22"/>
                <w:szCs w:val="22"/>
                <w:lang w:val="de-DE"/>
              </w:rPr>
            </w:pPr>
            <w:r w:rsidRPr="0049187C">
              <w:rPr>
                <w:sz w:val="22"/>
                <w:szCs w:val="22"/>
                <w:lang w:val="de-DE"/>
              </w:rPr>
              <w:t>Drücken Sie den Kolben beim Einführen</w:t>
            </w:r>
            <w:r w:rsidRPr="0049187C">
              <w:rPr>
                <w:b/>
                <w:sz w:val="22"/>
                <w:szCs w:val="22"/>
                <w:lang w:val="de-DE"/>
              </w:rPr>
              <w:t xml:space="preserve"> nicht </w:t>
            </w:r>
            <w:r w:rsidRPr="0049187C">
              <w:rPr>
                <w:sz w:val="22"/>
                <w:szCs w:val="22"/>
                <w:lang w:val="de-DE"/>
              </w:rPr>
              <w:t>nach unten.</w:t>
            </w:r>
          </w:p>
        </w:tc>
        <w:tc>
          <w:tcPr>
            <w:tcW w:w="4433" w:type="dxa"/>
            <w:gridSpan w:val="2"/>
            <w:tcBorders>
              <w:top w:val="nil"/>
              <w:left w:val="nil"/>
              <w:bottom w:val="nil"/>
              <w:right w:val="nil"/>
            </w:tcBorders>
          </w:tcPr>
          <w:p w14:paraId="3DEA1E70" w14:textId="77777777" w:rsidR="00896A5A" w:rsidRPr="0049187C" w:rsidRDefault="00B00716" w:rsidP="0049187C">
            <w:pPr>
              <w:pStyle w:val="Text"/>
              <w:spacing w:before="0"/>
              <w:jc w:val="left"/>
              <w:rPr>
                <w:noProof/>
                <w:sz w:val="22"/>
                <w:szCs w:val="22"/>
                <w:lang w:val="de-DE" w:eastAsia="en-US"/>
              </w:rPr>
            </w:pPr>
            <w:r w:rsidRPr="0049187C">
              <w:rPr>
                <w:noProof/>
                <w:sz w:val="22"/>
                <w:szCs w:val="22"/>
                <w:lang w:val="de-DE" w:eastAsia="en-US"/>
              </w:rPr>
              <w:drawing>
                <wp:inline distT="0" distB="0" distL="0" distR="0" wp14:anchorId="3ADE3CA6" wp14:editId="7AC97728">
                  <wp:extent cx="1537221" cy="1532659"/>
                  <wp:effectExtent l="0" t="0" r="635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08945" name=""/>
                          <pic:cNvPicPr/>
                        </pic:nvPicPr>
                        <pic:blipFill>
                          <a:blip r:embed="rId28"/>
                          <a:stretch>
                            <a:fillRect/>
                          </a:stretch>
                        </pic:blipFill>
                        <pic:spPr>
                          <a:xfrm>
                            <a:off x="0" y="0"/>
                            <a:ext cx="1553657" cy="1549046"/>
                          </a:xfrm>
                          <a:prstGeom prst="rect">
                            <a:avLst/>
                          </a:prstGeom>
                        </pic:spPr>
                      </pic:pic>
                    </a:graphicData>
                  </a:graphic>
                </wp:inline>
              </w:drawing>
            </w:r>
          </w:p>
        </w:tc>
      </w:tr>
      <w:tr w:rsidR="00A67796" w:rsidRPr="0049187C" w14:paraId="416FF29C" w14:textId="77777777" w:rsidTr="00D170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0"/>
        </w:trPr>
        <w:tc>
          <w:tcPr>
            <w:tcW w:w="4498" w:type="dxa"/>
            <w:tcBorders>
              <w:top w:val="nil"/>
              <w:left w:val="nil"/>
              <w:bottom w:val="nil"/>
              <w:right w:val="nil"/>
            </w:tcBorders>
          </w:tcPr>
          <w:p w14:paraId="3041E7BA" w14:textId="77777777" w:rsidR="00896A5A" w:rsidRPr="0049187C" w:rsidRDefault="00B00716" w:rsidP="0049187C">
            <w:pPr>
              <w:pStyle w:val="Text"/>
              <w:spacing w:before="0"/>
              <w:jc w:val="left"/>
              <w:rPr>
                <w:b/>
                <w:bCs/>
                <w:sz w:val="22"/>
                <w:szCs w:val="22"/>
                <w:lang w:val="de-DE"/>
              </w:rPr>
            </w:pPr>
            <w:r w:rsidRPr="0049187C">
              <w:rPr>
                <w:b/>
                <w:bCs/>
                <w:sz w:val="22"/>
                <w:szCs w:val="22"/>
                <w:lang w:val="de-DE"/>
              </w:rPr>
              <w:t>Schritt 9. Injektion beginnen</w:t>
            </w:r>
          </w:p>
          <w:p w14:paraId="6B639BF1" w14:textId="77777777" w:rsidR="00B513E4" w:rsidRPr="0049187C" w:rsidRDefault="00B513E4" w:rsidP="0049187C">
            <w:pPr>
              <w:pStyle w:val="Text"/>
              <w:spacing w:before="0"/>
              <w:jc w:val="left"/>
              <w:rPr>
                <w:b/>
                <w:bCs/>
                <w:sz w:val="22"/>
                <w:szCs w:val="22"/>
                <w:lang w:val="de-DE"/>
              </w:rPr>
            </w:pPr>
          </w:p>
          <w:p w14:paraId="6762506E" w14:textId="77777777" w:rsidR="00896A5A" w:rsidRPr="0049187C" w:rsidRDefault="00B00716" w:rsidP="0049187C">
            <w:pPr>
              <w:pStyle w:val="Text"/>
              <w:spacing w:before="0"/>
              <w:jc w:val="left"/>
              <w:rPr>
                <w:sz w:val="22"/>
                <w:szCs w:val="22"/>
                <w:lang w:val="de-DE"/>
              </w:rPr>
            </w:pPr>
            <w:r w:rsidRPr="0049187C">
              <w:rPr>
                <w:sz w:val="22"/>
                <w:szCs w:val="22"/>
                <w:lang w:val="de-DE"/>
              </w:rPr>
              <w:t>Halten Sie die Haut weiter zusammengedrückt. Drücken Sie den Kolben so weit nach unten, wie es geht. So wird die gesamte Dosis injiziert</w:t>
            </w:r>
            <w:r w:rsidRPr="0049187C">
              <w:rPr>
                <w:bCs/>
                <w:sz w:val="22"/>
                <w:szCs w:val="22"/>
                <w:lang w:val="de-DE"/>
              </w:rPr>
              <w:t>.</w:t>
            </w:r>
          </w:p>
        </w:tc>
        <w:tc>
          <w:tcPr>
            <w:tcW w:w="4433" w:type="dxa"/>
            <w:gridSpan w:val="2"/>
            <w:tcBorders>
              <w:top w:val="nil"/>
              <w:left w:val="nil"/>
              <w:bottom w:val="nil"/>
              <w:right w:val="nil"/>
            </w:tcBorders>
          </w:tcPr>
          <w:p w14:paraId="41B46ABF" w14:textId="77777777" w:rsidR="00896A5A" w:rsidRPr="0049187C" w:rsidRDefault="00B00716" w:rsidP="0049187C">
            <w:pPr>
              <w:pStyle w:val="Text"/>
              <w:spacing w:before="0"/>
              <w:jc w:val="left"/>
              <w:rPr>
                <w:sz w:val="22"/>
                <w:szCs w:val="22"/>
                <w:lang w:val="de-DE"/>
              </w:rPr>
            </w:pPr>
            <w:r w:rsidRPr="0049187C">
              <w:rPr>
                <w:noProof/>
                <w:sz w:val="22"/>
                <w:szCs w:val="22"/>
                <w:lang w:val="de-DE" w:eastAsia="en-US"/>
              </w:rPr>
              <w:drawing>
                <wp:inline distT="0" distB="0" distL="0" distR="0" wp14:anchorId="1DED24FB" wp14:editId="2DB076F1">
                  <wp:extent cx="1536700" cy="1536700"/>
                  <wp:effectExtent l="0" t="0" r="635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70867" name=""/>
                          <pic:cNvPicPr/>
                        </pic:nvPicPr>
                        <pic:blipFill>
                          <a:blip r:embed="rId29"/>
                          <a:stretch>
                            <a:fillRect/>
                          </a:stretch>
                        </pic:blipFill>
                        <pic:spPr>
                          <a:xfrm>
                            <a:off x="0" y="0"/>
                            <a:ext cx="1547352" cy="1547352"/>
                          </a:xfrm>
                          <a:prstGeom prst="rect">
                            <a:avLst/>
                          </a:prstGeom>
                        </pic:spPr>
                      </pic:pic>
                    </a:graphicData>
                  </a:graphic>
                </wp:inline>
              </w:drawing>
            </w:r>
          </w:p>
        </w:tc>
      </w:tr>
      <w:tr w:rsidR="00A67796" w:rsidRPr="0049187C" w14:paraId="0091C71E" w14:textId="77777777" w:rsidTr="00D170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43"/>
        </w:trPr>
        <w:tc>
          <w:tcPr>
            <w:tcW w:w="4498" w:type="dxa"/>
            <w:tcBorders>
              <w:top w:val="nil"/>
              <w:left w:val="nil"/>
              <w:bottom w:val="nil"/>
              <w:right w:val="nil"/>
            </w:tcBorders>
          </w:tcPr>
          <w:p w14:paraId="7EBB209C" w14:textId="77777777" w:rsidR="00896A5A" w:rsidRPr="0049187C" w:rsidRDefault="00B00716" w:rsidP="0049187C">
            <w:pPr>
              <w:pStyle w:val="Text"/>
              <w:spacing w:before="0"/>
              <w:jc w:val="left"/>
              <w:rPr>
                <w:b/>
                <w:bCs/>
                <w:sz w:val="22"/>
                <w:szCs w:val="22"/>
                <w:lang w:val="de-DE"/>
              </w:rPr>
            </w:pPr>
            <w:r w:rsidRPr="0049187C">
              <w:rPr>
                <w:b/>
                <w:bCs/>
                <w:sz w:val="22"/>
                <w:szCs w:val="22"/>
                <w:lang w:val="de-DE"/>
              </w:rPr>
              <w:t>Schritt 10. Injektion abschließen</w:t>
            </w:r>
          </w:p>
          <w:p w14:paraId="6BDF0DFC" w14:textId="77777777" w:rsidR="00B513E4" w:rsidRPr="0049187C" w:rsidRDefault="00B513E4" w:rsidP="0049187C">
            <w:pPr>
              <w:pStyle w:val="Text"/>
              <w:spacing w:before="0"/>
              <w:jc w:val="left"/>
              <w:rPr>
                <w:b/>
                <w:bCs/>
                <w:sz w:val="22"/>
                <w:szCs w:val="22"/>
                <w:lang w:val="de-DE"/>
              </w:rPr>
            </w:pPr>
          </w:p>
          <w:p w14:paraId="67286C90" w14:textId="77777777" w:rsidR="00896A5A" w:rsidRPr="0049187C" w:rsidRDefault="00B00716" w:rsidP="0049187C">
            <w:pPr>
              <w:pStyle w:val="Text"/>
              <w:spacing w:before="0"/>
              <w:jc w:val="left"/>
              <w:rPr>
                <w:sz w:val="22"/>
                <w:szCs w:val="22"/>
                <w:lang w:val="de-DE"/>
              </w:rPr>
            </w:pPr>
            <w:r w:rsidRPr="0049187C">
              <w:rPr>
                <w:sz w:val="22"/>
                <w:szCs w:val="22"/>
                <w:lang w:val="de-DE"/>
              </w:rPr>
              <w:t xml:space="preserve">Stellen Sie sicher, dass </w:t>
            </w:r>
            <w:r w:rsidR="00776126" w:rsidRPr="0049187C">
              <w:rPr>
                <w:sz w:val="22"/>
                <w:szCs w:val="22"/>
                <w:lang w:val="de-DE"/>
              </w:rPr>
              <w:t xml:space="preserve">sich </w:t>
            </w:r>
            <w:r w:rsidRPr="0049187C">
              <w:rPr>
                <w:sz w:val="22"/>
                <w:szCs w:val="22"/>
                <w:lang w:val="de-DE"/>
              </w:rPr>
              <w:t xml:space="preserve">der Kolbenkopf zwischen den Flügeln </w:t>
            </w:r>
            <w:r w:rsidR="00FE5E42" w:rsidRPr="0049187C">
              <w:rPr>
                <w:sz w:val="22"/>
                <w:szCs w:val="22"/>
                <w:lang w:val="de-DE"/>
              </w:rPr>
              <w:t>der Schutzvorrichtung befindet, wie dargestellt. Dies gewährleistet, dass die Schutzvorrichtung aktiviert wurde und die Nadel nach Absch</w:t>
            </w:r>
            <w:r w:rsidR="00776126" w:rsidRPr="0049187C">
              <w:rPr>
                <w:sz w:val="22"/>
                <w:szCs w:val="22"/>
                <w:lang w:val="de-DE"/>
              </w:rPr>
              <w:t>l</w:t>
            </w:r>
            <w:r w:rsidR="00FE5E42" w:rsidRPr="0049187C">
              <w:rPr>
                <w:sz w:val="22"/>
                <w:szCs w:val="22"/>
                <w:lang w:val="de-DE"/>
              </w:rPr>
              <w:t>uss der Injektion abdeckt.</w:t>
            </w:r>
          </w:p>
        </w:tc>
        <w:tc>
          <w:tcPr>
            <w:tcW w:w="4433" w:type="dxa"/>
            <w:gridSpan w:val="2"/>
            <w:tcBorders>
              <w:top w:val="nil"/>
              <w:left w:val="nil"/>
              <w:bottom w:val="nil"/>
              <w:right w:val="nil"/>
            </w:tcBorders>
          </w:tcPr>
          <w:p w14:paraId="14D9BF6F" w14:textId="77777777" w:rsidR="00896A5A" w:rsidRPr="0049187C" w:rsidRDefault="00B00716" w:rsidP="0049187C">
            <w:pPr>
              <w:pStyle w:val="Text"/>
              <w:spacing w:before="0"/>
              <w:jc w:val="left"/>
              <w:rPr>
                <w:sz w:val="22"/>
                <w:szCs w:val="22"/>
                <w:lang w:val="de-DE"/>
              </w:rPr>
            </w:pPr>
            <w:r w:rsidRPr="0049187C">
              <w:rPr>
                <w:noProof/>
                <w:sz w:val="22"/>
                <w:szCs w:val="22"/>
                <w:lang w:val="de-DE" w:eastAsia="en-US"/>
              </w:rPr>
              <w:drawing>
                <wp:inline distT="0" distB="0" distL="0" distR="0" wp14:anchorId="65CFD982" wp14:editId="71D847E2">
                  <wp:extent cx="1262495" cy="137178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820824" name=""/>
                          <pic:cNvPicPr/>
                        </pic:nvPicPr>
                        <pic:blipFill>
                          <a:blip r:embed="rId30"/>
                          <a:stretch>
                            <a:fillRect/>
                          </a:stretch>
                        </pic:blipFill>
                        <pic:spPr>
                          <a:xfrm>
                            <a:off x="0" y="0"/>
                            <a:ext cx="1278541" cy="1389220"/>
                          </a:xfrm>
                          <a:prstGeom prst="rect">
                            <a:avLst/>
                          </a:prstGeom>
                        </pic:spPr>
                      </pic:pic>
                    </a:graphicData>
                  </a:graphic>
                </wp:inline>
              </w:drawing>
            </w:r>
          </w:p>
        </w:tc>
      </w:tr>
      <w:tr w:rsidR="00A67796" w:rsidRPr="0049187C" w14:paraId="74B2472E" w14:textId="77777777" w:rsidTr="00744C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73906971" w14:textId="77777777" w:rsidR="00896A5A" w:rsidRPr="0049187C" w:rsidRDefault="00B00716" w:rsidP="0049187C">
            <w:pPr>
              <w:pStyle w:val="Text"/>
              <w:spacing w:before="0"/>
              <w:jc w:val="left"/>
              <w:rPr>
                <w:b/>
                <w:bCs/>
                <w:sz w:val="22"/>
                <w:szCs w:val="22"/>
                <w:lang w:val="de-DE"/>
              </w:rPr>
            </w:pPr>
            <w:r w:rsidRPr="0049187C">
              <w:rPr>
                <w:b/>
                <w:bCs/>
                <w:sz w:val="22"/>
                <w:szCs w:val="22"/>
                <w:lang w:val="de-DE"/>
              </w:rPr>
              <w:t>Schritt 11. Kolben loslassen</w:t>
            </w:r>
          </w:p>
          <w:p w14:paraId="0629FFF4" w14:textId="77777777" w:rsidR="00D17062" w:rsidRPr="0049187C" w:rsidRDefault="00D17062" w:rsidP="0049187C">
            <w:pPr>
              <w:pStyle w:val="Text"/>
              <w:spacing w:before="0"/>
              <w:jc w:val="left"/>
              <w:rPr>
                <w:b/>
                <w:bCs/>
                <w:sz w:val="22"/>
                <w:szCs w:val="22"/>
                <w:lang w:val="de-DE"/>
              </w:rPr>
            </w:pPr>
          </w:p>
          <w:p w14:paraId="144CE1E0" w14:textId="77777777" w:rsidR="00896A5A" w:rsidRPr="0049187C" w:rsidRDefault="00B00716" w:rsidP="0049187C">
            <w:pPr>
              <w:pStyle w:val="Text"/>
              <w:spacing w:before="0"/>
              <w:jc w:val="left"/>
              <w:rPr>
                <w:sz w:val="22"/>
                <w:szCs w:val="22"/>
                <w:lang w:val="de-DE"/>
              </w:rPr>
            </w:pPr>
            <w:r w:rsidRPr="0049187C">
              <w:rPr>
                <w:sz w:val="22"/>
                <w:szCs w:val="22"/>
                <w:lang w:val="de-DE"/>
              </w:rPr>
              <w:t xml:space="preserve">Belassen sie die Fertigspritze an der Injektionsstelle und lassen Sie den Kolben langsam los, bis die Nadel von der Schutzvorrichtung </w:t>
            </w:r>
            <w:r w:rsidR="00776126" w:rsidRPr="0049187C">
              <w:rPr>
                <w:sz w:val="22"/>
                <w:szCs w:val="22"/>
                <w:lang w:val="de-DE"/>
              </w:rPr>
              <w:t>abgedeckt</w:t>
            </w:r>
            <w:r w:rsidRPr="0049187C">
              <w:rPr>
                <w:sz w:val="22"/>
                <w:szCs w:val="22"/>
                <w:lang w:val="de-DE"/>
              </w:rPr>
              <w:t xml:space="preserve"> ist. </w:t>
            </w:r>
          </w:p>
          <w:p w14:paraId="6482049F" w14:textId="77777777" w:rsidR="00D17062" w:rsidRPr="0049187C" w:rsidRDefault="00D17062" w:rsidP="0049187C">
            <w:pPr>
              <w:pStyle w:val="Text"/>
              <w:spacing w:before="0"/>
              <w:jc w:val="left"/>
              <w:rPr>
                <w:sz w:val="22"/>
                <w:szCs w:val="22"/>
                <w:lang w:val="de-DE"/>
              </w:rPr>
            </w:pPr>
          </w:p>
          <w:p w14:paraId="6AF83514" w14:textId="77777777" w:rsidR="00896A5A" w:rsidRPr="0049187C" w:rsidRDefault="00B00716" w:rsidP="0049187C">
            <w:pPr>
              <w:pStyle w:val="Text"/>
              <w:spacing w:before="0"/>
              <w:jc w:val="left"/>
              <w:rPr>
                <w:sz w:val="22"/>
                <w:szCs w:val="22"/>
                <w:lang w:val="de-DE"/>
              </w:rPr>
            </w:pPr>
            <w:r w:rsidRPr="0049187C">
              <w:rPr>
                <w:sz w:val="22"/>
                <w:szCs w:val="22"/>
                <w:lang w:val="de-DE"/>
              </w:rPr>
              <w:t>Entfernen Sie die Fertig</w:t>
            </w:r>
            <w:r w:rsidR="00776126" w:rsidRPr="0049187C">
              <w:rPr>
                <w:sz w:val="22"/>
                <w:szCs w:val="22"/>
                <w:lang w:val="de-DE"/>
              </w:rPr>
              <w:t>spritze</w:t>
            </w:r>
            <w:r w:rsidRPr="0049187C">
              <w:rPr>
                <w:sz w:val="22"/>
                <w:szCs w:val="22"/>
                <w:lang w:val="de-DE"/>
              </w:rPr>
              <w:t xml:space="preserve"> von der Injektionsstelle und lassen Sie die Haut los. </w:t>
            </w:r>
          </w:p>
          <w:p w14:paraId="4F1940FE" w14:textId="77777777" w:rsidR="00D17062" w:rsidRPr="0049187C" w:rsidRDefault="00D17062" w:rsidP="0049187C">
            <w:pPr>
              <w:pStyle w:val="Text"/>
              <w:spacing w:before="0"/>
              <w:jc w:val="left"/>
              <w:rPr>
                <w:sz w:val="22"/>
                <w:szCs w:val="22"/>
                <w:lang w:val="de-DE"/>
              </w:rPr>
            </w:pPr>
          </w:p>
          <w:p w14:paraId="16DF2C83" w14:textId="77777777" w:rsidR="00896A5A" w:rsidRPr="0049187C" w:rsidRDefault="00B00716" w:rsidP="0049187C">
            <w:pPr>
              <w:pStyle w:val="Text"/>
              <w:spacing w:before="0"/>
              <w:jc w:val="left"/>
              <w:rPr>
                <w:sz w:val="22"/>
                <w:szCs w:val="22"/>
                <w:lang w:val="de-DE"/>
              </w:rPr>
            </w:pPr>
            <w:r w:rsidRPr="0049187C">
              <w:rPr>
                <w:sz w:val="22"/>
                <w:szCs w:val="22"/>
                <w:lang w:val="de-DE"/>
              </w:rPr>
              <w:t xml:space="preserve">An der Injektionsstelle kann sich eine kleine Menge Blut befinden. Sie können Watte oder Gaze auf die Injektionsstelle drücken, bis die Blutung aufhört. </w:t>
            </w:r>
          </w:p>
          <w:p w14:paraId="0ABB6812" w14:textId="77777777" w:rsidR="00D17062" w:rsidRPr="0049187C" w:rsidRDefault="00D17062" w:rsidP="0049187C">
            <w:pPr>
              <w:pStyle w:val="Text"/>
              <w:spacing w:before="0"/>
              <w:jc w:val="left"/>
              <w:rPr>
                <w:sz w:val="22"/>
                <w:szCs w:val="22"/>
                <w:lang w:val="de-DE"/>
              </w:rPr>
            </w:pPr>
          </w:p>
          <w:p w14:paraId="52944325" w14:textId="77777777" w:rsidR="00896A5A" w:rsidRPr="0049187C" w:rsidRDefault="00B00716" w:rsidP="0049187C">
            <w:pPr>
              <w:pStyle w:val="Text"/>
              <w:spacing w:before="0"/>
              <w:jc w:val="left"/>
              <w:rPr>
                <w:b/>
                <w:bCs/>
                <w:sz w:val="22"/>
                <w:szCs w:val="22"/>
                <w:lang w:val="de-DE"/>
              </w:rPr>
            </w:pPr>
            <w:r w:rsidRPr="0049187C">
              <w:rPr>
                <w:bCs/>
                <w:sz w:val="22"/>
                <w:szCs w:val="22"/>
                <w:lang w:val="de-DE"/>
              </w:rPr>
              <w:t xml:space="preserve">Sie dürfen die Injektionsstelle </w:t>
            </w:r>
            <w:r w:rsidRPr="0049187C">
              <w:rPr>
                <w:b/>
                <w:bCs/>
                <w:sz w:val="22"/>
                <w:szCs w:val="22"/>
                <w:lang w:val="de-DE"/>
              </w:rPr>
              <w:t>nicht</w:t>
            </w:r>
            <w:r w:rsidRPr="0049187C">
              <w:rPr>
                <w:bCs/>
                <w:sz w:val="22"/>
                <w:szCs w:val="22"/>
                <w:lang w:val="de-DE"/>
              </w:rPr>
              <w:t xml:space="preserve"> reiben. Kleben sie die Injektionsstelle bei Bedarf mit einem kleinen Heftpflaster ab</w:t>
            </w:r>
            <w:r w:rsidRPr="0049187C">
              <w:rPr>
                <w:sz w:val="22"/>
                <w:szCs w:val="22"/>
                <w:lang w:val="de-DE"/>
              </w:rPr>
              <w:t>.</w:t>
            </w:r>
          </w:p>
        </w:tc>
        <w:tc>
          <w:tcPr>
            <w:tcW w:w="4433" w:type="dxa"/>
            <w:gridSpan w:val="2"/>
            <w:tcBorders>
              <w:top w:val="nil"/>
              <w:left w:val="nil"/>
              <w:bottom w:val="nil"/>
              <w:right w:val="nil"/>
            </w:tcBorders>
          </w:tcPr>
          <w:p w14:paraId="1CE0BCA8" w14:textId="77777777" w:rsidR="00896A5A" w:rsidRPr="0049187C" w:rsidRDefault="00B00716" w:rsidP="0049187C">
            <w:pPr>
              <w:pStyle w:val="Text"/>
              <w:spacing w:before="0"/>
              <w:jc w:val="left"/>
              <w:rPr>
                <w:sz w:val="22"/>
                <w:szCs w:val="22"/>
                <w:lang w:val="de-DE"/>
              </w:rPr>
            </w:pPr>
            <w:r w:rsidRPr="0049187C">
              <w:rPr>
                <w:noProof/>
                <w:sz w:val="22"/>
                <w:szCs w:val="22"/>
                <w:lang w:val="de-DE" w:eastAsia="en-US"/>
              </w:rPr>
              <w:drawing>
                <wp:inline distT="0" distB="0" distL="0" distR="0" wp14:anchorId="114AAC61" wp14:editId="78C3C1B4">
                  <wp:extent cx="1310451" cy="1423555"/>
                  <wp:effectExtent l="0" t="0" r="4445" b="571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323786" name=""/>
                          <pic:cNvPicPr/>
                        </pic:nvPicPr>
                        <pic:blipFill>
                          <a:blip r:embed="rId31"/>
                          <a:stretch>
                            <a:fillRect/>
                          </a:stretch>
                        </pic:blipFill>
                        <pic:spPr>
                          <a:xfrm>
                            <a:off x="0" y="0"/>
                            <a:ext cx="1318816" cy="1432642"/>
                          </a:xfrm>
                          <a:prstGeom prst="rect">
                            <a:avLst/>
                          </a:prstGeom>
                        </pic:spPr>
                      </pic:pic>
                    </a:graphicData>
                  </a:graphic>
                </wp:inline>
              </w:drawing>
            </w:r>
          </w:p>
        </w:tc>
      </w:tr>
      <w:tr w:rsidR="00A67796" w:rsidRPr="0049187C" w14:paraId="2B2E25D9" w14:textId="77777777" w:rsidTr="00744C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98" w:type="dxa"/>
            <w:tcBorders>
              <w:top w:val="nil"/>
              <w:left w:val="nil"/>
              <w:bottom w:val="nil"/>
              <w:right w:val="nil"/>
            </w:tcBorders>
          </w:tcPr>
          <w:p w14:paraId="76619ADB" w14:textId="77777777" w:rsidR="00D17062" w:rsidRPr="0049187C" w:rsidRDefault="00D17062" w:rsidP="0049187C">
            <w:pPr>
              <w:pStyle w:val="Text"/>
              <w:keepNext/>
              <w:keepLines/>
              <w:widowControl w:val="0"/>
              <w:spacing w:before="0"/>
              <w:jc w:val="left"/>
              <w:rPr>
                <w:b/>
                <w:bCs/>
                <w:sz w:val="22"/>
                <w:szCs w:val="22"/>
                <w:lang w:val="de-DE"/>
              </w:rPr>
            </w:pPr>
          </w:p>
          <w:p w14:paraId="197EBA2C" w14:textId="77777777" w:rsidR="00896A5A" w:rsidRPr="0049187C" w:rsidRDefault="00B00716" w:rsidP="0049187C">
            <w:pPr>
              <w:pStyle w:val="Text"/>
              <w:keepNext/>
              <w:keepLines/>
              <w:widowControl w:val="0"/>
              <w:spacing w:before="0"/>
              <w:jc w:val="left"/>
              <w:rPr>
                <w:b/>
                <w:bCs/>
                <w:sz w:val="22"/>
                <w:szCs w:val="22"/>
                <w:lang w:val="de-DE"/>
              </w:rPr>
            </w:pPr>
            <w:r w:rsidRPr="0049187C">
              <w:rPr>
                <w:b/>
                <w:bCs/>
                <w:sz w:val="22"/>
                <w:szCs w:val="22"/>
                <w:lang w:val="de-DE"/>
              </w:rPr>
              <w:t>Nach der Injektion</w:t>
            </w:r>
          </w:p>
        </w:tc>
        <w:tc>
          <w:tcPr>
            <w:tcW w:w="4433" w:type="dxa"/>
            <w:gridSpan w:val="2"/>
            <w:tcBorders>
              <w:top w:val="nil"/>
              <w:left w:val="nil"/>
              <w:bottom w:val="nil"/>
              <w:right w:val="nil"/>
            </w:tcBorders>
          </w:tcPr>
          <w:p w14:paraId="2DB8F224" w14:textId="77777777" w:rsidR="00896A5A" w:rsidRPr="0049187C" w:rsidRDefault="00896A5A" w:rsidP="0049187C">
            <w:pPr>
              <w:pStyle w:val="Text"/>
              <w:keepNext/>
              <w:keepLines/>
              <w:widowControl w:val="0"/>
              <w:spacing w:before="0"/>
              <w:jc w:val="left"/>
              <w:rPr>
                <w:noProof/>
                <w:sz w:val="22"/>
                <w:szCs w:val="22"/>
                <w:lang w:val="de-DE" w:eastAsia="en-US"/>
              </w:rPr>
            </w:pPr>
          </w:p>
        </w:tc>
      </w:tr>
      <w:tr w:rsidR="00A67796" w:rsidRPr="0049187C" w14:paraId="12E70F7E" w14:textId="77777777" w:rsidTr="00744CE4">
        <w:tc>
          <w:tcPr>
            <w:tcW w:w="4498" w:type="dxa"/>
          </w:tcPr>
          <w:p w14:paraId="246EB659" w14:textId="77777777" w:rsidR="00D17062" w:rsidRPr="0049187C" w:rsidRDefault="00D17062" w:rsidP="0049187C">
            <w:pPr>
              <w:pStyle w:val="Text"/>
              <w:keepNext/>
              <w:keepLines/>
              <w:widowControl w:val="0"/>
              <w:spacing w:before="0"/>
              <w:jc w:val="left"/>
              <w:rPr>
                <w:b/>
                <w:bCs/>
                <w:sz w:val="22"/>
                <w:szCs w:val="22"/>
                <w:lang w:val="de-DE"/>
              </w:rPr>
            </w:pPr>
          </w:p>
          <w:p w14:paraId="465636DE" w14:textId="77777777" w:rsidR="00896A5A" w:rsidRPr="0049187C" w:rsidRDefault="00B00716" w:rsidP="0049187C">
            <w:pPr>
              <w:pStyle w:val="Text"/>
              <w:keepNext/>
              <w:keepLines/>
              <w:widowControl w:val="0"/>
              <w:spacing w:before="0"/>
              <w:jc w:val="left"/>
              <w:rPr>
                <w:b/>
                <w:bCs/>
                <w:sz w:val="22"/>
                <w:szCs w:val="22"/>
                <w:lang w:val="de-DE"/>
              </w:rPr>
            </w:pPr>
            <w:r w:rsidRPr="0049187C">
              <w:rPr>
                <w:b/>
                <w:bCs/>
                <w:sz w:val="22"/>
                <w:szCs w:val="22"/>
                <w:lang w:val="de-DE"/>
              </w:rPr>
              <w:t>Schritt 12. Fertigspritze entsorgen</w:t>
            </w:r>
          </w:p>
          <w:p w14:paraId="7483C7E0" w14:textId="77777777" w:rsidR="00D17062" w:rsidRPr="0049187C" w:rsidRDefault="00D17062" w:rsidP="0049187C">
            <w:pPr>
              <w:pStyle w:val="Text"/>
              <w:keepNext/>
              <w:keepLines/>
              <w:widowControl w:val="0"/>
              <w:spacing w:before="0"/>
              <w:jc w:val="left"/>
              <w:rPr>
                <w:sz w:val="22"/>
                <w:szCs w:val="22"/>
                <w:lang w:val="de-DE"/>
              </w:rPr>
            </w:pPr>
          </w:p>
          <w:p w14:paraId="7E97C56C" w14:textId="77777777" w:rsidR="00896A5A" w:rsidRPr="0049187C" w:rsidRDefault="00B00716" w:rsidP="0049187C">
            <w:pPr>
              <w:pStyle w:val="Text"/>
              <w:keepNext/>
              <w:keepLines/>
              <w:widowControl w:val="0"/>
              <w:spacing w:before="0"/>
              <w:jc w:val="left"/>
              <w:rPr>
                <w:sz w:val="22"/>
                <w:szCs w:val="22"/>
                <w:lang w:val="de-DE"/>
              </w:rPr>
            </w:pPr>
            <w:r w:rsidRPr="0049187C">
              <w:rPr>
                <w:sz w:val="22"/>
                <w:szCs w:val="22"/>
                <w:lang w:val="de-DE"/>
              </w:rPr>
              <w:t xml:space="preserve">Legen sie die Spritze </w:t>
            </w:r>
            <w:r w:rsidR="00776126" w:rsidRPr="0049187C">
              <w:rPr>
                <w:sz w:val="22"/>
                <w:szCs w:val="22"/>
                <w:lang w:val="de-DE"/>
              </w:rPr>
              <w:t xml:space="preserve">unmittelbar </w:t>
            </w:r>
            <w:r w:rsidRPr="0049187C">
              <w:rPr>
                <w:sz w:val="22"/>
                <w:szCs w:val="22"/>
                <w:lang w:val="de-DE"/>
              </w:rPr>
              <w:t>nach Gebrauch in einen Abfallbehälter für scharfe Gegenstände. Die Fertigspritze darf nicht im Hausmüll entsorgt werden.</w:t>
            </w:r>
          </w:p>
          <w:p w14:paraId="1F7DB38D" w14:textId="77777777" w:rsidR="00896A5A" w:rsidRPr="0049187C" w:rsidRDefault="00B00716" w:rsidP="0049187C">
            <w:pPr>
              <w:pStyle w:val="Text"/>
              <w:keepNext/>
              <w:keepLines/>
              <w:widowControl w:val="0"/>
              <w:spacing w:before="0"/>
              <w:jc w:val="left"/>
              <w:rPr>
                <w:sz w:val="22"/>
                <w:szCs w:val="22"/>
                <w:lang w:val="de-DE"/>
              </w:rPr>
            </w:pPr>
            <w:r w:rsidRPr="0049187C">
              <w:rPr>
                <w:sz w:val="22"/>
                <w:szCs w:val="22"/>
                <w:lang w:val="de-DE"/>
              </w:rPr>
              <w:t xml:space="preserve">Besprechen Sie die korrekte Entsorgung des Abfallbehälters für scharfe Gegenstände mit Ihrem </w:t>
            </w:r>
            <w:r w:rsidR="00A817AB" w:rsidRPr="0049187C">
              <w:rPr>
                <w:sz w:val="22"/>
                <w:szCs w:val="22"/>
                <w:lang w:val="de-DE"/>
              </w:rPr>
              <w:t>Arzt oder Apotheker</w:t>
            </w:r>
            <w:r w:rsidRPr="0049187C">
              <w:rPr>
                <w:sz w:val="22"/>
                <w:szCs w:val="22"/>
                <w:lang w:val="de-DE"/>
              </w:rPr>
              <w:t>.</w:t>
            </w:r>
            <w:r w:rsidR="00A817AB" w:rsidRPr="0049187C">
              <w:rPr>
                <w:sz w:val="22"/>
                <w:szCs w:val="22"/>
                <w:lang w:val="de-DE"/>
              </w:rPr>
              <w:t xml:space="preserve"> Möglicherweise sind örtliche Verordnungen für die Entsorgung in Kraft.</w:t>
            </w:r>
          </w:p>
        </w:tc>
        <w:tc>
          <w:tcPr>
            <w:tcW w:w="4433" w:type="dxa"/>
            <w:gridSpan w:val="2"/>
          </w:tcPr>
          <w:p w14:paraId="345DF0AE" w14:textId="77777777" w:rsidR="00896A5A" w:rsidRPr="0049187C" w:rsidRDefault="00B00716" w:rsidP="0049187C">
            <w:pPr>
              <w:pStyle w:val="Text"/>
              <w:keepNext/>
              <w:keepLines/>
              <w:widowControl w:val="0"/>
              <w:spacing w:before="0"/>
              <w:jc w:val="left"/>
              <w:rPr>
                <w:sz w:val="22"/>
                <w:szCs w:val="22"/>
                <w:lang w:val="de-DE"/>
              </w:rPr>
            </w:pPr>
            <w:r w:rsidRPr="0049187C">
              <w:rPr>
                <w:noProof/>
                <w:sz w:val="22"/>
                <w:szCs w:val="22"/>
                <w:lang w:val="de-DE" w:eastAsia="en-US"/>
              </w:rPr>
              <w:drawing>
                <wp:inline distT="0" distB="0" distL="0" distR="0" wp14:anchorId="08EB06A3" wp14:editId="3B6A5296">
                  <wp:extent cx="1759040" cy="1720938"/>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91594" name=""/>
                          <pic:cNvPicPr/>
                        </pic:nvPicPr>
                        <pic:blipFill>
                          <a:blip r:embed="rId32"/>
                          <a:stretch>
                            <a:fillRect/>
                          </a:stretch>
                        </pic:blipFill>
                        <pic:spPr>
                          <a:xfrm>
                            <a:off x="0" y="0"/>
                            <a:ext cx="1759040" cy="1720938"/>
                          </a:xfrm>
                          <a:prstGeom prst="rect">
                            <a:avLst/>
                          </a:prstGeom>
                        </pic:spPr>
                      </pic:pic>
                    </a:graphicData>
                  </a:graphic>
                </wp:inline>
              </w:drawing>
            </w:r>
          </w:p>
        </w:tc>
      </w:tr>
    </w:tbl>
    <w:p w14:paraId="454A04CD" w14:textId="77777777" w:rsidR="00896A5A" w:rsidRPr="0049187C" w:rsidRDefault="00896A5A" w:rsidP="0049187C">
      <w:pPr>
        <w:spacing w:after="0" w:line="240" w:lineRule="auto"/>
        <w:ind w:left="0" w:firstLine="0"/>
        <w:rPr>
          <w:lang w:val="de-DE"/>
        </w:rPr>
      </w:pPr>
    </w:p>
    <w:p w14:paraId="43A716DF" w14:textId="77777777" w:rsidR="00692DF0" w:rsidRPr="0049187C" w:rsidRDefault="00692DF0" w:rsidP="0049187C">
      <w:pPr>
        <w:spacing w:after="0" w:line="240" w:lineRule="auto"/>
        <w:ind w:left="0" w:firstLine="0"/>
        <w:rPr>
          <w:highlight w:val="lightGray"/>
          <w:lang w:val="de-DE"/>
        </w:rPr>
      </w:pPr>
      <w:r w:rsidRPr="0049187C">
        <w:rPr>
          <w:highlight w:val="lightGray"/>
          <w:lang w:val="de-DE"/>
        </w:rPr>
        <w:br w:type="page"/>
      </w:r>
    </w:p>
    <w:p w14:paraId="7C254026" w14:textId="77777777" w:rsidR="00692DF0" w:rsidRPr="0049187C" w:rsidRDefault="00692DF0" w:rsidP="0049187C">
      <w:pPr>
        <w:pStyle w:val="No-numheading3Agency"/>
        <w:spacing w:before="0" w:after="0"/>
        <w:jc w:val="center"/>
        <w:rPr>
          <w:ins w:id="40" w:author="Lionbridge" w:date="2025-06-17T18:29:00Z" w16du:dateUtc="2025-06-17T12:59:00Z"/>
          <w:rFonts w:ascii="Times New Roman" w:hAnsi="Times New Roman"/>
          <w:lang w:val="en-GB"/>
        </w:rPr>
      </w:pPr>
    </w:p>
    <w:p w14:paraId="3C1AFB86" w14:textId="77777777" w:rsidR="00692DF0" w:rsidRPr="0049187C" w:rsidRDefault="00692DF0" w:rsidP="0049187C">
      <w:pPr>
        <w:pStyle w:val="No-numheading3Agency"/>
        <w:spacing w:before="0" w:after="0"/>
        <w:jc w:val="center"/>
        <w:rPr>
          <w:ins w:id="41" w:author="Lionbridge" w:date="2025-06-17T18:29:00Z" w16du:dateUtc="2025-06-17T12:59:00Z"/>
          <w:rFonts w:ascii="Times New Roman" w:hAnsi="Times New Roman"/>
          <w:lang w:val="en-GB"/>
        </w:rPr>
      </w:pPr>
    </w:p>
    <w:p w14:paraId="7230181F" w14:textId="77777777" w:rsidR="00692DF0" w:rsidRPr="0049187C" w:rsidRDefault="00692DF0" w:rsidP="0049187C">
      <w:pPr>
        <w:pStyle w:val="No-numheading3Agency"/>
        <w:spacing w:before="0" w:after="0"/>
        <w:jc w:val="center"/>
        <w:rPr>
          <w:ins w:id="42" w:author="Lionbridge" w:date="2025-06-17T18:29:00Z" w16du:dateUtc="2025-06-17T12:59:00Z"/>
          <w:rFonts w:ascii="Times New Roman" w:hAnsi="Times New Roman"/>
          <w:lang w:val="en-GB"/>
        </w:rPr>
      </w:pPr>
    </w:p>
    <w:p w14:paraId="3A1A524D" w14:textId="77777777" w:rsidR="00692DF0" w:rsidRPr="0049187C" w:rsidRDefault="00692DF0" w:rsidP="0049187C">
      <w:pPr>
        <w:pStyle w:val="No-numheading3Agency"/>
        <w:spacing w:before="0" w:after="0"/>
        <w:jc w:val="center"/>
        <w:rPr>
          <w:ins w:id="43" w:author="Lionbridge" w:date="2025-06-17T18:29:00Z" w16du:dateUtc="2025-06-17T12:59:00Z"/>
          <w:rFonts w:ascii="Times New Roman" w:hAnsi="Times New Roman"/>
          <w:lang w:val="en-GB"/>
        </w:rPr>
      </w:pPr>
    </w:p>
    <w:p w14:paraId="1ED42353" w14:textId="77777777" w:rsidR="00692DF0" w:rsidRPr="0049187C" w:rsidRDefault="00692DF0" w:rsidP="0049187C">
      <w:pPr>
        <w:pStyle w:val="No-numheading3Agency"/>
        <w:spacing w:before="0" w:after="0"/>
        <w:jc w:val="center"/>
        <w:rPr>
          <w:ins w:id="44" w:author="Lionbridge" w:date="2025-06-17T18:29:00Z" w16du:dateUtc="2025-06-17T12:59:00Z"/>
          <w:rFonts w:ascii="Times New Roman" w:hAnsi="Times New Roman"/>
          <w:lang w:val="en-GB"/>
        </w:rPr>
      </w:pPr>
    </w:p>
    <w:p w14:paraId="4B5BE857" w14:textId="77777777" w:rsidR="00692DF0" w:rsidRPr="0049187C" w:rsidRDefault="00692DF0" w:rsidP="0049187C">
      <w:pPr>
        <w:pStyle w:val="No-numheading3Agency"/>
        <w:spacing w:before="0" w:after="0"/>
        <w:jc w:val="center"/>
        <w:rPr>
          <w:ins w:id="45" w:author="Lionbridge" w:date="2025-06-17T18:29:00Z" w16du:dateUtc="2025-06-17T12:59:00Z"/>
          <w:rFonts w:ascii="Times New Roman" w:hAnsi="Times New Roman"/>
          <w:lang w:val="en-GB"/>
        </w:rPr>
      </w:pPr>
    </w:p>
    <w:p w14:paraId="1FED2C7F" w14:textId="77777777" w:rsidR="00692DF0" w:rsidRPr="0049187C" w:rsidRDefault="00692DF0" w:rsidP="0049187C">
      <w:pPr>
        <w:pStyle w:val="No-numheading3Agency"/>
        <w:spacing w:before="0" w:after="0"/>
        <w:jc w:val="center"/>
        <w:rPr>
          <w:ins w:id="46" w:author="Lionbridge" w:date="2025-06-17T18:29:00Z" w16du:dateUtc="2025-06-17T12:59:00Z"/>
          <w:rFonts w:ascii="Times New Roman" w:hAnsi="Times New Roman"/>
          <w:lang w:val="en-GB"/>
        </w:rPr>
      </w:pPr>
    </w:p>
    <w:p w14:paraId="68D0C446" w14:textId="77777777" w:rsidR="00692DF0" w:rsidRPr="0049187C" w:rsidRDefault="00692DF0" w:rsidP="0049187C">
      <w:pPr>
        <w:pStyle w:val="No-numheading3Agency"/>
        <w:spacing w:before="0" w:after="0"/>
        <w:jc w:val="center"/>
        <w:rPr>
          <w:ins w:id="47" w:author="Lionbridge" w:date="2025-06-17T18:29:00Z" w16du:dateUtc="2025-06-17T12:59:00Z"/>
          <w:rFonts w:ascii="Times New Roman" w:hAnsi="Times New Roman"/>
          <w:lang w:val="en-GB"/>
        </w:rPr>
      </w:pPr>
    </w:p>
    <w:p w14:paraId="2C069DDA" w14:textId="77777777" w:rsidR="00692DF0" w:rsidRPr="0049187C" w:rsidRDefault="00692DF0" w:rsidP="0049187C">
      <w:pPr>
        <w:pStyle w:val="No-numheading3Agency"/>
        <w:spacing w:before="0" w:after="0"/>
        <w:jc w:val="center"/>
        <w:rPr>
          <w:ins w:id="48" w:author="Lionbridge" w:date="2025-06-17T18:29:00Z" w16du:dateUtc="2025-06-17T12:59:00Z"/>
          <w:rFonts w:ascii="Times New Roman" w:hAnsi="Times New Roman"/>
          <w:lang w:val="en-GB"/>
        </w:rPr>
      </w:pPr>
    </w:p>
    <w:p w14:paraId="14E287AB" w14:textId="77777777" w:rsidR="00692DF0" w:rsidRPr="0049187C" w:rsidRDefault="00692DF0" w:rsidP="0049187C">
      <w:pPr>
        <w:pStyle w:val="No-numheading3Agency"/>
        <w:spacing w:before="0" w:after="0"/>
        <w:jc w:val="center"/>
        <w:rPr>
          <w:ins w:id="49" w:author="Lionbridge" w:date="2025-06-17T18:29:00Z" w16du:dateUtc="2025-06-17T12:59:00Z"/>
          <w:rFonts w:ascii="Times New Roman" w:hAnsi="Times New Roman"/>
          <w:lang w:val="en-GB"/>
        </w:rPr>
      </w:pPr>
    </w:p>
    <w:p w14:paraId="517B6BEF" w14:textId="77777777" w:rsidR="00692DF0" w:rsidRPr="0049187C" w:rsidRDefault="00692DF0" w:rsidP="0049187C">
      <w:pPr>
        <w:pStyle w:val="No-numheading3Agency"/>
        <w:spacing w:before="0" w:after="0"/>
        <w:jc w:val="center"/>
        <w:rPr>
          <w:ins w:id="50" w:author="Lionbridge" w:date="2025-06-17T18:29:00Z" w16du:dateUtc="2025-06-17T12:59:00Z"/>
          <w:rFonts w:ascii="Times New Roman" w:hAnsi="Times New Roman"/>
          <w:lang w:val="en-GB"/>
        </w:rPr>
      </w:pPr>
    </w:p>
    <w:p w14:paraId="06E88E3D" w14:textId="77777777" w:rsidR="00692DF0" w:rsidRPr="0049187C" w:rsidRDefault="00692DF0" w:rsidP="0049187C">
      <w:pPr>
        <w:pStyle w:val="No-numheading3Agency"/>
        <w:spacing w:before="0" w:after="0"/>
        <w:jc w:val="center"/>
        <w:rPr>
          <w:ins w:id="51" w:author="Lionbridge" w:date="2025-06-17T18:29:00Z" w16du:dateUtc="2025-06-17T12:59:00Z"/>
          <w:rFonts w:ascii="Times New Roman" w:hAnsi="Times New Roman"/>
          <w:lang w:val="en-GB"/>
        </w:rPr>
      </w:pPr>
    </w:p>
    <w:p w14:paraId="22A5688B" w14:textId="77777777" w:rsidR="00692DF0" w:rsidRPr="0049187C" w:rsidRDefault="00692DF0" w:rsidP="0049187C">
      <w:pPr>
        <w:pStyle w:val="No-numheading3Agency"/>
        <w:spacing w:before="0" w:after="0"/>
        <w:jc w:val="center"/>
        <w:rPr>
          <w:ins w:id="52" w:author="Lionbridge" w:date="2025-06-17T18:29:00Z" w16du:dateUtc="2025-06-17T12:59:00Z"/>
          <w:rFonts w:ascii="Times New Roman" w:hAnsi="Times New Roman"/>
          <w:lang w:val="en-GB"/>
        </w:rPr>
      </w:pPr>
    </w:p>
    <w:p w14:paraId="3EA860AE" w14:textId="77777777" w:rsidR="00692DF0" w:rsidRPr="0049187C" w:rsidRDefault="00692DF0" w:rsidP="0049187C">
      <w:pPr>
        <w:pStyle w:val="No-numheading3Agency"/>
        <w:spacing w:before="0" w:after="0"/>
        <w:jc w:val="center"/>
        <w:rPr>
          <w:ins w:id="53" w:author="Lionbridge" w:date="2025-06-17T18:29:00Z" w16du:dateUtc="2025-06-17T12:59:00Z"/>
          <w:rFonts w:ascii="Times New Roman" w:hAnsi="Times New Roman"/>
          <w:lang w:val="en-GB"/>
        </w:rPr>
      </w:pPr>
    </w:p>
    <w:p w14:paraId="5C91D84A" w14:textId="77777777" w:rsidR="00692DF0" w:rsidRPr="0049187C" w:rsidRDefault="00692DF0" w:rsidP="0049187C">
      <w:pPr>
        <w:pStyle w:val="No-numheading3Agency"/>
        <w:spacing w:before="0" w:after="0"/>
        <w:jc w:val="center"/>
        <w:rPr>
          <w:ins w:id="54" w:author="Lionbridge" w:date="2025-06-17T18:29:00Z" w16du:dateUtc="2025-06-17T12:59:00Z"/>
          <w:rFonts w:ascii="Times New Roman" w:hAnsi="Times New Roman"/>
          <w:lang w:val="en-GB"/>
        </w:rPr>
      </w:pPr>
    </w:p>
    <w:p w14:paraId="622369FE" w14:textId="77777777" w:rsidR="00692DF0" w:rsidRPr="0049187C" w:rsidRDefault="00692DF0" w:rsidP="0049187C">
      <w:pPr>
        <w:pStyle w:val="No-numheading3Agency"/>
        <w:spacing w:before="0" w:after="0"/>
        <w:jc w:val="center"/>
        <w:rPr>
          <w:ins w:id="55" w:author="Lionbridge" w:date="2025-06-17T18:29:00Z" w16du:dateUtc="2025-06-17T12:59:00Z"/>
          <w:rFonts w:ascii="Times New Roman" w:hAnsi="Times New Roman"/>
          <w:lang w:val="en-GB"/>
        </w:rPr>
      </w:pPr>
    </w:p>
    <w:p w14:paraId="03A630AF" w14:textId="77777777" w:rsidR="00692DF0" w:rsidRPr="0049187C" w:rsidRDefault="00692DF0" w:rsidP="0049187C">
      <w:pPr>
        <w:pStyle w:val="No-numheading3Agency"/>
        <w:spacing w:before="0" w:after="0"/>
        <w:jc w:val="center"/>
        <w:rPr>
          <w:ins w:id="56" w:author="Lionbridge" w:date="2025-06-17T18:29:00Z" w16du:dateUtc="2025-06-17T12:59:00Z"/>
          <w:rFonts w:ascii="Times New Roman" w:hAnsi="Times New Roman"/>
          <w:lang w:val="en-GB"/>
        </w:rPr>
      </w:pPr>
    </w:p>
    <w:p w14:paraId="19A66346" w14:textId="77777777" w:rsidR="00692DF0" w:rsidRPr="0049187C" w:rsidRDefault="00692DF0" w:rsidP="0049187C">
      <w:pPr>
        <w:pStyle w:val="No-numheading3Agency"/>
        <w:spacing w:before="0" w:after="0"/>
        <w:jc w:val="center"/>
        <w:rPr>
          <w:ins w:id="57" w:author="Lionbridge" w:date="2025-06-17T18:29:00Z" w16du:dateUtc="2025-06-17T12:59:00Z"/>
          <w:rFonts w:ascii="Times New Roman" w:hAnsi="Times New Roman"/>
          <w:lang w:val="en-GB"/>
        </w:rPr>
      </w:pPr>
    </w:p>
    <w:p w14:paraId="1F3B22AA" w14:textId="77777777" w:rsidR="00692DF0" w:rsidRPr="0049187C" w:rsidRDefault="00692DF0" w:rsidP="0049187C">
      <w:pPr>
        <w:pStyle w:val="No-numheading3Agency"/>
        <w:spacing w:before="0" w:after="0"/>
        <w:jc w:val="center"/>
        <w:rPr>
          <w:ins w:id="58" w:author="Lionbridge" w:date="2025-06-17T18:29:00Z" w16du:dateUtc="2025-06-17T12:59:00Z"/>
          <w:rFonts w:ascii="Times New Roman" w:hAnsi="Times New Roman"/>
          <w:lang w:val="en-GB"/>
        </w:rPr>
      </w:pPr>
    </w:p>
    <w:p w14:paraId="3AAD8A02" w14:textId="77777777" w:rsidR="00692DF0" w:rsidRPr="0049187C" w:rsidRDefault="00692DF0" w:rsidP="0049187C">
      <w:pPr>
        <w:pStyle w:val="No-numheading3Agency"/>
        <w:spacing w:before="0" w:after="0"/>
        <w:jc w:val="center"/>
        <w:rPr>
          <w:ins w:id="59" w:author="Lionbridge" w:date="2025-06-17T18:29:00Z" w16du:dateUtc="2025-06-17T12:59:00Z"/>
          <w:rFonts w:ascii="Times New Roman" w:hAnsi="Times New Roman"/>
          <w:lang w:val="en-GB"/>
        </w:rPr>
      </w:pPr>
    </w:p>
    <w:p w14:paraId="2E9435AF" w14:textId="77777777" w:rsidR="00692DF0" w:rsidRPr="0049187C" w:rsidRDefault="00692DF0" w:rsidP="0049187C">
      <w:pPr>
        <w:pStyle w:val="No-numheading3Agency"/>
        <w:spacing w:before="0" w:after="0"/>
        <w:jc w:val="center"/>
        <w:rPr>
          <w:ins w:id="60" w:author="Lionbridge" w:date="2025-06-17T18:29:00Z" w16du:dateUtc="2025-06-17T12:59:00Z"/>
          <w:rFonts w:ascii="Times New Roman" w:hAnsi="Times New Roman"/>
          <w:lang w:val="en-GB"/>
        </w:rPr>
      </w:pPr>
    </w:p>
    <w:p w14:paraId="06DC54F1" w14:textId="77777777" w:rsidR="00692DF0" w:rsidRPr="0049187C" w:rsidRDefault="00692DF0" w:rsidP="0049187C">
      <w:pPr>
        <w:pStyle w:val="No-numheading3Agency"/>
        <w:spacing w:before="0" w:after="0"/>
        <w:jc w:val="center"/>
        <w:rPr>
          <w:ins w:id="61" w:author="Lionbridge" w:date="2025-06-17T18:29:00Z" w16du:dateUtc="2025-06-17T12:59:00Z"/>
          <w:rFonts w:ascii="Times New Roman" w:hAnsi="Times New Roman"/>
          <w:lang w:val="en-GB"/>
        </w:rPr>
      </w:pPr>
    </w:p>
    <w:p w14:paraId="4DB35746" w14:textId="77777777" w:rsidR="00692DF0" w:rsidRPr="0049187C" w:rsidRDefault="00692DF0" w:rsidP="0049187C">
      <w:pPr>
        <w:pStyle w:val="No-numheading3Agency"/>
        <w:spacing w:before="0" w:after="0"/>
        <w:jc w:val="center"/>
        <w:rPr>
          <w:ins w:id="62" w:author="Lionbridge" w:date="2025-06-17T18:29:00Z" w16du:dateUtc="2025-06-17T12:59:00Z"/>
          <w:rFonts w:ascii="Times New Roman" w:hAnsi="Times New Roman"/>
          <w:lang w:val="en-GB"/>
        </w:rPr>
      </w:pPr>
    </w:p>
    <w:p w14:paraId="7427FB55" w14:textId="77777777" w:rsidR="00692DF0" w:rsidRPr="0049187C" w:rsidRDefault="00692DF0" w:rsidP="0049187C">
      <w:pPr>
        <w:pStyle w:val="No-numheading3Agency"/>
        <w:spacing w:before="0" w:after="0"/>
        <w:jc w:val="center"/>
        <w:rPr>
          <w:ins w:id="63" w:author="Lionbridge" w:date="2025-06-17T18:29:00Z" w16du:dateUtc="2025-06-17T12:59:00Z"/>
          <w:rFonts w:ascii="Times New Roman" w:hAnsi="Times New Roman"/>
          <w:lang w:val="de-DE"/>
        </w:rPr>
      </w:pPr>
      <w:ins w:id="64" w:author="Lionbridge" w:date="2025-06-17T18:29:00Z" w16du:dateUtc="2025-06-17T12:59:00Z">
        <w:r w:rsidRPr="0049187C">
          <w:rPr>
            <w:rFonts w:ascii="Times New Roman" w:hAnsi="Times New Roman"/>
            <w:lang w:val="de-DE"/>
          </w:rPr>
          <w:t>ANHANG IV</w:t>
        </w:r>
      </w:ins>
    </w:p>
    <w:p w14:paraId="3CE1E317" w14:textId="77777777" w:rsidR="00692DF0" w:rsidRPr="0049187C" w:rsidRDefault="00692DF0" w:rsidP="0049187C">
      <w:pPr>
        <w:pStyle w:val="BodytextAgency"/>
        <w:jc w:val="center"/>
        <w:rPr>
          <w:ins w:id="65" w:author="Lionbridge" w:date="2025-06-17T18:29:00Z" w16du:dateUtc="2025-06-17T12:59:00Z"/>
          <w:sz w:val="22"/>
          <w:szCs w:val="22"/>
        </w:rPr>
      </w:pPr>
    </w:p>
    <w:p w14:paraId="40D1C2E5" w14:textId="77777777" w:rsidR="00692DF0" w:rsidRPr="0049187C" w:rsidRDefault="00692DF0" w:rsidP="0049187C">
      <w:pPr>
        <w:pStyle w:val="TitleA"/>
        <w:rPr>
          <w:ins w:id="66" w:author="Lionbridge" w:date="2025-06-17T18:29:00Z" w16du:dateUtc="2025-06-17T12:59:00Z"/>
        </w:rPr>
      </w:pPr>
      <w:ins w:id="67" w:author="Lionbridge" w:date="2025-06-17T18:29:00Z" w16du:dateUtc="2025-06-17T12:59:00Z">
        <w:r w:rsidRPr="0049187C">
          <w:t>WISSENSCHAFTLICHE SCHLUSSFOLGERUNGEN UND GRÜNDE FÜR DIE ÄNDERUNG</w:t>
        </w:r>
      </w:ins>
    </w:p>
    <w:p w14:paraId="4A2EA75A" w14:textId="77777777" w:rsidR="00692DF0" w:rsidRPr="0049187C" w:rsidRDefault="00692DF0" w:rsidP="0049187C">
      <w:pPr>
        <w:pStyle w:val="TitleA"/>
        <w:rPr>
          <w:ins w:id="68" w:author="Lionbridge" w:date="2025-06-17T18:29:00Z" w16du:dateUtc="2025-06-17T12:59:00Z"/>
        </w:rPr>
      </w:pPr>
      <w:ins w:id="69" w:author="Lionbridge" w:date="2025-06-17T18:29:00Z" w16du:dateUtc="2025-06-17T12:59:00Z">
        <w:r w:rsidRPr="0049187C">
          <w:t>DER BEDINGUNGEN DER GENEHMIGUNG FÜR DAS INVERKEHRBRINGEN</w:t>
        </w:r>
      </w:ins>
    </w:p>
    <w:p w14:paraId="7AD71191" w14:textId="77777777" w:rsidR="00692DF0" w:rsidRPr="0049187C" w:rsidRDefault="00692DF0" w:rsidP="0049187C">
      <w:pPr>
        <w:spacing w:after="0" w:line="240" w:lineRule="auto"/>
        <w:ind w:left="0" w:firstLine="0"/>
        <w:rPr>
          <w:ins w:id="70" w:author="Lionbridge" w:date="2025-06-17T18:29:00Z" w16du:dateUtc="2025-06-17T12:59:00Z"/>
          <w:lang w:val="x-none" w:eastAsia="x-none"/>
        </w:rPr>
      </w:pPr>
    </w:p>
    <w:p w14:paraId="27C9DAC4" w14:textId="77777777" w:rsidR="00692DF0" w:rsidRPr="0049187C" w:rsidRDefault="00692DF0" w:rsidP="0049187C">
      <w:pPr>
        <w:spacing w:after="0" w:line="240" w:lineRule="auto"/>
        <w:ind w:left="0" w:firstLine="0"/>
        <w:rPr>
          <w:ins w:id="71" w:author="Lionbridge" w:date="2025-06-17T18:29:00Z" w16du:dateUtc="2025-06-17T12:59:00Z"/>
          <w:lang w:val="x-none" w:eastAsia="x-none"/>
        </w:rPr>
      </w:pPr>
    </w:p>
    <w:p w14:paraId="05DA6B0C" w14:textId="77777777" w:rsidR="00692DF0" w:rsidRPr="0049187C" w:rsidRDefault="00692DF0" w:rsidP="0049187C">
      <w:pPr>
        <w:spacing w:after="0" w:line="240" w:lineRule="auto"/>
        <w:ind w:left="0" w:firstLine="0"/>
        <w:rPr>
          <w:ins w:id="72" w:author="Lionbridge" w:date="2025-06-17T18:29:00Z" w16du:dateUtc="2025-06-17T12:59:00Z"/>
          <w:lang w:val="x-none" w:eastAsia="x-none"/>
        </w:rPr>
      </w:pPr>
    </w:p>
    <w:p w14:paraId="274956AB" w14:textId="77777777" w:rsidR="00692DF0" w:rsidRPr="0049187C" w:rsidRDefault="00692DF0" w:rsidP="0049187C">
      <w:pPr>
        <w:spacing w:after="0" w:line="240" w:lineRule="auto"/>
        <w:ind w:left="0" w:firstLine="0"/>
        <w:rPr>
          <w:ins w:id="73" w:author="Lionbridge" w:date="2025-06-17T18:29:00Z" w16du:dateUtc="2025-06-17T12:59:00Z"/>
          <w:lang w:val="x-none" w:eastAsia="x-none"/>
        </w:rPr>
      </w:pPr>
    </w:p>
    <w:p w14:paraId="438EB783" w14:textId="77777777" w:rsidR="00692DF0" w:rsidRPr="0049187C" w:rsidRDefault="00692DF0" w:rsidP="0049187C">
      <w:pPr>
        <w:spacing w:after="0" w:line="240" w:lineRule="auto"/>
        <w:ind w:left="0" w:firstLine="0"/>
        <w:rPr>
          <w:ins w:id="74" w:author="Lionbridge" w:date="2025-06-17T18:29:00Z" w16du:dateUtc="2025-06-17T12:59:00Z"/>
          <w:lang w:val="x-none" w:eastAsia="x-none"/>
        </w:rPr>
      </w:pPr>
    </w:p>
    <w:p w14:paraId="5522EAD0" w14:textId="77777777" w:rsidR="00692DF0" w:rsidRPr="0049187C" w:rsidRDefault="00692DF0" w:rsidP="0049187C">
      <w:pPr>
        <w:spacing w:after="0" w:line="240" w:lineRule="auto"/>
        <w:ind w:left="0" w:firstLine="0"/>
        <w:rPr>
          <w:ins w:id="75" w:author="Lionbridge" w:date="2025-06-17T18:29:00Z" w16du:dateUtc="2025-06-17T12:59:00Z"/>
          <w:lang w:val="x-none" w:eastAsia="x-none"/>
        </w:rPr>
      </w:pPr>
    </w:p>
    <w:p w14:paraId="37971FAE" w14:textId="77777777" w:rsidR="00692DF0" w:rsidRPr="0049187C" w:rsidRDefault="00692DF0" w:rsidP="0049187C">
      <w:pPr>
        <w:spacing w:after="0" w:line="240" w:lineRule="auto"/>
        <w:ind w:left="0" w:firstLine="0"/>
        <w:rPr>
          <w:ins w:id="76" w:author="Lionbridge" w:date="2025-06-17T18:29:00Z" w16du:dateUtc="2025-06-17T12:59:00Z"/>
          <w:lang w:val="x-none" w:eastAsia="x-none"/>
        </w:rPr>
      </w:pPr>
    </w:p>
    <w:p w14:paraId="3BA72230" w14:textId="77777777" w:rsidR="00692DF0" w:rsidRPr="0049187C" w:rsidRDefault="00692DF0" w:rsidP="0049187C">
      <w:pPr>
        <w:spacing w:after="0" w:line="240" w:lineRule="auto"/>
        <w:ind w:left="0" w:firstLine="0"/>
        <w:rPr>
          <w:ins w:id="77" w:author="Lionbridge" w:date="2025-06-17T18:29:00Z" w16du:dateUtc="2025-06-17T12:59:00Z"/>
          <w:lang w:val="x-none" w:eastAsia="x-none"/>
        </w:rPr>
      </w:pPr>
    </w:p>
    <w:p w14:paraId="15D76C53" w14:textId="77777777" w:rsidR="00692DF0" w:rsidRPr="0049187C" w:rsidRDefault="00692DF0" w:rsidP="0049187C">
      <w:pPr>
        <w:pStyle w:val="DraftingNotesAgency"/>
        <w:spacing w:after="0" w:line="240" w:lineRule="auto"/>
        <w:rPr>
          <w:ins w:id="78" w:author="Lionbridge" w:date="2025-06-17T18:29:00Z" w16du:dateUtc="2025-06-17T12:59:00Z"/>
          <w:rFonts w:ascii="Times New Roman" w:hAnsi="Times New Roman"/>
          <w:b/>
          <w:bCs/>
          <w:i w:val="0"/>
          <w:color w:val="auto"/>
          <w:kern w:val="32"/>
          <w:szCs w:val="22"/>
        </w:rPr>
      </w:pPr>
      <w:ins w:id="79" w:author="Lionbridge" w:date="2025-06-17T18:29:00Z" w16du:dateUtc="2025-06-17T12:59:00Z">
        <w:r w:rsidRPr="0049187C">
          <w:br w:type="page"/>
        </w:r>
        <w:r w:rsidRPr="0049187C">
          <w:rPr>
            <w:rFonts w:ascii="Times New Roman" w:hAnsi="Times New Roman"/>
            <w:b/>
            <w:i w:val="0"/>
            <w:color w:val="auto"/>
            <w:szCs w:val="22"/>
          </w:rPr>
          <w:t>Wissenschaftliche Schlussfolgerungen</w:t>
        </w:r>
      </w:ins>
    </w:p>
    <w:p w14:paraId="04635A50" w14:textId="77777777" w:rsidR="00692DF0" w:rsidRPr="0049187C" w:rsidRDefault="00692DF0" w:rsidP="0049187C">
      <w:pPr>
        <w:pStyle w:val="BodytextAgency"/>
        <w:rPr>
          <w:ins w:id="80" w:author="Lionbridge" w:date="2025-06-17T18:29:00Z" w16du:dateUtc="2025-06-17T12:59:00Z"/>
          <w:sz w:val="22"/>
          <w:szCs w:val="22"/>
        </w:rPr>
      </w:pPr>
    </w:p>
    <w:p w14:paraId="728C5E57" w14:textId="77777777" w:rsidR="00692DF0" w:rsidRPr="0049187C" w:rsidRDefault="00692DF0" w:rsidP="0049187C">
      <w:pPr>
        <w:spacing w:after="0" w:line="240" w:lineRule="auto"/>
        <w:ind w:left="0" w:firstLine="0"/>
        <w:rPr>
          <w:ins w:id="81" w:author="Lionbridge" w:date="2025-06-17T18:29:00Z" w16du:dateUtc="2025-06-17T12:59:00Z"/>
          <w:bCs/>
          <w:i/>
          <w:kern w:val="32"/>
          <w:lang w:val="de-DE"/>
        </w:rPr>
      </w:pPr>
      <w:ins w:id="82" w:author="Lionbridge" w:date="2025-06-17T18:29:00Z" w16du:dateUtc="2025-06-17T12:59:00Z">
        <w:r w:rsidRPr="0049187C">
          <w:rPr>
            <w:lang w:val="de-DE"/>
          </w:rPr>
          <w:t xml:space="preserve">Der Ausschuss für Risikobewertung im Bereich der Pharmakovigilanz (PRAC) ist unter Berücksichtigung des PRAC-Beurteilungsberichts zum PSUR für </w:t>
        </w:r>
        <w:r w:rsidRPr="0049187C">
          <w:rPr>
            <w:iCs/>
            <w:lang w:val="de-DE"/>
          </w:rPr>
          <w:t xml:space="preserve">Denosumab (angezeigt für </w:t>
        </w:r>
        <w:r w:rsidRPr="0049187C">
          <w:rPr>
            <w:lang w:val="de-DE"/>
          </w:rPr>
          <w:t xml:space="preserve">Osteoporose und Knochenschwund im Zusammenhang mit Hormonablation </w:t>
        </w:r>
        <w:bookmarkStart w:id="83" w:name="_Hlk198825920"/>
        <w:r w:rsidRPr="0049187C">
          <w:rPr>
            <w:lang w:val="de-DE"/>
          </w:rPr>
          <w:t>bei Prostatakarzinom</w:t>
        </w:r>
        <w:bookmarkEnd w:id="83"/>
        <w:r w:rsidRPr="0049187C">
          <w:rPr>
            <w:lang w:val="de-DE"/>
          </w:rPr>
          <w:t>) zu den folgenden wissenschaftlichen Schlussfolgerungen gelangt:</w:t>
        </w:r>
      </w:ins>
    </w:p>
    <w:p w14:paraId="0E0C210D" w14:textId="77777777" w:rsidR="00692DF0" w:rsidRPr="0049187C" w:rsidRDefault="00692DF0" w:rsidP="0049187C">
      <w:pPr>
        <w:pStyle w:val="DraftingNotesAgency"/>
        <w:spacing w:after="0" w:line="240" w:lineRule="auto"/>
        <w:rPr>
          <w:ins w:id="84" w:author="Lionbridge" w:date="2025-06-17T18:29:00Z" w16du:dateUtc="2025-06-17T12:59:00Z"/>
          <w:rFonts w:ascii="Times New Roman" w:hAnsi="Times New Roman"/>
          <w:bCs/>
          <w:i w:val="0"/>
          <w:color w:val="auto"/>
          <w:kern w:val="32"/>
          <w:szCs w:val="22"/>
        </w:rPr>
      </w:pPr>
    </w:p>
    <w:p w14:paraId="025CA381" w14:textId="77777777" w:rsidR="00692DF0" w:rsidRPr="0049187C" w:rsidRDefault="00692DF0" w:rsidP="0049187C">
      <w:pPr>
        <w:pStyle w:val="BodytextAgency"/>
        <w:rPr>
          <w:ins w:id="85" w:author="Lionbridge" w:date="2025-06-17T18:29:00Z" w16du:dateUtc="2025-06-17T12:59:00Z"/>
          <w:i/>
          <w:szCs w:val="22"/>
        </w:rPr>
      </w:pPr>
      <w:ins w:id="86" w:author="Lionbridge" w:date="2025-06-17T18:29:00Z" w16du:dateUtc="2025-06-17T12:59:00Z">
        <w:r w:rsidRPr="0049187C">
          <w:rPr>
            <w:sz w:val="22"/>
            <w:szCs w:val="22"/>
            <w:lang w:eastAsia="x-none"/>
          </w:rPr>
          <w:t>Angesichts der aus klinischen Studien verfügbaren Daten über eine Verringerung der Knochendichte nach Absetzen von Denosumab und wie in der kürzlich veröffentlichten Fachliteratur beschrieben, kam der PRAC-Rapporteur zu dem Schluss, dass die Produktinformation von Denosumab-haltigen Arzneimitteln (angezeigt für Osteoporose und Knochenschwund im Zusammenhang mit Hormonablation</w:t>
        </w:r>
        <w:r w:rsidRPr="0049187C">
          <w:t xml:space="preserve"> </w:t>
        </w:r>
        <w:r w:rsidRPr="0049187C">
          <w:rPr>
            <w:sz w:val="22"/>
            <w:szCs w:val="22"/>
            <w:lang w:eastAsia="x-none"/>
          </w:rPr>
          <w:t>bei Prostatakarzinom) entsprechend geändert werden sollte.</w:t>
        </w:r>
      </w:ins>
    </w:p>
    <w:p w14:paraId="36F92CAF" w14:textId="77777777" w:rsidR="00692DF0" w:rsidRPr="0049187C" w:rsidRDefault="00692DF0" w:rsidP="0049187C">
      <w:pPr>
        <w:pStyle w:val="BodytextAgency"/>
        <w:rPr>
          <w:ins w:id="87" w:author="Lionbridge" w:date="2025-06-17T18:29:00Z" w16du:dateUtc="2025-06-17T12:59:00Z"/>
          <w:i/>
        </w:rPr>
      </w:pPr>
    </w:p>
    <w:p w14:paraId="1033FE7C" w14:textId="77777777" w:rsidR="00692DF0" w:rsidRPr="0049187C" w:rsidRDefault="00692DF0" w:rsidP="0049187C">
      <w:pPr>
        <w:pStyle w:val="BodytextAgency"/>
        <w:rPr>
          <w:ins w:id="88" w:author="Lionbridge" w:date="2025-06-17T18:29:00Z" w16du:dateUtc="2025-06-17T12:59:00Z"/>
          <w:sz w:val="22"/>
          <w:szCs w:val="22"/>
        </w:rPr>
      </w:pPr>
      <w:ins w:id="89" w:author="Lionbridge" w:date="2025-06-17T18:29:00Z" w16du:dateUtc="2025-06-17T12:59:00Z">
        <w:r w:rsidRPr="0049187C">
          <w:rPr>
            <w:sz w:val="22"/>
            <w:szCs w:val="22"/>
          </w:rPr>
          <w:t>Nach Prüfung der Empfehlung des PRAC stimmt der Ausschuss für Humanarzneimittel (CHMP) den Gesamtschlussfolgerungen und der Begründung der Empfehlung des PRAC zu.</w:t>
        </w:r>
      </w:ins>
    </w:p>
    <w:p w14:paraId="35B69B69" w14:textId="77777777" w:rsidR="00692DF0" w:rsidRPr="0049187C" w:rsidRDefault="00692DF0" w:rsidP="0049187C">
      <w:pPr>
        <w:keepNext/>
        <w:widowControl w:val="0"/>
        <w:autoSpaceDE w:val="0"/>
        <w:autoSpaceDN w:val="0"/>
        <w:adjustRightInd w:val="0"/>
        <w:spacing w:after="0" w:line="240" w:lineRule="auto"/>
        <w:ind w:left="0" w:firstLine="0"/>
        <w:rPr>
          <w:ins w:id="90" w:author="Lionbridge" w:date="2025-06-17T18:29:00Z" w16du:dateUtc="2025-06-17T12:59:00Z"/>
          <w:rFonts w:eastAsia="Verdana"/>
          <w:bCs/>
          <w:kern w:val="32"/>
          <w:lang w:val="x-none" w:eastAsia="x-none"/>
        </w:rPr>
      </w:pPr>
    </w:p>
    <w:p w14:paraId="3974E61C" w14:textId="77777777" w:rsidR="00692DF0" w:rsidRPr="0049187C" w:rsidRDefault="00692DF0" w:rsidP="0049187C">
      <w:pPr>
        <w:pStyle w:val="No-numheading3Agency"/>
        <w:spacing w:before="0" w:after="0"/>
        <w:rPr>
          <w:ins w:id="91" w:author="Lionbridge" w:date="2025-06-17T18:29:00Z" w16du:dateUtc="2025-06-17T12:59:00Z"/>
          <w:rFonts w:ascii="Times New Roman" w:hAnsi="Times New Roman"/>
          <w:lang w:val="de-DE"/>
        </w:rPr>
      </w:pPr>
      <w:ins w:id="92" w:author="Lionbridge" w:date="2025-06-17T18:29:00Z" w16du:dateUtc="2025-06-17T12:59:00Z">
        <w:r w:rsidRPr="0049187C">
          <w:rPr>
            <w:rFonts w:ascii="Times New Roman" w:hAnsi="Times New Roman"/>
            <w:lang w:val="de-DE"/>
          </w:rPr>
          <w:t>Gründe für die Änderung der Bedingungen der Genehmigung für das Inverkehrbringen</w:t>
        </w:r>
      </w:ins>
    </w:p>
    <w:p w14:paraId="54AC8747" w14:textId="77777777" w:rsidR="00692DF0" w:rsidRPr="0049187C" w:rsidRDefault="00692DF0" w:rsidP="0049187C">
      <w:pPr>
        <w:pStyle w:val="BodytextAgency"/>
        <w:rPr>
          <w:ins w:id="93" w:author="Lionbridge" w:date="2025-06-17T18:29:00Z" w16du:dateUtc="2025-06-17T12:59:00Z"/>
          <w:sz w:val="22"/>
          <w:szCs w:val="22"/>
        </w:rPr>
      </w:pPr>
    </w:p>
    <w:p w14:paraId="79CE9717" w14:textId="77777777" w:rsidR="00692DF0" w:rsidRPr="0049187C" w:rsidRDefault="00692DF0" w:rsidP="0049187C">
      <w:pPr>
        <w:pStyle w:val="BodytextAgency"/>
        <w:rPr>
          <w:ins w:id="94" w:author="Lionbridge" w:date="2025-06-17T18:29:00Z" w16du:dateUtc="2025-06-17T12:59:00Z"/>
          <w:sz w:val="22"/>
          <w:szCs w:val="22"/>
        </w:rPr>
      </w:pPr>
      <w:ins w:id="95" w:author="Lionbridge" w:date="2025-06-17T18:29:00Z" w16du:dateUtc="2025-06-17T12:59:00Z">
        <w:r w:rsidRPr="0049187C">
          <w:rPr>
            <w:sz w:val="22"/>
            <w:szCs w:val="22"/>
          </w:rPr>
          <w:t xml:space="preserve">Der CHMP ist auf der Grundlage der wissenschaftlichen Schlussfolgerungen für </w:t>
        </w:r>
        <w:r w:rsidRPr="0049187C">
          <w:rPr>
            <w:iCs/>
            <w:sz w:val="22"/>
            <w:szCs w:val="22"/>
          </w:rPr>
          <w:t xml:space="preserve">Denosumab (angezeigt für </w:t>
        </w:r>
        <w:r w:rsidRPr="0049187C">
          <w:rPr>
            <w:sz w:val="22"/>
            <w:szCs w:val="22"/>
          </w:rPr>
          <w:t xml:space="preserve">Osteoporose und Knochenschwund im Zusammenhang mit Hormonablation </w:t>
        </w:r>
        <w:r w:rsidRPr="0049187C">
          <w:rPr>
            <w:sz w:val="22"/>
            <w:szCs w:val="22"/>
            <w:lang w:eastAsia="x-none"/>
          </w:rPr>
          <w:t>bei Prostatakarzinom</w:t>
        </w:r>
        <w:r w:rsidRPr="0049187C">
          <w:rPr>
            <w:sz w:val="22"/>
            <w:szCs w:val="22"/>
          </w:rPr>
          <w:t>) der Auffassung, dass das Nutzen-Risiko-Verhältnis des Arzneimittels, das Denosumab (angezeigt für Osteoporose und Knochenschwund im Zusammenhang mit Hormonablation bei Prostatakarzinom) enthält, vorbehaltlich der vorgeschlagenen Änderungen der Produktinformation, unverändert ist.</w:t>
        </w:r>
      </w:ins>
    </w:p>
    <w:p w14:paraId="05874791" w14:textId="77777777" w:rsidR="00692DF0" w:rsidRPr="0049187C" w:rsidRDefault="00692DF0" w:rsidP="0049187C">
      <w:pPr>
        <w:pStyle w:val="BodytextAgency"/>
        <w:rPr>
          <w:ins w:id="96" w:author="Lionbridge" w:date="2025-06-17T18:29:00Z" w16du:dateUtc="2025-06-17T12:59:00Z"/>
          <w:snapToGrid w:val="0"/>
          <w:sz w:val="22"/>
          <w:szCs w:val="22"/>
        </w:rPr>
      </w:pPr>
    </w:p>
    <w:p w14:paraId="31D1430B" w14:textId="77777777" w:rsidR="00692DF0" w:rsidRPr="0049187C" w:rsidRDefault="00692DF0" w:rsidP="0049187C">
      <w:pPr>
        <w:pStyle w:val="BodytextAgency"/>
        <w:rPr>
          <w:ins w:id="97" w:author="Lionbridge" w:date="2025-06-17T18:29:00Z" w16du:dateUtc="2025-06-17T12:59:00Z"/>
          <w:highlight w:val="lightGray"/>
        </w:rPr>
      </w:pPr>
      <w:ins w:id="98" w:author="Lionbridge" w:date="2025-06-17T18:29:00Z" w16du:dateUtc="2025-06-17T12:59:00Z">
        <w:r w:rsidRPr="0049187C">
          <w:rPr>
            <w:snapToGrid w:val="0"/>
            <w:sz w:val="22"/>
            <w:szCs w:val="22"/>
          </w:rPr>
          <w:t>Der CHMP empfiehlt, die Bedingungen der Genehmigung für das Inverkehrbringen zu ändern.</w:t>
        </w:r>
      </w:ins>
    </w:p>
    <w:p w14:paraId="4405CDC5" w14:textId="77777777" w:rsidR="00C94397" w:rsidRPr="0049187C" w:rsidRDefault="00C94397" w:rsidP="0049187C">
      <w:pPr>
        <w:spacing w:after="0" w:line="240" w:lineRule="auto"/>
        <w:ind w:left="0" w:firstLine="0"/>
        <w:rPr>
          <w:highlight w:val="lightGray"/>
          <w:lang w:val="de-DE"/>
        </w:rPr>
      </w:pPr>
    </w:p>
    <w:sectPr w:rsidR="00C94397" w:rsidRPr="0049187C" w:rsidSect="00C331D7">
      <w:headerReference w:type="default" r:id="rId33"/>
      <w:footerReference w:type="even" r:id="rId34"/>
      <w:footerReference w:type="default" r:id="rId35"/>
      <w:footerReference w:type="first" r:id="rId36"/>
      <w:type w:val="continuous"/>
      <w:pgSz w:w="11906" w:h="16841"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CDFC4" w14:textId="77777777" w:rsidR="00B00716" w:rsidRPr="0049187C" w:rsidRDefault="00B00716" w:rsidP="0049187C">
      <w:pPr>
        <w:spacing w:after="0" w:line="240" w:lineRule="auto"/>
        <w:ind w:left="0" w:firstLine="0"/>
      </w:pPr>
      <w:r w:rsidRPr="0049187C">
        <w:separator/>
      </w:r>
    </w:p>
  </w:endnote>
  <w:endnote w:type="continuationSeparator" w:id="0">
    <w:p w14:paraId="0419959A" w14:textId="77777777" w:rsidR="00B00716" w:rsidRPr="0049187C" w:rsidRDefault="00B00716" w:rsidP="0049187C">
      <w:pPr>
        <w:spacing w:after="0" w:line="240" w:lineRule="auto"/>
        <w:ind w:left="0" w:firstLine="0"/>
      </w:pPr>
      <w:r w:rsidRPr="004918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69587" w14:textId="77777777" w:rsidR="007E3DB0" w:rsidRPr="0049187C" w:rsidRDefault="00B00716" w:rsidP="0049187C">
    <w:pPr>
      <w:spacing w:after="0" w:line="240" w:lineRule="auto"/>
      <w:ind w:left="0" w:firstLine="0"/>
      <w:jc w:val="center"/>
    </w:pPr>
    <w:r w:rsidRPr="0049187C">
      <w:fldChar w:fldCharType="begin"/>
    </w:r>
    <w:r w:rsidRPr="0049187C">
      <w:instrText xml:space="preserve"> PAGE   \* MERGEFORMAT </w:instrText>
    </w:r>
    <w:r w:rsidRPr="0049187C">
      <w:fldChar w:fldCharType="separate"/>
    </w:r>
    <w:r w:rsidRPr="0049187C">
      <w:rPr>
        <w:rFonts w:ascii="Arial" w:eastAsia="Arial" w:hAnsi="Arial" w:cs="Arial"/>
        <w:sz w:val="16"/>
      </w:rPr>
      <w:t>1</w:t>
    </w:r>
    <w:r w:rsidRPr="0049187C">
      <w:rPr>
        <w:rFonts w:ascii="Arial" w:eastAsia="Arial" w:hAnsi="Arial" w:cs="Arial"/>
        <w:sz w:val="16"/>
      </w:rPr>
      <w:fldChar w:fldCharType="end"/>
    </w:r>
    <w:r w:rsidRPr="0049187C">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936E" w14:textId="77777777" w:rsidR="007E3DB0" w:rsidRPr="0049187C" w:rsidRDefault="00B00716" w:rsidP="0049187C">
    <w:pPr>
      <w:pStyle w:val="Footer"/>
      <w:jc w:val="center"/>
    </w:pPr>
    <w:r w:rsidRPr="0049187C">
      <w:rPr>
        <w:rStyle w:val="PageNumber"/>
        <w:rFonts w:eastAsia="Arial"/>
      </w:rPr>
      <w:fldChar w:fldCharType="begin"/>
    </w:r>
    <w:r w:rsidRPr="0049187C">
      <w:rPr>
        <w:rStyle w:val="PageNumber"/>
      </w:rPr>
      <w:instrText xml:space="preserve"> PAGE   \* MERGEFORMAT </w:instrText>
    </w:r>
    <w:r w:rsidRPr="0049187C">
      <w:rPr>
        <w:rStyle w:val="PageNumber"/>
        <w:rFonts w:eastAsia="Arial"/>
      </w:rPr>
      <w:fldChar w:fldCharType="separate"/>
    </w:r>
    <w:r w:rsidRPr="0049187C">
      <w:rPr>
        <w:rStyle w:val="PageNumber"/>
      </w:rPr>
      <w:t>1</w:t>
    </w:r>
    <w:r w:rsidRPr="0049187C">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E2AB" w14:textId="77777777" w:rsidR="007E3DB0" w:rsidRPr="0049187C" w:rsidRDefault="00B00716" w:rsidP="0049187C">
    <w:pPr>
      <w:spacing w:after="0" w:line="240" w:lineRule="auto"/>
      <w:ind w:left="0" w:firstLine="0"/>
      <w:jc w:val="center"/>
    </w:pPr>
    <w:r w:rsidRPr="0049187C">
      <w:fldChar w:fldCharType="begin"/>
    </w:r>
    <w:r w:rsidRPr="0049187C">
      <w:instrText xml:space="preserve"> PAGE   \* MERGEFORMAT </w:instrText>
    </w:r>
    <w:r w:rsidRPr="0049187C">
      <w:fldChar w:fldCharType="separate"/>
    </w:r>
    <w:r w:rsidRPr="0049187C">
      <w:rPr>
        <w:rFonts w:ascii="Arial" w:eastAsia="Arial" w:hAnsi="Arial" w:cs="Arial"/>
        <w:sz w:val="16"/>
      </w:rPr>
      <w:t>1</w:t>
    </w:r>
    <w:r w:rsidRPr="0049187C">
      <w:rPr>
        <w:rFonts w:ascii="Arial" w:eastAsia="Arial" w:hAnsi="Arial" w:cs="Arial"/>
        <w:sz w:val="16"/>
      </w:rPr>
      <w:fldChar w:fldCharType="end"/>
    </w:r>
    <w:r w:rsidRPr="0049187C">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1852A" w14:textId="77777777" w:rsidR="00B00716" w:rsidRPr="0049187C" w:rsidRDefault="00B00716" w:rsidP="0049187C">
      <w:pPr>
        <w:spacing w:after="0" w:line="240" w:lineRule="auto"/>
        <w:ind w:left="0" w:firstLine="0"/>
      </w:pPr>
      <w:r w:rsidRPr="0049187C">
        <w:separator/>
      </w:r>
    </w:p>
  </w:footnote>
  <w:footnote w:type="continuationSeparator" w:id="0">
    <w:p w14:paraId="07166344" w14:textId="77777777" w:rsidR="00B00716" w:rsidRPr="0049187C" w:rsidRDefault="00B00716" w:rsidP="0049187C">
      <w:pPr>
        <w:spacing w:after="0" w:line="240" w:lineRule="auto"/>
        <w:ind w:left="0" w:firstLine="0"/>
      </w:pPr>
      <w:r w:rsidRPr="004918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D7ED2" w14:textId="77777777" w:rsidR="007E3DB0" w:rsidRPr="0049187C" w:rsidRDefault="007E3DB0" w:rsidP="0049187C">
    <w:pPr>
      <w:pStyle w:val="Header"/>
      <w:tabs>
        <w:tab w:val="clear" w:pos="4513"/>
        <w:tab w:val="clear" w:pos="9026"/>
      </w:tabs>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1C5299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2049285" o:spid="_x0000_i1025" type="#_x0000_t75" style="width:9pt;height:9pt;visibility:visible;mso-wrap-style:square">
            <v:imagedata r:id="rId1" o:title=""/>
          </v:shape>
        </w:pict>
      </mc:Choice>
      <mc:Fallback>
        <w:drawing>
          <wp:inline distT="0" distB="0" distL="0" distR="0" wp14:anchorId="0DC0661C">
            <wp:extent cx="114300" cy="114300"/>
            <wp:effectExtent l="0" t="0" r="0" b="0"/>
            <wp:docPr id="1212049285" name="Picture 1212049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mc:Fallback>
    </mc:AlternateContent>
  </w:numPicBullet>
  <w:numPicBullet w:numPicBulletId="1">
    <mc:AlternateContent>
      <mc:Choice Requires="v">
        <w:pict>
          <v:shape w14:anchorId="73D68BE8" id="Picture 2036487245" o:spid="_x0000_i1025" type="#_x0000_t75" alt="BT_1000x858px" style="width:15.6pt;height:13.2pt;visibility:visible;mso-wrap-style:square">
            <v:imagedata r:id="rId3" o:title="BT_1000x858px"/>
          </v:shape>
        </w:pict>
      </mc:Choice>
      <mc:Fallback>
        <w:drawing>
          <wp:inline distT="0" distB="0" distL="0" distR="0" wp14:anchorId="06576494">
            <wp:extent cx="198120" cy="167640"/>
            <wp:effectExtent l="0" t="0" r="0" b="0"/>
            <wp:docPr id="2036487245" name="Picture 2036487245"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descr="BT_1000x858px"/>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8120" cy="167640"/>
                    </a:xfrm>
                    <a:prstGeom prst="rect">
                      <a:avLst/>
                    </a:prstGeom>
                    <a:noFill/>
                    <a:ln>
                      <a:noFill/>
                    </a:ln>
                  </pic:spPr>
                </pic:pic>
              </a:graphicData>
            </a:graphic>
          </wp:inline>
        </w:drawing>
      </mc:Fallback>
    </mc:AlternateContent>
  </w:numPicBullet>
  <w:abstractNum w:abstractNumId="0" w15:restartNumberingAfterBreak="0">
    <w:nsid w:val="93CAC061"/>
    <w:multiLevelType w:val="hybridMultilevel"/>
    <w:tmpl w:val="1B3ACD84"/>
    <w:lvl w:ilvl="0" w:tplc="E206892A">
      <w:start w:val="1"/>
      <w:numFmt w:val="bullet"/>
      <w:lvlText w:val=""/>
      <w:lvlJc w:val="left"/>
      <w:rPr>
        <w:rFonts w:ascii="Symbol" w:hAnsi="Symbol" w:hint="default"/>
      </w:rPr>
    </w:lvl>
    <w:lvl w:ilvl="1" w:tplc="822A2954">
      <w:numFmt w:val="decimal"/>
      <w:lvlText w:val=""/>
      <w:lvlJc w:val="left"/>
    </w:lvl>
    <w:lvl w:ilvl="2" w:tplc="CFE88928">
      <w:numFmt w:val="decimal"/>
      <w:lvlText w:val=""/>
      <w:lvlJc w:val="left"/>
    </w:lvl>
    <w:lvl w:ilvl="3" w:tplc="624ED610">
      <w:numFmt w:val="decimal"/>
      <w:lvlText w:val=""/>
      <w:lvlJc w:val="left"/>
    </w:lvl>
    <w:lvl w:ilvl="4" w:tplc="AA9213D0">
      <w:numFmt w:val="decimal"/>
      <w:lvlText w:val=""/>
      <w:lvlJc w:val="left"/>
    </w:lvl>
    <w:lvl w:ilvl="5" w:tplc="51B03796">
      <w:numFmt w:val="decimal"/>
      <w:lvlText w:val=""/>
      <w:lvlJc w:val="left"/>
    </w:lvl>
    <w:lvl w:ilvl="6" w:tplc="FAB20476">
      <w:numFmt w:val="decimal"/>
      <w:lvlText w:val=""/>
      <w:lvlJc w:val="left"/>
    </w:lvl>
    <w:lvl w:ilvl="7" w:tplc="A51A5AF8">
      <w:numFmt w:val="decimal"/>
      <w:lvlText w:val=""/>
      <w:lvlJc w:val="left"/>
    </w:lvl>
    <w:lvl w:ilvl="8" w:tplc="3A6C94A0">
      <w:numFmt w:val="decimal"/>
      <w:lvlText w:val=""/>
      <w:lvlJc w:val="left"/>
    </w:lvl>
  </w:abstractNum>
  <w:abstractNum w:abstractNumId="1" w15:restartNumberingAfterBreak="0">
    <w:nsid w:val="DA2BBA7A"/>
    <w:multiLevelType w:val="hybridMultilevel"/>
    <w:tmpl w:val="199E35E2"/>
    <w:lvl w:ilvl="0" w:tplc="B12A19A2">
      <w:start w:val="1"/>
      <w:numFmt w:val="bullet"/>
      <w:lvlText w:val=""/>
      <w:lvlJc w:val="left"/>
      <w:rPr>
        <w:rFonts w:ascii="Symbol" w:hAnsi="Symbol" w:hint="default"/>
      </w:rPr>
    </w:lvl>
    <w:lvl w:ilvl="1" w:tplc="D5DCF824">
      <w:numFmt w:val="decimal"/>
      <w:lvlText w:val=""/>
      <w:lvlJc w:val="left"/>
    </w:lvl>
    <w:lvl w:ilvl="2" w:tplc="3B1CED64">
      <w:numFmt w:val="decimal"/>
      <w:lvlText w:val=""/>
      <w:lvlJc w:val="left"/>
    </w:lvl>
    <w:lvl w:ilvl="3" w:tplc="99E806A6">
      <w:numFmt w:val="decimal"/>
      <w:lvlText w:val=""/>
      <w:lvlJc w:val="left"/>
    </w:lvl>
    <w:lvl w:ilvl="4" w:tplc="8BF01C3A">
      <w:numFmt w:val="decimal"/>
      <w:lvlText w:val=""/>
      <w:lvlJc w:val="left"/>
    </w:lvl>
    <w:lvl w:ilvl="5" w:tplc="60646B02">
      <w:numFmt w:val="decimal"/>
      <w:lvlText w:val=""/>
      <w:lvlJc w:val="left"/>
    </w:lvl>
    <w:lvl w:ilvl="6" w:tplc="CBE2213C">
      <w:numFmt w:val="decimal"/>
      <w:lvlText w:val=""/>
      <w:lvlJc w:val="left"/>
    </w:lvl>
    <w:lvl w:ilvl="7" w:tplc="6836629C">
      <w:numFmt w:val="decimal"/>
      <w:lvlText w:val=""/>
      <w:lvlJc w:val="left"/>
    </w:lvl>
    <w:lvl w:ilvl="8" w:tplc="70EEBAA6">
      <w:numFmt w:val="decimal"/>
      <w:lvlText w:val=""/>
      <w:lvlJc w:val="left"/>
    </w:lvl>
  </w:abstractNum>
  <w:abstractNum w:abstractNumId="2" w15:restartNumberingAfterBreak="0">
    <w:nsid w:val="03B202E4"/>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0402642D"/>
    <w:multiLevelType w:val="hybridMultilevel"/>
    <w:tmpl w:val="A4783CA6"/>
    <w:lvl w:ilvl="0" w:tplc="A154BECE">
      <w:start w:val="2"/>
      <w:numFmt w:val="decimal"/>
      <w:lvlText w:val="%1."/>
      <w:lvlJc w:val="left"/>
      <w:pPr>
        <w:ind w:left="926" w:hanging="360"/>
      </w:pPr>
      <w:rPr>
        <w:rFonts w:hint="default"/>
      </w:rPr>
    </w:lvl>
    <w:lvl w:ilvl="1" w:tplc="847C2D24" w:tentative="1">
      <w:start w:val="1"/>
      <w:numFmt w:val="lowerLetter"/>
      <w:lvlText w:val="%2."/>
      <w:lvlJc w:val="left"/>
      <w:pPr>
        <w:ind w:left="1646" w:hanging="360"/>
      </w:pPr>
    </w:lvl>
    <w:lvl w:ilvl="2" w:tplc="02E45D94" w:tentative="1">
      <w:start w:val="1"/>
      <w:numFmt w:val="lowerRoman"/>
      <w:lvlText w:val="%3."/>
      <w:lvlJc w:val="right"/>
      <w:pPr>
        <w:ind w:left="2366" w:hanging="180"/>
      </w:pPr>
    </w:lvl>
    <w:lvl w:ilvl="3" w:tplc="7E840BCA" w:tentative="1">
      <w:start w:val="1"/>
      <w:numFmt w:val="decimal"/>
      <w:lvlText w:val="%4."/>
      <w:lvlJc w:val="left"/>
      <w:pPr>
        <w:ind w:left="3086" w:hanging="360"/>
      </w:pPr>
    </w:lvl>
    <w:lvl w:ilvl="4" w:tplc="9A789620" w:tentative="1">
      <w:start w:val="1"/>
      <w:numFmt w:val="lowerLetter"/>
      <w:lvlText w:val="%5."/>
      <w:lvlJc w:val="left"/>
      <w:pPr>
        <w:ind w:left="3806" w:hanging="360"/>
      </w:pPr>
    </w:lvl>
    <w:lvl w:ilvl="5" w:tplc="C7BE740E" w:tentative="1">
      <w:start w:val="1"/>
      <w:numFmt w:val="lowerRoman"/>
      <w:lvlText w:val="%6."/>
      <w:lvlJc w:val="right"/>
      <w:pPr>
        <w:ind w:left="4526" w:hanging="180"/>
      </w:pPr>
    </w:lvl>
    <w:lvl w:ilvl="6" w:tplc="9B1625F8" w:tentative="1">
      <w:start w:val="1"/>
      <w:numFmt w:val="decimal"/>
      <w:lvlText w:val="%7."/>
      <w:lvlJc w:val="left"/>
      <w:pPr>
        <w:ind w:left="5246" w:hanging="360"/>
      </w:pPr>
    </w:lvl>
    <w:lvl w:ilvl="7" w:tplc="04A0F062" w:tentative="1">
      <w:start w:val="1"/>
      <w:numFmt w:val="lowerLetter"/>
      <w:lvlText w:val="%8."/>
      <w:lvlJc w:val="left"/>
      <w:pPr>
        <w:ind w:left="5966" w:hanging="360"/>
      </w:pPr>
    </w:lvl>
    <w:lvl w:ilvl="8" w:tplc="660EC122" w:tentative="1">
      <w:start w:val="1"/>
      <w:numFmt w:val="lowerRoman"/>
      <w:lvlText w:val="%9."/>
      <w:lvlJc w:val="right"/>
      <w:pPr>
        <w:ind w:left="6686" w:hanging="180"/>
      </w:pPr>
    </w:lvl>
  </w:abstractNum>
  <w:abstractNum w:abstractNumId="4" w15:restartNumberingAfterBreak="0">
    <w:nsid w:val="07A57313"/>
    <w:multiLevelType w:val="hybridMultilevel"/>
    <w:tmpl w:val="FF26141A"/>
    <w:lvl w:ilvl="0" w:tplc="9066FFEA">
      <w:start w:val="1"/>
      <w:numFmt w:val="bullet"/>
      <w:lvlText w:val=""/>
      <w:lvlPicBulletId w:val="0"/>
      <w:lvlJc w:val="left"/>
      <w:pPr>
        <w:ind w:left="720" w:hanging="360"/>
      </w:pPr>
      <w:rPr>
        <w:rFonts w:ascii="Symbol" w:hAnsi="Symbol" w:hint="default"/>
      </w:rPr>
    </w:lvl>
    <w:lvl w:ilvl="1" w:tplc="40FC8DC8" w:tentative="1">
      <w:start w:val="1"/>
      <w:numFmt w:val="bullet"/>
      <w:lvlText w:val="o"/>
      <w:lvlJc w:val="left"/>
      <w:pPr>
        <w:ind w:left="1440" w:hanging="360"/>
      </w:pPr>
      <w:rPr>
        <w:rFonts w:ascii="Courier New" w:hAnsi="Courier New" w:cs="Courier New" w:hint="default"/>
      </w:rPr>
    </w:lvl>
    <w:lvl w:ilvl="2" w:tplc="C02CF7F8" w:tentative="1">
      <w:start w:val="1"/>
      <w:numFmt w:val="bullet"/>
      <w:lvlText w:val=""/>
      <w:lvlJc w:val="left"/>
      <w:pPr>
        <w:ind w:left="2160" w:hanging="360"/>
      </w:pPr>
      <w:rPr>
        <w:rFonts w:ascii="Wingdings" w:hAnsi="Wingdings" w:hint="default"/>
      </w:rPr>
    </w:lvl>
    <w:lvl w:ilvl="3" w:tplc="A2BECE18" w:tentative="1">
      <w:start w:val="1"/>
      <w:numFmt w:val="bullet"/>
      <w:lvlText w:val=""/>
      <w:lvlJc w:val="left"/>
      <w:pPr>
        <w:ind w:left="2880" w:hanging="360"/>
      </w:pPr>
      <w:rPr>
        <w:rFonts w:ascii="Symbol" w:hAnsi="Symbol" w:hint="default"/>
      </w:rPr>
    </w:lvl>
    <w:lvl w:ilvl="4" w:tplc="1192709E" w:tentative="1">
      <w:start w:val="1"/>
      <w:numFmt w:val="bullet"/>
      <w:lvlText w:val="o"/>
      <w:lvlJc w:val="left"/>
      <w:pPr>
        <w:ind w:left="3600" w:hanging="360"/>
      </w:pPr>
      <w:rPr>
        <w:rFonts w:ascii="Courier New" w:hAnsi="Courier New" w:cs="Courier New" w:hint="default"/>
      </w:rPr>
    </w:lvl>
    <w:lvl w:ilvl="5" w:tplc="D7322F0E" w:tentative="1">
      <w:start w:val="1"/>
      <w:numFmt w:val="bullet"/>
      <w:lvlText w:val=""/>
      <w:lvlJc w:val="left"/>
      <w:pPr>
        <w:ind w:left="4320" w:hanging="360"/>
      </w:pPr>
      <w:rPr>
        <w:rFonts w:ascii="Wingdings" w:hAnsi="Wingdings" w:hint="default"/>
      </w:rPr>
    </w:lvl>
    <w:lvl w:ilvl="6" w:tplc="8EF4B712" w:tentative="1">
      <w:start w:val="1"/>
      <w:numFmt w:val="bullet"/>
      <w:lvlText w:val=""/>
      <w:lvlJc w:val="left"/>
      <w:pPr>
        <w:ind w:left="5040" w:hanging="360"/>
      </w:pPr>
      <w:rPr>
        <w:rFonts w:ascii="Symbol" w:hAnsi="Symbol" w:hint="default"/>
      </w:rPr>
    </w:lvl>
    <w:lvl w:ilvl="7" w:tplc="BA26B9E0" w:tentative="1">
      <w:start w:val="1"/>
      <w:numFmt w:val="bullet"/>
      <w:lvlText w:val="o"/>
      <w:lvlJc w:val="left"/>
      <w:pPr>
        <w:ind w:left="5760" w:hanging="360"/>
      </w:pPr>
      <w:rPr>
        <w:rFonts w:ascii="Courier New" w:hAnsi="Courier New" w:cs="Courier New" w:hint="default"/>
      </w:rPr>
    </w:lvl>
    <w:lvl w:ilvl="8" w:tplc="6DD6064A" w:tentative="1">
      <w:start w:val="1"/>
      <w:numFmt w:val="bullet"/>
      <w:lvlText w:val=""/>
      <w:lvlJc w:val="left"/>
      <w:pPr>
        <w:ind w:left="6480" w:hanging="360"/>
      </w:pPr>
      <w:rPr>
        <w:rFonts w:ascii="Wingdings" w:hAnsi="Wingdings" w:hint="default"/>
      </w:rPr>
    </w:lvl>
  </w:abstractNum>
  <w:abstractNum w:abstractNumId="5" w15:restartNumberingAfterBreak="0">
    <w:nsid w:val="0FEC7B51"/>
    <w:multiLevelType w:val="hybridMultilevel"/>
    <w:tmpl w:val="A5645BF2"/>
    <w:lvl w:ilvl="0" w:tplc="01C2B45C">
      <w:start w:val="7"/>
      <w:numFmt w:val="decimal"/>
      <w:lvlText w:val="%1."/>
      <w:lvlJc w:val="left"/>
      <w:pPr>
        <w:ind w:left="926" w:hanging="360"/>
      </w:pPr>
      <w:rPr>
        <w:rFonts w:hint="default"/>
      </w:rPr>
    </w:lvl>
    <w:lvl w:ilvl="1" w:tplc="C048089A" w:tentative="1">
      <w:start w:val="1"/>
      <w:numFmt w:val="lowerLetter"/>
      <w:lvlText w:val="%2."/>
      <w:lvlJc w:val="left"/>
      <w:pPr>
        <w:ind w:left="1646" w:hanging="360"/>
      </w:pPr>
    </w:lvl>
    <w:lvl w:ilvl="2" w:tplc="7812C934" w:tentative="1">
      <w:start w:val="1"/>
      <w:numFmt w:val="lowerRoman"/>
      <w:lvlText w:val="%3."/>
      <w:lvlJc w:val="right"/>
      <w:pPr>
        <w:ind w:left="2366" w:hanging="180"/>
      </w:pPr>
    </w:lvl>
    <w:lvl w:ilvl="3" w:tplc="8360861C" w:tentative="1">
      <w:start w:val="1"/>
      <w:numFmt w:val="decimal"/>
      <w:lvlText w:val="%4."/>
      <w:lvlJc w:val="left"/>
      <w:pPr>
        <w:ind w:left="3086" w:hanging="360"/>
      </w:pPr>
    </w:lvl>
    <w:lvl w:ilvl="4" w:tplc="4A2A8794" w:tentative="1">
      <w:start w:val="1"/>
      <w:numFmt w:val="lowerLetter"/>
      <w:lvlText w:val="%5."/>
      <w:lvlJc w:val="left"/>
      <w:pPr>
        <w:ind w:left="3806" w:hanging="360"/>
      </w:pPr>
    </w:lvl>
    <w:lvl w:ilvl="5" w:tplc="BA98E166" w:tentative="1">
      <w:start w:val="1"/>
      <w:numFmt w:val="lowerRoman"/>
      <w:lvlText w:val="%6."/>
      <w:lvlJc w:val="right"/>
      <w:pPr>
        <w:ind w:left="4526" w:hanging="180"/>
      </w:pPr>
    </w:lvl>
    <w:lvl w:ilvl="6" w:tplc="BE182226" w:tentative="1">
      <w:start w:val="1"/>
      <w:numFmt w:val="decimal"/>
      <w:lvlText w:val="%7."/>
      <w:lvlJc w:val="left"/>
      <w:pPr>
        <w:ind w:left="5246" w:hanging="360"/>
      </w:pPr>
    </w:lvl>
    <w:lvl w:ilvl="7" w:tplc="849AAE1C" w:tentative="1">
      <w:start w:val="1"/>
      <w:numFmt w:val="lowerLetter"/>
      <w:lvlText w:val="%8."/>
      <w:lvlJc w:val="left"/>
      <w:pPr>
        <w:ind w:left="5966" w:hanging="360"/>
      </w:pPr>
    </w:lvl>
    <w:lvl w:ilvl="8" w:tplc="F618C336" w:tentative="1">
      <w:start w:val="1"/>
      <w:numFmt w:val="lowerRoman"/>
      <w:lvlText w:val="%9."/>
      <w:lvlJc w:val="right"/>
      <w:pPr>
        <w:ind w:left="6686" w:hanging="180"/>
      </w:pPr>
    </w:lvl>
  </w:abstractNum>
  <w:abstractNum w:abstractNumId="6" w15:restartNumberingAfterBreak="0">
    <w:nsid w:val="11226723"/>
    <w:multiLevelType w:val="hybridMultilevel"/>
    <w:tmpl w:val="5A200030"/>
    <w:lvl w:ilvl="0" w:tplc="E9C85006">
      <w:start w:val="1"/>
      <w:numFmt w:val="decimal"/>
      <w:lvlText w:val="%1."/>
      <w:lvlJc w:val="left"/>
      <w:pPr>
        <w:ind w:left="926" w:hanging="360"/>
      </w:pPr>
      <w:rPr>
        <w:rFonts w:hint="default"/>
      </w:rPr>
    </w:lvl>
    <w:lvl w:ilvl="1" w:tplc="60A8868A" w:tentative="1">
      <w:start w:val="1"/>
      <w:numFmt w:val="lowerLetter"/>
      <w:lvlText w:val="%2."/>
      <w:lvlJc w:val="left"/>
      <w:pPr>
        <w:ind w:left="1646" w:hanging="360"/>
      </w:pPr>
    </w:lvl>
    <w:lvl w:ilvl="2" w:tplc="E0C6BB80" w:tentative="1">
      <w:start w:val="1"/>
      <w:numFmt w:val="lowerRoman"/>
      <w:lvlText w:val="%3."/>
      <w:lvlJc w:val="right"/>
      <w:pPr>
        <w:ind w:left="2366" w:hanging="180"/>
      </w:pPr>
    </w:lvl>
    <w:lvl w:ilvl="3" w:tplc="AF9C8172" w:tentative="1">
      <w:start w:val="1"/>
      <w:numFmt w:val="decimal"/>
      <w:lvlText w:val="%4."/>
      <w:lvlJc w:val="left"/>
      <w:pPr>
        <w:ind w:left="3086" w:hanging="360"/>
      </w:pPr>
    </w:lvl>
    <w:lvl w:ilvl="4" w:tplc="7C6CA966" w:tentative="1">
      <w:start w:val="1"/>
      <w:numFmt w:val="lowerLetter"/>
      <w:lvlText w:val="%5."/>
      <w:lvlJc w:val="left"/>
      <w:pPr>
        <w:ind w:left="3806" w:hanging="360"/>
      </w:pPr>
    </w:lvl>
    <w:lvl w:ilvl="5" w:tplc="5078A61A" w:tentative="1">
      <w:start w:val="1"/>
      <w:numFmt w:val="lowerRoman"/>
      <w:lvlText w:val="%6."/>
      <w:lvlJc w:val="right"/>
      <w:pPr>
        <w:ind w:left="4526" w:hanging="180"/>
      </w:pPr>
    </w:lvl>
    <w:lvl w:ilvl="6" w:tplc="C226E85E" w:tentative="1">
      <w:start w:val="1"/>
      <w:numFmt w:val="decimal"/>
      <w:lvlText w:val="%7."/>
      <w:lvlJc w:val="left"/>
      <w:pPr>
        <w:ind w:left="5246" w:hanging="360"/>
      </w:pPr>
    </w:lvl>
    <w:lvl w:ilvl="7" w:tplc="20443F04" w:tentative="1">
      <w:start w:val="1"/>
      <w:numFmt w:val="lowerLetter"/>
      <w:lvlText w:val="%8."/>
      <w:lvlJc w:val="left"/>
      <w:pPr>
        <w:ind w:left="5966" w:hanging="360"/>
      </w:pPr>
    </w:lvl>
    <w:lvl w:ilvl="8" w:tplc="DD8E1BC8" w:tentative="1">
      <w:start w:val="1"/>
      <w:numFmt w:val="lowerRoman"/>
      <w:lvlText w:val="%9."/>
      <w:lvlJc w:val="right"/>
      <w:pPr>
        <w:ind w:left="6686" w:hanging="180"/>
      </w:pPr>
    </w:lvl>
  </w:abstractNum>
  <w:abstractNum w:abstractNumId="7" w15:restartNumberingAfterBreak="0">
    <w:nsid w:val="1E9F5F05"/>
    <w:multiLevelType w:val="hybridMultilevel"/>
    <w:tmpl w:val="3C7A7B22"/>
    <w:lvl w:ilvl="0" w:tplc="194E2AEC">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B36E04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868FE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709CD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0AEBB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DE80F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1F488C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D89E1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22733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07A1F56"/>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9" w15:restartNumberingAfterBreak="0">
    <w:nsid w:val="287F5A68"/>
    <w:multiLevelType w:val="hybridMultilevel"/>
    <w:tmpl w:val="C60AF7AE"/>
    <w:lvl w:ilvl="0" w:tplc="3DD203C6">
      <w:start w:val="2"/>
      <w:numFmt w:val="upperLetter"/>
      <w:lvlText w:val="%1."/>
      <w:lvlJc w:val="left"/>
      <w:pPr>
        <w:ind w:left="720" w:hanging="360"/>
      </w:pPr>
      <w:rPr>
        <w:rFonts w:hint="default"/>
        <w:b/>
      </w:rPr>
    </w:lvl>
    <w:lvl w:ilvl="1" w:tplc="1F962C72" w:tentative="1">
      <w:start w:val="1"/>
      <w:numFmt w:val="lowerLetter"/>
      <w:lvlText w:val="%2."/>
      <w:lvlJc w:val="left"/>
      <w:pPr>
        <w:ind w:left="1440" w:hanging="360"/>
      </w:pPr>
    </w:lvl>
    <w:lvl w:ilvl="2" w:tplc="97D66BF2" w:tentative="1">
      <w:start w:val="1"/>
      <w:numFmt w:val="lowerRoman"/>
      <w:lvlText w:val="%3."/>
      <w:lvlJc w:val="right"/>
      <w:pPr>
        <w:ind w:left="2160" w:hanging="180"/>
      </w:pPr>
    </w:lvl>
    <w:lvl w:ilvl="3" w:tplc="9CF26EA0" w:tentative="1">
      <w:start w:val="1"/>
      <w:numFmt w:val="decimal"/>
      <w:lvlText w:val="%4."/>
      <w:lvlJc w:val="left"/>
      <w:pPr>
        <w:ind w:left="2880" w:hanging="360"/>
      </w:pPr>
    </w:lvl>
    <w:lvl w:ilvl="4" w:tplc="78B41C6A" w:tentative="1">
      <w:start w:val="1"/>
      <w:numFmt w:val="lowerLetter"/>
      <w:lvlText w:val="%5."/>
      <w:lvlJc w:val="left"/>
      <w:pPr>
        <w:ind w:left="3600" w:hanging="360"/>
      </w:pPr>
    </w:lvl>
    <w:lvl w:ilvl="5" w:tplc="7DC0C560" w:tentative="1">
      <w:start w:val="1"/>
      <w:numFmt w:val="lowerRoman"/>
      <w:lvlText w:val="%6."/>
      <w:lvlJc w:val="right"/>
      <w:pPr>
        <w:ind w:left="4320" w:hanging="180"/>
      </w:pPr>
    </w:lvl>
    <w:lvl w:ilvl="6" w:tplc="A788AB50" w:tentative="1">
      <w:start w:val="1"/>
      <w:numFmt w:val="decimal"/>
      <w:lvlText w:val="%7."/>
      <w:lvlJc w:val="left"/>
      <w:pPr>
        <w:ind w:left="5040" w:hanging="360"/>
      </w:pPr>
    </w:lvl>
    <w:lvl w:ilvl="7" w:tplc="D17646BA" w:tentative="1">
      <w:start w:val="1"/>
      <w:numFmt w:val="lowerLetter"/>
      <w:lvlText w:val="%8."/>
      <w:lvlJc w:val="left"/>
      <w:pPr>
        <w:ind w:left="5760" w:hanging="360"/>
      </w:pPr>
    </w:lvl>
    <w:lvl w:ilvl="8" w:tplc="E312BCFC" w:tentative="1">
      <w:start w:val="1"/>
      <w:numFmt w:val="lowerRoman"/>
      <w:lvlText w:val="%9."/>
      <w:lvlJc w:val="right"/>
      <w:pPr>
        <w:ind w:left="6480" w:hanging="180"/>
      </w:pPr>
    </w:lvl>
  </w:abstractNum>
  <w:abstractNum w:abstractNumId="10" w15:restartNumberingAfterBreak="0">
    <w:nsid w:val="291D7464"/>
    <w:multiLevelType w:val="hybridMultilevel"/>
    <w:tmpl w:val="C98EEB72"/>
    <w:lvl w:ilvl="0" w:tplc="5F9A24C6">
      <w:start w:val="1"/>
      <w:numFmt w:val="decimal"/>
      <w:lvlText w:val="%1"/>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2D76542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BF84E71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7FD461C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449C8FA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E7F2C38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78DE627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B7805DC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EF10FF5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11" w15:restartNumberingAfterBreak="0">
    <w:nsid w:val="2C061CBE"/>
    <w:multiLevelType w:val="hybridMultilevel"/>
    <w:tmpl w:val="A0345D68"/>
    <w:lvl w:ilvl="0" w:tplc="2196E00E">
      <w:start w:val="1"/>
      <w:numFmt w:val="bullet"/>
      <w:lvlText w:val=""/>
      <w:lvlPicBulletId w:val="0"/>
      <w:lvlJc w:val="left"/>
      <w:pPr>
        <w:ind w:left="720" w:hanging="360"/>
      </w:pPr>
      <w:rPr>
        <w:rFonts w:ascii="Symbol" w:hAnsi="Symbol" w:hint="default"/>
      </w:rPr>
    </w:lvl>
    <w:lvl w:ilvl="1" w:tplc="23FCC640" w:tentative="1">
      <w:start w:val="1"/>
      <w:numFmt w:val="bullet"/>
      <w:lvlText w:val="o"/>
      <w:lvlJc w:val="left"/>
      <w:pPr>
        <w:ind w:left="1440" w:hanging="360"/>
      </w:pPr>
      <w:rPr>
        <w:rFonts w:ascii="Courier New" w:hAnsi="Courier New" w:cs="Courier New" w:hint="default"/>
      </w:rPr>
    </w:lvl>
    <w:lvl w:ilvl="2" w:tplc="37D2CAD2" w:tentative="1">
      <w:start w:val="1"/>
      <w:numFmt w:val="bullet"/>
      <w:lvlText w:val=""/>
      <w:lvlJc w:val="left"/>
      <w:pPr>
        <w:ind w:left="2160" w:hanging="360"/>
      </w:pPr>
      <w:rPr>
        <w:rFonts w:ascii="Wingdings" w:hAnsi="Wingdings" w:hint="default"/>
      </w:rPr>
    </w:lvl>
    <w:lvl w:ilvl="3" w:tplc="579C8FE2" w:tentative="1">
      <w:start w:val="1"/>
      <w:numFmt w:val="bullet"/>
      <w:lvlText w:val=""/>
      <w:lvlJc w:val="left"/>
      <w:pPr>
        <w:ind w:left="2880" w:hanging="360"/>
      </w:pPr>
      <w:rPr>
        <w:rFonts w:ascii="Symbol" w:hAnsi="Symbol" w:hint="default"/>
      </w:rPr>
    </w:lvl>
    <w:lvl w:ilvl="4" w:tplc="3CB673E8" w:tentative="1">
      <w:start w:val="1"/>
      <w:numFmt w:val="bullet"/>
      <w:lvlText w:val="o"/>
      <w:lvlJc w:val="left"/>
      <w:pPr>
        <w:ind w:left="3600" w:hanging="360"/>
      </w:pPr>
      <w:rPr>
        <w:rFonts w:ascii="Courier New" w:hAnsi="Courier New" w:cs="Courier New" w:hint="default"/>
      </w:rPr>
    </w:lvl>
    <w:lvl w:ilvl="5" w:tplc="2DCA06FE" w:tentative="1">
      <w:start w:val="1"/>
      <w:numFmt w:val="bullet"/>
      <w:lvlText w:val=""/>
      <w:lvlJc w:val="left"/>
      <w:pPr>
        <w:ind w:left="4320" w:hanging="360"/>
      </w:pPr>
      <w:rPr>
        <w:rFonts w:ascii="Wingdings" w:hAnsi="Wingdings" w:hint="default"/>
      </w:rPr>
    </w:lvl>
    <w:lvl w:ilvl="6" w:tplc="962CAF42" w:tentative="1">
      <w:start w:val="1"/>
      <w:numFmt w:val="bullet"/>
      <w:lvlText w:val=""/>
      <w:lvlJc w:val="left"/>
      <w:pPr>
        <w:ind w:left="5040" w:hanging="360"/>
      </w:pPr>
      <w:rPr>
        <w:rFonts w:ascii="Symbol" w:hAnsi="Symbol" w:hint="default"/>
      </w:rPr>
    </w:lvl>
    <w:lvl w:ilvl="7" w:tplc="14BCB94E" w:tentative="1">
      <w:start w:val="1"/>
      <w:numFmt w:val="bullet"/>
      <w:lvlText w:val="o"/>
      <w:lvlJc w:val="left"/>
      <w:pPr>
        <w:ind w:left="5760" w:hanging="360"/>
      </w:pPr>
      <w:rPr>
        <w:rFonts w:ascii="Courier New" w:hAnsi="Courier New" w:cs="Courier New" w:hint="default"/>
      </w:rPr>
    </w:lvl>
    <w:lvl w:ilvl="8" w:tplc="6C7EBDCC" w:tentative="1">
      <w:start w:val="1"/>
      <w:numFmt w:val="bullet"/>
      <w:lvlText w:val=""/>
      <w:lvlJc w:val="left"/>
      <w:pPr>
        <w:ind w:left="6480" w:hanging="360"/>
      </w:pPr>
      <w:rPr>
        <w:rFonts w:ascii="Wingdings" w:hAnsi="Wingdings" w:hint="default"/>
      </w:rPr>
    </w:lvl>
  </w:abstractNum>
  <w:abstractNum w:abstractNumId="12" w15:restartNumberingAfterBreak="0">
    <w:nsid w:val="2C4A3E37"/>
    <w:multiLevelType w:val="hybridMultilevel"/>
    <w:tmpl w:val="125E2456"/>
    <w:lvl w:ilvl="0" w:tplc="D15EA590">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944F6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8C466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3206D6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A6EA3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48666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88A36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A8A47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5E694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D9C7EFF"/>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14" w15:restartNumberingAfterBreak="0">
    <w:nsid w:val="2E302715"/>
    <w:multiLevelType w:val="hybridMultilevel"/>
    <w:tmpl w:val="746A5F9C"/>
    <w:lvl w:ilvl="0" w:tplc="D048FF04">
      <w:start w:val="1"/>
      <w:numFmt w:val="bullet"/>
      <w:lvlText w:val=""/>
      <w:lvlPicBulletId w:val="0"/>
      <w:lvlJc w:val="left"/>
      <w:pPr>
        <w:ind w:left="720" w:hanging="360"/>
      </w:pPr>
      <w:rPr>
        <w:rFonts w:ascii="Symbol" w:hAnsi="Symbol" w:hint="default"/>
      </w:rPr>
    </w:lvl>
    <w:lvl w:ilvl="1" w:tplc="03182340" w:tentative="1">
      <w:start w:val="1"/>
      <w:numFmt w:val="bullet"/>
      <w:lvlText w:val="o"/>
      <w:lvlJc w:val="left"/>
      <w:pPr>
        <w:ind w:left="1440" w:hanging="360"/>
      </w:pPr>
      <w:rPr>
        <w:rFonts w:ascii="Courier New" w:hAnsi="Courier New" w:cs="Courier New" w:hint="default"/>
      </w:rPr>
    </w:lvl>
    <w:lvl w:ilvl="2" w:tplc="B1C0C2DA" w:tentative="1">
      <w:start w:val="1"/>
      <w:numFmt w:val="bullet"/>
      <w:lvlText w:val=""/>
      <w:lvlJc w:val="left"/>
      <w:pPr>
        <w:ind w:left="2160" w:hanging="360"/>
      </w:pPr>
      <w:rPr>
        <w:rFonts w:ascii="Wingdings" w:hAnsi="Wingdings" w:hint="default"/>
      </w:rPr>
    </w:lvl>
    <w:lvl w:ilvl="3" w:tplc="BD74807E" w:tentative="1">
      <w:start w:val="1"/>
      <w:numFmt w:val="bullet"/>
      <w:lvlText w:val=""/>
      <w:lvlJc w:val="left"/>
      <w:pPr>
        <w:ind w:left="2880" w:hanging="360"/>
      </w:pPr>
      <w:rPr>
        <w:rFonts w:ascii="Symbol" w:hAnsi="Symbol" w:hint="default"/>
      </w:rPr>
    </w:lvl>
    <w:lvl w:ilvl="4" w:tplc="F0D83410" w:tentative="1">
      <w:start w:val="1"/>
      <w:numFmt w:val="bullet"/>
      <w:lvlText w:val="o"/>
      <w:lvlJc w:val="left"/>
      <w:pPr>
        <w:ind w:left="3600" w:hanging="360"/>
      </w:pPr>
      <w:rPr>
        <w:rFonts w:ascii="Courier New" w:hAnsi="Courier New" w:cs="Courier New" w:hint="default"/>
      </w:rPr>
    </w:lvl>
    <w:lvl w:ilvl="5" w:tplc="AD90FC2C" w:tentative="1">
      <w:start w:val="1"/>
      <w:numFmt w:val="bullet"/>
      <w:lvlText w:val=""/>
      <w:lvlJc w:val="left"/>
      <w:pPr>
        <w:ind w:left="4320" w:hanging="360"/>
      </w:pPr>
      <w:rPr>
        <w:rFonts w:ascii="Wingdings" w:hAnsi="Wingdings" w:hint="default"/>
      </w:rPr>
    </w:lvl>
    <w:lvl w:ilvl="6" w:tplc="C39A9A5C" w:tentative="1">
      <w:start w:val="1"/>
      <w:numFmt w:val="bullet"/>
      <w:lvlText w:val=""/>
      <w:lvlJc w:val="left"/>
      <w:pPr>
        <w:ind w:left="5040" w:hanging="360"/>
      </w:pPr>
      <w:rPr>
        <w:rFonts w:ascii="Symbol" w:hAnsi="Symbol" w:hint="default"/>
      </w:rPr>
    </w:lvl>
    <w:lvl w:ilvl="7" w:tplc="454002B8" w:tentative="1">
      <w:start w:val="1"/>
      <w:numFmt w:val="bullet"/>
      <w:lvlText w:val="o"/>
      <w:lvlJc w:val="left"/>
      <w:pPr>
        <w:ind w:left="5760" w:hanging="360"/>
      </w:pPr>
      <w:rPr>
        <w:rFonts w:ascii="Courier New" w:hAnsi="Courier New" w:cs="Courier New" w:hint="default"/>
      </w:rPr>
    </w:lvl>
    <w:lvl w:ilvl="8" w:tplc="CA20C3E0" w:tentative="1">
      <w:start w:val="1"/>
      <w:numFmt w:val="bullet"/>
      <w:lvlText w:val=""/>
      <w:lvlJc w:val="left"/>
      <w:pPr>
        <w:ind w:left="6480" w:hanging="360"/>
      </w:pPr>
      <w:rPr>
        <w:rFonts w:ascii="Wingdings" w:hAnsi="Wingdings" w:hint="default"/>
      </w:rPr>
    </w:lvl>
  </w:abstractNum>
  <w:abstractNum w:abstractNumId="15" w15:restartNumberingAfterBreak="0">
    <w:nsid w:val="2EBF0318"/>
    <w:multiLevelType w:val="hybridMultilevel"/>
    <w:tmpl w:val="55AE56F8"/>
    <w:lvl w:ilvl="0" w:tplc="13F879D8">
      <w:start w:val="1"/>
      <w:numFmt w:val="bullet"/>
      <w:lvlText w:val=""/>
      <w:lvlJc w:val="left"/>
      <w:pPr>
        <w:ind w:left="720" w:hanging="360"/>
      </w:pPr>
      <w:rPr>
        <w:rFonts w:ascii="Symbol" w:hAnsi="Symbol" w:hint="default"/>
      </w:rPr>
    </w:lvl>
    <w:lvl w:ilvl="1" w:tplc="D524685C" w:tentative="1">
      <w:start w:val="1"/>
      <w:numFmt w:val="bullet"/>
      <w:lvlText w:val="o"/>
      <w:lvlJc w:val="left"/>
      <w:pPr>
        <w:ind w:left="1440" w:hanging="360"/>
      </w:pPr>
      <w:rPr>
        <w:rFonts w:ascii="Courier New" w:hAnsi="Courier New" w:cs="Courier New" w:hint="default"/>
      </w:rPr>
    </w:lvl>
    <w:lvl w:ilvl="2" w:tplc="0AC68D12" w:tentative="1">
      <w:start w:val="1"/>
      <w:numFmt w:val="bullet"/>
      <w:lvlText w:val=""/>
      <w:lvlJc w:val="left"/>
      <w:pPr>
        <w:ind w:left="2160" w:hanging="360"/>
      </w:pPr>
      <w:rPr>
        <w:rFonts w:ascii="Wingdings" w:hAnsi="Wingdings" w:hint="default"/>
      </w:rPr>
    </w:lvl>
    <w:lvl w:ilvl="3" w:tplc="7190FAF4" w:tentative="1">
      <w:start w:val="1"/>
      <w:numFmt w:val="bullet"/>
      <w:lvlText w:val=""/>
      <w:lvlJc w:val="left"/>
      <w:pPr>
        <w:ind w:left="2880" w:hanging="360"/>
      </w:pPr>
      <w:rPr>
        <w:rFonts w:ascii="Symbol" w:hAnsi="Symbol" w:hint="default"/>
      </w:rPr>
    </w:lvl>
    <w:lvl w:ilvl="4" w:tplc="15E2E4C4" w:tentative="1">
      <w:start w:val="1"/>
      <w:numFmt w:val="bullet"/>
      <w:lvlText w:val="o"/>
      <w:lvlJc w:val="left"/>
      <w:pPr>
        <w:ind w:left="3600" w:hanging="360"/>
      </w:pPr>
      <w:rPr>
        <w:rFonts w:ascii="Courier New" w:hAnsi="Courier New" w:cs="Courier New" w:hint="default"/>
      </w:rPr>
    </w:lvl>
    <w:lvl w:ilvl="5" w:tplc="B9DEF7F0" w:tentative="1">
      <w:start w:val="1"/>
      <w:numFmt w:val="bullet"/>
      <w:lvlText w:val=""/>
      <w:lvlJc w:val="left"/>
      <w:pPr>
        <w:ind w:left="4320" w:hanging="360"/>
      </w:pPr>
      <w:rPr>
        <w:rFonts w:ascii="Wingdings" w:hAnsi="Wingdings" w:hint="default"/>
      </w:rPr>
    </w:lvl>
    <w:lvl w:ilvl="6" w:tplc="40929E7E" w:tentative="1">
      <w:start w:val="1"/>
      <w:numFmt w:val="bullet"/>
      <w:lvlText w:val=""/>
      <w:lvlJc w:val="left"/>
      <w:pPr>
        <w:ind w:left="5040" w:hanging="360"/>
      </w:pPr>
      <w:rPr>
        <w:rFonts w:ascii="Symbol" w:hAnsi="Symbol" w:hint="default"/>
      </w:rPr>
    </w:lvl>
    <w:lvl w:ilvl="7" w:tplc="E836188E" w:tentative="1">
      <w:start w:val="1"/>
      <w:numFmt w:val="bullet"/>
      <w:lvlText w:val="o"/>
      <w:lvlJc w:val="left"/>
      <w:pPr>
        <w:ind w:left="5760" w:hanging="360"/>
      </w:pPr>
      <w:rPr>
        <w:rFonts w:ascii="Courier New" w:hAnsi="Courier New" w:cs="Courier New" w:hint="default"/>
      </w:rPr>
    </w:lvl>
    <w:lvl w:ilvl="8" w:tplc="70F019A4" w:tentative="1">
      <w:start w:val="1"/>
      <w:numFmt w:val="bullet"/>
      <w:lvlText w:val=""/>
      <w:lvlJc w:val="left"/>
      <w:pPr>
        <w:ind w:left="6480" w:hanging="360"/>
      </w:pPr>
      <w:rPr>
        <w:rFonts w:ascii="Wingdings" w:hAnsi="Wingdings" w:hint="default"/>
      </w:rPr>
    </w:lvl>
  </w:abstractNum>
  <w:abstractNum w:abstractNumId="16" w15:restartNumberingAfterBreak="0">
    <w:nsid w:val="2ED55339"/>
    <w:multiLevelType w:val="hybridMultilevel"/>
    <w:tmpl w:val="D9E81AB0"/>
    <w:lvl w:ilvl="0" w:tplc="4E300FD0">
      <w:start w:val="1"/>
      <w:numFmt w:val="upperLetter"/>
      <w:lvlText w:val="%1."/>
      <w:lvlJc w:val="left"/>
      <w:pPr>
        <w:ind w:left="10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B78C322">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72860848">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B604322">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558844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E9E3228">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B1C8C63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BC2012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B12E77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42C34B9"/>
    <w:multiLevelType w:val="hybridMultilevel"/>
    <w:tmpl w:val="2B526D54"/>
    <w:lvl w:ilvl="0" w:tplc="C3869F7E">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5BEC85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782EA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09C3AE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6452C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54B60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F864B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F6C39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107AE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4D2129B"/>
    <w:multiLevelType w:val="hybridMultilevel"/>
    <w:tmpl w:val="7578F1F8"/>
    <w:lvl w:ilvl="0" w:tplc="F4A86FC6">
      <w:start w:val="1"/>
      <w:numFmt w:val="bullet"/>
      <w:lvlText w:val=""/>
      <w:lvlJc w:val="left"/>
      <w:pPr>
        <w:ind w:left="54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89A28D08">
      <w:start w:val="1"/>
      <w:numFmt w:val="bullet"/>
      <w:lvlText w:val="o"/>
      <w:lvlJc w:val="left"/>
      <w:pPr>
        <w:ind w:left="1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4CACFA2">
      <w:start w:val="1"/>
      <w:numFmt w:val="bullet"/>
      <w:lvlText w:val="▪"/>
      <w:lvlJc w:val="left"/>
      <w:pPr>
        <w:ind w:left="18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0CC788">
      <w:start w:val="1"/>
      <w:numFmt w:val="bullet"/>
      <w:lvlText w:val="•"/>
      <w:lvlJc w:val="left"/>
      <w:pPr>
        <w:ind w:left="2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BC5576">
      <w:start w:val="1"/>
      <w:numFmt w:val="bullet"/>
      <w:lvlText w:val="o"/>
      <w:lvlJc w:val="left"/>
      <w:pPr>
        <w:ind w:left="3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94DDF0">
      <w:start w:val="1"/>
      <w:numFmt w:val="bullet"/>
      <w:lvlText w:val="▪"/>
      <w:lvlJc w:val="left"/>
      <w:pPr>
        <w:ind w:left="39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329058">
      <w:start w:val="1"/>
      <w:numFmt w:val="bullet"/>
      <w:lvlText w:val="•"/>
      <w:lvlJc w:val="left"/>
      <w:pPr>
        <w:ind w:left="4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6CED92">
      <w:start w:val="1"/>
      <w:numFmt w:val="bullet"/>
      <w:lvlText w:val="o"/>
      <w:lvlJc w:val="left"/>
      <w:pPr>
        <w:ind w:left="5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7ED6C2">
      <w:start w:val="1"/>
      <w:numFmt w:val="bullet"/>
      <w:lvlText w:val="▪"/>
      <w:lvlJc w:val="left"/>
      <w:pPr>
        <w:ind w:left="61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7F97817"/>
    <w:multiLevelType w:val="hybridMultilevel"/>
    <w:tmpl w:val="A0545E7A"/>
    <w:lvl w:ilvl="0" w:tplc="025AA6DC">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E47C6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427DC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8CDD4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28DB6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0E40A6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0A23F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16163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44DA5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DD26448"/>
    <w:multiLevelType w:val="hybridMultilevel"/>
    <w:tmpl w:val="CDACD612"/>
    <w:lvl w:ilvl="0" w:tplc="10340E02">
      <w:start w:val="2"/>
      <w:numFmt w:val="upperLetter"/>
      <w:lvlText w:val="%1."/>
      <w:lvlJc w:val="left"/>
      <w:pPr>
        <w:ind w:left="5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40A5186">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B7C0EFC">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2D05A3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3CE1788">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F3A287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D4A1E30">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72EC432">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77A4190">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FFF5320"/>
    <w:multiLevelType w:val="hybridMultilevel"/>
    <w:tmpl w:val="7AFA6A04"/>
    <w:lvl w:ilvl="0" w:tplc="D452020E">
      <w:start w:val="1"/>
      <w:numFmt w:val="bullet"/>
      <w:lvlText w:val=""/>
      <w:lvlJc w:val="left"/>
      <w:pPr>
        <w:ind w:left="107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E406D10">
      <w:start w:val="1"/>
      <w:numFmt w:val="bullet"/>
      <w:lvlText w:val="o"/>
      <w:lvlJc w:val="left"/>
      <w:pPr>
        <w:ind w:left="16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D40E66">
      <w:start w:val="1"/>
      <w:numFmt w:val="bullet"/>
      <w:lvlText w:val="▪"/>
      <w:lvlJc w:val="left"/>
      <w:pPr>
        <w:ind w:left="23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82687E">
      <w:start w:val="1"/>
      <w:numFmt w:val="bullet"/>
      <w:lvlText w:val="•"/>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D2C2CC">
      <w:start w:val="1"/>
      <w:numFmt w:val="bullet"/>
      <w:lvlText w:val="o"/>
      <w:lvlJc w:val="left"/>
      <w:pPr>
        <w:ind w:left="3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3016E0">
      <w:start w:val="1"/>
      <w:numFmt w:val="bullet"/>
      <w:lvlText w:val="▪"/>
      <w:lvlJc w:val="left"/>
      <w:pPr>
        <w:ind w:left="4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7E4088">
      <w:start w:val="1"/>
      <w:numFmt w:val="bullet"/>
      <w:lvlText w:val="•"/>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BA268C">
      <w:start w:val="1"/>
      <w:numFmt w:val="bullet"/>
      <w:lvlText w:val="o"/>
      <w:lvlJc w:val="left"/>
      <w:pPr>
        <w:ind w:left="5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442BEE">
      <w:start w:val="1"/>
      <w:numFmt w:val="bullet"/>
      <w:lvlText w:val="▪"/>
      <w:lvlJc w:val="left"/>
      <w:pPr>
        <w:ind w:left="66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B8A368E"/>
    <w:multiLevelType w:val="hybridMultilevel"/>
    <w:tmpl w:val="60C035F6"/>
    <w:lvl w:ilvl="0" w:tplc="1E087898">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D2DF1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C45A4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52B11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549B4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B2066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1A8CC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6270A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A18884A">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C8B233B"/>
    <w:multiLevelType w:val="hybridMultilevel"/>
    <w:tmpl w:val="A4C0E1D2"/>
    <w:lvl w:ilvl="0" w:tplc="70DC0896">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29A6A40">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B68FF02">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80ED86">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58CBFC">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784BD2">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48E0FA">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EEECD4">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0CB18E">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ECE749F"/>
    <w:multiLevelType w:val="hybridMultilevel"/>
    <w:tmpl w:val="057CA942"/>
    <w:lvl w:ilvl="0" w:tplc="DF2A05C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28AFD60" w:tentative="1">
      <w:start w:val="1"/>
      <w:numFmt w:val="bullet"/>
      <w:lvlText w:val="o"/>
      <w:lvlJc w:val="left"/>
      <w:pPr>
        <w:ind w:left="1440" w:hanging="360"/>
      </w:pPr>
      <w:rPr>
        <w:rFonts w:ascii="Courier New" w:hAnsi="Courier New" w:cs="Courier New" w:hint="default"/>
      </w:rPr>
    </w:lvl>
    <w:lvl w:ilvl="2" w:tplc="D0223E84" w:tentative="1">
      <w:start w:val="1"/>
      <w:numFmt w:val="bullet"/>
      <w:lvlText w:val=""/>
      <w:lvlJc w:val="left"/>
      <w:pPr>
        <w:ind w:left="2160" w:hanging="360"/>
      </w:pPr>
      <w:rPr>
        <w:rFonts w:ascii="Wingdings" w:hAnsi="Wingdings" w:hint="default"/>
      </w:rPr>
    </w:lvl>
    <w:lvl w:ilvl="3" w:tplc="A816D408" w:tentative="1">
      <w:start w:val="1"/>
      <w:numFmt w:val="bullet"/>
      <w:lvlText w:val=""/>
      <w:lvlJc w:val="left"/>
      <w:pPr>
        <w:ind w:left="2880" w:hanging="360"/>
      </w:pPr>
      <w:rPr>
        <w:rFonts w:ascii="Symbol" w:hAnsi="Symbol" w:hint="default"/>
      </w:rPr>
    </w:lvl>
    <w:lvl w:ilvl="4" w:tplc="CF8496DE" w:tentative="1">
      <w:start w:val="1"/>
      <w:numFmt w:val="bullet"/>
      <w:lvlText w:val="o"/>
      <w:lvlJc w:val="left"/>
      <w:pPr>
        <w:ind w:left="3600" w:hanging="360"/>
      </w:pPr>
      <w:rPr>
        <w:rFonts w:ascii="Courier New" w:hAnsi="Courier New" w:cs="Courier New" w:hint="default"/>
      </w:rPr>
    </w:lvl>
    <w:lvl w:ilvl="5" w:tplc="28827BE0" w:tentative="1">
      <w:start w:val="1"/>
      <w:numFmt w:val="bullet"/>
      <w:lvlText w:val=""/>
      <w:lvlJc w:val="left"/>
      <w:pPr>
        <w:ind w:left="4320" w:hanging="360"/>
      </w:pPr>
      <w:rPr>
        <w:rFonts w:ascii="Wingdings" w:hAnsi="Wingdings" w:hint="default"/>
      </w:rPr>
    </w:lvl>
    <w:lvl w:ilvl="6" w:tplc="D4F0B472" w:tentative="1">
      <w:start w:val="1"/>
      <w:numFmt w:val="bullet"/>
      <w:lvlText w:val=""/>
      <w:lvlJc w:val="left"/>
      <w:pPr>
        <w:ind w:left="5040" w:hanging="360"/>
      </w:pPr>
      <w:rPr>
        <w:rFonts w:ascii="Symbol" w:hAnsi="Symbol" w:hint="default"/>
      </w:rPr>
    </w:lvl>
    <w:lvl w:ilvl="7" w:tplc="24BCC08A" w:tentative="1">
      <w:start w:val="1"/>
      <w:numFmt w:val="bullet"/>
      <w:lvlText w:val="o"/>
      <w:lvlJc w:val="left"/>
      <w:pPr>
        <w:ind w:left="5760" w:hanging="360"/>
      </w:pPr>
      <w:rPr>
        <w:rFonts w:ascii="Courier New" w:hAnsi="Courier New" w:cs="Courier New" w:hint="default"/>
      </w:rPr>
    </w:lvl>
    <w:lvl w:ilvl="8" w:tplc="296ECA88" w:tentative="1">
      <w:start w:val="1"/>
      <w:numFmt w:val="bullet"/>
      <w:lvlText w:val=""/>
      <w:lvlJc w:val="left"/>
      <w:pPr>
        <w:ind w:left="6480" w:hanging="360"/>
      </w:pPr>
      <w:rPr>
        <w:rFonts w:ascii="Wingdings" w:hAnsi="Wingdings" w:hint="default"/>
      </w:rPr>
    </w:lvl>
  </w:abstractNum>
  <w:abstractNum w:abstractNumId="25" w15:restartNumberingAfterBreak="0">
    <w:nsid w:val="5714582D"/>
    <w:multiLevelType w:val="hybridMultilevel"/>
    <w:tmpl w:val="16564F76"/>
    <w:lvl w:ilvl="0" w:tplc="8500E524">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1" w:tplc="4328CF3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2" w:tplc="49DE252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3" w:tplc="C7E4E82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4" w:tplc="B3F07A4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5" w:tplc="66A2E8A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6" w:tplc="4378B74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7" w:tplc="C8A4E6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lvl w:ilvl="8" w:tplc="4430307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C0C0C0"/>
        <w:vertAlign w:val="baseline"/>
      </w:rPr>
    </w:lvl>
  </w:abstractNum>
  <w:abstractNum w:abstractNumId="26" w15:restartNumberingAfterBreak="0">
    <w:nsid w:val="5E74417B"/>
    <w:multiLevelType w:val="hybridMultilevel"/>
    <w:tmpl w:val="CD88848E"/>
    <w:lvl w:ilvl="0" w:tplc="A2844EC8">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30CEFA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18AEC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77686C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927E6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D4271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A74341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F0E7E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B60D0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E8029F5"/>
    <w:multiLevelType w:val="hybridMultilevel"/>
    <w:tmpl w:val="3A483730"/>
    <w:lvl w:ilvl="0" w:tplc="D99CB148">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8EECDA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102B7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D03B7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42FD6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4EE60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AAC0D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F64E5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954B07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3A63118"/>
    <w:multiLevelType w:val="hybridMultilevel"/>
    <w:tmpl w:val="3A7AA34E"/>
    <w:lvl w:ilvl="0" w:tplc="CC3800D2">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F82B7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743ED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78F09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A0532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2D0A5B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F2B88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50216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3447E4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3EE5A75"/>
    <w:multiLevelType w:val="hybridMultilevel"/>
    <w:tmpl w:val="1FA450AC"/>
    <w:lvl w:ilvl="0" w:tplc="2DA8F35E">
      <w:start w:val="1"/>
      <w:numFmt w:val="bullet"/>
      <w:lvlText w:val="•"/>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F8D61C">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260EC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689D9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C26B0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A60C0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2C616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E8EB0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22764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691030B"/>
    <w:multiLevelType w:val="hybridMultilevel"/>
    <w:tmpl w:val="2936879C"/>
    <w:lvl w:ilvl="0" w:tplc="9CBA1A16">
      <w:start w:val="1"/>
      <w:numFmt w:val="decimal"/>
      <w:lvlText w:val="%1"/>
      <w:lvlJc w:val="left"/>
      <w:pPr>
        <w:ind w:left="720" w:hanging="360"/>
      </w:pPr>
      <w:rPr>
        <w:rFonts w:hint="default"/>
        <w:vertAlign w:val="superscript"/>
      </w:rPr>
    </w:lvl>
    <w:lvl w:ilvl="1" w:tplc="08E6AD1C" w:tentative="1">
      <w:start w:val="1"/>
      <w:numFmt w:val="lowerLetter"/>
      <w:lvlText w:val="%2."/>
      <w:lvlJc w:val="left"/>
      <w:pPr>
        <w:ind w:left="1440" w:hanging="360"/>
      </w:pPr>
    </w:lvl>
    <w:lvl w:ilvl="2" w:tplc="BEAC6A74" w:tentative="1">
      <w:start w:val="1"/>
      <w:numFmt w:val="lowerRoman"/>
      <w:lvlText w:val="%3."/>
      <w:lvlJc w:val="right"/>
      <w:pPr>
        <w:ind w:left="2160" w:hanging="180"/>
      </w:pPr>
    </w:lvl>
    <w:lvl w:ilvl="3" w:tplc="63285ACC" w:tentative="1">
      <w:start w:val="1"/>
      <w:numFmt w:val="decimal"/>
      <w:lvlText w:val="%4."/>
      <w:lvlJc w:val="left"/>
      <w:pPr>
        <w:ind w:left="2880" w:hanging="360"/>
      </w:pPr>
    </w:lvl>
    <w:lvl w:ilvl="4" w:tplc="D73A5D34" w:tentative="1">
      <w:start w:val="1"/>
      <w:numFmt w:val="lowerLetter"/>
      <w:lvlText w:val="%5."/>
      <w:lvlJc w:val="left"/>
      <w:pPr>
        <w:ind w:left="3600" w:hanging="360"/>
      </w:pPr>
    </w:lvl>
    <w:lvl w:ilvl="5" w:tplc="15EC76A0" w:tentative="1">
      <w:start w:val="1"/>
      <w:numFmt w:val="lowerRoman"/>
      <w:lvlText w:val="%6."/>
      <w:lvlJc w:val="right"/>
      <w:pPr>
        <w:ind w:left="4320" w:hanging="180"/>
      </w:pPr>
    </w:lvl>
    <w:lvl w:ilvl="6" w:tplc="55E8165C" w:tentative="1">
      <w:start w:val="1"/>
      <w:numFmt w:val="decimal"/>
      <w:lvlText w:val="%7."/>
      <w:lvlJc w:val="left"/>
      <w:pPr>
        <w:ind w:left="5040" w:hanging="360"/>
      </w:pPr>
    </w:lvl>
    <w:lvl w:ilvl="7" w:tplc="394A438E" w:tentative="1">
      <w:start w:val="1"/>
      <w:numFmt w:val="lowerLetter"/>
      <w:lvlText w:val="%8."/>
      <w:lvlJc w:val="left"/>
      <w:pPr>
        <w:ind w:left="5760" w:hanging="360"/>
      </w:pPr>
    </w:lvl>
    <w:lvl w:ilvl="8" w:tplc="FCDAD174" w:tentative="1">
      <w:start w:val="1"/>
      <w:numFmt w:val="lowerRoman"/>
      <w:lvlText w:val="%9."/>
      <w:lvlJc w:val="right"/>
      <w:pPr>
        <w:ind w:left="6480" w:hanging="180"/>
      </w:pPr>
    </w:lvl>
  </w:abstractNum>
  <w:abstractNum w:abstractNumId="31" w15:restartNumberingAfterBreak="0">
    <w:nsid w:val="69966C3D"/>
    <w:multiLevelType w:val="hybridMultilevel"/>
    <w:tmpl w:val="207EE352"/>
    <w:lvl w:ilvl="0" w:tplc="448E4ABE">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A8A8D9B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8A60B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82526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503F5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D40B7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6CACB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DC587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FA271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9BC0E91"/>
    <w:multiLevelType w:val="hybridMultilevel"/>
    <w:tmpl w:val="E45AE6B8"/>
    <w:lvl w:ilvl="0" w:tplc="4DC4AB6C">
      <w:start w:val="6"/>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D4C82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92C75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C4D85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28706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22058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A6C29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D69DB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A5EFAA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A767BF5"/>
    <w:multiLevelType w:val="hybridMultilevel"/>
    <w:tmpl w:val="E452B344"/>
    <w:lvl w:ilvl="0" w:tplc="29BECA02">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4D621DB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E8424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C62B5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625AA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88E5FA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28D9E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5445D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B6AB6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BEF70AB"/>
    <w:multiLevelType w:val="hybridMultilevel"/>
    <w:tmpl w:val="52B09EFC"/>
    <w:lvl w:ilvl="0" w:tplc="EDB27878">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71A2EB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80630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6A3BB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88FB7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3AEE7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C4FA5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AA22F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A2AFB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C91334D"/>
    <w:multiLevelType w:val="hybridMultilevel"/>
    <w:tmpl w:val="E766E02E"/>
    <w:lvl w:ilvl="0" w:tplc="59D496B2">
      <w:start w:val="3"/>
      <w:numFmt w:val="decimal"/>
      <w:lvlText w:val="%1."/>
      <w:lvlJc w:val="left"/>
      <w:pPr>
        <w:ind w:left="926" w:hanging="360"/>
      </w:pPr>
      <w:rPr>
        <w:rFonts w:hint="default"/>
      </w:rPr>
    </w:lvl>
    <w:lvl w:ilvl="1" w:tplc="9C4699A4" w:tentative="1">
      <w:start w:val="1"/>
      <w:numFmt w:val="lowerLetter"/>
      <w:lvlText w:val="%2."/>
      <w:lvlJc w:val="left"/>
      <w:pPr>
        <w:ind w:left="1646" w:hanging="360"/>
      </w:pPr>
    </w:lvl>
    <w:lvl w:ilvl="2" w:tplc="907C87A4" w:tentative="1">
      <w:start w:val="1"/>
      <w:numFmt w:val="lowerRoman"/>
      <w:lvlText w:val="%3."/>
      <w:lvlJc w:val="right"/>
      <w:pPr>
        <w:ind w:left="2366" w:hanging="180"/>
      </w:pPr>
    </w:lvl>
    <w:lvl w:ilvl="3" w:tplc="1DB8877A" w:tentative="1">
      <w:start w:val="1"/>
      <w:numFmt w:val="decimal"/>
      <w:lvlText w:val="%4."/>
      <w:lvlJc w:val="left"/>
      <w:pPr>
        <w:ind w:left="3086" w:hanging="360"/>
      </w:pPr>
    </w:lvl>
    <w:lvl w:ilvl="4" w:tplc="C8F857DA" w:tentative="1">
      <w:start w:val="1"/>
      <w:numFmt w:val="lowerLetter"/>
      <w:lvlText w:val="%5."/>
      <w:lvlJc w:val="left"/>
      <w:pPr>
        <w:ind w:left="3806" w:hanging="360"/>
      </w:pPr>
    </w:lvl>
    <w:lvl w:ilvl="5" w:tplc="CEC29BF8" w:tentative="1">
      <w:start w:val="1"/>
      <w:numFmt w:val="lowerRoman"/>
      <w:lvlText w:val="%6."/>
      <w:lvlJc w:val="right"/>
      <w:pPr>
        <w:ind w:left="4526" w:hanging="180"/>
      </w:pPr>
    </w:lvl>
    <w:lvl w:ilvl="6" w:tplc="084EE242" w:tentative="1">
      <w:start w:val="1"/>
      <w:numFmt w:val="decimal"/>
      <w:lvlText w:val="%7."/>
      <w:lvlJc w:val="left"/>
      <w:pPr>
        <w:ind w:left="5246" w:hanging="360"/>
      </w:pPr>
    </w:lvl>
    <w:lvl w:ilvl="7" w:tplc="A46AEEA0" w:tentative="1">
      <w:start w:val="1"/>
      <w:numFmt w:val="lowerLetter"/>
      <w:lvlText w:val="%8."/>
      <w:lvlJc w:val="left"/>
      <w:pPr>
        <w:ind w:left="5966" w:hanging="360"/>
      </w:pPr>
    </w:lvl>
    <w:lvl w:ilvl="8" w:tplc="2FA67EA2" w:tentative="1">
      <w:start w:val="1"/>
      <w:numFmt w:val="lowerRoman"/>
      <w:lvlText w:val="%9."/>
      <w:lvlJc w:val="right"/>
      <w:pPr>
        <w:ind w:left="6686" w:hanging="180"/>
      </w:pPr>
    </w:lvl>
  </w:abstractNum>
  <w:abstractNum w:abstractNumId="36" w15:restartNumberingAfterBreak="0">
    <w:nsid w:val="6E7A0253"/>
    <w:multiLevelType w:val="hybridMultilevel"/>
    <w:tmpl w:val="B24C8748"/>
    <w:lvl w:ilvl="0" w:tplc="7310CA76">
      <w:start w:val="1"/>
      <w:numFmt w:val="bullet"/>
      <w:lvlText w:val=""/>
      <w:lvlPicBulletId w:val="0"/>
      <w:lvlJc w:val="left"/>
      <w:pPr>
        <w:ind w:left="720" w:hanging="360"/>
      </w:pPr>
      <w:rPr>
        <w:rFonts w:ascii="Symbol" w:hAnsi="Symbol" w:hint="default"/>
      </w:rPr>
    </w:lvl>
    <w:lvl w:ilvl="1" w:tplc="8506C394" w:tentative="1">
      <w:start w:val="1"/>
      <w:numFmt w:val="bullet"/>
      <w:lvlText w:val="o"/>
      <w:lvlJc w:val="left"/>
      <w:pPr>
        <w:ind w:left="1440" w:hanging="360"/>
      </w:pPr>
      <w:rPr>
        <w:rFonts w:ascii="Courier New" w:hAnsi="Courier New" w:cs="Courier New" w:hint="default"/>
      </w:rPr>
    </w:lvl>
    <w:lvl w:ilvl="2" w:tplc="84F4E8EA" w:tentative="1">
      <w:start w:val="1"/>
      <w:numFmt w:val="bullet"/>
      <w:lvlText w:val=""/>
      <w:lvlJc w:val="left"/>
      <w:pPr>
        <w:ind w:left="2160" w:hanging="360"/>
      </w:pPr>
      <w:rPr>
        <w:rFonts w:ascii="Wingdings" w:hAnsi="Wingdings" w:hint="default"/>
      </w:rPr>
    </w:lvl>
    <w:lvl w:ilvl="3" w:tplc="08BEE366" w:tentative="1">
      <w:start w:val="1"/>
      <w:numFmt w:val="bullet"/>
      <w:lvlText w:val=""/>
      <w:lvlJc w:val="left"/>
      <w:pPr>
        <w:ind w:left="2880" w:hanging="360"/>
      </w:pPr>
      <w:rPr>
        <w:rFonts w:ascii="Symbol" w:hAnsi="Symbol" w:hint="default"/>
      </w:rPr>
    </w:lvl>
    <w:lvl w:ilvl="4" w:tplc="561E4476" w:tentative="1">
      <w:start w:val="1"/>
      <w:numFmt w:val="bullet"/>
      <w:lvlText w:val="o"/>
      <w:lvlJc w:val="left"/>
      <w:pPr>
        <w:ind w:left="3600" w:hanging="360"/>
      </w:pPr>
      <w:rPr>
        <w:rFonts w:ascii="Courier New" w:hAnsi="Courier New" w:cs="Courier New" w:hint="default"/>
      </w:rPr>
    </w:lvl>
    <w:lvl w:ilvl="5" w:tplc="BFBE4E88" w:tentative="1">
      <w:start w:val="1"/>
      <w:numFmt w:val="bullet"/>
      <w:lvlText w:val=""/>
      <w:lvlJc w:val="left"/>
      <w:pPr>
        <w:ind w:left="4320" w:hanging="360"/>
      </w:pPr>
      <w:rPr>
        <w:rFonts w:ascii="Wingdings" w:hAnsi="Wingdings" w:hint="default"/>
      </w:rPr>
    </w:lvl>
    <w:lvl w:ilvl="6" w:tplc="2822082E" w:tentative="1">
      <w:start w:val="1"/>
      <w:numFmt w:val="bullet"/>
      <w:lvlText w:val=""/>
      <w:lvlJc w:val="left"/>
      <w:pPr>
        <w:ind w:left="5040" w:hanging="360"/>
      </w:pPr>
      <w:rPr>
        <w:rFonts w:ascii="Symbol" w:hAnsi="Symbol" w:hint="default"/>
      </w:rPr>
    </w:lvl>
    <w:lvl w:ilvl="7" w:tplc="4F8E5164" w:tentative="1">
      <w:start w:val="1"/>
      <w:numFmt w:val="bullet"/>
      <w:lvlText w:val="o"/>
      <w:lvlJc w:val="left"/>
      <w:pPr>
        <w:ind w:left="5760" w:hanging="360"/>
      </w:pPr>
      <w:rPr>
        <w:rFonts w:ascii="Courier New" w:hAnsi="Courier New" w:cs="Courier New" w:hint="default"/>
      </w:rPr>
    </w:lvl>
    <w:lvl w:ilvl="8" w:tplc="C9A2C6C4" w:tentative="1">
      <w:start w:val="1"/>
      <w:numFmt w:val="bullet"/>
      <w:lvlText w:val=""/>
      <w:lvlJc w:val="left"/>
      <w:pPr>
        <w:ind w:left="6480" w:hanging="360"/>
      </w:pPr>
      <w:rPr>
        <w:rFonts w:ascii="Wingdings" w:hAnsi="Wingdings" w:hint="default"/>
      </w:rPr>
    </w:lvl>
  </w:abstractNum>
  <w:abstractNum w:abstractNumId="37" w15:restartNumberingAfterBreak="0">
    <w:nsid w:val="74F9524C"/>
    <w:multiLevelType w:val="singleLevel"/>
    <w:tmpl w:val="745A37E6"/>
    <w:lvl w:ilvl="0">
      <w:start w:val="1"/>
      <w:numFmt w:val="bullet"/>
      <w:lvlText w:val=""/>
      <w:lvlJc w:val="left"/>
      <w:pPr>
        <w:tabs>
          <w:tab w:val="num" w:pos="357"/>
        </w:tabs>
        <w:ind w:left="357" w:hanging="357"/>
      </w:pPr>
      <w:rPr>
        <w:rFonts w:ascii="Symbol" w:hAnsi="Symbol" w:hint="default"/>
      </w:rPr>
    </w:lvl>
  </w:abstractNum>
  <w:abstractNum w:abstractNumId="38" w15:restartNumberingAfterBreak="0">
    <w:nsid w:val="775002E4"/>
    <w:multiLevelType w:val="hybridMultilevel"/>
    <w:tmpl w:val="0FF6C7AA"/>
    <w:lvl w:ilvl="0" w:tplc="7A36D9B8">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1D2F6B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DC6A5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7463E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540D19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64408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1414B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BECD0F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E6104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B4F5001"/>
    <w:multiLevelType w:val="hybridMultilevel"/>
    <w:tmpl w:val="D750D522"/>
    <w:lvl w:ilvl="0" w:tplc="660EB2E6">
      <w:start w:val="2"/>
      <w:numFmt w:val="upperLetter"/>
      <w:lvlText w:val="%1."/>
      <w:lvlJc w:val="left"/>
      <w:pPr>
        <w:ind w:left="927" w:hanging="360"/>
      </w:pPr>
      <w:rPr>
        <w:rFonts w:hint="default"/>
        <w:b/>
      </w:rPr>
    </w:lvl>
    <w:lvl w:ilvl="1" w:tplc="AC689954" w:tentative="1">
      <w:start w:val="1"/>
      <w:numFmt w:val="lowerLetter"/>
      <w:lvlText w:val="%2."/>
      <w:lvlJc w:val="left"/>
      <w:pPr>
        <w:ind w:left="1647" w:hanging="360"/>
      </w:pPr>
    </w:lvl>
    <w:lvl w:ilvl="2" w:tplc="B2D06E40" w:tentative="1">
      <w:start w:val="1"/>
      <w:numFmt w:val="lowerRoman"/>
      <w:lvlText w:val="%3."/>
      <w:lvlJc w:val="right"/>
      <w:pPr>
        <w:ind w:left="2367" w:hanging="180"/>
      </w:pPr>
    </w:lvl>
    <w:lvl w:ilvl="3" w:tplc="FCF03E32" w:tentative="1">
      <w:start w:val="1"/>
      <w:numFmt w:val="decimal"/>
      <w:lvlText w:val="%4."/>
      <w:lvlJc w:val="left"/>
      <w:pPr>
        <w:ind w:left="3087" w:hanging="360"/>
      </w:pPr>
    </w:lvl>
    <w:lvl w:ilvl="4" w:tplc="6EEE39FE" w:tentative="1">
      <w:start w:val="1"/>
      <w:numFmt w:val="lowerLetter"/>
      <w:lvlText w:val="%5."/>
      <w:lvlJc w:val="left"/>
      <w:pPr>
        <w:ind w:left="3807" w:hanging="360"/>
      </w:pPr>
    </w:lvl>
    <w:lvl w:ilvl="5" w:tplc="1D42DB52" w:tentative="1">
      <w:start w:val="1"/>
      <w:numFmt w:val="lowerRoman"/>
      <w:lvlText w:val="%6."/>
      <w:lvlJc w:val="right"/>
      <w:pPr>
        <w:ind w:left="4527" w:hanging="180"/>
      </w:pPr>
    </w:lvl>
    <w:lvl w:ilvl="6" w:tplc="7E947946" w:tentative="1">
      <w:start w:val="1"/>
      <w:numFmt w:val="decimal"/>
      <w:lvlText w:val="%7."/>
      <w:lvlJc w:val="left"/>
      <w:pPr>
        <w:ind w:left="5247" w:hanging="360"/>
      </w:pPr>
    </w:lvl>
    <w:lvl w:ilvl="7" w:tplc="CEB6D782" w:tentative="1">
      <w:start w:val="1"/>
      <w:numFmt w:val="lowerLetter"/>
      <w:lvlText w:val="%8."/>
      <w:lvlJc w:val="left"/>
      <w:pPr>
        <w:ind w:left="5967" w:hanging="360"/>
      </w:pPr>
    </w:lvl>
    <w:lvl w:ilvl="8" w:tplc="3014EB62" w:tentative="1">
      <w:start w:val="1"/>
      <w:numFmt w:val="lowerRoman"/>
      <w:lvlText w:val="%9."/>
      <w:lvlJc w:val="right"/>
      <w:pPr>
        <w:ind w:left="6687" w:hanging="180"/>
      </w:pPr>
    </w:lvl>
  </w:abstractNum>
  <w:abstractNum w:abstractNumId="40" w15:restartNumberingAfterBreak="0">
    <w:nsid w:val="7DBE33C6"/>
    <w:multiLevelType w:val="hybridMultilevel"/>
    <w:tmpl w:val="E42C0BAA"/>
    <w:lvl w:ilvl="0" w:tplc="1ACA33B2">
      <w:numFmt w:val="bullet"/>
      <w:lvlText w:val=""/>
      <w:lvlJc w:val="left"/>
      <w:pPr>
        <w:ind w:left="720" w:hanging="360"/>
      </w:pPr>
      <w:rPr>
        <w:rFonts w:ascii="Symbol" w:eastAsiaTheme="minorHAnsi" w:hAnsi="Symbol" w:hint="default"/>
        <w:b w:val="0"/>
        <w:i w:val="0"/>
        <w:strike w:val="0"/>
        <w:dstrike w:val="0"/>
        <w:color w:val="000000"/>
        <w:sz w:val="22"/>
        <w:szCs w:val="22"/>
        <w:u w:val="none" w:color="000000"/>
        <w:vertAlign w:val="baseline"/>
      </w:rPr>
    </w:lvl>
    <w:lvl w:ilvl="1" w:tplc="8E98EABA" w:tentative="1">
      <w:start w:val="1"/>
      <w:numFmt w:val="bullet"/>
      <w:lvlText w:val="o"/>
      <w:lvlJc w:val="left"/>
      <w:pPr>
        <w:ind w:left="1440" w:hanging="360"/>
      </w:pPr>
      <w:rPr>
        <w:rFonts w:ascii="Courier New" w:hAnsi="Courier New" w:cs="Courier New" w:hint="default"/>
      </w:rPr>
    </w:lvl>
    <w:lvl w:ilvl="2" w:tplc="7BC221D4" w:tentative="1">
      <w:start w:val="1"/>
      <w:numFmt w:val="bullet"/>
      <w:lvlText w:val=""/>
      <w:lvlJc w:val="left"/>
      <w:pPr>
        <w:ind w:left="2160" w:hanging="360"/>
      </w:pPr>
      <w:rPr>
        <w:rFonts w:ascii="Wingdings" w:hAnsi="Wingdings" w:hint="default"/>
      </w:rPr>
    </w:lvl>
    <w:lvl w:ilvl="3" w:tplc="2CCCEA30" w:tentative="1">
      <w:start w:val="1"/>
      <w:numFmt w:val="bullet"/>
      <w:lvlText w:val=""/>
      <w:lvlJc w:val="left"/>
      <w:pPr>
        <w:ind w:left="2880" w:hanging="360"/>
      </w:pPr>
      <w:rPr>
        <w:rFonts w:ascii="Symbol" w:hAnsi="Symbol" w:hint="default"/>
      </w:rPr>
    </w:lvl>
    <w:lvl w:ilvl="4" w:tplc="C9347134" w:tentative="1">
      <w:start w:val="1"/>
      <w:numFmt w:val="bullet"/>
      <w:lvlText w:val="o"/>
      <w:lvlJc w:val="left"/>
      <w:pPr>
        <w:ind w:left="3600" w:hanging="360"/>
      </w:pPr>
      <w:rPr>
        <w:rFonts w:ascii="Courier New" w:hAnsi="Courier New" w:cs="Courier New" w:hint="default"/>
      </w:rPr>
    </w:lvl>
    <w:lvl w:ilvl="5" w:tplc="5BC8665A" w:tentative="1">
      <w:start w:val="1"/>
      <w:numFmt w:val="bullet"/>
      <w:lvlText w:val=""/>
      <w:lvlJc w:val="left"/>
      <w:pPr>
        <w:ind w:left="4320" w:hanging="360"/>
      </w:pPr>
      <w:rPr>
        <w:rFonts w:ascii="Wingdings" w:hAnsi="Wingdings" w:hint="default"/>
      </w:rPr>
    </w:lvl>
    <w:lvl w:ilvl="6" w:tplc="145C7A18" w:tentative="1">
      <w:start w:val="1"/>
      <w:numFmt w:val="bullet"/>
      <w:lvlText w:val=""/>
      <w:lvlJc w:val="left"/>
      <w:pPr>
        <w:ind w:left="5040" w:hanging="360"/>
      </w:pPr>
      <w:rPr>
        <w:rFonts w:ascii="Symbol" w:hAnsi="Symbol" w:hint="default"/>
      </w:rPr>
    </w:lvl>
    <w:lvl w:ilvl="7" w:tplc="6EA2AF2E" w:tentative="1">
      <w:start w:val="1"/>
      <w:numFmt w:val="bullet"/>
      <w:lvlText w:val="o"/>
      <w:lvlJc w:val="left"/>
      <w:pPr>
        <w:ind w:left="5760" w:hanging="360"/>
      </w:pPr>
      <w:rPr>
        <w:rFonts w:ascii="Courier New" w:hAnsi="Courier New" w:cs="Courier New" w:hint="default"/>
      </w:rPr>
    </w:lvl>
    <w:lvl w:ilvl="8" w:tplc="F8321856" w:tentative="1">
      <w:start w:val="1"/>
      <w:numFmt w:val="bullet"/>
      <w:lvlText w:val=""/>
      <w:lvlJc w:val="left"/>
      <w:pPr>
        <w:ind w:left="6480" w:hanging="360"/>
      </w:pPr>
      <w:rPr>
        <w:rFonts w:ascii="Wingdings" w:hAnsi="Wingdings" w:hint="default"/>
      </w:rPr>
    </w:lvl>
  </w:abstractNum>
  <w:num w:numId="1" w16cid:durableId="1538424759">
    <w:abstractNumId w:val="34"/>
  </w:num>
  <w:num w:numId="2" w16cid:durableId="714357084">
    <w:abstractNumId w:val="10"/>
  </w:num>
  <w:num w:numId="3" w16cid:durableId="461774997">
    <w:abstractNumId w:val="17"/>
  </w:num>
  <w:num w:numId="4" w16cid:durableId="891578412">
    <w:abstractNumId w:val="16"/>
  </w:num>
  <w:num w:numId="5" w16cid:durableId="1989705630">
    <w:abstractNumId w:val="20"/>
  </w:num>
  <w:num w:numId="6" w16cid:durableId="1477063785">
    <w:abstractNumId w:val="26"/>
  </w:num>
  <w:num w:numId="7" w16cid:durableId="701638146">
    <w:abstractNumId w:val="22"/>
  </w:num>
  <w:num w:numId="8" w16cid:durableId="248318184">
    <w:abstractNumId w:val="28"/>
  </w:num>
  <w:num w:numId="9" w16cid:durableId="500661227">
    <w:abstractNumId w:val="27"/>
  </w:num>
  <w:num w:numId="10" w16cid:durableId="813063609">
    <w:abstractNumId w:val="31"/>
  </w:num>
  <w:num w:numId="11" w16cid:durableId="1786924924">
    <w:abstractNumId w:val="7"/>
  </w:num>
  <w:num w:numId="12" w16cid:durableId="474224371">
    <w:abstractNumId w:val="33"/>
  </w:num>
  <w:num w:numId="13" w16cid:durableId="555431767">
    <w:abstractNumId w:val="12"/>
  </w:num>
  <w:num w:numId="14" w16cid:durableId="1707869301">
    <w:abstractNumId w:val="25"/>
  </w:num>
  <w:num w:numId="15" w16cid:durableId="1016614861">
    <w:abstractNumId w:val="19"/>
  </w:num>
  <w:num w:numId="16" w16cid:durableId="1751350164">
    <w:abstractNumId w:val="32"/>
  </w:num>
  <w:num w:numId="17" w16cid:durableId="313680617">
    <w:abstractNumId w:val="38"/>
  </w:num>
  <w:num w:numId="18" w16cid:durableId="704064609">
    <w:abstractNumId w:val="29"/>
  </w:num>
  <w:num w:numId="19" w16cid:durableId="562258106">
    <w:abstractNumId w:val="18"/>
  </w:num>
  <w:num w:numId="20" w16cid:durableId="939485610">
    <w:abstractNumId w:val="21"/>
  </w:num>
  <w:num w:numId="21" w16cid:durableId="2110462369">
    <w:abstractNumId w:val="23"/>
  </w:num>
  <w:num w:numId="22" w16cid:durableId="1796479530">
    <w:abstractNumId w:val="30"/>
  </w:num>
  <w:num w:numId="23" w16cid:durableId="1351226278">
    <w:abstractNumId w:val="9"/>
  </w:num>
  <w:num w:numId="24" w16cid:durableId="97723112">
    <w:abstractNumId w:val="39"/>
  </w:num>
  <w:num w:numId="25" w16cid:durableId="1658269010">
    <w:abstractNumId w:val="15"/>
  </w:num>
  <w:num w:numId="26" w16cid:durableId="195823099">
    <w:abstractNumId w:val="14"/>
  </w:num>
  <w:num w:numId="27" w16cid:durableId="2139687268">
    <w:abstractNumId w:val="6"/>
  </w:num>
  <w:num w:numId="28" w16cid:durableId="2047482900">
    <w:abstractNumId w:val="3"/>
  </w:num>
  <w:num w:numId="29" w16cid:durableId="1258827794">
    <w:abstractNumId w:val="35"/>
  </w:num>
  <w:num w:numId="30" w16cid:durableId="573667248">
    <w:abstractNumId w:val="5"/>
  </w:num>
  <w:num w:numId="31" w16cid:durableId="1268779321">
    <w:abstractNumId w:val="0"/>
  </w:num>
  <w:num w:numId="32" w16cid:durableId="4522309">
    <w:abstractNumId w:val="1"/>
  </w:num>
  <w:num w:numId="33" w16cid:durableId="134837316">
    <w:abstractNumId w:val="40"/>
  </w:num>
  <w:num w:numId="34" w16cid:durableId="2097091243">
    <w:abstractNumId w:val="24"/>
  </w:num>
  <w:num w:numId="35" w16cid:durableId="267737974">
    <w:abstractNumId w:val="4"/>
  </w:num>
  <w:num w:numId="36" w16cid:durableId="1149443526">
    <w:abstractNumId w:val="11"/>
  </w:num>
  <w:num w:numId="37" w16cid:durableId="1012534976">
    <w:abstractNumId w:val="36"/>
  </w:num>
  <w:num w:numId="38" w16cid:durableId="79763096">
    <w:abstractNumId w:val="8"/>
  </w:num>
  <w:num w:numId="39" w16cid:durableId="1557624252">
    <w:abstractNumId w:val="13"/>
  </w:num>
  <w:num w:numId="40" w16cid:durableId="1235970857">
    <w:abstractNumId w:val="37"/>
  </w:num>
  <w:num w:numId="41" w16cid:durableId="139874503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Lionbridge">
    <w15:presenceInfo w15:providerId="None" w15:userId="Lionbrid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567"/>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928"/>
    <w:rsid w:val="0000290D"/>
    <w:rsid w:val="0002073E"/>
    <w:rsid w:val="00022594"/>
    <w:rsid w:val="00032C81"/>
    <w:rsid w:val="000408D8"/>
    <w:rsid w:val="00052267"/>
    <w:rsid w:val="00057AAF"/>
    <w:rsid w:val="000630E6"/>
    <w:rsid w:val="00063B15"/>
    <w:rsid w:val="00067B5B"/>
    <w:rsid w:val="00074418"/>
    <w:rsid w:val="000751E5"/>
    <w:rsid w:val="00075C36"/>
    <w:rsid w:val="00076E67"/>
    <w:rsid w:val="000804B0"/>
    <w:rsid w:val="000816E5"/>
    <w:rsid w:val="0008670B"/>
    <w:rsid w:val="00093102"/>
    <w:rsid w:val="000A0CCD"/>
    <w:rsid w:val="000A47D5"/>
    <w:rsid w:val="000B72AE"/>
    <w:rsid w:val="000C2777"/>
    <w:rsid w:val="000C4552"/>
    <w:rsid w:val="000D1569"/>
    <w:rsid w:val="000E3C21"/>
    <w:rsid w:val="000F16B1"/>
    <w:rsid w:val="000F3206"/>
    <w:rsid w:val="0012273D"/>
    <w:rsid w:val="00124162"/>
    <w:rsid w:val="0013297B"/>
    <w:rsid w:val="00133354"/>
    <w:rsid w:val="001411F5"/>
    <w:rsid w:val="001419C9"/>
    <w:rsid w:val="001603D9"/>
    <w:rsid w:val="001702A4"/>
    <w:rsid w:val="00172E09"/>
    <w:rsid w:val="001771C1"/>
    <w:rsid w:val="00182BA0"/>
    <w:rsid w:val="00183712"/>
    <w:rsid w:val="001A32AE"/>
    <w:rsid w:val="001A5A5E"/>
    <w:rsid w:val="001B0844"/>
    <w:rsid w:val="001B67CC"/>
    <w:rsid w:val="001C6BF3"/>
    <w:rsid w:val="001C78E8"/>
    <w:rsid w:val="001E03F8"/>
    <w:rsid w:val="001E2678"/>
    <w:rsid w:val="001E5A56"/>
    <w:rsid w:val="001F0D6B"/>
    <w:rsid w:val="001F2665"/>
    <w:rsid w:val="001F42BF"/>
    <w:rsid w:val="001F501F"/>
    <w:rsid w:val="002032F1"/>
    <w:rsid w:val="00210286"/>
    <w:rsid w:val="0021323C"/>
    <w:rsid w:val="00223458"/>
    <w:rsid w:val="0023214A"/>
    <w:rsid w:val="0024256F"/>
    <w:rsid w:val="00242794"/>
    <w:rsid w:val="00244274"/>
    <w:rsid w:val="00252F44"/>
    <w:rsid w:val="00253194"/>
    <w:rsid w:val="00261AC3"/>
    <w:rsid w:val="00264327"/>
    <w:rsid w:val="00265925"/>
    <w:rsid w:val="00265C56"/>
    <w:rsid w:val="00266435"/>
    <w:rsid w:val="00271BF4"/>
    <w:rsid w:val="00281CB7"/>
    <w:rsid w:val="00286BE1"/>
    <w:rsid w:val="00291BBF"/>
    <w:rsid w:val="002974AD"/>
    <w:rsid w:val="002A048F"/>
    <w:rsid w:val="002A07BD"/>
    <w:rsid w:val="002A0940"/>
    <w:rsid w:val="002A13EE"/>
    <w:rsid w:val="002A7AC8"/>
    <w:rsid w:val="002B498A"/>
    <w:rsid w:val="002C7B65"/>
    <w:rsid w:val="002E5640"/>
    <w:rsid w:val="002F37DF"/>
    <w:rsid w:val="002F4B4C"/>
    <w:rsid w:val="00310E27"/>
    <w:rsid w:val="00316452"/>
    <w:rsid w:val="00326BA0"/>
    <w:rsid w:val="00326DA4"/>
    <w:rsid w:val="00330CA4"/>
    <w:rsid w:val="00336FFE"/>
    <w:rsid w:val="00337464"/>
    <w:rsid w:val="00340CE1"/>
    <w:rsid w:val="00341DD5"/>
    <w:rsid w:val="0035522D"/>
    <w:rsid w:val="003577A9"/>
    <w:rsid w:val="0035794A"/>
    <w:rsid w:val="0036731F"/>
    <w:rsid w:val="00370970"/>
    <w:rsid w:val="003723EA"/>
    <w:rsid w:val="00383CD5"/>
    <w:rsid w:val="00394D82"/>
    <w:rsid w:val="003A7CA6"/>
    <w:rsid w:val="003B06AF"/>
    <w:rsid w:val="003C1702"/>
    <w:rsid w:val="003C44BB"/>
    <w:rsid w:val="003C6ED2"/>
    <w:rsid w:val="003D5A81"/>
    <w:rsid w:val="003F3C52"/>
    <w:rsid w:val="00415B6D"/>
    <w:rsid w:val="0043040A"/>
    <w:rsid w:val="0043507A"/>
    <w:rsid w:val="00437E41"/>
    <w:rsid w:val="00442C76"/>
    <w:rsid w:val="0044339E"/>
    <w:rsid w:val="00445723"/>
    <w:rsid w:val="004466EA"/>
    <w:rsid w:val="004512E0"/>
    <w:rsid w:val="0045147D"/>
    <w:rsid w:val="00457053"/>
    <w:rsid w:val="00460F18"/>
    <w:rsid w:val="00470659"/>
    <w:rsid w:val="00472E8D"/>
    <w:rsid w:val="004736C1"/>
    <w:rsid w:val="0048620A"/>
    <w:rsid w:val="00487B09"/>
    <w:rsid w:val="0049187C"/>
    <w:rsid w:val="00492B03"/>
    <w:rsid w:val="004A0E08"/>
    <w:rsid w:val="004B078C"/>
    <w:rsid w:val="004B16DF"/>
    <w:rsid w:val="004B6A78"/>
    <w:rsid w:val="004C6E84"/>
    <w:rsid w:val="004D1239"/>
    <w:rsid w:val="004E553B"/>
    <w:rsid w:val="004F41B2"/>
    <w:rsid w:val="005020C8"/>
    <w:rsid w:val="005053AE"/>
    <w:rsid w:val="00507C92"/>
    <w:rsid w:val="00516196"/>
    <w:rsid w:val="0052218F"/>
    <w:rsid w:val="005232C9"/>
    <w:rsid w:val="0052521E"/>
    <w:rsid w:val="00532357"/>
    <w:rsid w:val="005411EB"/>
    <w:rsid w:val="00552596"/>
    <w:rsid w:val="00552F8C"/>
    <w:rsid w:val="00560DA3"/>
    <w:rsid w:val="00571EE9"/>
    <w:rsid w:val="0057669E"/>
    <w:rsid w:val="00580BD0"/>
    <w:rsid w:val="00583761"/>
    <w:rsid w:val="00583C49"/>
    <w:rsid w:val="0058494B"/>
    <w:rsid w:val="00592671"/>
    <w:rsid w:val="005A339E"/>
    <w:rsid w:val="005A79CF"/>
    <w:rsid w:val="005B100E"/>
    <w:rsid w:val="005D0C5A"/>
    <w:rsid w:val="005D0C93"/>
    <w:rsid w:val="005D2908"/>
    <w:rsid w:val="005D332D"/>
    <w:rsid w:val="005D5466"/>
    <w:rsid w:val="005D6EC2"/>
    <w:rsid w:val="005F21E6"/>
    <w:rsid w:val="00620AC4"/>
    <w:rsid w:val="00624858"/>
    <w:rsid w:val="0063757E"/>
    <w:rsid w:val="00650404"/>
    <w:rsid w:val="00660A0C"/>
    <w:rsid w:val="00667467"/>
    <w:rsid w:val="006734EF"/>
    <w:rsid w:val="00690E6B"/>
    <w:rsid w:val="00692DF0"/>
    <w:rsid w:val="00693152"/>
    <w:rsid w:val="00695DB2"/>
    <w:rsid w:val="006978C7"/>
    <w:rsid w:val="006A2094"/>
    <w:rsid w:val="006A6AD6"/>
    <w:rsid w:val="006C0313"/>
    <w:rsid w:val="006C1749"/>
    <w:rsid w:val="006C68FB"/>
    <w:rsid w:val="006C71CA"/>
    <w:rsid w:val="006C7E60"/>
    <w:rsid w:val="006D6DCF"/>
    <w:rsid w:val="006E3121"/>
    <w:rsid w:val="006F067C"/>
    <w:rsid w:val="006F295C"/>
    <w:rsid w:val="006F43EF"/>
    <w:rsid w:val="006F51A5"/>
    <w:rsid w:val="006F6844"/>
    <w:rsid w:val="00700BD8"/>
    <w:rsid w:val="007056CA"/>
    <w:rsid w:val="00706A49"/>
    <w:rsid w:val="00711C3D"/>
    <w:rsid w:val="007173E6"/>
    <w:rsid w:val="007176D7"/>
    <w:rsid w:val="00724FE1"/>
    <w:rsid w:val="007264C2"/>
    <w:rsid w:val="00736E80"/>
    <w:rsid w:val="00744CE4"/>
    <w:rsid w:val="0075574B"/>
    <w:rsid w:val="00757B8A"/>
    <w:rsid w:val="00757CE1"/>
    <w:rsid w:val="0076060B"/>
    <w:rsid w:val="00765EE4"/>
    <w:rsid w:val="00776126"/>
    <w:rsid w:val="007768C5"/>
    <w:rsid w:val="00790181"/>
    <w:rsid w:val="007906CD"/>
    <w:rsid w:val="007935D7"/>
    <w:rsid w:val="007A2CF8"/>
    <w:rsid w:val="007A3BEB"/>
    <w:rsid w:val="007B252D"/>
    <w:rsid w:val="007B5264"/>
    <w:rsid w:val="007C0C23"/>
    <w:rsid w:val="007C4EFD"/>
    <w:rsid w:val="007C7293"/>
    <w:rsid w:val="007D64FA"/>
    <w:rsid w:val="007E0D73"/>
    <w:rsid w:val="007E3DB0"/>
    <w:rsid w:val="007F1696"/>
    <w:rsid w:val="007F44DB"/>
    <w:rsid w:val="00823B82"/>
    <w:rsid w:val="00830495"/>
    <w:rsid w:val="008619A7"/>
    <w:rsid w:val="0086582B"/>
    <w:rsid w:val="008729A6"/>
    <w:rsid w:val="0087643E"/>
    <w:rsid w:val="0089103E"/>
    <w:rsid w:val="00895086"/>
    <w:rsid w:val="00896A5A"/>
    <w:rsid w:val="008A0D22"/>
    <w:rsid w:val="008A2704"/>
    <w:rsid w:val="008A6D30"/>
    <w:rsid w:val="008A7375"/>
    <w:rsid w:val="008B6765"/>
    <w:rsid w:val="008C54D1"/>
    <w:rsid w:val="008D4F6F"/>
    <w:rsid w:val="008F7ECE"/>
    <w:rsid w:val="009045F5"/>
    <w:rsid w:val="009075E7"/>
    <w:rsid w:val="00910529"/>
    <w:rsid w:val="009140D7"/>
    <w:rsid w:val="00916666"/>
    <w:rsid w:val="00923E33"/>
    <w:rsid w:val="009368CE"/>
    <w:rsid w:val="009409CE"/>
    <w:rsid w:val="00956C6F"/>
    <w:rsid w:val="00967D0E"/>
    <w:rsid w:val="00972C40"/>
    <w:rsid w:val="0097480B"/>
    <w:rsid w:val="00975026"/>
    <w:rsid w:val="00983532"/>
    <w:rsid w:val="0099073E"/>
    <w:rsid w:val="009943A9"/>
    <w:rsid w:val="00997B67"/>
    <w:rsid w:val="009B47E1"/>
    <w:rsid w:val="009C3A4A"/>
    <w:rsid w:val="009C5AFD"/>
    <w:rsid w:val="009E35A1"/>
    <w:rsid w:val="009E4F93"/>
    <w:rsid w:val="009F43FE"/>
    <w:rsid w:val="009F5B65"/>
    <w:rsid w:val="00A013EC"/>
    <w:rsid w:val="00A110CE"/>
    <w:rsid w:val="00A27378"/>
    <w:rsid w:val="00A5080A"/>
    <w:rsid w:val="00A67796"/>
    <w:rsid w:val="00A7467C"/>
    <w:rsid w:val="00A817AB"/>
    <w:rsid w:val="00A90EE8"/>
    <w:rsid w:val="00A96545"/>
    <w:rsid w:val="00A977E3"/>
    <w:rsid w:val="00AA42EF"/>
    <w:rsid w:val="00AA7A6C"/>
    <w:rsid w:val="00AB4EEC"/>
    <w:rsid w:val="00AB51DD"/>
    <w:rsid w:val="00AC2CF7"/>
    <w:rsid w:val="00AD43EC"/>
    <w:rsid w:val="00AE1CF5"/>
    <w:rsid w:val="00B00716"/>
    <w:rsid w:val="00B02B86"/>
    <w:rsid w:val="00B06815"/>
    <w:rsid w:val="00B16544"/>
    <w:rsid w:val="00B21DA9"/>
    <w:rsid w:val="00B3644F"/>
    <w:rsid w:val="00B37A53"/>
    <w:rsid w:val="00B46D10"/>
    <w:rsid w:val="00B513E4"/>
    <w:rsid w:val="00B578E1"/>
    <w:rsid w:val="00B62466"/>
    <w:rsid w:val="00B63900"/>
    <w:rsid w:val="00B74B46"/>
    <w:rsid w:val="00B80441"/>
    <w:rsid w:val="00B81453"/>
    <w:rsid w:val="00B8180F"/>
    <w:rsid w:val="00B96235"/>
    <w:rsid w:val="00BA69C2"/>
    <w:rsid w:val="00BC2B66"/>
    <w:rsid w:val="00BE63D1"/>
    <w:rsid w:val="00BF2A12"/>
    <w:rsid w:val="00BF6876"/>
    <w:rsid w:val="00C03080"/>
    <w:rsid w:val="00C251B4"/>
    <w:rsid w:val="00C331D7"/>
    <w:rsid w:val="00C345DD"/>
    <w:rsid w:val="00C34A58"/>
    <w:rsid w:val="00C373B5"/>
    <w:rsid w:val="00C40C3F"/>
    <w:rsid w:val="00C432D0"/>
    <w:rsid w:val="00C45365"/>
    <w:rsid w:val="00C45AF5"/>
    <w:rsid w:val="00C46D5B"/>
    <w:rsid w:val="00C50C3A"/>
    <w:rsid w:val="00C53045"/>
    <w:rsid w:val="00C5394D"/>
    <w:rsid w:val="00C61EA9"/>
    <w:rsid w:val="00C85044"/>
    <w:rsid w:val="00C90C8C"/>
    <w:rsid w:val="00C91A2D"/>
    <w:rsid w:val="00C94397"/>
    <w:rsid w:val="00CA0119"/>
    <w:rsid w:val="00CB66BC"/>
    <w:rsid w:val="00CD78A5"/>
    <w:rsid w:val="00CE0E30"/>
    <w:rsid w:val="00CE795D"/>
    <w:rsid w:val="00CF6909"/>
    <w:rsid w:val="00D0286F"/>
    <w:rsid w:val="00D02ACC"/>
    <w:rsid w:val="00D0492B"/>
    <w:rsid w:val="00D05135"/>
    <w:rsid w:val="00D059C0"/>
    <w:rsid w:val="00D06683"/>
    <w:rsid w:val="00D13A3F"/>
    <w:rsid w:val="00D14B88"/>
    <w:rsid w:val="00D17062"/>
    <w:rsid w:val="00D2452D"/>
    <w:rsid w:val="00D24F50"/>
    <w:rsid w:val="00D30FBD"/>
    <w:rsid w:val="00D40D49"/>
    <w:rsid w:val="00D45FCF"/>
    <w:rsid w:val="00D47004"/>
    <w:rsid w:val="00D60FC2"/>
    <w:rsid w:val="00D82B78"/>
    <w:rsid w:val="00D85D1A"/>
    <w:rsid w:val="00D86F4D"/>
    <w:rsid w:val="00D92115"/>
    <w:rsid w:val="00D92A0F"/>
    <w:rsid w:val="00DA0D4F"/>
    <w:rsid w:val="00DB1DA4"/>
    <w:rsid w:val="00DB465A"/>
    <w:rsid w:val="00DC28A8"/>
    <w:rsid w:val="00DC473F"/>
    <w:rsid w:val="00DD163D"/>
    <w:rsid w:val="00DE2C39"/>
    <w:rsid w:val="00DF03DB"/>
    <w:rsid w:val="00DF48CC"/>
    <w:rsid w:val="00E03E7F"/>
    <w:rsid w:val="00E040E1"/>
    <w:rsid w:val="00E0595D"/>
    <w:rsid w:val="00E124B5"/>
    <w:rsid w:val="00E305C6"/>
    <w:rsid w:val="00E34526"/>
    <w:rsid w:val="00E46F88"/>
    <w:rsid w:val="00E47D7D"/>
    <w:rsid w:val="00E6017D"/>
    <w:rsid w:val="00E64BB8"/>
    <w:rsid w:val="00E766B1"/>
    <w:rsid w:val="00E82949"/>
    <w:rsid w:val="00E97B1A"/>
    <w:rsid w:val="00EA2C3F"/>
    <w:rsid w:val="00EC0765"/>
    <w:rsid w:val="00ED6F18"/>
    <w:rsid w:val="00EE3DA2"/>
    <w:rsid w:val="00EE476C"/>
    <w:rsid w:val="00EE69FB"/>
    <w:rsid w:val="00F06D7F"/>
    <w:rsid w:val="00F07195"/>
    <w:rsid w:val="00F225CF"/>
    <w:rsid w:val="00F26E02"/>
    <w:rsid w:val="00F311FC"/>
    <w:rsid w:val="00F40F12"/>
    <w:rsid w:val="00F50E0E"/>
    <w:rsid w:val="00F62925"/>
    <w:rsid w:val="00F741F7"/>
    <w:rsid w:val="00F75778"/>
    <w:rsid w:val="00F77327"/>
    <w:rsid w:val="00F819AC"/>
    <w:rsid w:val="00F826EF"/>
    <w:rsid w:val="00F8354D"/>
    <w:rsid w:val="00F83928"/>
    <w:rsid w:val="00F85698"/>
    <w:rsid w:val="00F92168"/>
    <w:rsid w:val="00FA28BE"/>
    <w:rsid w:val="00FB1B3B"/>
    <w:rsid w:val="00FB550C"/>
    <w:rsid w:val="00FB713E"/>
    <w:rsid w:val="00FD7DFF"/>
    <w:rsid w:val="00FE0785"/>
    <w:rsid w:val="00FE2EAC"/>
    <w:rsid w:val="00FE47D7"/>
    <w:rsid w:val="00FE5E4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91B972"/>
  <w15:docId w15:val="{C2DCEE13-320E-40BC-B1DB-366751421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7C7293"/>
    <w:pPr>
      <w:spacing w:after="12"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0" w:line="248" w:lineRule="auto"/>
      <w:ind w:left="10"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10" w:line="248" w:lineRule="auto"/>
      <w:ind w:left="10" w:hanging="10"/>
      <w:outlineLvl w:val="1"/>
    </w:pPr>
    <w:rPr>
      <w:rFonts w:ascii="Times New Roman" w:eastAsia="Times New Roman" w:hAnsi="Times New Roman" w:cs="Times New Roman"/>
      <w:color w:val="000000"/>
      <w:u w:val="single" w:color="000000"/>
    </w:rPr>
  </w:style>
  <w:style w:type="paragraph" w:styleId="Heading3">
    <w:name w:val="heading 3"/>
    <w:next w:val="Normal"/>
    <w:link w:val="Heading3Char"/>
    <w:uiPriority w:val="9"/>
    <w:unhideWhenUsed/>
    <w:qFormat/>
    <w:pPr>
      <w:keepNext/>
      <w:keepLines/>
      <w:spacing w:after="0"/>
      <w:ind w:left="10" w:hanging="10"/>
      <w:outlineLvl w:val="2"/>
    </w:pPr>
    <w:rPr>
      <w:rFonts w:ascii="Times New Roman" w:eastAsia="Times New Roman" w:hAnsi="Times New Roman" w:cs="Times New Roman"/>
      <w:i/>
      <w:color w:val="000000"/>
    </w:rPr>
  </w:style>
  <w:style w:type="paragraph" w:styleId="Heading4">
    <w:name w:val="heading 4"/>
    <w:next w:val="Normal"/>
    <w:link w:val="Heading4Char"/>
    <w:uiPriority w:val="9"/>
    <w:unhideWhenUsed/>
    <w:qFormat/>
    <w:pPr>
      <w:keepNext/>
      <w:keepLines/>
      <w:spacing w:after="10" w:line="248" w:lineRule="auto"/>
      <w:ind w:left="10"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u w:val="single" w:color="000000"/>
    </w:rPr>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i/>
      <w:color w:val="000000"/>
      <w:sz w:val="22"/>
    </w:rPr>
  </w:style>
  <w:style w:type="character" w:customStyle="1" w:styleId="Heading4Char">
    <w:name w:val="Heading 4 Char"/>
    <w:link w:val="Heading4"/>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81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453"/>
    <w:rPr>
      <w:rFonts w:ascii="Times New Roman" w:eastAsia="Times New Roman" w:hAnsi="Times New Roman" w:cs="Times New Roman"/>
      <w:color w:val="000000"/>
    </w:rPr>
  </w:style>
  <w:style w:type="paragraph" w:customStyle="1" w:styleId="footerpagenumber">
    <w:name w:val="footer page number"/>
    <w:basedOn w:val="Normal"/>
    <w:link w:val="footerpagenumberChar"/>
    <w:qFormat/>
    <w:rsid w:val="00B81453"/>
    <w:pPr>
      <w:spacing w:after="0" w:line="259" w:lineRule="auto"/>
      <w:ind w:left="0" w:right="3" w:firstLine="0"/>
      <w:jc w:val="center"/>
    </w:pPr>
    <w:rPr>
      <w:rFonts w:ascii="Arial" w:hAnsi="Arial" w:cs="Arial"/>
      <w:sz w:val="16"/>
      <w:szCs w:val="16"/>
    </w:rPr>
  </w:style>
  <w:style w:type="paragraph" w:styleId="ListParagraph">
    <w:name w:val="List Paragraph"/>
    <w:basedOn w:val="Normal"/>
    <w:uiPriority w:val="34"/>
    <w:qFormat/>
    <w:rsid w:val="00CA0119"/>
    <w:pPr>
      <w:ind w:left="720"/>
      <w:contextualSpacing/>
    </w:pPr>
  </w:style>
  <w:style w:type="character" w:customStyle="1" w:styleId="footerpagenumberChar">
    <w:name w:val="footer page number Char"/>
    <w:basedOn w:val="DefaultParagraphFont"/>
    <w:link w:val="footerpagenumber"/>
    <w:rsid w:val="00B81453"/>
    <w:rPr>
      <w:rFonts w:ascii="Arial" w:eastAsia="Times New Roman" w:hAnsi="Arial" w:cs="Arial"/>
      <w:color w:val="000000"/>
      <w:sz w:val="16"/>
      <w:szCs w:val="16"/>
    </w:rPr>
  </w:style>
  <w:style w:type="paragraph" w:customStyle="1" w:styleId="Default">
    <w:name w:val="Default"/>
    <w:rsid w:val="00E82949"/>
    <w:pPr>
      <w:autoSpaceDE w:val="0"/>
      <w:autoSpaceDN w:val="0"/>
      <w:adjustRightInd w:val="0"/>
      <w:spacing w:after="0" w:line="240" w:lineRule="auto"/>
    </w:pPr>
    <w:rPr>
      <w:rFonts w:ascii="Times New Roman" w:hAnsi="Times New Roman" w:cs="Times New Roman"/>
      <w:color w:val="000000"/>
      <w:sz w:val="24"/>
      <w:szCs w:val="24"/>
      <w:lang w:val="en-IN"/>
    </w:rPr>
  </w:style>
  <w:style w:type="paragraph" w:customStyle="1" w:styleId="TitalA">
    <w:name w:val="Tital A"/>
    <w:basedOn w:val="Normal"/>
    <w:link w:val="TitalAChar"/>
    <w:qFormat/>
    <w:rsid w:val="00022594"/>
    <w:pPr>
      <w:spacing w:after="0" w:line="240" w:lineRule="auto"/>
      <w:ind w:left="0"/>
      <w:jc w:val="center"/>
    </w:pPr>
    <w:rPr>
      <w:b/>
      <w:lang w:val="de-DE"/>
    </w:rPr>
  </w:style>
  <w:style w:type="paragraph" w:customStyle="1" w:styleId="TitalB">
    <w:name w:val="Tital B"/>
    <w:basedOn w:val="Normal"/>
    <w:link w:val="TitalBChar"/>
    <w:qFormat/>
    <w:rsid w:val="00022594"/>
    <w:pPr>
      <w:spacing w:after="0" w:line="240" w:lineRule="auto"/>
      <w:ind w:left="0" w:firstLine="0"/>
      <w:jc w:val="center"/>
    </w:pPr>
    <w:rPr>
      <w:b/>
    </w:rPr>
  </w:style>
  <w:style w:type="character" w:customStyle="1" w:styleId="TitalAChar">
    <w:name w:val="Tital A Char"/>
    <w:basedOn w:val="DefaultParagraphFont"/>
    <w:link w:val="TitalA"/>
    <w:rsid w:val="00022594"/>
    <w:rPr>
      <w:rFonts w:ascii="Times New Roman" w:eastAsia="Times New Roman" w:hAnsi="Times New Roman" w:cs="Times New Roman"/>
      <w:b/>
      <w:color w:val="000000"/>
      <w:lang w:val="de-DE"/>
    </w:rPr>
  </w:style>
  <w:style w:type="character" w:customStyle="1" w:styleId="TitalBChar">
    <w:name w:val="Tital B Char"/>
    <w:basedOn w:val="DefaultParagraphFont"/>
    <w:link w:val="TitalB"/>
    <w:rsid w:val="00022594"/>
    <w:rPr>
      <w:rFonts w:ascii="Times New Roman" w:eastAsia="Times New Roman" w:hAnsi="Times New Roman" w:cs="Times New Roman"/>
      <w:b/>
      <w:color w:val="000000"/>
    </w:rPr>
  </w:style>
  <w:style w:type="character" w:styleId="Hyperlink">
    <w:name w:val="Hyperlink"/>
    <w:basedOn w:val="DefaultParagraphFont"/>
    <w:uiPriority w:val="99"/>
    <w:unhideWhenUsed/>
    <w:rsid w:val="00E305C6"/>
    <w:rPr>
      <w:color w:val="0563C1" w:themeColor="hyperlink"/>
      <w:u w:val="single"/>
    </w:rPr>
  </w:style>
  <w:style w:type="character" w:customStyle="1" w:styleId="UnresolvedMention1">
    <w:name w:val="Unresolved Mention1"/>
    <w:basedOn w:val="DefaultParagraphFont"/>
    <w:uiPriority w:val="99"/>
    <w:semiHidden/>
    <w:unhideWhenUsed/>
    <w:rsid w:val="00E305C6"/>
    <w:rPr>
      <w:color w:val="605E5C"/>
      <w:shd w:val="clear" w:color="auto" w:fill="E1DFDD"/>
    </w:rPr>
  </w:style>
  <w:style w:type="paragraph" w:styleId="Footer">
    <w:name w:val="footer"/>
    <w:basedOn w:val="Normal"/>
    <w:link w:val="FooterChar"/>
    <w:rsid w:val="00337464"/>
    <w:pPr>
      <w:spacing w:after="0" w:line="240" w:lineRule="auto"/>
      <w:ind w:left="0" w:firstLine="0"/>
    </w:pPr>
    <w:rPr>
      <w:rFonts w:ascii="Arial" w:hAnsi="Arial"/>
      <w:noProof/>
      <w:color w:val="auto"/>
      <w:sz w:val="16"/>
      <w:szCs w:val="24"/>
      <w:lang w:val="et-EE" w:eastAsia="et-EE" w:bidi="et-EE"/>
    </w:rPr>
  </w:style>
  <w:style w:type="character" w:customStyle="1" w:styleId="FooterChar">
    <w:name w:val="Footer Char"/>
    <w:basedOn w:val="DefaultParagraphFont"/>
    <w:link w:val="Footer"/>
    <w:rsid w:val="00337464"/>
    <w:rPr>
      <w:rFonts w:ascii="Arial" w:eastAsia="Times New Roman" w:hAnsi="Arial" w:cs="Times New Roman"/>
      <w:noProof/>
      <w:sz w:val="16"/>
      <w:szCs w:val="24"/>
      <w:lang w:val="et-EE" w:eastAsia="et-EE" w:bidi="et-EE"/>
    </w:rPr>
  </w:style>
  <w:style w:type="character" w:styleId="PageNumber">
    <w:name w:val="page number"/>
    <w:basedOn w:val="DefaultParagraphFont"/>
    <w:rsid w:val="00337464"/>
  </w:style>
  <w:style w:type="paragraph" w:styleId="Revision">
    <w:name w:val="Revision"/>
    <w:hidden/>
    <w:uiPriority w:val="99"/>
    <w:semiHidden/>
    <w:rsid w:val="00F75778"/>
    <w:pPr>
      <w:spacing w:after="0" w:line="240" w:lineRule="auto"/>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394D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D82"/>
    <w:rPr>
      <w:rFonts w:ascii="Segoe UI" w:eastAsia="Times New Roman" w:hAnsi="Segoe UI" w:cs="Segoe UI"/>
      <w:color w:val="000000"/>
      <w:sz w:val="18"/>
      <w:szCs w:val="18"/>
    </w:rPr>
  </w:style>
  <w:style w:type="paragraph" w:styleId="CommentText">
    <w:name w:val="annotation text"/>
    <w:basedOn w:val="Normal"/>
    <w:link w:val="CommentTextChar"/>
    <w:uiPriority w:val="99"/>
    <w:semiHidden/>
    <w:rsid w:val="006F067C"/>
    <w:pPr>
      <w:tabs>
        <w:tab w:val="left" w:pos="567"/>
      </w:tabs>
      <w:spacing w:after="0" w:line="260" w:lineRule="exact"/>
      <w:ind w:left="0" w:firstLine="0"/>
    </w:pPr>
    <w:rPr>
      <w:color w:val="auto"/>
      <w:sz w:val="20"/>
      <w:szCs w:val="20"/>
      <w:lang w:val="en-GB"/>
    </w:rPr>
  </w:style>
  <w:style w:type="character" w:customStyle="1" w:styleId="CommentTextChar">
    <w:name w:val="Comment Text Char"/>
    <w:basedOn w:val="DefaultParagraphFont"/>
    <w:link w:val="CommentText"/>
    <w:uiPriority w:val="99"/>
    <w:semiHidden/>
    <w:rsid w:val="006F067C"/>
    <w:rPr>
      <w:rFonts w:ascii="Times New Roman" w:eastAsia="Times New Roman" w:hAnsi="Times New Roman" w:cs="Times New Roman"/>
      <w:sz w:val="20"/>
      <w:szCs w:val="20"/>
      <w:lang w:val="en-GB"/>
    </w:rPr>
  </w:style>
  <w:style w:type="character" w:styleId="CommentReference">
    <w:name w:val="annotation reference"/>
    <w:uiPriority w:val="99"/>
    <w:rsid w:val="006F067C"/>
    <w:rPr>
      <w:sz w:val="16"/>
      <w:szCs w:val="16"/>
    </w:rPr>
  </w:style>
  <w:style w:type="character" w:customStyle="1" w:styleId="ui-provider">
    <w:name w:val="ui-provider"/>
    <w:basedOn w:val="DefaultParagraphFont"/>
    <w:rsid w:val="006F067C"/>
  </w:style>
  <w:style w:type="paragraph" w:customStyle="1" w:styleId="pil-t1">
    <w:name w:val="pil-t1"/>
    <w:basedOn w:val="Normal"/>
    <w:rsid w:val="007F1696"/>
    <w:pPr>
      <w:spacing w:after="0" w:line="240" w:lineRule="auto"/>
      <w:ind w:left="0" w:firstLine="0"/>
    </w:pPr>
    <w:rPr>
      <w:rFonts w:eastAsiaTheme="minorHAnsi"/>
      <w:color w:val="auto"/>
    </w:rPr>
  </w:style>
  <w:style w:type="paragraph" w:customStyle="1" w:styleId="pil-t2">
    <w:name w:val="pil-t2"/>
    <w:basedOn w:val="Normal"/>
    <w:rsid w:val="007F1696"/>
    <w:pPr>
      <w:spacing w:after="0" w:line="240" w:lineRule="auto"/>
      <w:ind w:left="0" w:firstLine="0"/>
    </w:pPr>
    <w:rPr>
      <w:rFonts w:eastAsiaTheme="minorHAnsi"/>
      <w:b/>
      <w:bCs/>
      <w:color w:val="auto"/>
    </w:rPr>
  </w:style>
  <w:style w:type="paragraph" w:customStyle="1" w:styleId="spc-t3">
    <w:name w:val="spc-t3"/>
    <w:basedOn w:val="Normal"/>
    <w:rsid w:val="007F1696"/>
    <w:pPr>
      <w:spacing w:after="0" w:line="240" w:lineRule="auto"/>
      <w:ind w:left="0" w:firstLine="0"/>
    </w:pPr>
    <w:rPr>
      <w:rFonts w:eastAsiaTheme="minorHAnsi"/>
      <w:b/>
      <w:bCs/>
      <w:color w:val="auto"/>
    </w:rPr>
  </w:style>
  <w:style w:type="paragraph" w:customStyle="1" w:styleId="Text">
    <w:name w:val="Text"/>
    <w:aliases w:val="Graphic,Graphic Char Char,Graphic Char Char Char Char Char,Graphic Char Char Char Char Char Char Char C"/>
    <w:basedOn w:val="Normal"/>
    <w:link w:val="TextChar"/>
    <w:rsid w:val="00896A5A"/>
    <w:pPr>
      <w:spacing w:before="120" w:after="0" w:line="240" w:lineRule="auto"/>
      <w:ind w:left="0" w:firstLine="0"/>
      <w:jc w:val="both"/>
    </w:pPr>
    <w:rPr>
      <w:rFonts w:eastAsia="MS Mincho"/>
      <w:color w:val="auto"/>
      <w:sz w:val="24"/>
      <w:szCs w:val="20"/>
      <w:lang w:eastAsia="zh-CN"/>
    </w:rPr>
  </w:style>
  <w:style w:type="paragraph" w:customStyle="1" w:styleId="Listlevel1">
    <w:name w:val="List level 1"/>
    <w:basedOn w:val="Normal"/>
    <w:link w:val="Listlevel1Char"/>
    <w:rsid w:val="00896A5A"/>
    <w:pPr>
      <w:spacing w:before="40" w:after="20" w:line="240" w:lineRule="auto"/>
      <w:ind w:left="425" w:hanging="425"/>
    </w:pPr>
    <w:rPr>
      <w:rFonts w:eastAsia="MS Mincho"/>
      <w:color w:val="auto"/>
      <w:sz w:val="24"/>
      <w:szCs w:val="20"/>
      <w:lang w:eastAsia="zh-CN"/>
    </w:rPr>
  </w:style>
  <w:style w:type="table" w:styleId="TableGrid0">
    <w:name w:val="Table Grid"/>
    <w:basedOn w:val="TableNormal"/>
    <w:rsid w:val="00896A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link w:val="Text"/>
    <w:rsid w:val="00896A5A"/>
    <w:rPr>
      <w:rFonts w:ascii="Times New Roman" w:eastAsia="MS Mincho" w:hAnsi="Times New Roman" w:cs="Times New Roman"/>
      <w:sz w:val="24"/>
      <w:szCs w:val="20"/>
      <w:lang w:eastAsia="zh-CN"/>
    </w:rPr>
  </w:style>
  <w:style w:type="character" w:customStyle="1" w:styleId="Listlevel1Char">
    <w:name w:val="List level 1 Char"/>
    <w:link w:val="Listlevel1"/>
    <w:rsid w:val="00896A5A"/>
    <w:rPr>
      <w:rFonts w:ascii="Times New Roman" w:eastAsia="MS Mincho" w:hAnsi="Times New Roman" w:cs="Times New Roman"/>
      <w:sz w:val="24"/>
      <w:szCs w:val="20"/>
      <w:lang w:eastAsia="zh-CN"/>
    </w:rPr>
  </w:style>
  <w:style w:type="character" w:customStyle="1" w:styleId="Bold">
    <w:name w:val="Bold"/>
    <w:uiPriority w:val="99"/>
    <w:rsid w:val="00896A5A"/>
    <w:rPr>
      <w:b/>
      <w:bCs/>
    </w:rPr>
  </w:style>
  <w:style w:type="table" w:styleId="TableGridLight">
    <w:name w:val="Grid Table Light"/>
    <w:basedOn w:val="TableNormal"/>
    <w:uiPriority w:val="40"/>
    <w:rsid w:val="00896A5A"/>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265C56"/>
    <w:pPr>
      <w:tabs>
        <w:tab w:val="clear" w:pos="567"/>
      </w:tabs>
      <w:spacing w:after="12" w:line="240" w:lineRule="auto"/>
      <w:ind w:left="10" w:hanging="10"/>
    </w:pPr>
    <w:rPr>
      <w:b/>
      <w:bCs/>
      <w:color w:val="000000"/>
      <w:lang w:val="en-US"/>
    </w:rPr>
  </w:style>
  <w:style w:type="character" w:customStyle="1" w:styleId="CommentSubjectChar">
    <w:name w:val="Comment Subject Char"/>
    <w:basedOn w:val="CommentTextChar"/>
    <w:link w:val="CommentSubject"/>
    <w:uiPriority w:val="99"/>
    <w:semiHidden/>
    <w:rsid w:val="00265C56"/>
    <w:rPr>
      <w:rFonts w:ascii="Times New Roman" w:eastAsia="Times New Roman" w:hAnsi="Times New Roman" w:cs="Times New Roman"/>
      <w:b/>
      <w:bCs/>
      <w:color w:val="000000"/>
      <w:sz w:val="20"/>
      <w:szCs w:val="20"/>
      <w:lang w:val="en-GB"/>
    </w:rPr>
  </w:style>
  <w:style w:type="character" w:styleId="Strong">
    <w:name w:val="Strong"/>
    <w:basedOn w:val="DefaultParagraphFont"/>
    <w:qFormat/>
    <w:rsid w:val="00C5394D"/>
    <w:rPr>
      <w:b/>
      <w:bCs/>
    </w:rPr>
  </w:style>
  <w:style w:type="character" w:styleId="UnresolvedMention">
    <w:name w:val="Unresolved Mention"/>
    <w:basedOn w:val="DefaultParagraphFont"/>
    <w:uiPriority w:val="99"/>
    <w:rsid w:val="00571EE9"/>
    <w:rPr>
      <w:color w:val="605E5C"/>
      <w:shd w:val="clear" w:color="auto" w:fill="E1DFDD"/>
    </w:rPr>
  </w:style>
  <w:style w:type="paragraph" w:customStyle="1" w:styleId="TitleA">
    <w:name w:val="Title A"/>
    <w:basedOn w:val="Normal"/>
    <w:rsid w:val="00692DF0"/>
    <w:pPr>
      <w:tabs>
        <w:tab w:val="left" w:pos="567"/>
      </w:tabs>
      <w:spacing w:after="0" w:line="240" w:lineRule="auto"/>
      <w:ind w:left="0" w:firstLine="0"/>
      <w:jc w:val="center"/>
    </w:pPr>
    <w:rPr>
      <w:rFonts w:eastAsia="PMingLiU"/>
      <w:b/>
      <w:bCs/>
      <w:color w:val="auto"/>
      <w:lang w:val="de-DE"/>
    </w:rPr>
  </w:style>
  <w:style w:type="paragraph" w:customStyle="1" w:styleId="BodytextAgency">
    <w:name w:val="Body text (Agency)"/>
    <w:basedOn w:val="Default"/>
    <w:next w:val="Default"/>
    <w:link w:val="BodytextAgencyChar"/>
    <w:qFormat/>
    <w:rsid w:val="00692DF0"/>
    <w:rPr>
      <w:rFonts w:eastAsia="Times New Roman"/>
      <w:color w:val="auto"/>
      <w:lang w:val="de-DE"/>
    </w:rPr>
  </w:style>
  <w:style w:type="character" w:customStyle="1" w:styleId="BodytextAgencyChar">
    <w:name w:val="Body text (Agency) Char"/>
    <w:link w:val="BodytextAgency"/>
    <w:locked/>
    <w:rsid w:val="00692DF0"/>
    <w:rPr>
      <w:rFonts w:ascii="Times New Roman" w:eastAsia="Times New Roman" w:hAnsi="Times New Roman" w:cs="Times New Roman"/>
      <w:sz w:val="24"/>
      <w:szCs w:val="24"/>
      <w:lang w:val="de-DE"/>
    </w:rPr>
  </w:style>
  <w:style w:type="character" w:customStyle="1" w:styleId="No-numheading3AgencyChar">
    <w:name w:val="No-num heading 3 (Agency) Char"/>
    <w:link w:val="No-numheading3Agency"/>
    <w:locked/>
    <w:rsid w:val="00692DF0"/>
    <w:rPr>
      <w:rFonts w:ascii="Verdana" w:eastAsia="Verdana" w:hAnsi="Verdana" w:cs="Arial"/>
      <w:b/>
      <w:bCs/>
      <w:kern w:val="32"/>
    </w:rPr>
  </w:style>
  <w:style w:type="paragraph" w:customStyle="1" w:styleId="No-numheading3Agency">
    <w:name w:val="No-num heading 3 (Agency)"/>
    <w:basedOn w:val="Normal"/>
    <w:next w:val="BodytextAgency"/>
    <w:link w:val="No-numheading3AgencyChar"/>
    <w:rsid w:val="00692DF0"/>
    <w:pPr>
      <w:keepNext/>
      <w:spacing w:before="280" w:after="220" w:line="240" w:lineRule="auto"/>
      <w:ind w:left="0" w:firstLine="0"/>
      <w:outlineLvl w:val="2"/>
    </w:pPr>
    <w:rPr>
      <w:rFonts w:ascii="Verdana" w:eastAsia="Verdana" w:hAnsi="Verdana" w:cs="Arial"/>
      <w:b/>
      <w:bCs/>
      <w:color w:val="auto"/>
      <w:kern w:val="32"/>
    </w:rPr>
  </w:style>
  <w:style w:type="paragraph" w:customStyle="1" w:styleId="DraftingNotesAgency">
    <w:name w:val="Drafting Notes (Agency)"/>
    <w:basedOn w:val="Normal"/>
    <w:next w:val="BodytextAgency"/>
    <w:link w:val="DraftingNotesAgencyChar"/>
    <w:qFormat/>
    <w:rsid w:val="00692DF0"/>
    <w:pPr>
      <w:spacing w:after="140" w:line="280" w:lineRule="atLeast"/>
      <w:ind w:left="0" w:firstLine="0"/>
    </w:pPr>
    <w:rPr>
      <w:rFonts w:ascii="Courier New" w:eastAsia="Verdana" w:hAnsi="Courier New"/>
      <w:i/>
      <w:color w:val="339966"/>
      <w:szCs w:val="18"/>
      <w:lang w:val="de-DE" w:eastAsia="x-none"/>
    </w:rPr>
  </w:style>
  <w:style w:type="character" w:customStyle="1" w:styleId="DraftingNotesAgencyChar">
    <w:name w:val="Drafting Notes (Agency) Char"/>
    <w:link w:val="DraftingNotesAgency"/>
    <w:rsid w:val="00692DF0"/>
    <w:rPr>
      <w:rFonts w:ascii="Courier New" w:eastAsia="Verdana" w:hAnsi="Courier New" w:cs="Times New Roman"/>
      <w:i/>
      <w:color w:val="339966"/>
      <w:szCs w:val="18"/>
      <w:lang w:val="de-D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protect.checkpoint.com/v2/___https:/www.ema.europa.eu/___.YzJ1Omxpb25icmlkZ2U6YzpvOjVkZmYyMTZiZTQxNmE2MzBhYzk3Y2IzOGNmY2U3NTMzOjY6NjcxMTpjMTQ1OWQyOWI1NTIwZjY4MDM1YjY3NGNlZTJmMjZmN2FiYjdiZGRjZjlkOTJiYTJmNzY4ZWQ4NTYwNDdkNWQ4OnA6VDpO" TargetMode="External"/><Relationship Id="rId18" Type="http://schemas.openxmlformats.org/officeDocument/2006/relationships/hyperlink" Target="https://protect.checkpoint.com/v2/___http://www.ema.europa.eu/docs/en_GB/document_library/Template_or_form/2013/03/WC500139752.doc___.YzJ1Omxpb25icmlkZ2U6YzpvOjVkZmYyMTZiZTQxNmE2MzBhYzk3Y2IzOGNmY2U3NTMzOjY6OTY4ODpjMWE5Nzg3MTU2OWNhZDg3MzhiY2NlZjBlODI5MTNlYTU5M2Y2NDU3YWM5NjlkMmZmMzMyMDZiNjJkYWJlYTA2OnA6VDpO" TargetMode="External"/><Relationship Id="rId26" Type="http://schemas.openxmlformats.org/officeDocument/2006/relationships/image" Target="media/image12.png"/><Relationship Id="rId39" Type="http://schemas.openxmlformats.org/officeDocument/2006/relationships/theme" Target="theme/theme1.xml"/><Relationship Id="rId21" Type="http://schemas.openxmlformats.org/officeDocument/2006/relationships/image" Target="media/image7.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rotect.checkpoint.com/v2/___https:/www.ema.europa.eu/___.YzJ1Omxpb25icmlkZ2U6YzpvOjVkZmYyMTZiZTQxNmE2MzBhYzk3Y2IzOGNmY2U3NTMzOjY6NjcxMTpjMTQ1OWQyOWI1NTIwZjY4MDM1YjY3NGNlZTJmMjZmN2FiYjdiZGRjZjlkOTJiYTJmNzY4ZWQ4NTYwNDdkNWQ4OnA6VDpO" TargetMode="External"/><Relationship Id="rId17" Type="http://schemas.openxmlformats.org/officeDocument/2006/relationships/hyperlink" Target="https://protect.checkpoint.com/v2/___https:/www.ema.europa.eu/en/documents/template-form/qrd-appendix-v-adverse-drug-reaction-reporting-details_en.docx___.YzJ1Omxpb25icmlkZ2U6YzpvOjVkZmYyMTZiZTQxNmE2MzBhYzk3Y2IzOGNmY2U3NTMzOjY6Mzc3NTozM2JhODJkMTI3ZDUzNDE0Mjg2OGU1YWZjYzFlMWFjY2ExOGE4NTQ4MzM4Y2FkYWZhZTI1NTgyNjM4M2JhYWIwOnA6VDpO" TargetMode="External"/><Relationship Id="rId25" Type="http://schemas.openxmlformats.org/officeDocument/2006/relationships/image" Target="media/image11.png"/><Relationship Id="rId33" Type="http://schemas.openxmlformats.org/officeDocument/2006/relationships/header" Target="header1.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checkpoint.com/v2/___http://www.ema.europa.eu/docs/en_GB/document_library/Template_or_form/2013/03/WC500139752.doc___.YzJ1Omxpb25icmlkZ2U6YzpvOjVkZmYyMTZiZTQxNmE2MzBhYzk3Y2IzOGNmY2U3NTMzOjY6OTY4ODpjMWE5Nzg3MTU2OWNhZDg3MzhiY2NlZjBlODI5MTNlYTU5M2Y2NDU3YWM5NjlkMmZmMzMyMDZiNjJkYWJlYTA2OnA6VDpO"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footer" Target="footer3.xml"/><Relationship Id="rId10" Type="http://schemas.openxmlformats.org/officeDocument/2006/relationships/hyperlink" Target="https://protect.checkpoint.com/v2/___https:/www.ema.europa.eu/en/documents/template-form/qrd-appendix-v-adverse-drug-reaction-reporting-details_en.docx___.YzJ1Omxpb25icmlkZ2U6YzpvOjVkZmYyMTZiZTQxNmE2MzBhYzk3Y2IzOGNmY2U3NTMzOjY6Mzc3NTozM2JhODJkMTI3ZDUzNDE0Mjg2OGU1YWZjYzFlMWFjY2ExOGE4NTQ4MzM4Y2FkYWZhZTI1NTgyNjM4M2JhYWIwOnA6VDpO" TargetMode="External"/><Relationship Id="rId19" Type="http://schemas.openxmlformats.org/officeDocument/2006/relationships/hyperlink" Target="https://protect.checkpoint.com/v2/___https:/www.ema.europa.eu/___.YzJ1Omxpb25icmlkZ2U6YzpvOjVkZmYyMTZiZTQxNmE2MzBhYzk3Y2IzOGNmY2U3NTMzOjY6NjcxMTpjMTQ1OWQyOWI1NTIwZjY4MDM1YjY3NGNlZTJmMjZmN2FiYjdiZGRjZjlkOTJiYTJmNzY4ZWQ4NTYwNDdkNWQ4OnA6VDpO" TargetMode="External"/><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protect.checkpoint.com/v2/___http://www.ema.europa.eu/___.YzJ1Omxpb25icmlkZ2U6YzpvOjVkZmYyMTZiZTQxNmE2MzBhYzk3Y2IzOGNmY2U3NTMzOjY6MjhhZDo2MmE1ODAyMjBkZjk5MDY0MjllZGEzMWY0MGNhNDcxYTU4OTNmZDZmNDRkZWIxYzA2Y2NhMGM5MTkyN2UwNTZlOnA6VDpO"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footer" Target="footer2.xml"/><Relationship Id="rId8" Type="http://schemas.openxmlformats.org/officeDocument/2006/relationships/hyperlink" Target="https://www.ema.europa.eu/en/medicines/human/EPAR/jubbonti"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9C522-F6F7-46F1-B409-4233B12FF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13511</Words>
  <Characters>77018</Characters>
  <Application>Microsoft Office Word</Application>
  <DocSecurity>0</DocSecurity>
  <Lines>641</Lines>
  <Paragraphs>180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Jubbonti, INN-denosumab</vt:lpstr>
      <vt:lpstr>Jubbonti, INN-denosumab</vt:lpstr>
    </vt:vector>
  </TitlesOfParts>
  <Company/>
  <LinksUpToDate>false</LinksUpToDate>
  <CharactersWithSpaces>90349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Jubbonti: EPAR – Product information - tracked changes</dc:title>
  <dc:subject>EPAR</dc:subject>
  <dc:creator>CHMP</dc:creator>
  <cp:keywords>Jubbonti, INN-denosumab</cp:keywords>
  <cp:lastModifiedBy>Lionbridge</cp:lastModifiedBy>
  <cp:revision>3</cp:revision>
  <cp:lastPrinted>2024-02-01T08:28:00Z</cp:lastPrinted>
  <dcterms:created xsi:type="dcterms:W3CDTF">2025-06-17T14:33:00Z</dcterms:created>
  <dcterms:modified xsi:type="dcterms:W3CDTF">2025-06-17T15:47:00Z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ActionId">
    <vt:lpwstr>188a2d37-8f8e-4963-a2e7-da5a0ebc7d0e</vt:lpwstr>
  </property>
  <property fmtid="{D5CDD505-2E9C-101B-9397-08002B2CF9AE}" pid="3" name="MSIP_Label_3c9bec58-8084-492e-8360-0e1cfe36408c_ContentBits">
    <vt:lpwstr>0</vt:lpwstr>
  </property>
  <property fmtid="{D5CDD505-2E9C-101B-9397-08002B2CF9AE}" pid="4" name="MSIP_Label_3c9bec58-8084-492e-8360-0e1cfe36408c_Enabled">
    <vt:lpwstr>true</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etDate">
    <vt:lpwstr>2024-03-26T14:26:11Z</vt:lpwstr>
  </property>
  <property fmtid="{D5CDD505-2E9C-101B-9397-08002B2CF9AE}" pid="8" name="MSIP_Label_3c9bec58-8084-492e-8360-0e1cfe36408c_SiteId">
    <vt:lpwstr>f35a6974-607f-47d4-82d7-ff31d7dc53a5</vt:lpwstr>
  </property>
</Properties>
</file>